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3DC7" w14:textId="55DF73CD" w:rsidR="002D4B85" w:rsidRPr="00F23B58" w:rsidRDefault="00F23B58" w:rsidP="0098397E">
      <w:pPr>
        <w:spacing w:line="276" w:lineRule="auto"/>
        <w:ind w:right="142"/>
        <w:jc w:val="both"/>
        <w:rPr>
          <w:rFonts w:ascii="Times New Roman" w:hAnsi="Times New Roman"/>
          <w:b/>
          <w:color w:val="auto"/>
          <w:sz w:val="28"/>
          <w:szCs w:val="28"/>
        </w:rPr>
      </w:pPr>
      <w:bookmarkStart w:id="0" w:name="_GoBack"/>
      <w:bookmarkEnd w:id="0"/>
      <w:r w:rsidRPr="00F23B58">
        <w:rPr>
          <w:rFonts w:ascii="Times New Roman" w:hAnsi="Times New Roman"/>
          <w:b/>
          <w:color w:val="auto"/>
          <w:sz w:val="28"/>
          <w:szCs w:val="28"/>
        </w:rPr>
        <w:t xml:space="preserve">2. </w:t>
      </w:r>
      <w:r w:rsidR="002D4B85" w:rsidRPr="00F23B58">
        <w:rPr>
          <w:rFonts w:ascii="Times New Roman" w:hAnsi="Times New Roman"/>
          <w:b/>
          <w:color w:val="auto"/>
          <w:sz w:val="28"/>
          <w:szCs w:val="28"/>
        </w:rPr>
        <w:t>PORTFOLIO COMMITTEE ON HOME AFFAIRS</w:t>
      </w:r>
      <w:bookmarkStart w:id="1" w:name="_Hlk71528740"/>
      <w:bookmarkEnd w:id="1"/>
      <w:r w:rsidR="00627D2D" w:rsidRPr="00F23B58">
        <w:rPr>
          <w:rFonts w:ascii="Times New Roman" w:hAnsi="Times New Roman"/>
          <w:b/>
          <w:color w:val="auto"/>
          <w:sz w:val="28"/>
          <w:szCs w:val="28"/>
        </w:rPr>
        <w:t xml:space="preserve"> REPORT</w:t>
      </w:r>
      <w:r w:rsidR="006563EC" w:rsidRPr="00F23B58">
        <w:rPr>
          <w:rFonts w:ascii="Times New Roman" w:hAnsi="Times New Roman"/>
          <w:b/>
          <w:color w:val="auto"/>
          <w:sz w:val="28"/>
          <w:szCs w:val="28"/>
        </w:rPr>
        <w:t xml:space="preserve">: </w:t>
      </w:r>
      <w:r w:rsidR="00627D2D" w:rsidRPr="00F23B58">
        <w:rPr>
          <w:rFonts w:ascii="Times New Roman" w:hAnsi="Times New Roman"/>
          <w:b/>
          <w:color w:val="auto"/>
          <w:sz w:val="28"/>
          <w:szCs w:val="28"/>
        </w:rPr>
        <w:t xml:space="preserve">VOTE 5 </w:t>
      </w:r>
      <w:r w:rsidR="002D4B85" w:rsidRPr="00F23B58">
        <w:rPr>
          <w:rFonts w:ascii="Times New Roman" w:hAnsi="Times New Roman"/>
          <w:b/>
          <w:color w:val="auto"/>
          <w:sz w:val="28"/>
          <w:szCs w:val="28"/>
        </w:rPr>
        <w:t>ANNUAL PERFORMANCE PLAN</w:t>
      </w:r>
      <w:r w:rsidR="00881CA1" w:rsidRPr="00F23B58">
        <w:rPr>
          <w:rFonts w:ascii="Times New Roman" w:hAnsi="Times New Roman"/>
          <w:b/>
          <w:color w:val="auto"/>
          <w:sz w:val="28"/>
          <w:szCs w:val="28"/>
        </w:rPr>
        <w:t>S</w:t>
      </w:r>
      <w:r w:rsidR="002D4B85" w:rsidRPr="00F23B58">
        <w:rPr>
          <w:rFonts w:ascii="Times New Roman" w:hAnsi="Times New Roman"/>
          <w:b/>
          <w:color w:val="auto"/>
          <w:sz w:val="28"/>
          <w:szCs w:val="28"/>
        </w:rPr>
        <w:t xml:space="preserve"> </w:t>
      </w:r>
      <w:r w:rsidR="008B4CBD" w:rsidRPr="00F23B58">
        <w:rPr>
          <w:rFonts w:ascii="Times New Roman" w:hAnsi="Times New Roman"/>
          <w:b/>
          <w:color w:val="auto"/>
          <w:sz w:val="28"/>
          <w:szCs w:val="28"/>
        </w:rPr>
        <w:t>AND</w:t>
      </w:r>
      <w:r w:rsidR="002D4B85" w:rsidRPr="00F23B58">
        <w:rPr>
          <w:rFonts w:ascii="Times New Roman" w:hAnsi="Times New Roman"/>
          <w:b/>
          <w:color w:val="auto"/>
          <w:sz w:val="28"/>
          <w:szCs w:val="28"/>
        </w:rPr>
        <w:t xml:space="preserve"> BUDGET</w:t>
      </w:r>
      <w:r w:rsidR="00627D2D" w:rsidRPr="00F23B58">
        <w:rPr>
          <w:rFonts w:ascii="Times New Roman" w:hAnsi="Times New Roman"/>
          <w:b/>
          <w:color w:val="auto"/>
          <w:sz w:val="28"/>
          <w:szCs w:val="28"/>
        </w:rPr>
        <w:t xml:space="preserve"> OF THE </w:t>
      </w:r>
      <w:r w:rsidR="002D4B85" w:rsidRPr="00F23B58">
        <w:rPr>
          <w:rFonts w:ascii="Times New Roman" w:hAnsi="Times New Roman"/>
          <w:b/>
          <w:color w:val="auto"/>
          <w:sz w:val="28"/>
          <w:szCs w:val="28"/>
        </w:rPr>
        <w:t>DEPARTMENT OF HOME AFFAIRS</w:t>
      </w:r>
      <w:r w:rsidR="00881CA1" w:rsidRPr="00F23B58">
        <w:rPr>
          <w:rFonts w:ascii="Times New Roman" w:hAnsi="Times New Roman"/>
          <w:b/>
          <w:color w:val="auto"/>
          <w:sz w:val="28"/>
          <w:szCs w:val="28"/>
        </w:rPr>
        <w:t xml:space="preserve">, ELECTORAL COMMISSION </w:t>
      </w:r>
      <w:r w:rsidR="008B4CBD" w:rsidRPr="00F23B58">
        <w:rPr>
          <w:rFonts w:ascii="Times New Roman" w:hAnsi="Times New Roman"/>
          <w:b/>
          <w:color w:val="auto"/>
          <w:sz w:val="28"/>
          <w:szCs w:val="28"/>
        </w:rPr>
        <w:t>AND</w:t>
      </w:r>
      <w:r w:rsidR="00881CA1" w:rsidRPr="00F23B58">
        <w:rPr>
          <w:rFonts w:ascii="Times New Roman" w:hAnsi="Times New Roman"/>
          <w:b/>
          <w:color w:val="auto"/>
          <w:sz w:val="28"/>
          <w:szCs w:val="28"/>
        </w:rPr>
        <w:t xml:space="preserve"> GOVERNMENT PRINTING WORKS</w:t>
      </w:r>
      <w:r w:rsidR="00EA4FA4" w:rsidRPr="00F23B58">
        <w:rPr>
          <w:rFonts w:ascii="Times New Roman" w:hAnsi="Times New Roman"/>
          <w:b/>
          <w:color w:val="auto"/>
          <w:sz w:val="28"/>
          <w:szCs w:val="28"/>
        </w:rPr>
        <w:t xml:space="preserve">, DATED </w:t>
      </w:r>
      <w:r w:rsidR="00FA5B68" w:rsidRPr="00F23B58">
        <w:rPr>
          <w:rFonts w:ascii="Times New Roman" w:hAnsi="Times New Roman"/>
          <w:b/>
          <w:color w:val="auto"/>
          <w:sz w:val="28"/>
          <w:szCs w:val="28"/>
        </w:rPr>
        <w:t>13 May 2022</w:t>
      </w:r>
    </w:p>
    <w:p w14:paraId="6EFB29A6" w14:textId="765E8473" w:rsidR="00067106" w:rsidRPr="0035165B" w:rsidRDefault="00067106" w:rsidP="0098397E">
      <w:pPr>
        <w:tabs>
          <w:tab w:val="right" w:leader="dot" w:pos="10206"/>
        </w:tabs>
        <w:spacing w:line="276" w:lineRule="auto"/>
        <w:ind w:right="142"/>
        <w:jc w:val="both"/>
        <w:rPr>
          <w:rFonts w:ascii="Times New Roman" w:hAnsi="Times New Roman"/>
          <w:b/>
          <w:color w:val="auto"/>
          <w:sz w:val="22"/>
          <w:szCs w:val="22"/>
        </w:rPr>
      </w:pPr>
    </w:p>
    <w:p w14:paraId="3479BCD1" w14:textId="55F72380" w:rsidR="00853EE6" w:rsidRPr="0035165B" w:rsidRDefault="00853EE6" w:rsidP="0098397E">
      <w:pPr>
        <w:spacing w:line="276" w:lineRule="auto"/>
        <w:ind w:right="142"/>
        <w:jc w:val="both"/>
        <w:rPr>
          <w:rFonts w:ascii="Times New Roman" w:hAnsi="Times New Roman"/>
          <w:color w:val="auto"/>
          <w:sz w:val="22"/>
          <w:szCs w:val="22"/>
        </w:rPr>
      </w:pPr>
      <w:r w:rsidRPr="0035165B">
        <w:rPr>
          <w:rFonts w:ascii="Times New Roman" w:hAnsi="Times New Roman"/>
          <w:color w:val="auto"/>
          <w:sz w:val="22"/>
          <w:szCs w:val="22"/>
        </w:rPr>
        <w:t xml:space="preserve">The Portfolio Committee on Home Affairs (the Committee) met with the Department of Affairs (DHA) on </w:t>
      </w:r>
      <w:r w:rsidR="00D04248" w:rsidRPr="0035165B">
        <w:rPr>
          <w:rFonts w:ascii="Times New Roman" w:hAnsi="Times New Roman"/>
          <w:color w:val="auto"/>
          <w:sz w:val="22"/>
          <w:szCs w:val="22"/>
        </w:rPr>
        <w:t>26 April 2022</w:t>
      </w:r>
      <w:r w:rsidRPr="0035165B">
        <w:rPr>
          <w:rFonts w:ascii="Times New Roman" w:hAnsi="Times New Roman"/>
          <w:color w:val="auto"/>
          <w:sz w:val="22"/>
          <w:szCs w:val="22"/>
        </w:rPr>
        <w:t xml:space="preserve">, the Electoral Commission of South Africa (IEC) and the Government Printing Works (GPW) on </w:t>
      </w:r>
      <w:r w:rsidR="00D04248" w:rsidRPr="0035165B">
        <w:rPr>
          <w:rFonts w:ascii="Times New Roman" w:hAnsi="Times New Roman"/>
          <w:color w:val="auto"/>
          <w:sz w:val="22"/>
          <w:szCs w:val="22"/>
        </w:rPr>
        <w:t>3</w:t>
      </w:r>
      <w:r w:rsidRPr="0035165B">
        <w:rPr>
          <w:rFonts w:ascii="Times New Roman" w:hAnsi="Times New Roman"/>
          <w:color w:val="auto"/>
          <w:sz w:val="22"/>
          <w:szCs w:val="22"/>
        </w:rPr>
        <w:t xml:space="preserve"> May 202</w:t>
      </w:r>
      <w:r w:rsidR="00D04248" w:rsidRPr="0035165B">
        <w:rPr>
          <w:rFonts w:ascii="Times New Roman" w:hAnsi="Times New Roman"/>
          <w:color w:val="auto"/>
          <w:sz w:val="22"/>
          <w:szCs w:val="22"/>
        </w:rPr>
        <w:t>2</w:t>
      </w:r>
      <w:r w:rsidRPr="0035165B">
        <w:rPr>
          <w:rFonts w:ascii="Times New Roman" w:hAnsi="Times New Roman"/>
          <w:color w:val="auto"/>
          <w:sz w:val="22"/>
          <w:szCs w:val="22"/>
        </w:rPr>
        <w:t xml:space="preserve"> on their Annual Performance Plans (APPs)</w:t>
      </w:r>
      <w:r w:rsidR="00985F7A" w:rsidRPr="0035165B">
        <w:rPr>
          <w:rFonts w:ascii="Times New Roman" w:hAnsi="Times New Roman"/>
          <w:color w:val="auto"/>
          <w:sz w:val="22"/>
          <w:szCs w:val="22"/>
        </w:rPr>
        <w:t xml:space="preserve"> and</w:t>
      </w:r>
      <w:r w:rsidRPr="0035165B">
        <w:rPr>
          <w:rFonts w:ascii="Times New Roman" w:hAnsi="Times New Roman"/>
          <w:color w:val="auto"/>
          <w:sz w:val="22"/>
          <w:szCs w:val="22"/>
        </w:rPr>
        <w:t xml:space="preserve"> budgets and reports as follows:</w:t>
      </w:r>
    </w:p>
    <w:p w14:paraId="3D4D6CFA" w14:textId="77777777" w:rsidR="0046011E" w:rsidRPr="0035165B" w:rsidRDefault="004558F0" w:rsidP="0098397E">
      <w:pPr>
        <w:pStyle w:val="Heading1"/>
        <w:spacing w:line="276" w:lineRule="auto"/>
        <w:ind w:right="142"/>
        <w:rPr>
          <w:rFonts w:cs="Times New Roman"/>
          <w:sz w:val="22"/>
          <w:szCs w:val="22"/>
        </w:rPr>
      </w:pPr>
      <w:bookmarkStart w:id="2" w:name="_Toc71542445"/>
      <w:r w:rsidRPr="0035165B">
        <w:rPr>
          <w:rFonts w:cs="Times New Roman"/>
          <w:sz w:val="22"/>
          <w:szCs w:val="22"/>
        </w:rPr>
        <w:t>1. The Department of Home Affairs</w:t>
      </w:r>
      <w:bookmarkEnd w:id="2"/>
    </w:p>
    <w:p w14:paraId="5E5A7E7F" w14:textId="77777777" w:rsidR="00C32071" w:rsidRPr="0035165B" w:rsidRDefault="00C32071" w:rsidP="0098397E">
      <w:pPr>
        <w:spacing w:line="276" w:lineRule="auto"/>
        <w:ind w:right="142"/>
        <w:rPr>
          <w:rFonts w:ascii="Times New Roman" w:hAnsi="Times New Roman"/>
          <w:color w:val="auto"/>
          <w:sz w:val="22"/>
          <w:szCs w:val="22"/>
        </w:rPr>
      </w:pPr>
    </w:p>
    <w:p w14:paraId="50B3B982" w14:textId="77777777" w:rsidR="00D37269" w:rsidRPr="0035165B" w:rsidRDefault="00A97841" w:rsidP="0098397E">
      <w:pPr>
        <w:spacing w:line="276" w:lineRule="auto"/>
        <w:ind w:right="142"/>
        <w:jc w:val="both"/>
        <w:rPr>
          <w:rFonts w:ascii="Times New Roman" w:hAnsi="Times New Roman"/>
          <w:b/>
          <w:color w:val="auto"/>
          <w:sz w:val="22"/>
          <w:szCs w:val="22"/>
        </w:rPr>
      </w:pPr>
      <w:r w:rsidRPr="0035165B">
        <w:rPr>
          <w:rFonts w:ascii="Times New Roman" w:hAnsi="Times New Roman"/>
          <w:b/>
          <w:color w:val="auto"/>
          <w:sz w:val="22"/>
          <w:szCs w:val="22"/>
        </w:rPr>
        <w:t>1.1. Introduction</w:t>
      </w:r>
    </w:p>
    <w:p w14:paraId="19E0953C" w14:textId="77777777" w:rsidR="00222EFC" w:rsidRPr="0035165B" w:rsidRDefault="00222EFC" w:rsidP="0098397E">
      <w:pPr>
        <w:spacing w:line="276" w:lineRule="auto"/>
        <w:ind w:right="142"/>
        <w:jc w:val="both"/>
        <w:rPr>
          <w:rFonts w:ascii="Times New Roman" w:hAnsi="Times New Roman"/>
          <w:color w:val="auto"/>
          <w:sz w:val="22"/>
          <w:szCs w:val="22"/>
        </w:rPr>
      </w:pPr>
      <w:r w:rsidRPr="0035165B">
        <w:rPr>
          <w:rFonts w:ascii="Times New Roman" w:hAnsi="Times New Roman"/>
          <w:color w:val="auto"/>
          <w:sz w:val="22"/>
          <w:szCs w:val="22"/>
        </w:rPr>
        <w:t>The purpose of the Department of Home Affairs is to:</w:t>
      </w:r>
    </w:p>
    <w:p w14:paraId="57C9CC94" w14:textId="77777777" w:rsidR="003B756E" w:rsidRPr="0035165B" w:rsidRDefault="003B756E" w:rsidP="0098397E">
      <w:pPr>
        <w:pStyle w:val="ListParagraph"/>
        <w:numPr>
          <w:ilvl w:val="0"/>
          <w:numId w:val="3"/>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D</w:t>
      </w:r>
      <w:r w:rsidR="00222EFC" w:rsidRPr="0035165B">
        <w:rPr>
          <w:rFonts w:ascii="Times New Roman" w:hAnsi="Times New Roman"/>
          <w:color w:val="auto"/>
          <w:sz w:val="22"/>
          <w:szCs w:val="22"/>
        </w:rPr>
        <w:t>etermine and safeguard the identity and status of citizens.</w:t>
      </w:r>
    </w:p>
    <w:p w14:paraId="73BA22ED" w14:textId="77777777" w:rsidR="00EA2123" w:rsidRPr="0035165B" w:rsidRDefault="00EA2123" w:rsidP="0098397E">
      <w:pPr>
        <w:pStyle w:val="ListParagraph"/>
        <w:numPr>
          <w:ilvl w:val="0"/>
          <w:numId w:val="3"/>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 xml:space="preserve">Regulate immigration to ensure security, promote the development and fulfil South African international obligations.  </w:t>
      </w:r>
    </w:p>
    <w:p w14:paraId="46DAE425" w14:textId="77777777" w:rsidR="00881CA1" w:rsidRPr="0035165B" w:rsidRDefault="00881CA1" w:rsidP="0098397E">
      <w:pPr>
        <w:spacing w:line="276" w:lineRule="auto"/>
        <w:ind w:right="142"/>
        <w:jc w:val="both"/>
        <w:rPr>
          <w:rFonts w:ascii="Times New Roman" w:hAnsi="Times New Roman"/>
          <w:color w:val="auto"/>
          <w:sz w:val="22"/>
          <w:szCs w:val="22"/>
        </w:rPr>
      </w:pPr>
    </w:p>
    <w:p w14:paraId="566F37A2" w14:textId="2E33DE99" w:rsidR="00881CA1" w:rsidRPr="0035165B" w:rsidRDefault="009008A5" w:rsidP="0098397E">
      <w:pPr>
        <w:pStyle w:val="ListParagraph"/>
        <w:spacing w:line="276" w:lineRule="auto"/>
        <w:ind w:left="0" w:right="142"/>
        <w:jc w:val="both"/>
        <w:rPr>
          <w:rFonts w:ascii="Times New Roman" w:hAnsi="Times New Roman"/>
          <w:color w:val="auto"/>
          <w:sz w:val="22"/>
          <w:szCs w:val="22"/>
        </w:rPr>
      </w:pPr>
      <w:r w:rsidRPr="0035165B">
        <w:rPr>
          <w:rFonts w:ascii="Times New Roman" w:hAnsi="Times New Roman"/>
          <w:b/>
          <w:color w:val="auto"/>
          <w:sz w:val="22"/>
          <w:szCs w:val="22"/>
        </w:rPr>
        <w:t>Mandate</w:t>
      </w:r>
      <w:r w:rsidR="00881CA1" w:rsidRPr="0035165B">
        <w:rPr>
          <w:rFonts w:ascii="Times New Roman" w:hAnsi="Times New Roman"/>
          <w:b/>
          <w:color w:val="auto"/>
          <w:sz w:val="22"/>
          <w:szCs w:val="22"/>
        </w:rPr>
        <w:t xml:space="preserve">: </w:t>
      </w:r>
      <w:r w:rsidR="009D555C" w:rsidRPr="0035165B">
        <w:rPr>
          <w:rFonts w:ascii="Times New Roman" w:hAnsi="Times New Roman"/>
          <w:color w:val="auto"/>
          <w:sz w:val="22"/>
          <w:szCs w:val="22"/>
        </w:rPr>
        <w:t>The mandate of DHA is derived from the Constitution and various acts of Parliament and policy documents.  The DHA’s services are divided into two broad categories:  Civic Services and Immigration Services. The DHA is mandated to manage citizenship and civic status</w:t>
      </w:r>
      <w:r w:rsidR="00E80691" w:rsidRPr="0035165B">
        <w:rPr>
          <w:rFonts w:ascii="Times New Roman" w:hAnsi="Times New Roman"/>
          <w:color w:val="auto"/>
          <w:sz w:val="22"/>
          <w:szCs w:val="22"/>
        </w:rPr>
        <w:t>,</w:t>
      </w:r>
      <w:r w:rsidR="009D555C" w:rsidRPr="0035165B">
        <w:rPr>
          <w:rFonts w:ascii="Times New Roman" w:hAnsi="Times New Roman"/>
          <w:color w:val="auto"/>
          <w:sz w:val="22"/>
          <w:szCs w:val="22"/>
        </w:rPr>
        <w:t xml:space="preserve"> </w:t>
      </w:r>
      <w:r w:rsidR="00E80691" w:rsidRPr="0035165B">
        <w:rPr>
          <w:rFonts w:ascii="Times New Roman" w:hAnsi="Times New Roman"/>
          <w:color w:val="auto"/>
          <w:sz w:val="22"/>
          <w:szCs w:val="22"/>
        </w:rPr>
        <w:t>i</w:t>
      </w:r>
      <w:r w:rsidR="009D555C" w:rsidRPr="0035165B">
        <w:rPr>
          <w:rFonts w:ascii="Times New Roman" w:hAnsi="Times New Roman"/>
          <w:color w:val="auto"/>
          <w:sz w:val="22"/>
          <w:szCs w:val="22"/>
        </w:rPr>
        <w:t>nternational migration, refugee protection, and the population register.  The DHA is the key enabler of national security, citizen empowerment, efficient administration and socioeconomic development. These functions must be managed securely and strategically.</w:t>
      </w:r>
      <w:r w:rsidR="00C32071" w:rsidRPr="0035165B">
        <w:rPr>
          <w:rFonts w:ascii="Times New Roman" w:hAnsi="Times New Roman"/>
          <w:color w:val="auto"/>
          <w:sz w:val="22"/>
          <w:szCs w:val="22"/>
        </w:rPr>
        <w:t xml:space="preserve">  </w:t>
      </w:r>
    </w:p>
    <w:p w14:paraId="03B613AD" w14:textId="77777777" w:rsidR="00881CA1" w:rsidRPr="0035165B" w:rsidRDefault="007D4A21" w:rsidP="0098397E">
      <w:pPr>
        <w:spacing w:line="276" w:lineRule="auto"/>
        <w:ind w:right="142"/>
        <w:jc w:val="both"/>
        <w:rPr>
          <w:rFonts w:ascii="Times New Roman" w:hAnsi="Times New Roman"/>
          <w:b/>
          <w:color w:val="auto"/>
          <w:sz w:val="22"/>
          <w:szCs w:val="22"/>
        </w:rPr>
      </w:pPr>
      <w:r w:rsidRPr="0035165B">
        <w:rPr>
          <w:rFonts w:ascii="Times New Roman" w:hAnsi="Times New Roman"/>
          <w:b/>
          <w:color w:val="auto"/>
          <w:sz w:val="22"/>
          <w:szCs w:val="22"/>
        </w:rPr>
        <w:t>Vision</w:t>
      </w:r>
      <w:r w:rsidR="00881CA1" w:rsidRPr="0035165B">
        <w:rPr>
          <w:rFonts w:ascii="Times New Roman" w:hAnsi="Times New Roman"/>
          <w:b/>
          <w:color w:val="auto"/>
          <w:sz w:val="22"/>
          <w:szCs w:val="22"/>
        </w:rPr>
        <w:t xml:space="preserve">: </w:t>
      </w:r>
      <w:r w:rsidR="009D555C" w:rsidRPr="0035165B">
        <w:rPr>
          <w:rFonts w:ascii="Times New Roman" w:hAnsi="Times New Roman"/>
          <w:color w:val="auto"/>
          <w:sz w:val="22"/>
          <w:szCs w:val="22"/>
        </w:rPr>
        <w:t>A vision of the Department of Home Affairs is that of South Africa where identity, status and citizenship are key enablers of citizen empowerment and inclusivity, economic development and national security.</w:t>
      </w:r>
    </w:p>
    <w:p w14:paraId="7B1D94CF" w14:textId="77777777" w:rsidR="00A97841" w:rsidRPr="0035165B" w:rsidRDefault="007D4A21" w:rsidP="0098397E">
      <w:pPr>
        <w:spacing w:line="276" w:lineRule="auto"/>
        <w:ind w:right="142"/>
        <w:jc w:val="both"/>
        <w:rPr>
          <w:rFonts w:ascii="Times New Roman" w:hAnsi="Times New Roman"/>
          <w:color w:val="auto"/>
          <w:sz w:val="22"/>
          <w:szCs w:val="22"/>
        </w:rPr>
      </w:pPr>
      <w:r w:rsidRPr="0035165B">
        <w:rPr>
          <w:rFonts w:ascii="Times New Roman" w:hAnsi="Times New Roman"/>
          <w:b/>
          <w:color w:val="auto"/>
          <w:sz w:val="22"/>
          <w:szCs w:val="22"/>
        </w:rPr>
        <w:t>Mission</w:t>
      </w:r>
      <w:r w:rsidR="00881CA1" w:rsidRPr="0035165B">
        <w:rPr>
          <w:rFonts w:ascii="Times New Roman" w:hAnsi="Times New Roman"/>
          <w:b/>
          <w:color w:val="auto"/>
          <w:sz w:val="22"/>
          <w:szCs w:val="22"/>
        </w:rPr>
        <w:t xml:space="preserve">: </w:t>
      </w:r>
      <w:r w:rsidRPr="0035165B">
        <w:rPr>
          <w:rFonts w:ascii="Times New Roman" w:hAnsi="Times New Roman"/>
          <w:color w:val="auto"/>
          <w:sz w:val="22"/>
          <w:szCs w:val="22"/>
        </w:rPr>
        <w:t>The DHA’s</w:t>
      </w:r>
      <w:r w:rsidR="00A97841" w:rsidRPr="0035165B">
        <w:rPr>
          <w:rFonts w:ascii="Times New Roman" w:hAnsi="Times New Roman"/>
          <w:color w:val="auto"/>
          <w:sz w:val="22"/>
          <w:szCs w:val="22"/>
        </w:rPr>
        <w:t xml:space="preserve"> mission </w:t>
      </w:r>
      <w:r w:rsidRPr="0035165B">
        <w:rPr>
          <w:rFonts w:ascii="Times New Roman" w:hAnsi="Times New Roman"/>
          <w:color w:val="auto"/>
          <w:sz w:val="22"/>
          <w:szCs w:val="22"/>
        </w:rPr>
        <w:t xml:space="preserve">to carry </w:t>
      </w:r>
      <w:r w:rsidR="00A97841" w:rsidRPr="0035165B">
        <w:rPr>
          <w:rFonts w:ascii="Times New Roman" w:hAnsi="Times New Roman"/>
          <w:color w:val="auto"/>
          <w:sz w:val="22"/>
          <w:szCs w:val="22"/>
        </w:rPr>
        <w:t>out its mission in line with its commitment to citizen empowerment and inclusivity, economic development and national security, by:</w:t>
      </w:r>
    </w:p>
    <w:p w14:paraId="38E2B58C" w14:textId="77777777" w:rsidR="00E248EF" w:rsidRPr="0035165B" w:rsidRDefault="00942AB0" w:rsidP="0098397E">
      <w:pPr>
        <w:numPr>
          <w:ilvl w:val="0"/>
          <w:numId w:val="2"/>
        </w:numPr>
        <w:tabs>
          <w:tab w:val="clear" w:pos="720"/>
          <w:tab w:val="num" w:pos="426"/>
        </w:tabs>
        <w:spacing w:line="276" w:lineRule="auto"/>
        <w:ind w:right="142" w:hanging="720"/>
        <w:jc w:val="both"/>
        <w:rPr>
          <w:rFonts w:ascii="Times New Roman" w:hAnsi="Times New Roman"/>
          <w:color w:val="auto"/>
          <w:sz w:val="22"/>
          <w:szCs w:val="22"/>
        </w:rPr>
      </w:pPr>
      <w:r w:rsidRPr="0035165B">
        <w:rPr>
          <w:rFonts w:ascii="Times New Roman" w:hAnsi="Times New Roman"/>
          <w:color w:val="auto"/>
          <w:sz w:val="22"/>
          <w:szCs w:val="22"/>
        </w:rPr>
        <w:t>Being an efficient and secure custodian of citizenship and civil registration</w:t>
      </w:r>
    </w:p>
    <w:p w14:paraId="6C5B8882" w14:textId="77777777" w:rsidR="00E248EF" w:rsidRPr="0035165B" w:rsidRDefault="00942AB0" w:rsidP="0098397E">
      <w:pPr>
        <w:numPr>
          <w:ilvl w:val="0"/>
          <w:numId w:val="2"/>
        </w:numPr>
        <w:tabs>
          <w:tab w:val="clear" w:pos="720"/>
          <w:tab w:val="num" w:pos="426"/>
        </w:tabs>
        <w:spacing w:line="276" w:lineRule="auto"/>
        <w:ind w:right="142" w:hanging="720"/>
        <w:jc w:val="both"/>
        <w:rPr>
          <w:rFonts w:ascii="Times New Roman" w:hAnsi="Times New Roman"/>
          <w:color w:val="auto"/>
          <w:sz w:val="22"/>
          <w:szCs w:val="22"/>
        </w:rPr>
      </w:pPr>
      <w:r w:rsidRPr="0035165B">
        <w:rPr>
          <w:rFonts w:ascii="Times New Roman" w:hAnsi="Times New Roman"/>
          <w:color w:val="auto"/>
          <w:sz w:val="22"/>
          <w:szCs w:val="22"/>
        </w:rPr>
        <w:t>Securely and strategically managing international migration</w:t>
      </w:r>
    </w:p>
    <w:p w14:paraId="0E90DC77" w14:textId="77777777" w:rsidR="00E248EF" w:rsidRPr="0035165B" w:rsidRDefault="00942AB0" w:rsidP="0098397E">
      <w:pPr>
        <w:numPr>
          <w:ilvl w:val="0"/>
          <w:numId w:val="2"/>
        </w:numPr>
        <w:tabs>
          <w:tab w:val="clear" w:pos="720"/>
          <w:tab w:val="num" w:pos="426"/>
        </w:tabs>
        <w:spacing w:line="276" w:lineRule="auto"/>
        <w:ind w:right="142" w:hanging="720"/>
        <w:jc w:val="both"/>
        <w:rPr>
          <w:rFonts w:ascii="Times New Roman" w:hAnsi="Times New Roman"/>
          <w:color w:val="auto"/>
          <w:sz w:val="22"/>
          <w:szCs w:val="22"/>
        </w:rPr>
      </w:pPr>
      <w:r w:rsidRPr="0035165B">
        <w:rPr>
          <w:rFonts w:ascii="Times New Roman" w:hAnsi="Times New Roman"/>
          <w:color w:val="auto"/>
          <w:sz w:val="22"/>
          <w:szCs w:val="22"/>
        </w:rPr>
        <w:t>Efficiently managing asylum seekers and refugees</w:t>
      </w:r>
    </w:p>
    <w:p w14:paraId="666670CF" w14:textId="77777777" w:rsidR="00E248EF" w:rsidRPr="0035165B" w:rsidRDefault="00942AB0" w:rsidP="0098397E">
      <w:pPr>
        <w:numPr>
          <w:ilvl w:val="0"/>
          <w:numId w:val="2"/>
        </w:numPr>
        <w:tabs>
          <w:tab w:val="clear" w:pos="720"/>
          <w:tab w:val="num" w:pos="426"/>
        </w:tabs>
        <w:spacing w:line="276" w:lineRule="auto"/>
        <w:ind w:right="142" w:hanging="720"/>
        <w:jc w:val="both"/>
        <w:rPr>
          <w:rFonts w:ascii="Times New Roman" w:hAnsi="Times New Roman"/>
          <w:color w:val="auto"/>
          <w:sz w:val="22"/>
          <w:szCs w:val="22"/>
        </w:rPr>
      </w:pPr>
      <w:r w:rsidRPr="0035165B">
        <w:rPr>
          <w:rFonts w:ascii="Times New Roman" w:hAnsi="Times New Roman"/>
          <w:color w:val="auto"/>
          <w:sz w:val="22"/>
          <w:szCs w:val="22"/>
        </w:rPr>
        <w:t>Efficiently determining and safeguarding the official identity and status of persons</w:t>
      </w:r>
    </w:p>
    <w:p w14:paraId="03029C28" w14:textId="77777777" w:rsidR="00922904" w:rsidRPr="0035165B" w:rsidRDefault="00922904" w:rsidP="0098397E">
      <w:pPr>
        <w:spacing w:line="276" w:lineRule="auto"/>
        <w:ind w:right="142"/>
        <w:jc w:val="both"/>
        <w:rPr>
          <w:rFonts w:ascii="Times New Roman" w:hAnsi="Times New Roman"/>
          <w:color w:val="auto"/>
          <w:sz w:val="22"/>
          <w:szCs w:val="22"/>
        </w:rPr>
      </w:pPr>
    </w:p>
    <w:p w14:paraId="162D4DAD" w14:textId="7ED404DA" w:rsidR="00922904" w:rsidRPr="0035165B" w:rsidRDefault="00922904" w:rsidP="0098397E">
      <w:pPr>
        <w:spacing w:line="276" w:lineRule="auto"/>
        <w:ind w:right="142"/>
        <w:jc w:val="both"/>
        <w:rPr>
          <w:rFonts w:ascii="Times New Roman" w:hAnsi="Times New Roman"/>
          <w:color w:val="auto"/>
          <w:sz w:val="22"/>
          <w:szCs w:val="22"/>
        </w:rPr>
      </w:pPr>
      <w:r w:rsidRPr="0035165B">
        <w:rPr>
          <w:rFonts w:ascii="Times New Roman" w:hAnsi="Times New Roman"/>
          <w:color w:val="auto"/>
          <w:sz w:val="22"/>
          <w:szCs w:val="22"/>
        </w:rPr>
        <w:t>In order t</w:t>
      </w:r>
      <w:r w:rsidR="009D555C" w:rsidRPr="0035165B">
        <w:rPr>
          <w:rFonts w:ascii="Times New Roman" w:hAnsi="Times New Roman"/>
          <w:color w:val="auto"/>
          <w:sz w:val="22"/>
          <w:szCs w:val="22"/>
        </w:rPr>
        <w:t xml:space="preserve">o </w:t>
      </w:r>
      <w:r w:rsidRPr="0035165B">
        <w:rPr>
          <w:rFonts w:ascii="Times New Roman" w:hAnsi="Times New Roman"/>
          <w:color w:val="auto"/>
          <w:sz w:val="22"/>
          <w:szCs w:val="22"/>
        </w:rPr>
        <w:t>fulfil the above, the Department of Home Affairs prepared the new</w:t>
      </w:r>
      <w:r w:rsidR="00FA010A" w:rsidRPr="0035165B">
        <w:rPr>
          <w:rFonts w:ascii="Times New Roman" w:hAnsi="Times New Roman"/>
          <w:color w:val="auto"/>
          <w:sz w:val="22"/>
          <w:szCs w:val="22"/>
        </w:rPr>
        <w:t xml:space="preserve"> </w:t>
      </w:r>
      <w:r w:rsidR="00D04248" w:rsidRPr="0035165B">
        <w:rPr>
          <w:rFonts w:ascii="Times New Roman" w:hAnsi="Times New Roman"/>
          <w:color w:val="auto"/>
          <w:sz w:val="22"/>
          <w:szCs w:val="22"/>
        </w:rPr>
        <w:t>Annual Performance Plan for 2022/23 in line with the 2020 to 2025 Strategic Plan which in turn is aligned with the</w:t>
      </w:r>
      <w:r w:rsidR="00FA010A" w:rsidRPr="0035165B">
        <w:rPr>
          <w:rFonts w:ascii="Times New Roman" w:hAnsi="Times New Roman"/>
          <w:color w:val="auto"/>
          <w:sz w:val="22"/>
          <w:szCs w:val="22"/>
        </w:rPr>
        <w:t xml:space="preserve"> Medium Term Strategic Framework</w:t>
      </w:r>
      <w:r w:rsidRPr="0035165B">
        <w:rPr>
          <w:rFonts w:ascii="Times New Roman" w:hAnsi="Times New Roman"/>
          <w:color w:val="auto"/>
          <w:sz w:val="22"/>
          <w:szCs w:val="22"/>
        </w:rPr>
        <w:t xml:space="preserve"> (MTSF)</w:t>
      </w:r>
      <w:r w:rsidR="00FA010A" w:rsidRPr="0035165B">
        <w:rPr>
          <w:rFonts w:ascii="Times New Roman" w:hAnsi="Times New Roman"/>
          <w:color w:val="auto"/>
          <w:sz w:val="22"/>
          <w:szCs w:val="22"/>
        </w:rPr>
        <w:t xml:space="preserve"> of Government.</w:t>
      </w:r>
    </w:p>
    <w:p w14:paraId="6309A098" w14:textId="77777777" w:rsidR="00922904" w:rsidRPr="0035165B" w:rsidRDefault="00922904" w:rsidP="0098397E">
      <w:pPr>
        <w:spacing w:line="276" w:lineRule="auto"/>
        <w:ind w:right="142"/>
        <w:jc w:val="both"/>
        <w:rPr>
          <w:rFonts w:ascii="Times New Roman" w:hAnsi="Times New Roman"/>
          <w:color w:val="auto"/>
          <w:sz w:val="22"/>
          <w:szCs w:val="22"/>
        </w:rPr>
      </w:pPr>
    </w:p>
    <w:p w14:paraId="0362C149" w14:textId="6FBFACA7" w:rsidR="00D37269" w:rsidRPr="0035165B" w:rsidRDefault="00FA010A" w:rsidP="0098397E">
      <w:pPr>
        <w:spacing w:line="276" w:lineRule="auto"/>
        <w:ind w:right="142"/>
        <w:jc w:val="both"/>
        <w:rPr>
          <w:rFonts w:ascii="Times New Roman" w:hAnsi="Times New Roman"/>
          <w:color w:val="auto"/>
          <w:sz w:val="22"/>
          <w:szCs w:val="22"/>
        </w:rPr>
      </w:pPr>
      <w:r w:rsidRPr="0035165B">
        <w:rPr>
          <w:rFonts w:ascii="Times New Roman" w:hAnsi="Times New Roman"/>
          <w:color w:val="auto"/>
          <w:sz w:val="22"/>
          <w:szCs w:val="22"/>
        </w:rPr>
        <w:t>The revised Framework for Strategic Plans and Annual Performance Plans (2019) was used for the development of the DHA strategic planning instruments (Strategic Plan for the 2020 to 2025 period and Annual Performance Plan fo</w:t>
      </w:r>
      <w:r w:rsidR="00922904" w:rsidRPr="0035165B">
        <w:rPr>
          <w:rFonts w:ascii="Times New Roman" w:hAnsi="Times New Roman"/>
          <w:color w:val="auto"/>
          <w:sz w:val="22"/>
          <w:szCs w:val="22"/>
        </w:rPr>
        <w:t>r 202</w:t>
      </w:r>
      <w:r w:rsidR="00D04248" w:rsidRPr="0035165B">
        <w:rPr>
          <w:rFonts w:ascii="Times New Roman" w:hAnsi="Times New Roman"/>
          <w:color w:val="auto"/>
          <w:sz w:val="22"/>
          <w:szCs w:val="22"/>
        </w:rPr>
        <w:t>2/23</w:t>
      </w:r>
      <w:r w:rsidR="00922904" w:rsidRPr="0035165B">
        <w:rPr>
          <w:rFonts w:ascii="Times New Roman" w:hAnsi="Times New Roman"/>
          <w:color w:val="auto"/>
          <w:sz w:val="22"/>
          <w:szCs w:val="22"/>
        </w:rPr>
        <w:t xml:space="preserve">). </w:t>
      </w:r>
      <w:r w:rsidR="00D37269" w:rsidRPr="0035165B">
        <w:rPr>
          <w:rFonts w:ascii="Times New Roman" w:hAnsi="Times New Roman"/>
          <w:color w:val="auto"/>
          <w:sz w:val="22"/>
          <w:szCs w:val="22"/>
        </w:rPr>
        <w:t>DHA Planning Instruments cover the following priorities:</w:t>
      </w:r>
    </w:p>
    <w:p w14:paraId="7E9DCDBB" w14:textId="77777777" w:rsidR="00922904" w:rsidRPr="0035165B" w:rsidRDefault="00FA010A" w:rsidP="0098397E">
      <w:pPr>
        <w:numPr>
          <w:ilvl w:val="1"/>
          <w:numId w:val="1"/>
        </w:numPr>
        <w:tabs>
          <w:tab w:val="clear" w:pos="1440"/>
          <w:tab w:val="num" w:pos="1134"/>
        </w:tabs>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National Priorities (as per the National Development Plan, Apex Priorities and MTSF related commitments).</w:t>
      </w:r>
    </w:p>
    <w:p w14:paraId="06EA7254" w14:textId="77777777" w:rsidR="00922904" w:rsidRPr="0035165B" w:rsidRDefault="00FA010A" w:rsidP="0098397E">
      <w:pPr>
        <w:numPr>
          <w:ilvl w:val="1"/>
          <w:numId w:val="1"/>
        </w:numPr>
        <w:tabs>
          <w:tab w:val="clear" w:pos="1440"/>
          <w:tab w:val="num" w:pos="1134"/>
        </w:tabs>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Ministerial Priorities:</w:t>
      </w:r>
    </w:p>
    <w:p w14:paraId="6B30A980" w14:textId="77777777" w:rsidR="00922904" w:rsidRPr="0035165B" w:rsidRDefault="00FA010A"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Establish an effective Border Management Authority (BMA)</w:t>
      </w:r>
    </w:p>
    <w:p w14:paraId="44E37B0D" w14:textId="77777777" w:rsidR="00922904" w:rsidRPr="0035165B" w:rsidRDefault="00FA010A"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Complete the Modernisation Programme</w:t>
      </w:r>
    </w:p>
    <w:p w14:paraId="65F47CC2" w14:textId="77777777" w:rsidR="00633D37" w:rsidRPr="0035165B" w:rsidRDefault="00FA010A"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Comprehensive review of Immigration Policy and subsequent legislation</w:t>
      </w:r>
    </w:p>
    <w:p w14:paraId="6F6312EA" w14:textId="77777777" w:rsidR="00922904" w:rsidRPr="0035165B" w:rsidRDefault="00FA010A"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Upgrade the 6 priority land ports of entry / One-Stop Border Post (OSBP) Policy</w:t>
      </w:r>
    </w:p>
    <w:p w14:paraId="46D97F30" w14:textId="77777777" w:rsidR="00922904" w:rsidRPr="0035165B" w:rsidRDefault="00FA010A"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Improved client experience through leadership (Moetapele)</w:t>
      </w:r>
    </w:p>
    <w:p w14:paraId="20F128BC" w14:textId="77777777" w:rsidR="00922904" w:rsidRPr="0035165B" w:rsidRDefault="00FA010A"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Early birth registration</w:t>
      </w:r>
    </w:p>
    <w:p w14:paraId="5EB47509" w14:textId="77777777" w:rsidR="00922904" w:rsidRPr="0035165B" w:rsidRDefault="00922904"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C</w:t>
      </w:r>
      <w:r w:rsidR="00FA010A" w:rsidRPr="0035165B">
        <w:rPr>
          <w:rFonts w:ascii="Times New Roman" w:hAnsi="Times New Roman"/>
          <w:color w:val="auto"/>
          <w:sz w:val="22"/>
          <w:szCs w:val="22"/>
        </w:rPr>
        <w:t>ritical skill visas</w:t>
      </w:r>
    </w:p>
    <w:p w14:paraId="4BFAB1B6" w14:textId="77777777" w:rsidR="00922904" w:rsidRPr="0035165B" w:rsidRDefault="00FA010A"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“War on Queues”</w:t>
      </w:r>
    </w:p>
    <w:p w14:paraId="6B806BFB" w14:textId="77777777" w:rsidR="00605B92" w:rsidRPr="0035165B" w:rsidRDefault="00922904"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lastRenderedPageBreak/>
        <w:t>ke</w:t>
      </w:r>
      <w:r w:rsidR="00FA010A" w:rsidRPr="0035165B">
        <w:rPr>
          <w:rFonts w:ascii="Times New Roman" w:hAnsi="Times New Roman"/>
          <w:color w:val="auto"/>
          <w:sz w:val="22"/>
          <w:szCs w:val="22"/>
        </w:rPr>
        <w:t>y elements of the White Paper on Home Affairs which was approved by Cabinet for implementation in December 2019</w:t>
      </w:r>
    </w:p>
    <w:p w14:paraId="38BB665C" w14:textId="77777777" w:rsidR="00D37269" w:rsidRPr="0035165B" w:rsidRDefault="00D37269" w:rsidP="0098397E">
      <w:pPr>
        <w:pStyle w:val="ListParagraph"/>
        <w:numPr>
          <w:ilvl w:val="0"/>
          <w:numId w:val="4"/>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Improvement of service delivery initiatives (e.g. footprint development /</w:t>
      </w:r>
      <w:r w:rsidR="009D555C" w:rsidRPr="0035165B">
        <w:rPr>
          <w:rFonts w:ascii="Times New Roman" w:hAnsi="Times New Roman"/>
          <w:color w:val="auto"/>
          <w:sz w:val="22"/>
          <w:szCs w:val="22"/>
        </w:rPr>
        <w:t xml:space="preserve"> </w:t>
      </w:r>
      <w:r w:rsidRPr="0035165B">
        <w:rPr>
          <w:rFonts w:ascii="Times New Roman" w:hAnsi="Times New Roman"/>
          <w:color w:val="auto"/>
          <w:sz w:val="22"/>
          <w:szCs w:val="22"/>
        </w:rPr>
        <w:t>access, efficient issuance of enabling documents.</w:t>
      </w:r>
    </w:p>
    <w:p w14:paraId="085299BD" w14:textId="77777777" w:rsidR="002D0993" w:rsidRPr="0035165B" w:rsidRDefault="002D0993" w:rsidP="0098397E">
      <w:pPr>
        <w:spacing w:line="276" w:lineRule="auto"/>
        <w:ind w:right="142"/>
        <w:jc w:val="both"/>
        <w:rPr>
          <w:rFonts w:ascii="Times New Roman" w:hAnsi="Times New Roman"/>
          <w:color w:val="auto"/>
          <w:sz w:val="22"/>
          <w:szCs w:val="22"/>
        </w:rPr>
      </w:pPr>
    </w:p>
    <w:p w14:paraId="63E0919E" w14:textId="77777777" w:rsidR="002D0993" w:rsidRPr="0035165B" w:rsidRDefault="002D0993" w:rsidP="0098397E">
      <w:pPr>
        <w:spacing w:line="276" w:lineRule="auto"/>
        <w:ind w:right="142"/>
        <w:jc w:val="both"/>
        <w:rPr>
          <w:rFonts w:ascii="Times New Roman" w:hAnsi="Times New Roman"/>
          <w:color w:val="auto"/>
          <w:sz w:val="22"/>
          <w:szCs w:val="22"/>
        </w:rPr>
      </w:pPr>
      <w:r w:rsidRPr="0035165B">
        <w:rPr>
          <w:rFonts w:ascii="Times New Roman" w:hAnsi="Times New Roman"/>
          <w:color w:val="auto"/>
          <w:sz w:val="22"/>
          <w:szCs w:val="22"/>
        </w:rPr>
        <w:t>The DHA has identified the following outcomes for the 2020 to 2025 period:</w:t>
      </w:r>
    </w:p>
    <w:p w14:paraId="393F4FD0" w14:textId="77777777" w:rsidR="002D0993" w:rsidRPr="0035165B" w:rsidRDefault="002D0993" w:rsidP="0098397E">
      <w:pPr>
        <w:pStyle w:val="ListParagraph"/>
        <w:numPr>
          <w:ilvl w:val="0"/>
          <w:numId w:val="5"/>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Secure management of international migration resulting in South Africa’s interests being served and fulfilling international commitments</w:t>
      </w:r>
    </w:p>
    <w:p w14:paraId="4CE5AA3D" w14:textId="77777777" w:rsidR="002D0993" w:rsidRPr="0035165B" w:rsidRDefault="002D0993" w:rsidP="0098397E">
      <w:pPr>
        <w:numPr>
          <w:ilvl w:val="0"/>
          <w:numId w:val="5"/>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 xml:space="preserve">Secure and efficient management of citizenship and civil registration to </w:t>
      </w:r>
      <w:r w:rsidR="00F06AD2" w:rsidRPr="0035165B">
        <w:rPr>
          <w:rFonts w:ascii="Times New Roman" w:hAnsi="Times New Roman"/>
          <w:color w:val="auto"/>
          <w:sz w:val="22"/>
          <w:szCs w:val="22"/>
        </w:rPr>
        <w:t>fulfil</w:t>
      </w:r>
      <w:r w:rsidRPr="0035165B">
        <w:rPr>
          <w:rFonts w:ascii="Times New Roman" w:hAnsi="Times New Roman"/>
          <w:color w:val="auto"/>
          <w:sz w:val="22"/>
          <w:szCs w:val="22"/>
        </w:rPr>
        <w:t xml:space="preserve"> constitutional and international obligations</w:t>
      </w:r>
    </w:p>
    <w:p w14:paraId="21C0D189" w14:textId="77777777" w:rsidR="002D0993" w:rsidRPr="0035165B" w:rsidRDefault="002D0993" w:rsidP="0098397E">
      <w:pPr>
        <w:numPr>
          <w:ilvl w:val="0"/>
          <w:numId w:val="5"/>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 xml:space="preserve">Efficient asylum seeker and refugee system in compliance with domestic and international obligations </w:t>
      </w:r>
    </w:p>
    <w:p w14:paraId="7D333368" w14:textId="77777777" w:rsidR="002D0993" w:rsidRPr="0035165B" w:rsidRDefault="002D0993" w:rsidP="0098397E">
      <w:pPr>
        <w:numPr>
          <w:ilvl w:val="0"/>
          <w:numId w:val="5"/>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Secure population register to empower citizens, enable inclusivity, economic development and national security</w:t>
      </w:r>
    </w:p>
    <w:p w14:paraId="3048174A" w14:textId="77777777" w:rsidR="002D0993" w:rsidRPr="0035165B" w:rsidRDefault="002D0993" w:rsidP="0098397E">
      <w:pPr>
        <w:numPr>
          <w:ilvl w:val="0"/>
          <w:numId w:val="5"/>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DHA positioned to contribute positively to a capable and developmental state</w:t>
      </w:r>
    </w:p>
    <w:p w14:paraId="58B24B1F" w14:textId="77777777" w:rsidR="00D37269" w:rsidRPr="0035165B" w:rsidRDefault="00D37269" w:rsidP="0098397E">
      <w:pPr>
        <w:spacing w:line="276" w:lineRule="auto"/>
        <w:ind w:right="142"/>
        <w:jc w:val="both"/>
        <w:rPr>
          <w:rFonts w:ascii="Times New Roman" w:hAnsi="Times New Roman"/>
          <w:color w:val="auto"/>
          <w:sz w:val="22"/>
          <w:szCs w:val="22"/>
        </w:rPr>
      </w:pPr>
    </w:p>
    <w:p w14:paraId="458D4701" w14:textId="77777777" w:rsidR="00EA2123" w:rsidRPr="0035165B" w:rsidRDefault="00EA2123" w:rsidP="0098397E">
      <w:pPr>
        <w:spacing w:line="276" w:lineRule="auto"/>
        <w:ind w:right="142"/>
        <w:jc w:val="both"/>
        <w:rPr>
          <w:rFonts w:ascii="Times New Roman" w:hAnsi="Times New Roman"/>
          <w:color w:val="auto"/>
          <w:sz w:val="22"/>
          <w:szCs w:val="22"/>
        </w:rPr>
      </w:pPr>
    </w:p>
    <w:p w14:paraId="57E9BC97" w14:textId="6AEAC32B" w:rsidR="00D37269" w:rsidRPr="0035165B" w:rsidRDefault="002D0993" w:rsidP="0098397E">
      <w:pPr>
        <w:pStyle w:val="ListParagraph"/>
        <w:numPr>
          <w:ilvl w:val="1"/>
          <w:numId w:val="7"/>
        </w:numPr>
        <w:spacing w:line="276" w:lineRule="auto"/>
        <w:ind w:right="142"/>
        <w:jc w:val="both"/>
        <w:rPr>
          <w:rFonts w:ascii="Times New Roman" w:hAnsi="Times New Roman"/>
          <w:b/>
          <w:color w:val="auto"/>
          <w:sz w:val="22"/>
          <w:szCs w:val="22"/>
        </w:rPr>
      </w:pPr>
      <w:r w:rsidRPr="0035165B">
        <w:rPr>
          <w:rFonts w:ascii="Times New Roman" w:hAnsi="Times New Roman"/>
          <w:b/>
          <w:bCs/>
          <w:color w:val="auto"/>
          <w:sz w:val="22"/>
          <w:szCs w:val="22"/>
        </w:rPr>
        <w:t xml:space="preserve"> </w:t>
      </w:r>
      <w:r w:rsidR="0046011E" w:rsidRPr="0035165B">
        <w:rPr>
          <w:rFonts w:ascii="Times New Roman" w:hAnsi="Times New Roman"/>
          <w:b/>
          <w:bCs/>
          <w:color w:val="auto"/>
          <w:sz w:val="22"/>
          <w:szCs w:val="22"/>
        </w:rPr>
        <w:t xml:space="preserve">DHA’s </w:t>
      </w:r>
      <w:r w:rsidR="000E4196" w:rsidRPr="0035165B">
        <w:rPr>
          <w:rFonts w:ascii="Times New Roman" w:hAnsi="Times New Roman"/>
          <w:b/>
          <w:bCs/>
          <w:color w:val="auto"/>
          <w:sz w:val="22"/>
          <w:szCs w:val="22"/>
        </w:rPr>
        <w:t>C</w:t>
      </w:r>
      <w:r w:rsidR="00C57A15" w:rsidRPr="0035165B">
        <w:rPr>
          <w:rFonts w:ascii="Times New Roman" w:hAnsi="Times New Roman"/>
          <w:b/>
          <w:bCs/>
          <w:color w:val="auto"/>
          <w:sz w:val="22"/>
          <w:szCs w:val="22"/>
        </w:rPr>
        <w:t xml:space="preserve">ontribution to </w:t>
      </w:r>
      <w:r w:rsidR="000E4196" w:rsidRPr="0035165B">
        <w:rPr>
          <w:rFonts w:ascii="Times New Roman" w:hAnsi="Times New Roman"/>
          <w:b/>
          <w:bCs/>
          <w:color w:val="auto"/>
          <w:sz w:val="22"/>
          <w:szCs w:val="22"/>
        </w:rPr>
        <w:t xml:space="preserve">the </w:t>
      </w:r>
      <w:r w:rsidR="00C57A15" w:rsidRPr="0035165B">
        <w:rPr>
          <w:rFonts w:ascii="Times New Roman" w:hAnsi="Times New Roman"/>
          <w:b/>
          <w:bCs/>
          <w:color w:val="auto"/>
          <w:sz w:val="22"/>
          <w:szCs w:val="22"/>
        </w:rPr>
        <w:t>National Development Plan (NDP)</w:t>
      </w:r>
    </w:p>
    <w:p w14:paraId="1D39BC14" w14:textId="52733A9C" w:rsidR="00C57A15" w:rsidRPr="0035165B" w:rsidRDefault="002D0993" w:rsidP="0098397E">
      <w:pPr>
        <w:spacing w:line="276" w:lineRule="auto"/>
        <w:ind w:right="142"/>
        <w:jc w:val="both"/>
        <w:rPr>
          <w:rFonts w:ascii="Times New Roman" w:hAnsi="Times New Roman"/>
          <w:color w:val="auto"/>
          <w:sz w:val="22"/>
          <w:szCs w:val="22"/>
        </w:rPr>
      </w:pPr>
      <w:r w:rsidRPr="0035165B">
        <w:rPr>
          <w:rFonts w:ascii="Times New Roman" w:hAnsi="Times New Roman"/>
          <w:color w:val="auto"/>
          <w:sz w:val="22"/>
          <w:szCs w:val="22"/>
        </w:rPr>
        <w:t>The National Development Plan aims to eliminate poverty and reduce inequality by 2030 and the major</w:t>
      </w:r>
      <w:r w:rsidR="00C57A15" w:rsidRPr="0035165B">
        <w:rPr>
          <w:rFonts w:ascii="Times New Roman" w:hAnsi="Times New Roman"/>
          <w:color w:val="auto"/>
          <w:sz w:val="22"/>
          <w:szCs w:val="22"/>
        </w:rPr>
        <w:t xml:space="preserve"> focus of the NDP is to confront the triple challenge of </w:t>
      </w:r>
      <w:r w:rsidR="00C57A15" w:rsidRPr="0035165B">
        <w:rPr>
          <w:rFonts w:ascii="Times New Roman" w:hAnsi="Times New Roman"/>
          <w:b/>
          <w:bCs/>
          <w:color w:val="auto"/>
          <w:sz w:val="22"/>
          <w:szCs w:val="22"/>
        </w:rPr>
        <w:t>poverty, inequality and unemployment</w:t>
      </w:r>
      <w:r w:rsidR="00C57A15" w:rsidRPr="0035165B">
        <w:rPr>
          <w:rFonts w:ascii="Times New Roman" w:hAnsi="Times New Roman"/>
          <w:color w:val="auto"/>
          <w:sz w:val="22"/>
          <w:szCs w:val="22"/>
        </w:rPr>
        <w:t xml:space="preserve"> by achieving higher growth rates. The DHA has a critical contribution to make to the achievement of the NDP 2030 objectives: </w:t>
      </w:r>
    </w:p>
    <w:p w14:paraId="4AF11332" w14:textId="77777777" w:rsidR="00605B92" w:rsidRPr="0035165B" w:rsidRDefault="00FA010A" w:rsidP="0098397E">
      <w:pPr>
        <w:pStyle w:val="ListParagraph"/>
        <w:numPr>
          <w:ilvl w:val="0"/>
          <w:numId w:val="6"/>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 xml:space="preserve">The inclusion of all citizens in democracy and development is enabled by providing them with status and identity that gives them access to rights and services.  This must be done in an efficient, effective, professional and secure manner. </w:t>
      </w:r>
    </w:p>
    <w:p w14:paraId="1D7A4D64" w14:textId="77777777" w:rsidR="00605B92" w:rsidRPr="0035165B" w:rsidRDefault="00FA010A" w:rsidP="0098397E">
      <w:pPr>
        <w:pStyle w:val="ListParagraph"/>
        <w:numPr>
          <w:ilvl w:val="0"/>
          <w:numId w:val="6"/>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 xml:space="preserve">A further priority for the DHA is to facilitate the acquisition of the critical skills needed for economic growth as determined by the Department of Higher Education and Training (DHET) to build our own skills base.  </w:t>
      </w:r>
    </w:p>
    <w:p w14:paraId="77F7C234" w14:textId="77777777" w:rsidR="00605B92" w:rsidRPr="0035165B" w:rsidRDefault="00FA010A" w:rsidP="0098397E">
      <w:pPr>
        <w:pStyle w:val="ListParagraph"/>
        <w:numPr>
          <w:ilvl w:val="0"/>
          <w:numId w:val="6"/>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The DHA must continue to drive integrated and coordinated border management to ensure our borders are effectively protected, secured</w:t>
      </w:r>
      <w:r w:rsidR="008179CE" w:rsidRPr="0035165B">
        <w:rPr>
          <w:rFonts w:ascii="Times New Roman" w:hAnsi="Times New Roman"/>
          <w:color w:val="auto"/>
          <w:sz w:val="22"/>
          <w:szCs w:val="22"/>
        </w:rPr>
        <w:t>,</w:t>
      </w:r>
      <w:r w:rsidRPr="0035165B">
        <w:rPr>
          <w:rFonts w:ascii="Times New Roman" w:hAnsi="Times New Roman"/>
          <w:color w:val="auto"/>
          <w:sz w:val="22"/>
          <w:szCs w:val="22"/>
        </w:rPr>
        <w:t xml:space="preserve"> and well-managed. </w:t>
      </w:r>
    </w:p>
    <w:p w14:paraId="76E22CAA" w14:textId="77777777" w:rsidR="00605B92" w:rsidRPr="0035165B" w:rsidRDefault="00FA010A" w:rsidP="0098397E">
      <w:pPr>
        <w:pStyle w:val="ListParagraph"/>
        <w:numPr>
          <w:ilvl w:val="0"/>
          <w:numId w:val="6"/>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The DHA could play a key role in enabling regional development by working with SADC countries through the Department of International Relations and Cooperation (DIRCO) to establish efficient, secure and managed migration.</w:t>
      </w:r>
    </w:p>
    <w:p w14:paraId="5DD865A0" w14:textId="77777777" w:rsidR="00B977EB" w:rsidRPr="0035165B" w:rsidRDefault="00FA010A" w:rsidP="0098397E">
      <w:pPr>
        <w:pStyle w:val="ListParagraph"/>
        <w:numPr>
          <w:ilvl w:val="0"/>
          <w:numId w:val="6"/>
        </w:numPr>
        <w:spacing w:line="276" w:lineRule="auto"/>
        <w:ind w:left="426" w:right="142" w:hanging="426"/>
        <w:jc w:val="both"/>
        <w:rPr>
          <w:rFonts w:ascii="Times New Roman" w:hAnsi="Times New Roman"/>
          <w:color w:val="auto"/>
          <w:sz w:val="22"/>
          <w:szCs w:val="22"/>
        </w:rPr>
      </w:pPr>
      <w:r w:rsidRPr="0035165B">
        <w:rPr>
          <w:rFonts w:ascii="Times New Roman" w:hAnsi="Times New Roman"/>
          <w:color w:val="auto"/>
          <w:sz w:val="22"/>
          <w:szCs w:val="22"/>
        </w:rPr>
        <w:t>The DHA is central to harnessing the 4th industrial revolution and building a capable state. The moderni</w:t>
      </w:r>
      <w:r w:rsidR="008179CE" w:rsidRPr="0035165B">
        <w:rPr>
          <w:rFonts w:ascii="Times New Roman" w:hAnsi="Times New Roman"/>
          <w:color w:val="auto"/>
          <w:sz w:val="22"/>
          <w:szCs w:val="22"/>
        </w:rPr>
        <w:t>z</w:t>
      </w:r>
      <w:r w:rsidRPr="0035165B">
        <w:rPr>
          <w:rFonts w:ascii="Times New Roman" w:hAnsi="Times New Roman"/>
          <w:color w:val="auto"/>
          <w:sz w:val="22"/>
          <w:szCs w:val="22"/>
        </w:rPr>
        <w:t xml:space="preserve">ation programme of the DHA can reduce fraud and the cost of doing business by enabling e-government which will attract more investment into the country. </w:t>
      </w:r>
    </w:p>
    <w:p w14:paraId="3B9096CD" w14:textId="079CE702" w:rsidR="00A04C9D" w:rsidRPr="0035165B" w:rsidRDefault="00A04C9D" w:rsidP="0098397E">
      <w:pPr>
        <w:spacing w:line="276" w:lineRule="auto"/>
        <w:ind w:right="142"/>
        <w:jc w:val="both"/>
        <w:rPr>
          <w:rFonts w:ascii="Times New Roman" w:hAnsi="Times New Roman"/>
          <w:color w:val="auto"/>
          <w:sz w:val="22"/>
          <w:szCs w:val="22"/>
        </w:rPr>
      </w:pPr>
    </w:p>
    <w:p w14:paraId="7D97804B" w14:textId="531B248C" w:rsidR="00EA2123" w:rsidRPr="0035165B" w:rsidRDefault="007B3892" w:rsidP="0098397E">
      <w:pPr>
        <w:spacing w:line="276" w:lineRule="auto"/>
        <w:ind w:right="142"/>
        <w:jc w:val="both"/>
        <w:rPr>
          <w:rFonts w:ascii="Times New Roman" w:hAnsi="Times New Roman"/>
          <w:b/>
          <w:bCs/>
          <w:color w:val="auto"/>
          <w:sz w:val="22"/>
          <w:szCs w:val="22"/>
        </w:rPr>
      </w:pPr>
      <w:r w:rsidRPr="0035165B">
        <w:rPr>
          <w:rFonts w:ascii="Times New Roman" w:hAnsi="Times New Roman"/>
          <w:b/>
          <w:bCs/>
          <w:color w:val="auto"/>
          <w:sz w:val="22"/>
          <w:szCs w:val="22"/>
        </w:rPr>
        <w:t>1.3</w:t>
      </w:r>
      <w:r w:rsidR="0046011E" w:rsidRPr="0035165B">
        <w:rPr>
          <w:rFonts w:ascii="Times New Roman" w:hAnsi="Times New Roman"/>
          <w:b/>
          <w:bCs/>
          <w:color w:val="auto"/>
          <w:sz w:val="22"/>
          <w:szCs w:val="22"/>
        </w:rPr>
        <w:t>.</w:t>
      </w:r>
      <w:r w:rsidR="002D0993" w:rsidRPr="0035165B">
        <w:rPr>
          <w:rFonts w:ascii="Times New Roman" w:hAnsi="Times New Roman"/>
          <w:b/>
          <w:bCs/>
          <w:color w:val="auto"/>
          <w:sz w:val="22"/>
          <w:szCs w:val="22"/>
        </w:rPr>
        <w:t xml:space="preserve"> </w:t>
      </w:r>
      <w:r w:rsidR="00F04CEE" w:rsidRPr="0035165B">
        <w:rPr>
          <w:rFonts w:ascii="Times New Roman" w:hAnsi="Times New Roman"/>
          <w:b/>
          <w:bCs/>
          <w:color w:val="auto"/>
          <w:sz w:val="22"/>
          <w:szCs w:val="22"/>
        </w:rPr>
        <w:t xml:space="preserve">The </w:t>
      </w:r>
      <w:r w:rsidR="000E4196" w:rsidRPr="0035165B">
        <w:rPr>
          <w:rFonts w:ascii="Times New Roman" w:hAnsi="Times New Roman"/>
          <w:b/>
          <w:bCs/>
          <w:color w:val="auto"/>
          <w:sz w:val="22"/>
          <w:szCs w:val="22"/>
        </w:rPr>
        <w:t>Medium-Term</w:t>
      </w:r>
      <w:r w:rsidR="00F04CEE" w:rsidRPr="0035165B">
        <w:rPr>
          <w:rFonts w:ascii="Times New Roman" w:hAnsi="Times New Roman"/>
          <w:b/>
          <w:bCs/>
          <w:color w:val="auto"/>
          <w:sz w:val="22"/>
          <w:szCs w:val="22"/>
        </w:rPr>
        <w:t xml:space="preserve"> Strategic Framework (</w:t>
      </w:r>
      <w:r w:rsidR="00C57A15" w:rsidRPr="0035165B">
        <w:rPr>
          <w:rFonts w:ascii="Times New Roman" w:hAnsi="Times New Roman"/>
          <w:b/>
          <w:bCs/>
          <w:color w:val="auto"/>
          <w:sz w:val="22"/>
          <w:szCs w:val="22"/>
        </w:rPr>
        <w:t>MTSF</w:t>
      </w:r>
      <w:r w:rsidR="00F04CEE" w:rsidRPr="0035165B">
        <w:rPr>
          <w:rFonts w:ascii="Times New Roman" w:hAnsi="Times New Roman"/>
          <w:b/>
          <w:bCs/>
          <w:color w:val="auto"/>
          <w:sz w:val="22"/>
          <w:szCs w:val="22"/>
        </w:rPr>
        <w:t>)</w:t>
      </w:r>
      <w:r w:rsidR="00C57A15" w:rsidRPr="0035165B">
        <w:rPr>
          <w:rFonts w:ascii="Times New Roman" w:hAnsi="Times New Roman"/>
          <w:b/>
          <w:bCs/>
          <w:color w:val="auto"/>
          <w:sz w:val="22"/>
          <w:szCs w:val="22"/>
        </w:rPr>
        <w:t xml:space="preserve"> Commitments f</w:t>
      </w:r>
      <w:r w:rsidR="008179CE" w:rsidRPr="0035165B">
        <w:rPr>
          <w:rFonts w:ascii="Times New Roman" w:hAnsi="Times New Roman"/>
          <w:b/>
          <w:bCs/>
          <w:color w:val="auto"/>
          <w:sz w:val="22"/>
          <w:szCs w:val="22"/>
        </w:rPr>
        <w:t>rom</w:t>
      </w:r>
      <w:r w:rsidR="00C57A15" w:rsidRPr="0035165B">
        <w:rPr>
          <w:rFonts w:ascii="Times New Roman" w:hAnsi="Times New Roman"/>
          <w:b/>
          <w:bCs/>
          <w:color w:val="auto"/>
          <w:sz w:val="22"/>
          <w:szCs w:val="22"/>
        </w:rPr>
        <w:t xml:space="preserve"> 2019 to 2024</w:t>
      </w:r>
      <w:r w:rsidR="00F04CEE" w:rsidRPr="0035165B">
        <w:rPr>
          <w:rFonts w:ascii="Times New Roman" w:hAnsi="Times New Roman"/>
          <w:b/>
          <w:bCs/>
          <w:color w:val="auto"/>
          <w:sz w:val="22"/>
          <w:szCs w:val="22"/>
        </w:rPr>
        <w:t>.</w:t>
      </w:r>
    </w:p>
    <w:tbl>
      <w:tblPr>
        <w:tblStyle w:val="TableGrid"/>
        <w:tblW w:w="10201" w:type="dxa"/>
        <w:tblLook w:val="04A0" w:firstRow="1" w:lastRow="0" w:firstColumn="1" w:lastColumn="0" w:noHBand="0" w:noVBand="1"/>
      </w:tblPr>
      <w:tblGrid>
        <w:gridCol w:w="2122"/>
        <w:gridCol w:w="2268"/>
        <w:gridCol w:w="2976"/>
        <w:gridCol w:w="2835"/>
      </w:tblGrid>
      <w:tr w:rsidR="00B272C7" w:rsidRPr="0035165B" w14:paraId="69691427" w14:textId="77777777" w:rsidTr="005222A8">
        <w:trPr>
          <w:trHeight w:val="297"/>
          <w:tblHeader/>
        </w:trPr>
        <w:tc>
          <w:tcPr>
            <w:tcW w:w="2122" w:type="dxa"/>
            <w:shd w:val="clear" w:color="auto" w:fill="9BBB59" w:themeFill="accent3"/>
          </w:tcPr>
          <w:p w14:paraId="3821AF83" w14:textId="77777777" w:rsidR="008A67A8" w:rsidRPr="0035165B" w:rsidRDefault="008A67A8" w:rsidP="0098397E">
            <w:pPr>
              <w:spacing w:line="276" w:lineRule="auto"/>
              <w:ind w:right="142"/>
              <w:rPr>
                <w:rFonts w:ascii="Times New Roman" w:hAnsi="Times New Roman"/>
                <w:b/>
                <w:color w:val="auto"/>
                <w:sz w:val="22"/>
                <w:szCs w:val="22"/>
              </w:rPr>
            </w:pPr>
            <w:r w:rsidRPr="0035165B">
              <w:rPr>
                <w:rFonts w:ascii="Times New Roman" w:hAnsi="Times New Roman"/>
                <w:b/>
                <w:color w:val="auto"/>
                <w:sz w:val="22"/>
                <w:szCs w:val="22"/>
              </w:rPr>
              <w:t>APEX Priority</w:t>
            </w:r>
          </w:p>
        </w:tc>
        <w:tc>
          <w:tcPr>
            <w:tcW w:w="2268" w:type="dxa"/>
            <w:shd w:val="clear" w:color="auto" w:fill="9BBB59" w:themeFill="accent3"/>
          </w:tcPr>
          <w:p w14:paraId="7F570E93" w14:textId="77777777" w:rsidR="008A67A8" w:rsidRPr="0035165B" w:rsidRDefault="008A67A8" w:rsidP="0098397E">
            <w:pPr>
              <w:spacing w:line="276" w:lineRule="auto"/>
              <w:ind w:right="142"/>
              <w:rPr>
                <w:rFonts w:ascii="Times New Roman" w:hAnsi="Times New Roman"/>
                <w:b/>
                <w:color w:val="auto"/>
                <w:sz w:val="22"/>
                <w:szCs w:val="22"/>
              </w:rPr>
            </w:pPr>
            <w:r w:rsidRPr="0035165B">
              <w:rPr>
                <w:rFonts w:ascii="Times New Roman" w:hAnsi="Times New Roman"/>
                <w:b/>
                <w:color w:val="auto"/>
                <w:sz w:val="22"/>
                <w:szCs w:val="22"/>
              </w:rPr>
              <w:t>Link to Outcome</w:t>
            </w:r>
          </w:p>
        </w:tc>
        <w:tc>
          <w:tcPr>
            <w:tcW w:w="2976" w:type="dxa"/>
            <w:shd w:val="clear" w:color="auto" w:fill="9BBB59" w:themeFill="accent3"/>
          </w:tcPr>
          <w:p w14:paraId="49D72360" w14:textId="77777777" w:rsidR="008A67A8" w:rsidRPr="0035165B" w:rsidRDefault="008A67A8" w:rsidP="0098397E">
            <w:pPr>
              <w:spacing w:line="276" w:lineRule="auto"/>
              <w:ind w:right="142"/>
              <w:rPr>
                <w:rFonts w:ascii="Times New Roman" w:hAnsi="Times New Roman"/>
                <w:b/>
                <w:color w:val="auto"/>
                <w:sz w:val="22"/>
                <w:szCs w:val="22"/>
              </w:rPr>
            </w:pPr>
            <w:r w:rsidRPr="0035165B">
              <w:rPr>
                <w:rFonts w:ascii="Times New Roman" w:hAnsi="Times New Roman"/>
                <w:b/>
                <w:color w:val="auto"/>
                <w:sz w:val="22"/>
                <w:szCs w:val="22"/>
              </w:rPr>
              <w:t>DHA contribution</w:t>
            </w:r>
          </w:p>
        </w:tc>
        <w:tc>
          <w:tcPr>
            <w:tcW w:w="2835" w:type="dxa"/>
            <w:shd w:val="clear" w:color="auto" w:fill="9BBB59" w:themeFill="accent3"/>
          </w:tcPr>
          <w:p w14:paraId="5D74EB05" w14:textId="39DCF08C" w:rsidR="008A67A8" w:rsidRPr="0035165B" w:rsidRDefault="008A67A8" w:rsidP="0098397E">
            <w:pPr>
              <w:spacing w:line="276" w:lineRule="auto"/>
              <w:ind w:right="142"/>
              <w:rPr>
                <w:rFonts w:ascii="Times New Roman" w:hAnsi="Times New Roman"/>
                <w:b/>
                <w:color w:val="auto"/>
                <w:sz w:val="22"/>
                <w:szCs w:val="22"/>
              </w:rPr>
            </w:pPr>
            <w:r w:rsidRPr="0035165B">
              <w:rPr>
                <w:rFonts w:ascii="Times New Roman" w:hAnsi="Times New Roman"/>
                <w:b/>
                <w:color w:val="auto"/>
                <w:sz w:val="22"/>
                <w:szCs w:val="22"/>
              </w:rPr>
              <w:t>MTSF Commitment</w:t>
            </w:r>
          </w:p>
        </w:tc>
      </w:tr>
      <w:tr w:rsidR="00B272C7" w:rsidRPr="0035165B" w14:paraId="441F310B" w14:textId="77777777" w:rsidTr="000E4196">
        <w:trPr>
          <w:trHeight w:val="2811"/>
        </w:trPr>
        <w:tc>
          <w:tcPr>
            <w:tcW w:w="2122" w:type="dxa"/>
          </w:tcPr>
          <w:p w14:paraId="7F37073D" w14:textId="77777777" w:rsidR="008A67A8"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Economic Transformation and Job Creation</w:t>
            </w:r>
          </w:p>
          <w:p w14:paraId="7D1D9EA6" w14:textId="77777777" w:rsidR="00C57A15"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 xml:space="preserve"> </w:t>
            </w:r>
          </w:p>
        </w:tc>
        <w:tc>
          <w:tcPr>
            <w:tcW w:w="2268" w:type="dxa"/>
          </w:tcPr>
          <w:p w14:paraId="745C514B" w14:textId="77777777" w:rsidR="008A67A8"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Outcome 4 – Decent employment through inclusive economic growth</w:t>
            </w:r>
          </w:p>
          <w:p w14:paraId="14A7A85A" w14:textId="77777777" w:rsidR="00C57A15" w:rsidRPr="0035165B" w:rsidRDefault="00C57A15" w:rsidP="0098397E">
            <w:pPr>
              <w:spacing w:line="276" w:lineRule="auto"/>
              <w:ind w:right="142"/>
              <w:rPr>
                <w:rFonts w:ascii="Times New Roman" w:hAnsi="Times New Roman"/>
                <w:color w:val="auto"/>
                <w:sz w:val="22"/>
                <w:szCs w:val="22"/>
              </w:rPr>
            </w:pPr>
          </w:p>
        </w:tc>
        <w:tc>
          <w:tcPr>
            <w:tcW w:w="2976" w:type="dxa"/>
          </w:tcPr>
          <w:p w14:paraId="7EF25324"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Secure the identity of citizens and foreigners</w:t>
            </w:r>
          </w:p>
          <w:p w14:paraId="316C931A"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Design and implementation of NIS</w:t>
            </w:r>
          </w:p>
          <w:p w14:paraId="7528FC76" w14:textId="3282525B" w:rsidR="00EA2123"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 xml:space="preserve">Issuance of critical skill visas and implementation of revised visa regime (simplification aspects, </w:t>
            </w:r>
            <w:r w:rsidR="008179CE" w:rsidRPr="0035165B">
              <w:rPr>
                <w:rFonts w:ascii="Times New Roman" w:hAnsi="Times New Roman"/>
                <w:color w:val="auto"/>
                <w:sz w:val="22"/>
                <w:szCs w:val="22"/>
              </w:rPr>
              <w:t xml:space="preserve">the </w:t>
            </w:r>
            <w:r w:rsidRPr="0035165B">
              <w:rPr>
                <w:rFonts w:ascii="Times New Roman" w:hAnsi="Times New Roman"/>
                <w:color w:val="auto"/>
                <w:sz w:val="22"/>
                <w:szCs w:val="22"/>
              </w:rPr>
              <w:t>rollout of e-Visa, etc)</w:t>
            </w:r>
          </w:p>
        </w:tc>
        <w:tc>
          <w:tcPr>
            <w:tcW w:w="2835" w:type="dxa"/>
          </w:tcPr>
          <w:p w14:paraId="406A2AE3"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 xml:space="preserve">95% </w:t>
            </w:r>
            <w:r w:rsidR="008A67A8" w:rsidRPr="0035165B">
              <w:rPr>
                <w:rFonts w:ascii="Times New Roman" w:hAnsi="Times New Roman"/>
                <w:color w:val="auto"/>
                <w:sz w:val="22"/>
                <w:szCs w:val="22"/>
              </w:rPr>
              <w:t xml:space="preserve">of critical skills </w:t>
            </w:r>
            <w:r w:rsidR="00F04CEE" w:rsidRPr="0035165B">
              <w:rPr>
                <w:rFonts w:ascii="Times New Roman" w:hAnsi="Times New Roman"/>
                <w:color w:val="auto"/>
                <w:sz w:val="22"/>
                <w:szCs w:val="22"/>
              </w:rPr>
              <w:t>visas adjudicated within</w:t>
            </w:r>
            <w:r w:rsidRPr="0035165B">
              <w:rPr>
                <w:rFonts w:ascii="Times New Roman" w:hAnsi="Times New Roman"/>
                <w:color w:val="auto"/>
                <w:sz w:val="22"/>
                <w:szCs w:val="22"/>
              </w:rPr>
              <w:t xml:space="preserve"> 4 weeks by 2022</w:t>
            </w:r>
          </w:p>
          <w:p w14:paraId="43FC0F38"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 xml:space="preserve">Implementation of </w:t>
            </w:r>
            <w:r w:rsidR="008179CE" w:rsidRPr="0035165B">
              <w:rPr>
                <w:rFonts w:ascii="Times New Roman" w:hAnsi="Times New Roman"/>
                <w:color w:val="auto"/>
                <w:sz w:val="22"/>
                <w:szCs w:val="22"/>
              </w:rPr>
              <w:t xml:space="preserve">the </w:t>
            </w:r>
            <w:r w:rsidRPr="0035165B">
              <w:rPr>
                <w:rFonts w:ascii="Times New Roman" w:hAnsi="Times New Roman"/>
                <w:color w:val="auto"/>
                <w:sz w:val="22"/>
                <w:szCs w:val="22"/>
              </w:rPr>
              <w:t>revised visa regime </w:t>
            </w:r>
          </w:p>
          <w:p w14:paraId="37E0BF7F" w14:textId="77777777" w:rsidR="00C57A15" w:rsidRPr="0035165B" w:rsidRDefault="00C57A15" w:rsidP="0098397E">
            <w:pPr>
              <w:spacing w:line="276" w:lineRule="auto"/>
              <w:ind w:right="142"/>
              <w:rPr>
                <w:rFonts w:ascii="Times New Roman" w:hAnsi="Times New Roman"/>
                <w:color w:val="auto"/>
                <w:sz w:val="22"/>
                <w:szCs w:val="22"/>
              </w:rPr>
            </w:pPr>
          </w:p>
        </w:tc>
      </w:tr>
      <w:tr w:rsidR="00B272C7" w:rsidRPr="0035165B" w14:paraId="01144087" w14:textId="77777777" w:rsidTr="000E4196">
        <w:trPr>
          <w:trHeight w:val="565"/>
        </w:trPr>
        <w:tc>
          <w:tcPr>
            <w:tcW w:w="2122" w:type="dxa"/>
          </w:tcPr>
          <w:p w14:paraId="7BA95EE4" w14:textId="77777777" w:rsidR="008A67A8"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(5) Social Cohesion and Safe Communities</w:t>
            </w:r>
          </w:p>
          <w:p w14:paraId="2BAA4040" w14:textId="77777777" w:rsidR="00C57A15" w:rsidRPr="0035165B" w:rsidRDefault="00C57A15" w:rsidP="0098397E">
            <w:pPr>
              <w:spacing w:line="276" w:lineRule="auto"/>
              <w:ind w:right="142"/>
              <w:rPr>
                <w:rFonts w:ascii="Times New Roman" w:hAnsi="Times New Roman"/>
                <w:color w:val="auto"/>
                <w:sz w:val="22"/>
                <w:szCs w:val="22"/>
              </w:rPr>
            </w:pPr>
          </w:p>
        </w:tc>
        <w:tc>
          <w:tcPr>
            <w:tcW w:w="2268" w:type="dxa"/>
          </w:tcPr>
          <w:p w14:paraId="3D6F8E9F" w14:textId="77777777" w:rsidR="008A67A8"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Outcome 3 – All people in SA are and feel safe</w:t>
            </w:r>
          </w:p>
          <w:p w14:paraId="7BBF4C84" w14:textId="77777777" w:rsidR="00C57A15" w:rsidRPr="0035165B" w:rsidRDefault="00C57A15" w:rsidP="0098397E">
            <w:pPr>
              <w:spacing w:line="276" w:lineRule="auto"/>
              <w:ind w:right="142"/>
              <w:rPr>
                <w:rFonts w:ascii="Times New Roman" w:hAnsi="Times New Roman"/>
                <w:color w:val="auto"/>
                <w:sz w:val="22"/>
                <w:szCs w:val="22"/>
              </w:rPr>
            </w:pPr>
          </w:p>
        </w:tc>
        <w:tc>
          <w:tcPr>
            <w:tcW w:w="2976" w:type="dxa"/>
          </w:tcPr>
          <w:p w14:paraId="74E74D39"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 xml:space="preserve">Secure the borders of the country through the establishment and </w:t>
            </w:r>
            <w:r w:rsidR="008179CE" w:rsidRPr="0035165B">
              <w:rPr>
                <w:rFonts w:ascii="Times New Roman" w:hAnsi="Times New Roman"/>
                <w:color w:val="auto"/>
                <w:sz w:val="22"/>
                <w:szCs w:val="22"/>
              </w:rPr>
              <w:t>operationaliz</w:t>
            </w:r>
            <w:r w:rsidRPr="0035165B">
              <w:rPr>
                <w:rFonts w:ascii="Times New Roman" w:hAnsi="Times New Roman"/>
                <w:color w:val="auto"/>
                <w:sz w:val="22"/>
                <w:szCs w:val="22"/>
              </w:rPr>
              <w:t>ation of the BMA</w:t>
            </w:r>
          </w:p>
          <w:p w14:paraId="688A8BD9"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lastRenderedPageBreak/>
              <w:t>Continue with the implementation of a risk-based approach to immigration</w:t>
            </w:r>
          </w:p>
          <w:p w14:paraId="4EFADC18" w14:textId="4C9E331E" w:rsidR="00C57A15"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Provision of enabling documents to access rights and services, e.g. early birth registration and smart ID cards</w:t>
            </w:r>
          </w:p>
        </w:tc>
        <w:tc>
          <w:tcPr>
            <w:tcW w:w="2835" w:type="dxa"/>
          </w:tcPr>
          <w:p w14:paraId="08DA768A"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lastRenderedPageBreak/>
              <w:t>BMA established by 2020</w:t>
            </w:r>
          </w:p>
          <w:p w14:paraId="40023C3D"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BMA operational by 2021 at 11 ports of entry and 5 segments of the land borderline ((BMA fully operational by 2024)</w:t>
            </w:r>
          </w:p>
          <w:p w14:paraId="30CDBB2A"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lastRenderedPageBreak/>
              <w:t>100% of selected ports of entry equipped with biometric functionality</w:t>
            </w:r>
          </w:p>
          <w:p w14:paraId="5F920D47" w14:textId="77777777" w:rsidR="00C57A15"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Implementation of DHA Automated Biometric Information System (ABIS) by 2022/23</w:t>
            </w:r>
            <w:r w:rsidR="00F04CEE" w:rsidRPr="0035165B">
              <w:rPr>
                <w:rFonts w:ascii="Times New Roman" w:hAnsi="Times New Roman"/>
                <w:color w:val="auto"/>
                <w:sz w:val="22"/>
                <w:szCs w:val="22"/>
              </w:rPr>
              <w:t>.</w:t>
            </w:r>
          </w:p>
        </w:tc>
      </w:tr>
      <w:tr w:rsidR="00B272C7" w:rsidRPr="0035165B" w14:paraId="4FD19129" w14:textId="77777777" w:rsidTr="000E4196">
        <w:trPr>
          <w:trHeight w:val="565"/>
        </w:trPr>
        <w:tc>
          <w:tcPr>
            <w:tcW w:w="2122" w:type="dxa"/>
          </w:tcPr>
          <w:p w14:paraId="00FC2575" w14:textId="77777777" w:rsidR="008A67A8"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lastRenderedPageBreak/>
              <w:t>6) A Capable, Ethical and Developmental State</w:t>
            </w:r>
          </w:p>
          <w:p w14:paraId="6435A5A3" w14:textId="77777777" w:rsidR="00C57A15" w:rsidRPr="0035165B" w:rsidRDefault="00C57A15" w:rsidP="0098397E">
            <w:pPr>
              <w:spacing w:line="276" w:lineRule="auto"/>
              <w:ind w:right="142"/>
              <w:rPr>
                <w:rFonts w:ascii="Times New Roman" w:hAnsi="Times New Roman"/>
                <w:color w:val="auto"/>
                <w:sz w:val="22"/>
                <w:szCs w:val="22"/>
              </w:rPr>
            </w:pPr>
          </w:p>
        </w:tc>
        <w:tc>
          <w:tcPr>
            <w:tcW w:w="2268" w:type="dxa"/>
          </w:tcPr>
          <w:p w14:paraId="79204306" w14:textId="77777777" w:rsidR="008A67A8"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Outcome 12 - An efficient, effective and development</w:t>
            </w:r>
            <w:r w:rsidR="008179CE" w:rsidRPr="0035165B">
              <w:rPr>
                <w:rFonts w:ascii="Times New Roman" w:hAnsi="Times New Roman"/>
                <w:color w:val="auto"/>
                <w:sz w:val="22"/>
                <w:szCs w:val="22"/>
              </w:rPr>
              <w:t>-</w:t>
            </w:r>
            <w:r w:rsidRPr="0035165B">
              <w:rPr>
                <w:rFonts w:ascii="Times New Roman" w:hAnsi="Times New Roman"/>
                <w:color w:val="auto"/>
                <w:sz w:val="22"/>
                <w:szCs w:val="22"/>
              </w:rPr>
              <w:t>oriented public service</w:t>
            </w:r>
          </w:p>
          <w:p w14:paraId="65B848D8" w14:textId="77777777" w:rsidR="00C57A15" w:rsidRPr="0035165B" w:rsidRDefault="00C57A15" w:rsidP="0098397E">
            <w:pPr>
              <w:spacing w:line="276" w:lineRule="auto"/>
              <w:ind w:right="142"/>
              <w:rPr>
                <w:rFonts w:ascii="Times New Roman" w:hAnsi="Times New Roman"/>
                <w:color w:val="auto"/>
                <w:sz w:val="22"/>
                <w:szCs w:val="22"/>
              </w:rPr>
            </w:pPr>
          </w:p>
        </w:tc>
        <w:tc>
          <w:tcPr>
            <w:tcW w:w="2976" w:type="dxa"/>
          </w:tcPr>
          <w:p w14:paraId="57016217" w14:textId="6C1BD95E" w:rsidR="00C57A15"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Reposition the DHA in support of a capable, ethical and developmental state through the implementation of new service delivery, operating and organi</w:t>
            </w:r>
            <w:r w:rsidR="008179CE" w:rsidRPr="0035165B">
              <w:rPr>
                <w:rFonts w:ascii="Times New Roman" w:hAnsi="Times New Roman"/>
                <w:color w:val="auto"/>
                <w:sz w:val="22"/>
                <w:szCs w:val="22"/>
              </w:rPr>
              <w:t>z</w:t>
            </w:r>
            <w:r w:rsidRPr="0035165B">
              <w:rPr>
                <w:rFonts w:ascii="Times New Roman" w:hAnsi="Times New Roman"/>
                <w:color w:val="auto"/>
                <w:sz w:val="22"/>
                <w:szCs w:val="22"/>
              </w:rPr>
              <w:t>ational models supported by the required policy and legislative framework</w:t>
            </w:r>
          </w:p>
        </w:tc>
        <w:tc>
          <w:tcPr>
            <w:tcW w:w="2835" w:type="dxa"/>
          </w:tcPr>
          <w:p w14:paraId="6B1CED89" w14:textId="77777777" w:rsidR="00C57A15" w:rsidRPr="0035165B" w:rsidRDefault="00C57A15" w:rsidP="0098397E">
            <w:pPr>
              <w:spacing w:line="276" w:lineRule="auto"/>
              <w:ind w:right="142"/>
              <w:rPr>
                <w:rFonts w:ascii="Times New Roman" w:hAnsi="Times New Roman"/>
                <w:color w:val="auto"/>
                <w:sz w:val="22"/>
                <w:szCs w:val="22"/>
              </w:rPr>
            </w:pPr>
          </w:p>
        </w:tc>
      </w:tr>
      <w:tr w:rsidR="00B272C7" w:rsidRPr="0035165B" w14:paraId="1663B20F" w14:textId="77777777" w:rsidTr="000E4196">
        <w:trPr>
          <w:trHeight w:val="60"/>
        </w:trPr>
        <w:tc>
          <w:tcPr>
            <w:tcW w:w="2122" w:type="dxa"/>
          </w:tcPr>
          <w:p w14:paraId="35BABD6B" w14:textId="77777777" w:rsidR="008A67A8"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 xml:space="preserve">(7) A better Africa and World </w:t>
            </w:r>
          </w:p>
          <w:p w14:paraId="58017E72" w14:textId="77777777" w:rsidR="008A67A8" w:rsidRPr="0035165B" w:rsidRDefault="008A67A8" w:rsidP="0098397E">
            <w:pPr>
              <w:spacing w:line="276" w:lineRule="auto"/>
              <w:ind w:right="142"/>
              <w:rPr>
                <w:rFonts w:ascii="Times New Roman" w:hAnsi="Times New Roman"/>
                <w:color w:val="auto"/>
                <w:sz w:val="22"/>
                <w:szCs w:val="22"/>
              </w:rPr>
            </w:pPr>
          </w:p>
        </w:tc>
        <w:tc>
          <w:tcPr>
            <w:tcW w:w="2268" w:type="dxa"/>
          </w:tcPr>
          <w:p w14:paraId="4C5CCDAE" w14:textId="77777777" w:rsidR="008A67A8" w:rsidRPr="0035165B" w:rsidRDefault="008A67A8"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Outcome 11 - Create a better South Africa, a better Africa and a better world</w:t>
            </w:r>
          </w:p>
        </w:tc>
        <w:tc>
          <w:tcPr>
            <w:tcW w:w="2976" w:type="dxa"/>
          </w:tcPr>
          <w:p w14:paraId="1F4B6621" w14:textId="77777777" w:rsidR="00605B92" w:rsidRPr="0035165B" w:rsidRDefault="00FA010A" w:rsidP="0098397E">
            <w:pPr>
              <w:spacing w:line="276" w:lineRule="auto"/>
              <w:ind w:right="142"/>
              <w:rPr>
                <w:rFonts w:ascii="Times New Roman" w:hAnsi="Times New Roman"/>
                <w:color w:val="auto"/>
                <w:sz w:val="22"/>
                <w:szCs w:val="22"/>
              </w:rPr>
            </w:pPr>
            <w:r w:rsidRPr="0035165B">
              <w:rPr>
                <w:rFonts w:ascii="Times New Roman" w:hAnsi="Times New Roman"/>
                <w:color w:val="auto"/>
                <w:sz w:val="22"/>
                <w:szCs w:val="22"/>
              </w:rPr>
              <w:t xml:space="preserve">Introduce </w:t>
            </w:r>
            <w:r w:rsidR="008179CE" w:rsidRPr="0035165B">
              <w:rPr>
                <w:rFonts w:ascii="Times New Roman" w:hAnsi="Times New Roman"/>
                <w:color w:val="auto"/>
                <w:sz w:val="22"/>
                <w:szCs w:val="22"/>
              </w:rPr>
              <w:t xml:space="preserve">a </w:t>
            </w:r>
            <w:r w:rsidRPr="0035165B">
              <w:rPr>
                <w:rFonts w:ascii="Times New Roman" w:hAnsi="Times New Roman"/>
                <w:color w:val="auto"/>
                <w:sz w:val="22"/>
                <w:szCs w:val="22"/>
              </w:rPr>
              <w:t>world-class e-Visa regime and rollout of e-Visa</w:t>
            </w:r>
          </w:p>
          <w:p w14:paraId="2A99B244" w14:textId="77777777" w:rsidR="008A67A8" w:rsidRPr="0035165B" w:rsidRDefault="008A67A8" w:rsidP="0098397E">
            <w:pPr>
              <w:spacing w:line="276" w:lineRule="auto"/>
              <w:ind w:right="142"/>
              <w:rPr>
                <w:rFonts w:ascii="Times New Roman" w:hAnsi="Times New Roman"/>
                <w:color w:val="auto"/>
                <w:sz w:val="22"/>
                <w:szCs w:val="22"/>
              </w:rPr>
            </w:pPr>
          </w:p>
        </w:tc>
        <w:tc>
          <w:tcPr>
            <w:tcW w:w="2835" w:type="dxa"/>
          </w:tcPr>
          <w:p w14:paraId="6558AFF8" w14:textId="77777777" w:rsidR="008A67A8" w:rsidRPr="0035165B" w:rsidRDefault="008A67A8" w:rsidP="0098397E">
            <w:pPr>
              <w:spacing w:line="276" w:lineRule="auto"/>
              <w:ind w:right="142"/>
              <w:rPr>
                <w:rFonts w:ascii="Times New Roman" w:hAnsi="Times New Roman"/>
                <w:color w:val="auto"/>
                <w:sz w:val="22"/>
                <w:szCs w:val="22"/>
              </w:rPr>
            </w:pPr>
          </w:p>
        </w:tc>
      </w:tr>
    </w:tbl>
    <w:p w14:paraId="7AD5CEC3" w14:textId="370EDCA2" w:rsidR="003F7740" w:rsidRPr="0035165B" w:rsidRDefault="003F7740" w:rsidP="0098397E">
      <w:pPr>
        <w:spacing w:line="276" w:lineRule="auto"/>
        <w:ind w:right="142"/>
        <w:jc w:val="both"/>
        <w:rPr>
          <w:rFonts w:ascii="Times New Roman" w:hAnsi="Times New Roman"/>
          <w:b/>
          <w:bCs/>
          <w:color w:val="auto"/>
          <w:sz w:val="22"/>
          <w:szCs w:val="22"/>
        </w:rPr>
      </w:pPr>
    </w:p>
    <w:p w14:paraId="35586100" w14:textId="77777777" w:rsidR="003F7740" w:rsidRPr="0035165B" w:rsidRDefault="003F7740" w:rsidP="0098397E">
      <w:pPr>
        <w:spacing w:line="276" w:lineRule="auto"/>
        <w:ind w:right="142"/>
        <w:jc w:val="both"/>
        <w:rPr>
          <w:rFonts w:ascii="Times New Roman" w:hAnsi="Times New Roman"/>
          <w:b/>
          <w:bCs/>
          <w:color w:val="auto"/>
          <w:sz w:val="22"/>
          <w:szCs w:val="22"/>
        </w:rPr>
      </w:pPr>
    </w:p>
    <w:p w14:paraId="2981AC87" w14:textId="671DD4EC" w:rsidR="0019370F" w:rsidRPr="0035165B" w:rsidRDefault="000E4196" w:rsidP="0098397E">
      <w:pPr>
        <w:spacing w:line="276" w:lineRule="auto"/>
        <w:ind w:right="142"/>
        <w:jc w:val="both"/>
        <w:rPr>
          <w:rFonts w:ascii="Times New Roman" w:hAnsi="Times New Roman"/>
          <w:b/>
          <w:bCs/>
          <w:color w:val="auto"/>
          <w:sz w:val="22"/>
          <w:szCs w:val="22"/>
        </w:rPr>
      </w:pPr>
      <w:r w:rsidRPr="0035165B">
        <w:rPr>
          <w:rFonts w:ascii="Times New Roman" w:hAnsi="Times New Roman"/>
          <w:b/>
          <w:bCs/>
          <w:color w:val="auto"/>
          <w:sz w:val="22"/>
          <w:szCs w:val="22"/>
        </w:rPr>
        <w:t xml:space="preserve">1.4 </w:t>
      </w:r>
      <w:r w:rsidR="0019370F" w:rsidRPr="0035165B">
        <w:rPr>
          <w:rFonts w:ascii="Times New Roman" w:hAnsi="Times New Roman"/>
          <w:b/>
          <w:bCs/>
          <w:color w:val="auto"/>
          <w:sz w:val="22"/>
          <w:szCs w:val="22"/>
        </w:rPr>
        <w:t>DHA</w:t>
      </w:r>
      <w:r w:rsidR="003F7740" w:rsidRPr="0035165B">
        <w:rPr>
          <w:rFonts w:ascii="Times New Roman" w:hAnsi="Times New Roman"/>
          <w:b/>
          <w:bCs/>
          <w:color w:val="auto"/>
          <w:sz w:val="22"/>
          <w:szCs w:val="22"/>
        </w:rPr>
        <w:t xml:space="preserve"> Policy Priorities for 20</w:t>
      </w:r>
      <w:r w:rsidRPr="0035165B">
        <w:rPr>
          <w:rFonts w:ascii="Times New Roman" w:hAnsi="Times New Roman"/>
          <w:b/>
          <w:bCs/>
          <w:color w:val="auto"/>
          <w:sz w:val="22"/>
          <w:szCs w:val="22"/>
        </w:rPr>
        <w:t>22</w:t>
      </w:r>
      <w:r w:rsidR="003F7740" w:rsidRPr="0035165B">
        <w:rPr>
          <w:rFonts w:ascii="Times New Roman" w:hAnsi="Times New Roman"/>
          <w:b/>
          <w:bCs/>
          <w:color w:val="auto"/>
          <w:sz w:val="22"/>
          <w:szCs w:val="22"/>
        </w:rPr>
        <w:t>/23</w:t>
      </w:r>
      <w:r w:rsidRPr="0035165B">
        <w:rPr>
          <w:rFonts w:ascii="Times New Roman" w:hAnsi="Times New Roman"/>
          <w:b/>
          <w:bCs/>
          <w:color w:val="auto"/>
          <w:sz w:val="22"/>
          <w:szCs w:val="22"/>
        </w:rPr>
        <w:t xml:space="preserve"> and Alignment with Regional, Continental a</w:t>
      </w:r>
      <w:r w:rsidR="003F7740" w:rsidRPr="0035165B">
        <w:rPr>
          <w:rFonts w:ascii="Times New Roman" w:hAnsi="Times New Roman"/>
          <w:b/>
          <w:bCs/>
          <w:color w:val="auto"/>
          <w:sz w:val="22"/>
          <w:szCs w:val="22"/>
        </w:rPr>
        <w:t>nd Global Agendas</w:t>
      </w:r>
    </w:p>
    <w:p w14:paraId="3A661F7D" w14:textId="0FBABE2C" w:rsidR="003F7740" w:rsidRPr="0035165B" w:rsidRDefault="003F7740" w:rsidP="0098397E">
      <w:pPr>
        <w:suppressAutoHyphens w:val="0"/>
        <w:autoSpaceDN/>
        <w:spacing w:line="276" w:lineRule="auto"/>
        <w:contextualSpacing/>
        <w:jc w:val="both"/>
        <w:textAlignment w:val="auto"/>
        <w:rPr>
          <w:rFonts w:ascii="Times New Roman" w:hAnsi="Times New Roman"/>
          <w:color w:val="auto"/>
          <w:spacing w:val="0"/>
          <w:sz w:val="22"/>
          <w:szCs w:val="22"/>
          <w:lang w:eastAsia="en-ZA"/>
        </w:rPr>
      </w:pPr>
      <w:bookmarkStart w:id="3" w:name="_Toc37754177"/>
      <w:bookmarkStart w:id="4" w:name="_Toc70333875"/>
      <w:bookmarkStart w:id="5" w:name="_Toc71542446"/>
      <w:r w:rsidRPr="0035165B">
        <w:rPr>
          <w:rFonts w:ascii="Times New Roman" w:eastAsia="+mn-ea" w:hAnsi="Times New Roman"/>
          <w:spacing w:val="0"/>
          <w:kern w:val="24"/>
          <w:sz w:val="22"/>
          <w:szCs w:val="22"/>
          <w:lang w:val="en-US" w:eastAsia="en-ZA"/>
        </w:rPr>
        <w:t>The DHA Annual Performance Plan for 2022 to 2025 cover national, ministerial and departmental priorities, including:</w:t>
      </w:r>
    </w:p>
    <w:p w14:paraId="7AD2C750" w14:textId="77777777"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DHA contribution to the National Development Plan</w:t>
      </w:r>
    </w:p>
    <w:p w14:paraId="03353E27" w14:textId="77777777"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Apex Priorities and MTSF related commitments</w:t>
      </w:r>
    </w:p>
    <w:p w14:paraId="2C9E1BD6" w14:textId="77777777"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National Annual Strategic Plan (NASP) commitments for 2022/23</w:t>
      </w:r>
    </w:p>
    <w:p w14:paraId="489EA707" w14:textId="77777777"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DHA contribution to the Economic Reconstruction and Recovery Plan (ERRP)</w:t>
      </w:r>
    </w:p>
    <w:p w14:paraId="097A9090" w14:textId="20650FD1"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 xml:space="preserve">2022 SONA commitments </w:t>
      </w:r>
    </w:p>
    <w:p w14:paraId="3E088FB2" w14:textId="77777777"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Contribution to the National Strategic Plan (NSP) on Gender-based Violence and Femicide</w:t>
      </w:r>
    </w:p>
    <w:p w14:paraId="697D8005" w14:textId="77777777"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Contribution to the District Development Model (DDM)</w:t>
      </w:r>
    </w:p>
    <w:p w14:paraId="0EA53049" w14:textId="77777777"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Redevelopment of six land ports of entry as one-stop border posts</w:t>
      </w:r>
    </w:p>
    <w:p w14:paraId="723A2CA5" w14:textId="2C95971E" w:rsidR="003F7740" w:rsidRPr="0035165B" w:rsidRDefault="003F7740" w:rsidP="00CB4303">
      <w:pPr>
        <w:numPr>
          <w:ilvl w:val="1"/>
          <w:numId w:val="15"/>
        </w:numPr>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eastAsia="+mn-ea" w:hAnsi="Times New Roman"/>
          <w:spacing w:val="0"/>
          <w:kern w:val="24"/>
          <w:sz w:val="22"/>
          <w:szCs w:val="22"/>
          <w:lang w:val="en-US" w:eastAsia="en-ZA"/>
        </w:rPr>
        <w:t>DHA repositioning programme (6 pillars of policy and</w:t>
      </w:r>
      <w:r w:rsidR="0098397E" w:rsidRPr="0035165B">
        <w:rPr>
          <w:rFonts w:ascii="Times New Roman" w:eastAsia="+mn-ea" w:hAnsi="Times New Roman"/>
          <w:spacing w:val="0"/>
          <w:kern w:val="24"/>
          <w:sz w:val="22"/>
          <w:szCs w:val="22"/>
          <w:lang w:val="en-US" w:eastAsia="en-ZA"/>
        </w:rPr>
        <w:t xml:space="preserve"> legislation; service delivery,</w:t>
      </w:r>
      <w:r w:rsidRPr="0035165B">
        <w:rPr>
          <w:rFonts w:ascii="Times New Roman" w:eastAsia="+mn-ea" w:hAnsi="Times New Roman"/>
          <w:spacing w:val="0"/>
          <w:kern w:val="24"/>
          <w:sz w:val="22"/>
          <w:szCs w:val="22"/>
          <w:lang w:val="en-GB" w:eastAsia="en-ZA"/>
        </w:rPr>
        <w:t xml:space="preserve"> operational and organisational models; modernisation programme; a capable and developmental department; revenue generation; and service delivery channels and purpose-build infrastructure) </w:t>
      </w:r>
    </w:p>
    <w:p w14:paraId="136ADD4C" w14:textId="77777777" w:rsidR="0098397E" w:rsidRPr="0035165B" w:rsidRDefault="0098397E" w:rsidP="0098397E">
      <w:pPr>
        <w:suppressAutoHyphens w:val="0"/>
        <w:autoSpaceDN/>
        <w:spacing w:line="276" w:lineRule="auto"/>
        <w:contextualSpacing/>
        <w:jc w:val="both"/>
        <w:textAlignment w:val="auto"/>
        <w:rPr>
          <w:rFonts w:ascii="Times New Roman" w:hAnsi="Times New Roman"/>
          <w:color w:val="auto"/>
          <w:spacing w:val="0"/>
          <w:sz w:val="22"/>
          <w:szCs w:val="22"/>
          <w:lang w:val="en-US" w:eastAsia="en-ZA"/>
        </w:rPr>
      </w:pPr>
    </w:p>
    <w:p w14:paraId="7BE4A89C" w14:textId="69E6ECAE" w:rsidR="00570AD6" w:rsidRPr="0035165B" w:rsidRDefault="00570AD6" w:rsidP="0098397E">
      <w:pPr>
        <w:suppressAutoHyphens w:val="0"/>
        <w:autoSpaceDN/>
        <w:spacing w:line="276" w:lineRule="auto"/>
        <w:contextualSpacing/>
        <w:jc w:val="both"/>
        <w:textAlignment w:val="auto"/>
        <w:rPr>
          <w:rFonts w:ascii="Times New Roman" w:hAnsi="Times New Roman"/>
          <w:color w:val="auto"/>
          <w:spacing w:val="0"/>
          <w:sz w:val="22"/>
          <w:szCs w:val="22"/>
          <w:lang w:val="en-US" w:eastAsia="en-ZA"/>
        </w:rPr>
      </w:pPr>
      <w:r w:rsidRPr="0035165B">
        <w:rPr>
          <w:rFonts w:ascii="Times New Roman" w:hAnsi="Times New Roman"/>
          <w:color w:val="auto"/>
          <w:spacing w:val="0"/>
          <w:sz w:val="22"/>
          <w:szCs w:val="22"/>
          <w:lang w:val="en-US" w:eastAsia="en-ZA"/>
        </w:rPr>
        <w:t>The 2022/23 financial year covers the 4</w:t>
      </w:r>
      <w:r w:rsidRPr="0035165B">
        <w:rPr>
          <w:rFonts w:ascii="Times New Roman" w:hAnsi="Times New Roman"/>
          <w:color w:val="auto"/>
          <w:spacing w:val="0"/>
          <w:sz w:val="22"/>
          <w:szCs w:val="22"/>
          <w:vertAlign w:val="superscript"/>
          <w:lang w:val="en-US" w:eastAsia="en-ZA"/>
        </w:rPr>
        <w:t>th</w:t>
      </w:r>
      <w:r w:rsidRPr="0035165B">
        <w:rPr>
          <w:rFonts w:ascii="Times New Roman" w:hAnsi="Times New Roman"/>
          <w:color w:val="auto"/>
          <w:spacing w:val="0"/>
          <w:sz w:val="22"/>
          <w:szCs w:val="22"/>
          <w:lang w:val="en-US" w:eastAsia="en-ZA"/>
        </w:rPr>
        <w:t xml:space="preserve"> year of the 5 year MTSF period (2019 to 2024). Planning was conducted taking into consideration the impact of the 2022/23 APP on the National Development Plan, MTSF and other government priorities and commitments.</w:t>
      </w:r>
    </w:p>
    <w:p w14:paraId="0633E988" w14:textId="2A116981" w:rsidR="00F3147F" w:rsidRPr="0035165B" w:rsidRDefault="00F3147F" w:rsidP="00F3147F">
      <w:pPr>
        <w:suppressAutoHyphens w:val="0"/>
        <w:autoSpaceDN/>
        <w:spacing w:line="276" w:lineRule="auto"/>
        <w:contextualSpacing/>
        <w:jc w:val="both"/>
        <w:textAlignment w:val="auto"/>
        <w:rPr>
          <w:rFonts w:ascii="Times New Roman" w:hAnsi="Times New Roman"/>
          <w:color w:val="auto"/>
          <w:spacing w:val="0"/>
          <w:sz w:val="22"/>
          <w:szCs w:val="22"/>
          <w:lang w:eastAsia="en-ZA"/>
        </w:rPr>
      </w:pPr>
    </w:p>
    <w:p w14:paraId="1092C367" w14:textId="77777777" w:rsidR="00F3147F" w:rsidRPr="0035165B" w:rsidRDefault="00F3147F" w:rsidP="00F3147F">
      <w:pPr>
        <w:suppressAutoHyphens w:val="0"/>
        <w:autoSpaceDN/>
        <w:spacing w:line="276" w:lineRule="auto"/>
        <w:ind w:left="567" w:hanging="283"/>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eastAsia="en-ZA"/>
        </w:rPr>
        <w:t>•</w:t>
      </w:r>
      <w:r w:rsidRPr="0035165B">
        <w:rPr>
          <w:rFonts w:ascii="Times New Roman" w:hAnsi="Times New Roman"/>
          <w:color w:val="auto"/>
          <w:spacing w:val="0"/>
          <w:sz w:val="22"/>
          <w:szCs w:val="22"/>
          <w:lang w:eastAsia="en-ZA"/>
        </w:rPr>
        <w:tab/>
        <w:t>The DHA will implement the BMA during the MTEF. The BMA Act (No.2 of 2020) has since come into effect on 1 January 2021. The BMA will be responsible for restricting the illegal movement of people and goods within South Africa’s border law enforcement areas and at ports of entry.The BMA will be allocated R67.5 million in 2022/23, R67.4 million in 2023/24 and R71.8 million in 2024/24. The BMA will also be allocated a further R300 million over the MTF in order to establish it as a public entity.</w:t>
      </w:r>
    </w:p>
    <w:p w14:paraId="695EF459" w14:textId="743426F6" w:rsidR="00F3147F" w:rsidRPr="0035165B" w:rsidRDefault="00F3147F" w:rsidP="00F3147F">
      <w:pPr>
        <w:suppressAutoHyphens w:val="0"/>
        <w:autoSpaceDN/>
        <w:spacing w:line="276" w:lineRule="auto"/>
        <w:ind w:left="567" w:hanging="283"/>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eastAsia="en-ZA"/>
        </w:rPr>
        <w:t>•</w:t>
      </w:r>
      <w:r w:rsidRPr="0035165B">
        <w:rPr>
          <w:rFonts w:ascii="Times New Roman" w:hAnsi="Times New Roman"/>
          <w:color w:val="auto"/>
          <w:spacing w:val="0"/>
          <w:sz w:val="22"/>
          <w:szCs w:val="22"/>
          <w:lang w:eastAsia="en-ZA"/>
        </w:rPr>
        <w:tab/>
        <w:t xml:space="preserve">In line with the implementation of the BMA, the DHA as part of the iBorders strategy, which entails adopting a risk‐based approach to managing migration, the department aims to implement systems to record passenger names and process passengers effectively. These will enable the department to identify unknown threats based </w:t>
      </w:r>
      <w:r w:rsidRPr="0035165B">
        <w:rPr>
          <w:rFonts w:ascii="Times New Roman" w:hAnsi="Times New Roman"/>
          <w:color w:val="auto"/>
          <w:spacing w:val="0"/>
          <w:sz w:val="22"/>
          <w:szCs w:val="22"/>
          <w:lang w:eastAsia="en-ZA"/>
        </w:rPr>
        <w:lastRenderedPageBreak/>
        <w:t>on passenger profiles and known suspects such as those on watchlists. For this purpose, R1 billion is allocated in 2022/23 in the BMA mainly for CoE and goods &amp; services.</w:t>
      </w:r>
    </w:p>
    <w:p w14:paraId="7AD0E16E" w14:textId="514BC0D2" w:rsidR="00F3147F" w:rsidRPr="0035165B" w:rsidRDefault="00F3147F" w:rsidP="00F3147F">
      <w:pPr>
        <w:suppressAutoHyphens w:val="0"/>
        <w:autoSpaceDN/>
        <w:spacing w:line="276" w:lineRule="auto"/>
        <w:ind w:left="567" w:hanging="283"/>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eastAsia="en-ZA"/>
        </w:rPr>
        <w:t>•</w:t>
      </w:r>
      <w:r w:rsidRPr="0035165B">
        <w:rPr>
          <w:rFonts w:ascii="Times New Roman" w:hAnsi="Times New Roman"/>
          <w:color w:val="auto"/>
          <w:spacing w:val="0"/>
          <w:sz w:val="22"/>
          <w:szCs w:val="22"/>
          <w:lang w:eastAsia="en-ZA"/>
        </w:rPr>
        <w:tab/>
        <w:t>The DHA will continue with the modernisation project of its ICT infrastructure. The department has been able to automate its business processes and products. Most significantly, the DHA plans to roll out the Automated Biometric System by 2022/23 and introduce biometric functionality at all ports of entry by 2023/24. It will also continue to roll out the e-visa system by 2024/25. The department has set aside R104 million for these technological improvements in the 2022/23 financial year.</w:t>
      </w:r>
    </w:p>
    <w:p w14:paraId="45A28BA4" w14:textId="0DC7128E" w:rsidR="00F3147F" w:rsidRPr="0035165B" w:rsidRDefault="00F3147F" w:rsidP="00F3147F">
      <w:pPr>
        <w:suppressAutoHyphens w:val="0"/>
        <w:autoSpaceDN/>
        <w:spacing w:line="276" w:lineRule="auto"/>
        <w:ind w:left="567" w:hanging="283"/>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eastAsia="en-ZA"/>
        </w:rPr>
        <w:t>•</w:t>
      </w:r>
      <w:r w:rsidRPr="0035165B">
        <w:rPr>
          <w:rFonts w:ascii="Times New Roman" w:hAnsi="Times New Roman"/>
          <w:color w:val="auto"/>
          <w:spacing w:val="0"/>
          <w:sz w:val="22"/>
          <w:szCs w:val="22"/>
          <w:lang w:eastAsia="en-ZA"/>
        </w:rPr>
        <w:tab/>
        <w:t>The DHA has continued to prioritise the timeous issuing of permits and visas. The timeous issuing of permits and visas enables economic growth and removes impediments to foreign investment. Accordingly, the department plans to continue implementing the visa simplification process, through which certain low‐risk countries will benefit from visa waivers and relaxed conditions and rolling out electronic visas. The department has allocated R10 million to set up infrastructure for e-visas in 2022/23.</w:t>
      </w:r>
    </w:p>
    <w:p w14:paraId="65ED3B98" w14:textId="77777777" w:rsidR="0098397E" w:rsidRPr="0035165B" w:rsidRDefault="0098397E" w:rsidP="0098397E">
      <w:pPr>
        <w:suppressAutoHyphens w:val="0"/>
        <w:autoSpaceDN/>
        <w:spacing w:line="276" w:lineRule="auto"/>
        <w:contextualSpacing/>
        <w:jc w:val="both"/>
        <w:textAlignment w:val="auto"/>
        <w:rPr>
          <w:rFonts w:ascii="Times New Roman" w:hAnsi="Times New Roman"/>
          <w:color w:val="auto"/>
          <w:spacing w:val="0"/>
          <w:sz w:val="22"/>
          <w:szCs w:val="22"/>
          <w:lang w:val="en-US" w:eastAsia="en-ZA"/>
        </w:rPr>
      </w:pPr>
    </w:p>
    <w:p w14:paraId="4E06D62C" w14:textId="097B3A29" w:rsidR="00570AD6" w:rsidRPr="0035165B" w:rsidRDefault="00570AD6" w:rsidP="0098397E">
      <w:pPr>
        <w:suppressAutoHyphens w:val="0"/>
        <w:autoSpaceDN/>
        <w:spacing w:line="276" w:lineRule="auto"/>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val="en-US" w:eastAsia="en-ZA"/>
        </w:rPr>
        <w:t>In response to the COVID-19 pandemic, the DHA adopted a scenario approach to mainly civic services targets since the 2020/21 financial year. The scenario approach was discontinued for the 2022/23 cycle. T</w:t>
      </w:r>
      <w:r w:rsidRPr="0035165B">
        <w:rPr>
          <w:rFonts w:ascii="Times New Roman" w:hAnsi="Times New Roman"/>
          <w:color w:val="auto"/>
          <w:spacing w:val="0"/>
          <w:sz w:val="22"/>
          <w:szCs w:val="22"/>
          <w:lang w:val="en-GB" w:eastAsia="en-ZA"/>
        </w:rPr>
        <w:t>he onset of the COVID-19 pandemic had a significant impact on the performance and operations of the DHA. It is important that the DHA should take forward the lessons learned from the pandemic. Some of the key focus areas are the:</w:t>
      </w:r>
    </w:p>
    <w:p w14:paraId="775326E7" w14:textId="77777777" w:rsidR="00570AD6" w:rsidRPr="0035165B" w:rsidRDefault="00570AD6" w:rsidP="00CB4303">
      <w:pPr>
        <w:numPr>
          <w:ilvl w:val="0"/>
          <w:numId w:val="16"/>
        </w:numPr>
        <w:tabs>
          <w:tab w:val="clear" w:pos="1440"/>
        </w:tabs>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val="en-GB" w:eastAsia="en-ZA"/>
        </w:rPr>
        <w:t>Increase investment in technology and use artificial intelligence (AI) to ensure uninterrupted and quality service delivery;</w:t>
      </w:r>
    </w:p>
    <w:p w14:paraId="4C0872B7" w14:textId="77777777" w:rsidR="00570AD6" w:rsidRPr="0035165B" w:rsidRDefault="00570AD6" w:rsidP="00CB4303">
      <w:pPr>
        <w:numPr>
          <w:ilvl w:val="0"/>
          <w:numId w:val="16"/>
        </w:numPr>
        <w:tabs>
          <w:tab w:val="clear" w:pos="1440"/>
        </w:tabs>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val="en-GB" w:eastAsia="en-ZA"/>
        </w:rPr>
        <w:t xml:space="preserve">Implement the revised DHA service delivery and operating models as well as its access model strategy; </w:t>
      </w:r>
    </w:p>
    <w:p w14:paraId="7B25A7A0" w14:textId="77777777" w:rsidR="00570AD6" w:rsidRPr="0035165B" w:rsidRDefault="00570AD6" w:rsidP="00CB4303">
      <w:pPr>
        <w:numPr>
          <w:ilvl w:val="0"/>
          <w:numId w:val="16"/>
        </w:numPr>
        <w:tabs>
          <w:tab w:val="clear" w:pos="1440"/>
        </w:tabs>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val="en-GB" w:eastAsia="en-ZA"/>
        </w:rPr>
        <w:t xml:space="preserve">Ensure readiness for future pandemics, e.g. provide tools of the trade to staff to ensure uninterrupted service delivery; </w:t>
      </w:r>
    </w:p>
    <w:p w14:paraId="6E9C9A76" w14:textId="77777777" w:rsidR="00570AD6" w:rsidRPr="0035165B" w:rsidRDefault="00570AD6" w:rsidP="00CB4303">
      <w:pPr>
        <w:numPr>
          <w:ilvl w:val="0"/>
          <w:numId w:val="16"/>
        </w:numPr>
        <w:tabs>
          <w:tab w:val="clear" w:pos="1440"/>
        </w:tabs>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val="en-GB" w:eastAsia="en-ZA"/>
        </w:rPr>
        <w:t xml:space="preserve">Importance of timely and accurate departmental communication to ensure uninterrupted operations and service delivery; </w:t>
      </w:r>
    </w:p>
    <w:p w14:paraId="08DE8C18" w14:textId="77777777" w:rsidR="00570AD6" w:rsidRPr="0035165B" w:rsidRDefault="00570AD6" w:rsidP="00CB4303">
      <w:pPr>
        <w:numPr>
          <w:ilvl w:val="0"/>
          <w:numId w:val="16"/>
        </w:numPr>
        <w:tabs>
          <w:tab w:val="clear" w:pos="1440"/>
        </w:tabs>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val="en-GB" w:eastAsia="en-ZA"/>
        </w:rPr>
        <w:t xml:space="preserve">Provision of continuous oversight and management of staff and resources; and </w:t>
      </w:r>
    </w:p>
    <w:p w14:paraId="5CB1257F" w14:textId="77777777" w:rsidR="00570AD6" w:rsidRPr="0035165B" w:rsidRDefault="00570AD6" w:rsidP="00CB4303">
      <w:pPr>
        <w:numPr>
          <w:ilvl w:val="0"/>
          <w:numId w:val="16"/>
        </w:numPr>
        <w:tabs>
          <w:tab w:val="clear" w:pos="1440"/>
        </w:tabs>
        <w:suppressAutoHyphens w:val="0"/>
        <w:autoSpaceDN/>
        <w:spacing w:line="276" w:lineRule="auto"/>
        <w:ind w:left="709"/>
        <w:contextualSpacing/>
        <w:jc w:val="both"/>
        <w:textAlignment w:val="auto"/>
        <w:rPr>
          <w:rFonts w:ascii="Times New Roman" w:hAnsi="Times New Roman"/>
          <w:color w:val="auto"/>
          <w:spacing w:val="0"/>
          <w:sz w:val="22"/>
          <w:szCs w:val="22"/>
          <w:lang w:eastAsia="en-ZA"/>
        </w:rPr>
      </w:pPr>
      <w:r w:rsidRPr="0035165B">
        <w:rPr>
          <w:rFonts w:ascii="Times New Roman" w:hAnsi="Times New Roman"/>
          <w:color w:val="auto"/>
          <w:spacing w:val="0"/>
          <w:sz w:val="22"/>
          <w:szCs w:val="22"/>
          <w:lang w:val="en-GB" w:eastAsia="en-ZA"/>
        </w:rPr>
        <w:t>Fit for purpose infrastructure to accommodate safe and secure service delivery.</w:t>
      </w:r>
    </w:p>
    <w:p w14:paraId="331BC8B4" w14:textId="77777777" w:rsidR="003F7740" w:rsidRPr="0035165B" w:rsidRDefault="003F7740" w:rsidP="0098397E">
      <w:pPr>
        <w:suppressAutoHyphens w:val="0"/>
        <w:autoSpaceDN/>
        <w:spacing w:line="276" w:lineRule="auto"/>
        <w:contextualSpacing/>
        <w:jc w:val="both"/>
        <w:textAlignment w:val="auto"/>
        <w:rPr>
          <w:rFonts w:ascii="Times New Roman" w:hAnsi="Times New Roman"/>
          <w:color w:val="auto"/>
          <w:spacing w:val="0"/>
          <w:sz w:val="22"/>
          <w:szCs w:val="22"/>
          <w:lang w:eastAsia="en-ZA"/>
        </w:rPr>
      </w:pPr>
    </w:p>
    <w:p w14:paraId="761CD51A" w14:textId="79C2FAC6" w:rsidR="00A048A9" w:rsidRPr="0035165B" w:rsidRDefault="00A048A9" w:rsidP="00A048A9">
      <w:pPr>
        <w:pStyle w:val="Heading1"/>
        <w:rPr>
          <w:rFonts w:eastAsia="Calibri" w:cs="Times New Roman"/>
          <w:color w:val="E36C0A" w:themeColor="accent6" w:themeShade="BF"/>
          <w:spacing w:val="-2"/>
          <w:sz w:val="22"/>
          <w:szCs w:val="22"/>
          <w:lang w:eastAsia="en-US"/>
        </w:rPr>
      </w:pPr>
      <w:r w:rsidRPr="0035165B">
        <w:rPr>
          <w:rFonts w:cs="Times New Roman"/>
          <w:caps w:val="0"/>
          <w:sz w:val="22"/>
          <w:szCs w:val="22"/>
        </w:rPr>
        <w:t>1</w:t>
      </w:r>
      <w:r w:rsidR="00A836D3" w:rsidRPr="0035165B">
        <w:rPr>
          <w:rFonts w:cs="Times New Roman"/>
          <w:caps w:val="0"/>
          <w:sz w:val="22"/>
          <w:szCs w:val="22"/>
        </w:rPr>
        <w:t>.</w:t>
      </w:r>
      <w:r w:rsidRPr="0035165B">
        <w:rPr>
          <w:rFonts w:cs="Times New Roman"/>
          <w:caps w:val="0"/>
          <w:sz w:val="22"/>
          <w:szCs w:val="22"/>
        </w:rPr>
        <w:t>5</w:t>
      </w:r>
      <w:bookmarkStart w:id="6" w:name="_Toc101369926"/>
      <w:r w:rsidRPr="0035165B">
        <w:rPr>
          <w:rFonts w:eastAsia="Calibri" w:cs="Times New Roman"/>
          <w:sz w:val="22"/>
          <w:szCs w:val="22"/>
          <w:lang w:eastAsia="en-US"/>
        </w:rPr>
        <w:t xml:space="preserve"> </w:t>
      </w:r>
      <w:r w:rsidRPr="0035165B">
        <w:rPr>
          <w:rFonts w:eastAsia="Calibri" w:cs="Times New Roman"/>
          <w:caps w:val="0"/>
          <w:sz w:val="22"/>
          <w:szCs w:val="22"/>
          <w:lang w:eastAsia="en-US"/>
        </w:rPr>
        <w:t xml:space="preserve">Summary and </w:t>
      </w:r>
      <w:r w:rsidR="00570AD6" w:rsidRPr="0035165B">
        <w:rPr>
          <w:rFonts w:eastAsia="Calibri" w:cs="Times New Roman"/>
          <w:caps w:val="0"/>
          <w:sz w:val="22"/>
          <w:szCs w:val="22"/>
          <w:lang w:eastAsia="en-US"/>
        </w:rPr>
        <w:t>A</w:t>
      </w:r>
      <w:r w:rsidRPr="0035165B">
        <w:rPr>
          <w:rFonts w:eastAsia="Calibri" w:cs="Times New Roman"/>
          <w:caps w:val="0"/>
          <w:sz w:val="22"/>
          <w:szCs w:val="22"/>
          <w:lang w:eastAsia="en-US"/>
        </w:rPr>
        <w:t xml:space="preserve">nalysis of DHA </w:t>
      </w:r>
      <w:r w:rsidR="00570AD6" w:rsidRPr="0035165B">
        <w:rPr>
          <w:rFonts w:eastAsia="Calibri" w:cs="Times New Roman"/>
          <w:caps w:val="0"/>
          <w:sz w:val="22"/>
          <w:szCs w:val="22"/>
          <w:lang w:eastAsia="en-US"/>
        </w:rPr>
        <w:t>B</w:t>
      </w:r>
      <w:r w:rsidRPr="0035165B">
        <w:rPr>
          <w:rFonts w:eastAsia="Calibri" w:cs="Times New Roman"/>
          <w:caps w:val="0"/>
          <w:sz w:val="22"/>
          <w:szCs w:val="22"/>
          <w:lang w:eastAsia="en-US"/>
        </w:rPr>
        <w:t>udget for 2022/23</w:t>
      </w:r>
      <w:bookmarkEnd w:id="6"/>
    </w:p>
    <w:p w14:paraId="4B28308B" w14:textId="77777777" w:rsidR="00A048A9" w:rsidRPr="0035165B" w:rsidRDefault="00A048A9" w:rsidP="00A048A9">
      <w:pPr>
        <w:spacing w:after="60"/>
        <w:jc w:val="both"/>
        <w:rPr>
          <w:rFonts w:ascii="Times New Roman" w:eastAsia="Calibri" w:hAnsi="Times New Roman"/>
          <w:bCs/>
          <w:color w:val="auto"/>
          <w:spacing w:val="0"/>
          <w:sz w:val="22"/>
          <w:szCs w:val="22"/>
          <w:lang w:eastAsia="en-US"/>
        </w:rPr>
      </w:pPr>
    </w:p>
    <w:p w14:paraId="5FDB2620" w14:textId="77777777" w:rsidR="00A048A9" w:rsidRPr="0035165B" w:rsidRDefault="00A048A9" w:rsidP="00A048A9">
      <w:pPr>
        <w:pStyle w:val="Caption"/>
        <w:jc w:val="both"/>
        <w:rPr>
          <w:rFonts w:ascii="Times New Roman" w:hAnsi="Times New Roman"/>
          <w:sz w:val="22"/>
          <w:szCs w:val="22"/>
        </w:rPr>
      </w:pPr>
      <w:r w:rsidRPr="0035165B">
        <w:rPr>
          <w:rFonts w:ascii="Times New Roman" w:hAnsi="Times New Roman"/>
          <w:sz w:val="22"/>
          <w:szCs w:val="22"/>
        </w:rPr>
        <w:t xml:space="preserve">Table </w:t>
      </w:r>
      <w:r w:rsidRPr="0035165B">
        <w:rPr>
          <w:rFonts w:ascii="Times New Roman" w:hAnsi="Times New Roman"/>
          <w:sz w:val="22"/>
          <w:szCs w:val="22"/>
        </w:rPr>
        <w:fldChar w:fldCharType="begin"/>
      </w:r>
      <w:r w:rsidRPr="0035165B">
        <w:rPr>
          <w:rFonts w:ascii="Times New Roman" w:hAnsi="Times New Roman"/>
          <w:sz w:val="22"/>
          <w:szCs w:val="22"/>
        </w:rPr>
        <w:instrText xml:space="preserve"> SEQ Table \* ARABIC </w:instrText>
      </w:r>
      <w:r w:rsidRPr="0035165B">
        <w:rPr>
          <w:rFonts w:ascii="Times New Roman" w:hAnsi="Times New Roman"/>
          <w:sz w:val="22"/>
          <w:szCs w:val="22"/>
        </w:rPr>
        <w:fldChar w:fldCharType="separate"/>
      </w:r>
      <w:r w:rsidRPr="0035165B">
        <w:rPr>
          <w:rFonts w:ascii="Times New Roman" w:hAnsi="Times New Roman"/>
          <w:noProof/>
          <w:sz w:val="22"/>
          <w:szCs w:val="22"/>
        </w:rPr>
        <w:t>2</w:t>
      </w:r>
      <w:r w:rsidRPr="0035165B">
        <w:rPr>
          <w:rFonts w:ascii="Times New Roman" w:hAnsi="Times New Roman"/>
          <w:noProof/>
          <w:sz w:val="22"/>
          <w:szCs w:val="22"/>
        </w:rPr>
        <w:fldChar w:fldCharType="end"/>
      </w:r>
      <w:r w:rsidRPr="0035165B">
        <w:rPr>
          <w:rFonts w:ascii="Times New Roman" w:hAnsi="Times New Roman"/>
          <w:sz w:val="22"/>
          <w:szCs w:val="22"/>
        </w:rPr>
        <w:t xml:space="preserve">: </w:t>
      </w:r>
      <w:r w:rsidRPr="0035165B">
        <w:rPr>
          <w:rFonts w:ascii="Times New Roman" w:hAnsi="Times New Roman"/>
          <w:bCs w:val="0"/>
          <w:color w:val="auto"/>
          <w:spacing w:val="0"/>
          <w:sz w:val="22"/>
          <w:szCs w:val="22"/>
          <w:lang w:val="en-GB"/>
        </w:rPr>
        <w:t>Overall Budget 2021/22 and 2022/23 – Department of Home Affairs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2"/>
        <w:gridCol w:w="992"/>
        <w:gridCol w:w="1134"/>
        <w:gridCol w:w="1276"/>
        <w:gridCol w:w="850"/>
        <w:gridCol w:w="425"/>
        <w:gridCol w:w="1134"/>
        <w:gridCol w:w="1103"/>
      </w:tblGrid>
      <w:tr w:rsidR="00A048A9" w:rsidRPr="0035165B" w14:paraId="4E919C09" w14:textId="77777777" w:rsidTr="00A048A9">
        <w:trPr>
          <w:trHeight w:val="765"/>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75528D76"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Programme</w:t>
            </w:r>
          </w:p>
        </w:tc>
        <w:tc>
          <w:tcPr>
            <w:tcW w:w="2268" w:type="dxa"/>
            <w:gridSpan w:val="3"/>
            <w:tcBorders>
              <w:top w:val="thinThickSmallGap" w:sz="12" w:space="0" w:color="auto"/>
              <w:left w:val="thinThickSmallGap" w:sz="12" w:space="0" w:color="auto"/>
              <w:bottom w:val="double" w:sz="4" w:space="0" w:color="auto"/>
              <w:right w:val="thinThickSmallGap" w:sz="12" w:space="0" w:color="auto"/>
            </w:tcBorders>
            <w:shd w:val="pct15" w:color="auto" w:fill="auto"/>
            <w:hideMark/>
          </w:tcPr>
          <w:p w14:paraId="7B09E106"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Budget</w:t>
            </w:r>
          </w:p>
        </w:tc>
        <w:tc>
          <w:tcPr>
            <w:tcW w:w="1276" w:type="dxa"/>
            <w:vMerge w:val="restart"/>
            <w:tcBorders>
              <w:top w:val="thinThickSmallGap" w:sz="12" w:space="0" w:color="auto"/>
              <w:left w:val="thinThickSmallGap" w:sz="12" w:space="0" w:color="auto"/>
              <w:bottom w:val="thinThickSmallGap" w:sz="12" w:space="0" w:color="auto"/>
              <w:right w:val="thinThickSmallGap" w:sz="12" w:space="0" w:color="auto"/>
            </w:tcBorders>
            <w:shd w:val="pct15" w:color="auto" w:fill="auto"/>
            <w:hideMark/>
          </w:tcPr>
          <w:p w14:paraId="450A9871"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Nominal Increase / Decrease in 2022/23</w:t>
            </w:r>
          </w:p>
        </w:tc>
        <w:tc>
          <w:tcPr>
            <w:tcW w:w="1275" w:type="dxa"/>
            <w:gridSpan w:val="2"/>
            <w:vMerge w:val="restart"/>
            <w:tcBorders>
              <w:top w:val="thinThickSmallGap" w:sz="12" w:space="0" w:color="auto"/>
              <w:left w:val="thinThickSmallGap" w:sz="12" w:space="0" w:color="auto"/>
              <w:bottom w:val="thinThickSmallGap" w:sz="12" w:space="0" w:color="auto"/>
              <w:right w:val="thinThickSmallGap" w:sz="12" w:space="0" w:color="auto"/>
            </w:tcBorders>
            <w:shd w:val="pct15" w:color="auto" w:fill="auto"/>
            <w:hideMark/>
          </w:tcPr>
          <w:p w14:paraId="42870B3B"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Real Increase / Decrease in 2022/23</w:t>
            </w:r>
          </w:p>
        </w:tc>
        <w:tc>
          <w:tcPr>
            <w:tcW w:w="1134" w:type="dxa"/>
            <w:vMerge w:val="restart"/>
            <w:tcBorders>
              <w:top w:val="thinThickSmallGap" w:sz="12" w:space="0" w:color="auto"/>
              <w:left w:val="thinThickSmallGap" w:sz="12" w:space="0" w:color="auto"/>
              <w:bottom w:val="thinThickSmallGap" w:sz="12" w:space="0" w:color="auto"/>
              <w:right w:val="thinThickSmallGap" w:sz="12" w:space="0" w:color="auto"/>
            </w:tcBorders>
            <w:shd w:val="pct15" w:color="auto" w:fill="auto"/>
            <w:hideMark/>
          </w:tcPr>
          <w:p w14:paraId="51C6AAA7"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Nominal Percent change in 2022/23</w:t>
            </w:r>
          </w:p>
        </w:tc>
        <w:tc>
          <w:tcPr>
            <w:tcW w:w="1103" w:type="dxa"/>
            <w:vMerge w:val="restart"/>
            <w:tcBorders>
              <w:top w:val="thinThickSmallGap" w:sz="12" w:space="0" w:color="auto"/>
              <w:left w:val="thinThickSmallGap" w:sz="12" w:space="0" w:color="auto"/>
              <w:bottom w:val="thinThickSmallGap" w:sz="12" w:space="0" w:color="auto"/>
              <w:right w:val="thinThickSmallGap" w:sz="12" w:space="0" w:color="auto"/>
            </w:tcBorders>
            <w:shd w:val="pct15" w:color="auto" w:fill="auto"/>
            <w:hideMark/>
          </w:tcPr>
          <w:p w14:paraId="4D8DA8CD"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Real Percent change in 2022/23</w:t>
            </w:r>
          </w:p>
        </w:tc>
      </w:tr>
      <w:tr w:rsidR="00A048A9" w:rsidRPr="0035165B" w14:paraId="37F8F616" w14:textId="77777777" w:rsidTr="00A048A9">
        <w:trPr>
          <w:trHeight w:val="264"/>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431BDDC3"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R million</w:t>
            </w:r>
          </w:p>
        </w:tc>
        <w:tc>
          <w:tcPr>
            <w:tcW w:w="1134" w:type="dxa"/>
            <w:gridSpan w:val="2"/>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1F17492D"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2021/22</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5B5EF3D3"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2022/23</w:t>
            </w:r>
          </w:p>
        </w:tc>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14:paraId="64BCD37F" w14:textId="77777777" w:rsidR="00A048A9" w:rsidRPr="0035165B" w:rsidRDefault="00A048A9">
            <w:pPr>
              <w:spacing w:line="240" w:lineRule="auto"/>
              <w:rPr>
                <w:rFonts w:ascii="Times New Roman" w:eastAsia="Calibri" w:hAnsi="Times New Roman"/>
                <w:b/>
                <w:bCs/>
                <w:color w:val="auto"/>
                <w:spacing w:val="0"/>
                <w:sz w:val="22"/>
                <w:szCs w:val="22"/>
                <w:lang w:val="en-GB"/>
              </w:rPr>
            </w:pPr>
          </w:p>
        </w:tc>
        <w:tc>
          <w:tcPr>
            <w:tcW w:w="0" w:type="auto"/>
            <w:gridSpan w:val="2"/>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14:paraId="3B0A93EA" w14:textId="77777777" w:rsidR="00A048A9" w:rsidRPr="0035165B" w:rsidRDefault="00A048A9">
            <w:pPr>
              <w:spacing w:line="240" w:lineRule="auto"/>
              <w:rPr>
                <w:rFonts w:ascii="Times New Roman" w:eastAsia="Calibri" w:hAnsi="Times New Roman"/>
                <w:b/>
                <w:bCs/>
                <w:color w:val="auto"/>
                <w:spacing w:val="0"/>
                <w:sz w:val="22"/>
                <w:szCs w:val="22"/>
                <w:lang w:val="en-GB"/>
              </w:rPr>
            </w:pPr>
          </w:p>
        </w:tc>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14:paraId="1FD95D9D" w14:textId="77777777" w:rsidR="00A048A9" w:rsidRPr="0035165B" w:rsidRDefault="00A048A9">
            <w:pPr>
              <w:spacing w:line="240" w:lineRule="auto"/>
              <w:rPr>
                <w:rFonts w:ascii="Times New Roman" w:eastAsia="Calibri" w:hAnsi="Times New Roman"/>
                <w:b/>
                <w:bCs/>
                <w:color w:val="auto"/>
                <w:spacing w:val="0"/>
                <w:sz w:val="22"/>
                <w:szCs w:val="22"/>
                <w:lang w:val="en-GB"/>
              </w:rPr>
            </w:pPr>
          </w:p>
        </w:tc>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14:paraId="70E90F32" w14:textId="77777777" w:rsidR="00A048A9" w:rsidRPr="0035165B" w:rsidRDefault="00A048A9">
            <w:pPr>
              <w:spacing w:line="240" w:lineRule="auto"/>
              <w:rPr>
                <w:rFonts w:ascii="Times New Roman" w:eastAsia="Calibri" w:hAnsi="Times New Roman"/>
                <w:b/>
                <w:bCs/>
                <w:color w:val="auto"/>
                <w:spacing w:val="0"/>
                <w:sz w:val="22"/>
                <w:szCs w:val="22"/>
                <w:lang w:val="en-GB"/>
              </w:rPr>
            </w:pPr>
          </w:p>
        </w:tc>
      </w:tr>
      <w:tr w:rsidR="00A048A9" w:rsidRPr="0035165B" w14:paraId="0DEBC7A7" w14:textId="77777777" w:rsidTr="00A048A9">
        <w:trPr>
          <w:trHeight w:val="264"/>
        </w:trPr>
        <w:tc>
          <w:tcPr>
            <w:tcW w:w="2552" w:type="dxa"/>
            <w:tcBorders>
              <w:top w:val="thinThickSmallGap" w:sz="12" w:space="0" w:color="auto"/>
              <w:left w:val="single" w:sz="4" w:space="0" w:color="auto"/>
              <w:bottom w:val="single" w:sz="4" w:space="0" w:color="auto"/>
              <w:right w:val="single" w:sz="4" w:space="0" w:color="auto"/>
            </w:tcBorders>
            <w:noWrap/>
            <w:hideMark/>
          </w:tcPr>
          <w:p w14:paraId="65058CD2"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1. Administration</w:t>
            </w:r>
          </w:p>
        </w:tc>
        <w:tc>
          <w:tcPr>
            <w:tcW w:w="1134" w:type="dxa"/>
            <w:gridSpan w:val="2"/>
            <w:tcBorders>
              <w:top w:val="thinThickSmallGap" w:sz="12" w:space="0" w:color="auto"/>
              <w:left w:val="single" w:sz="4" w:space="0" w:color="auto"/>
              <w:bottom w:val="single" w:sz="4" w:space="0" w:color="auto"/>
              <w:right w:val="single" w:sz="4" w:space="0" w:color="auto"/>
            </w:tcBorders>
            <w:noWrap/>
            <w:hideMark/>
          </w:tcPr>
          <w:p w14:paraId="20F84489"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2 371,5</w:t>
            </w:r>
          </w:p>
        </w:tc>
        <w:tc>
          <w:tcPr>
            <w:tcW w:w="1134" w:type="dxa"/>
            <w:tcBorders>
              <w:top w:val="thinThickSmallGap" w:sz="12" w:space="0" w:color="auto"/>
              <w:left w:val="single" w:sz="4" w:space="0" w:color="auto"/>
              <w:bottom w:val="single" w:sz="4" w:space="0" w:color="auto"/>
              <w:right w:val="single" w:sz="4" w:space="0" w:color="auto"/>
            </w:tcBorders>
            <w:noWrap/>
            <w:hideMark/>
          </w:tcPr>
          <w:p w14:paraId="6F69F2FD"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2 609,8</w:t>
            </w:r>
          </w:p>
        </w:tc>
        <w:tc>
          <w:tcPr>
            <w:tcW w:w="1276" w:type="dxa"/>
            <w:tcBorders>
              <w:top w:val="thinThickSmallGap" w:sz="12" w:space="0" w:color="auto"/>
              <w:left w:val="single" w:sz="4" w:space="0" w:color="auto"/>
              <w:bottom w:val="single" w:sz="4" w:space="0" w:color="auto"/>
              <w:right w:val="single" w:sz="4" w:space="0" w:color="auto"/>
            </w:tcBorders>
            <w:noWrap/>
            <w:hideMark/>
          </w:tcPr>
          <w:p w14:paraId="4E9BCF17"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238,3</w:t>
            </w:r>
          </w:p>
        </w:tc>
        <w:tc>
          <w:tcPr>
            <w:tcW w:w="1275" w:type="dxa"/>
            <w:gridSpan w:val="2"/>
            <w:tcBorders>
              <w:top w:val="thinThickSmallGap" w:sz="12" w:space="0" w:color="auto"/>
              <w:left w:val="single" w:sz="4" w:space="0" w:color="auto"/>
              <w:bottom w:val="single" w:sz="4" w:space="0" w:color="auto"/>
              <w:right w:val="single" w:sz="4" w:space="0" w:color="auto"/>
            </w:tcBorders>
            <w:noWrap/>
            <w:hideMark/>
          </w:tcPr>
          <w:p w14:paraId="4A6496DF"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125,9</w:t>
            </w:r>
          </w:p>
        </w:tc>
        <w:tc>
          <w:tcPr>
            <w:tcW w:w="1134" w:type="dxa"/>
            <w:tcBorders>
              <w:top w:val="thinThickSmallGap" w:sz="12" w:space="0" w:color="auto"/>
              <w:left w:val="single" w:sz="4" w:space="0" w:color="auto"/>
              <w:bottom w:val="single" w:sz="4" w:space="0" w:color="auto"/>
              <w:right w:val="single" w:sz="4" w:space="0" w:color="auto"/>
            </w:tcBorders>
            <w:noWrap/>
            <w:hideMark/>
          </w:tcPr>
          <w:p w14:paraId="0FFCC9F9"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10,05%</w:t>
            </w:r>
          </w:p>
        </w:tc>
        <w:tc>
          <w:tcPr>
            <w:tcW w:w="1103" w:type="dxa"/>
            <w:tcBorders>
              <w:top w:val="thinThickSmallGap" w:sz="12" w:space="0" w:color="auto"/>
              <w:left w:val="single" w:sz="4" w:space="0" w:color="auto"/>
              <w:bottom w:val="single" w:sz="4" w:space="0" w:color="auto"/>
              <w:right w:val="single" w:sz="4" w:space="0" w:color="auto"/>
            </w:tcBorders>
            <w:noWrap/>
            <w:hideMark/>
          </w:tcPr>
          <w:p w14:paraId="6FDD0A94"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5,31%</w:t>
            </w:r>
          </w:p>
        </w:tc>
      </w:tr>
      <w:tr w:rsidR="00A048A9" w:rsidRPr="0035165B" w14:paraId="6BC22BE8" w14:textId="77777777" w:rsidTr="00A048A9">
        <w:trPr>
          <w:trHeight w:val="264"/>
        </w:trPr>
        <w:tc>
          <w:tcPr>
            <w:tcW w:w="2552" w:type="dxa"/>
            <w:tcBorders>
              <w:top w:val="single" w:sz="4" w:space="0" w:color="auto"/>
              <w:left w:val="single" w:sz="4" w:space="0" w:color="auto"/>
              <w:bottom w:val="single" w:sz="4" w:space="0" w:color="auto"/>
              <w:right w:val="single" w:sz="4" w:space="0" w:color="auto"/>
            </w:tcBorders>
            <w:noWrap/>
            <w:hideMark/>
          </w:tcPr>
          <w:p w14:paraId="29571D1F" w14:textId="6D11CED0"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2. Civic Affairs</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0E0504BB"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3 096,8</w:t>
            </w:r>
          </w:p>
        </w:tc>
        <w:tc>
          <w:tcPr>
            <w:tcW w:w="1134" w:type="dxa"/>
            <w:tcBorders>
              <w:top w:val="single" w:sz="4" w:space="0" w:color="auto"/>
              <w:left w:val="single" w:sz="4" w:space="0" w:color="auto"/>
              <w:bottom w:val="single" w:sz="4" w:space="0" w:color="auto"/>
              <w:right w:val="single" w:sz="4" w:space="0" w:color="auto"/>
            </w:tcBorders>
            <w:noWrap/>
            <w:hideMark/>
          </w:tcPr>
          <w:p w14:paraId="719344EF"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2 555,9</w:t>
            </w:r>
          </w:p>
        </w:tc>
        <w:tc>
          <w:tcPr>
            <w:tcW w:w="1276" w:type="dxa"/>
            <w:tcBorders>
              <w:top w:val="single" w:sz="4" w:space="0" w:color="auto"/>
              <w:left w:val="single" w:sz="4" w:space="0" w:color="auto"/>
              <w:bottom w:val="single" w:sz="4" w:space="0" w:color="auto"/>
              <w:right w:val="single" w:sz="4" w:space="0" w:color="auto"/>
            </w:tcBorders>
            <w:noWrap/>
            <w:hideMark/>
          </w:tcPr>
          <w:p w14:paraId="39C87E35"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-540,9</w:t>
            </w:r>
          </w:p>
        </w:tc>
        <w:tc>
          <w:tcPr>
            <w:tcW w:w="1275" w:type="dxa"/>
            <w:gridSpan w:val="2"/>
            <w:tcBorders>
              <w:top w:val="single" w:sz="4" w:space="0" w:color="auto"/>
              <w:left w:val="single" w:sz="4" w:space="0" w:color="auto"/>
              <w:bottom w:val="single" w:sz="4" w:space="0" w:color="auto"/>
              <w:right w:val="single" w:sz="4" w:space="0" w:color="auto"/>
            </w:tcBorders>
            <w:noWrap/>
            <w:hideMark/>
          </w:tcPr>
          <w:p w14:paraId="5B9E9AFB"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-651,0</w:t>
            </w:r>
          </w:p>
        </w:tc>
        <w:tc>
          <w:tcPr>
            <w:tcW w:w="1134" w:type="dxa"/>
            <w:tcBorders>
              <w:top w:val="single" w:sz="4" w:space="0" w:color="auto"/>
              <w:left w:val="single" w:sz="4" w:space="0" w:color="auto"/>
              <w:bottom w:val="single" w:sz="4" w:space="0" w:color="auto"/>
              <w:right w:val="single" w:sz="4" w:space="0" w:color="auto"/>
            </w:tcBorders>
            <w:noWrap/>
            <w:hideMark/>
          </w:tcPr>
          <w:p w14:paraId="6EAC8651"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-17,47%</w:t>
            </w:r>
          </w:p>
        </w:tc>
        <w:tc>
          <w:tcPr>
            <w:tcW w:w="1103" w:type="dxa"/>
            <w:tcBorders>
              <w:top w:val="single" w:sz="4" w:space="0" w:color="auto"/>
              <w:left w:val="single" w:sz="4" w:space="0" w:color="auto"/>
              <w:bottom w:val="single" w:sz="4" w:space="0" w:color="auto"/>
              <w:right w:val="single" w:sz="4" w:space="0" w:color="auto"/>
            </w:tcBorders>
            <w:noWrap/>
            <w:hideMark/>
          </w:tcPr>
          <w:p w14:paraId="6BA9CA48"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-21,02%</w:t>
            </w:r>
          </w:p>
        </w:tc>
      </w:tr>
      <w:tr w:rsidR="00A048A9" w:rsidRPr="0035165B" w14:paraId="4C895493" w14:textId="77777777" w:rsidTr="00A048A9">
        <w:trPr>
          <w:trHeight w:val="264"/>
        </w:trPr>
        <w:tc>
          <w:tcPr>
            <w:tcW w:w="2552" w:type="dxa"/>
            <w:tcBorders>
              <w:top w:val="single" w:sz="4" w:space="0" w:color="auto"/>
              <w:left w:val="single" w:sz="4" w:space="0" w:color="auto"/>
              <w:bottom w:val="single" w:sz="4" w:space="0" w:color="auto"/>
              <w:right w:val="single" w:sz="4" w:space="0" w:color="auto"/>
            </w:tcBorders>
            <w:noWrap/>
            <w:hideMark/>
          </w:tcPr>
          <w:p w14:paraId="131B57F3"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3. Immigration Affairs</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1B09B1B6"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1 499,4</w:t>
            </w:r>
          </w:p>
        </w:tc>
        <w:tc>
          <w:tcPr>
            <w:tcW w:w="1134" w:type="dxa"/>
            <w:tcBorders>
              <w:top w:val="single" w:sz="4" w:space="0" w:color="auto"/>
              <w:left w:val="single" w:sz="4" w:space="0" w:color="auto"/>
              <w:bottom w:val="single" w:sz="4" w:space="0" w:color="auto"/>
              <w:right w:val="single" w:sz="4" w:space="0" w:color="auto"/>
            </w:tcBorders>
            <w:noWrap/>
            <w:hideMark/>
          </w:tcPr>
          <w:p w14:paraId="5DF361F1"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1 477,7</w:t>
            </w:r>
          </w:p>
        </w:tc>
        <w:tc>
          <w:tcPr>
            <w:tcW w:w="1276" w:type="dxa"/>
            <w:tcBorders>
              <w:top w:val="single" w:sz="4" w:space="0" w:color="auto"/>
              <w:left w:val="single" w:sz="4" w:space="0" w:color="auto"/>
              <w:bottom w:val="single" w:sz="4" w:space="0" w:color="auto"/>
              <w:right w:val="single" w:sz="4" w:space="0" w:color="auto"/>
            </w:tcBorders>
            <w:noWrap/>
            <w:hideMark/>
          </w:tcPr>
          <w:p w14:paraId="5D0137AF"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-21,7</w:t>
            </w:r>
          </w:p>
        </w:tc>
        <w:tc>
          <w:tcPr>
            <w:tcW w:w="1275" w:type="dxa"/>
            <w:gridSpan w:val="2"/>
            <w:tcBorders>
              <w:top w:val="single" w:sz="4" w:space="0" w:color="auto"/>
              <w:left w:val="single" w:sz="4" w:space="0" w:color="auto"/>
              <w:bottom w:val="single" w:sz="4" w:space="0" w:color="auto"/>
              <w:right w:val="single" w:sz="4" w:space="0" w:color="auto"/>
            </w:tcBorders>
            <w:noWrap/>
            <w:hideMark/>
          </w:tcPr>
          <w:p w14:paraId="12C22C50"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-85,3</w:t>
            </w:r>
          </w:p>
        </w:tc>
        <w:tc>
          <w:tcPr>
            <w:tcW w:w="1134" w:type="dxa"/>
            <w:tcBorders>
              <w:top w:val="single" w:sz="4" w:space="0" w:color="auto"/>
              <w:left w:val="single" w:sz="4" w:space="0" w:color="auto"/>
              <w:bottom w:val="single" w:sz="4" w:space="0" w:color="auto"/>
              <w:right w:val="single" w:sz="4" w:space="0" w:color="auto"/>
            </w:tcBorders>
            <w:noWrap/>
            <w:hideMark/>
          </w:tcPr>
          <w:p w14:paraId="3E2AB694"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-1,45%</w:t>
            </w:r>
          </w:p>
        </w:tc>
        <w:tc>
          <w:tcPr>
            <w:tcW w:w="1103" w:type="dxa"/>
            <w:tcBorders>
              <w:top w:val="single" w:sz="4" w:space="0" w:color="auto"/>
              <w:left w:val="single" w:sz="4" w:space="0" w:color="auto"/>
              <w:bottom w:val="single" w:sz="4" w:space="0" w:color="auto"/>
              <w:right w:val="single" w:sz="4" w:space="0" w:color="auto"/>
            </w:tcBorders>
            <w:noWrap/>
            <w:hideMark/>
          </w:tcPr>
          <w:p w14:paraId="07AB2A7B"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-5,69%</w:t>
            </w:r>
          </w:p>
        </w:tc>
      </w:tr>
      <w:tr w:rsidR="00A048A9" w:rsidRPr="0035165B" w14:paraId="6C4E5E81" w14:textId="77777777" w:rsidTr="00A048A9">
        <w:trPr>
          <w:trHeight w:val="264"/>
        </w:trPr>
        <w:tc>
          <w:tcPr>
            <w:tcW w:w="2552" w:type="dxa"/>
            <w:tcBorders>
              <w:top w:val="single" w:sz="4" w:space="0" w:color="auto"/>
              <w:left w:val="single" w:sz="4" w:space="0" w:color="auto"/>
              <w:bottom w:val="single" w:sz="4" w:space="0" w:color="auto"/>
              <w:right w:val="single" w:sz="4" w:space="0" w:color="auto"/>
            </w:tcBorders>
            <w:noWrap/>
            <w:hideMark/>
          </w:tcPr>
          <w:p w14:paraId="4B7E6577"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4.Institutional Support and Transfers</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B076CCF"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2 463,7</w:t>
            </w:r>
          </w:p>
        </w:tc>
        <w:tc>
          <w:tcPr>
            <w:tcW w:w="1134" w:type="dxa"/>
            <w:tcBorders>
              <w:top w:val="single" w:sz="4" w:space="0" w:color="auto"/>
              <w:left w:val="single" w:sz="4" w:space="0" w:color="auto"/>
              <w:bottom w:val="single" w:sz="4" w:space="0" w:color="auto"/>
              <w:right w:val="single" w:sz="4" w:space="0" w:color="auto"/>
            </w:tcBorders>
            <w:noWrap/>
            <w:hideMark/>
          </w:tcPr>
          <w:p w14:paraId="76E60E39"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2 762,6</w:t>
            </w:r>
          </w:p>
        </w:tc>
        <w:tc>
          <w:tcPr>
            <w:tcW w:w="1276" w:type="dxa"/>
            <w:tcBorders>
              <w:top w:val="single" w:sz="4" w:space="0" w:color="auto"/>
              <w:left w:val="single" w:sz="4" w:space="0" w:color="auto"/>
              <w:bottom w:val="single" w:sz="4" w:space="0" w:color="auto"/>
              <w:right w:val="single" w:sz="4" w:space="0" w:color="auto"/>
            </w:tcBorders>
            <w:noWrap/>
            <w:hideMark/>
          </w:tcPr>
          <w:p w14:paraId="72BC966B"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298,9</w:t>
            </w:r>
          </w:p>
        </w:tc>
        <w:tc>
          <w:tcPr>
            <w:tcW w:w="1275" w:type="dxa"/>
            <w:gridSpan w:val="2"/>
            <w:tcBorders>
              <w:top w:val="single" w:sz="4" w:space="0" w:color="auto"/>
              <w:left w:val="single" w:sz="4" w:space="0" w:color="auto"/>
              <w:bottom w:val="single" w:sz="4" w:space="0" w:color="auto"/>
              <w:right w:val="single" w:sz="4" w:space="0" w:color="auto"/>
            </w:tcBorders>
            <w:noWrap/>
            <w:hideMark/>
          </w:tcPr>
          <w:p w14:paraId="47E36E7F"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179,9</w:t>
            </w:r>
          </w:p>
        </w:tc>
        <w:tc>
          <w:tcPr>
            <w:tcW w:w="1134" w:type="dxa"/>
            <w:tcBorders>
              <w:top w:val="single" w:sz="4" w:space="0" w:color="auto"/>
              <w:left w:val="single" w:sz="4" w:space="0" w:color="auto"/>
              <w:bottom w:val="single" w:sz="4" w:space="0" w:color="auto"/>
              <w:right w:val="single" w:sz="4" w:space="0" w:color="auto"/>
            </w:tcBorders>
            <w:noWrap/>
            <w:hideMark/>
          </w:tcPr>
          <w:p w14:paraId="7B12E011"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12,13%</w:t>
            </w:r>
          </w:p>
        </w:tc>
        <w:tc>
          <w:tcPr>
            <w:tcW w:w="1103" w:type="dxa"/>
            <w:tcBorders>
              <w:top w:val="single" w:sz="4" w:space="0" w:color="auto"/>
              <w:left w:val="single" w:sz="4" w:space="0" w:color="auto"/>
              <w:bottom w:val="single" w:sz="4" w:space="0" w:color="auto"/>
              <w:right w:val="single" w:sz="4" w:space="0" w:color="auto"/>
            </w:tcBorders>
            <w:noWrap/>
            <w:hideMark/>
          </w:tcPr>
          <w:p w14:paraId="1E2AD587" w14:textId="77777777" w:rsidR="00A048A9" w:rsidRPr="0035165B" w:rsidRDefault="00A048A9">
            <w:pPr>
              <w:spacing w:after="60" w:line="276" w:lineRule="auto"/>
              <w:jc w:val="both"/>
              <w:rPr>
                <w:rFonts w:ascii="Times New Roman" w:eastAsia="Calibri" w:hAnsi="Times New Roman"/>
                <w:color w:val="auto"/>
                <w:spacing w:val="0"/>
                <w:sz w:val="22"/>
                <w:szCs w:val="22"/>
                <w:lang w:val="en-GB"/>
              </w:rPr>
            </w:pPr>
            <w:r w:rsidRPr="0035165B">
              <w:rPr>
                <w:rFonts w:ascii="Times New Roman" w:eastAsia="Calibri" w:hAnsi="Times New Roman"/>
                <w:color w:val="auto"/>
                <w:spacing w:val="0"/>
                <w:sz w:val="22"/>
                <w:szCs w:val="22"/>
                <w:lang w:val="en-GB"/>
              </w:rPr>
              <w:t>7,30%</w:t>
            </w:r>
          </w:p>
        </w:tc>
      </w:tr>
      <w:tr w:rsidR="00A048A9" w:rsidRPr="0035165B" w14:paraId="60A95725" w14:textId="77777777" w:rsidTr="00A048A9">
        <w:trPr>
          <w:trHeight w:val="169"/>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158C5920"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TOTAL</w:t>
            </w:r>
          </w:p>
        </w:tc>
        <w:tc>
          <w:tcPr>
            <w:tcW w:w="1134" w:type="dxa"/>
            <w:gridSpan w:val="2"/>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4443E795"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9 431,4</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7C18197D" w14:textId="77777777" w:rsidR="00A048A9" w:rsidRPr="0035165B" w:rsidRDefault="00A048A9">
            <w:pPr>
              <w:spacing w:after="60" w:line="276" w:lineRule="auto"/>
              <w:jc w:val="both"/>
              <w:rPr>
                <w:rFonts w:ascii="Times New Roman" w:eastAsia="Calibri" w:hAnsi="Times New Roman"/>
                <w:b/>
                <w:bCs/>
                <w:color w:val="auto"/>
                <w:spacing w:val="0"/>
                <w:sz w:val="22"/>
                <w:szCs w:val="22"/>
                <w:lang w:val="en-GB"/>
              </w:rPr>
            </w:pPr>
            <w:r w:rsidRPr="0035165B">
              <w:rPr>
                <w:rFonts w:ascii="Times New Roman" w:eastAsia="Calibri" w:hAnsi="Times New Roman"/>
                <w:b/>
                <w:bCs/>
                <w:color w:val="auto"/>
                <w:spacing w:val="0"/>
                <w:sz w:val="22"/>
                <w:szCs w:val="22"/>
                <w:lang w:val="en-GB"/>
              </w:rPr>
              <w:t>9 406,0</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4396D2DC"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-25,4</w:t>
            </w:r>
          </w:p>
        </w:tc>
        <w:tc>
          <w:tcPr>
            <w:tcW w:w="1275" w:type="dxa"/>
            <w:gridSpan w:val="2"/>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0C2424E8"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-430,4</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61A889BB"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-0,3%</w:t>
            </w:r>
          </w:p>
        </w:tc>
        <w:tc>
          <w:tcPr>
            <w:tcW w:w="1103" w:type="dxa"/>
            <w:tcBorders>
              <w:top w:val="thinThickSmallGap" w:sz="12" w:space="0" w:color="auto"/>
              <w:left w:val="thinThickSmallGap" w:sz="12" w:space="0" w:color="auto"/>
              <w:bottom w:val="thinThickSmallGap" w:sz="12" w:space="0" w:color="auto"/>
              <w:right w:val="thinThickSmallGap" w:sz="12" w:space="0" w:color="auto"/>
            </w:tcBorders>
            <w:shd w:val="pct15" w:color="auto" w:fill="auto"/>
            <w:noWrap/>
            <w:hideMark/>
          </w:tcPr>
          <w:p w14:paraId="19B8C6A5"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-4,56%</w:t>
            </w:r>
          </w:p>
        </w:tc>
      </w:tr>
      <w:tr w:rsidR="00A048A9" w:rsidRPr="00F00404" w14:paraId="2A1AC122" w14:textId="77777777" w:rsidTr="00F00404">
        <w:trPr>
          <w:gridAfter w:val="3"/>
          <w:wAfter w:w="2662" w:type="dxa"/>
        </w:trPr>
        <w:tc>
          <w:tcPr>
            <w:tcW w:w="269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B8110EA" w14:textId="77777777" w:rsidR="00A048A9" w:rsidRPr="00F00404" w:rsidRDefault="00A048A9">
            <w:pPr>
              <w:spacing w:after="60" w:line="240" w:lineRule="auto"/>
              <w:jc w:val="both"/>
              <w:rPr>
                <w:rFonts w:ascii="Times New Roman" w:eastAsia="Calibri" w:hAnsi="Times New Roman"/>
                <w:i/>
                <w:color w:val="auto"/>
                <w:spacing w:val="0"/>
                <w:sz w:val="22"/>
                <w:szCs w:val="22"/>
                <w:lang w:eastAsia="en-US"/>
              </w:rPr>
            </w:pPr>
            <w:r w:rsidRPr="00F00404">
              <w:rPr>
                <w:rFonts w:ascii="Times New Roman" w:eastAsia="Calibri" w:hAnsi="Times New Roman"/>
                <w:i/>
                <w:color w:val="auto"/>
                <w:spacing w:val="0"/>
                <w:sz w:val="22"/>
                <w:szCs w:val="22"/>
                <w:lang w:eastAsia="en-US"/>
              </w:rPr>
              <w:t>Nominal Increase/Decrease</w:t>
            </w:r>
          </w:p>
        </w:tc>
        <w:tc>
          <w:tcPr>
            <w:tcW w:w="4252" w:type="dxa"/>
            <w:gridSpan w:val="4"/>
            <w:tcBorders>
              <w:top w:val="single" w:sz="4" w:space="0" w:color="auto"/>
              <w:left w:val="single" w:sz="4" w:space="0" w:color="auto"/>
              <w:bottom w:val="single" w:sz="4" w:space="0" w:color="auto"/>
              <w:right w:val="single" w:sz="4" w:space="0" w:color="auto"/>
            </w:tcBorders>
            <w:hideMark/>
          </w:tcPr>
          <w:p w14:paraId="0172BF1F" w14:textId="77777777" w:rsidR="00A048A9" w:rsidRPr="00F00404" w:rsidRDefault="00A048A9">
            <w:pPr>
              <w:spacing w:after="60" w:line="240" w:lineRule="auto"/>
              <w:jc w:val="both"/>
              <w:rPr>
                <w:rFonts w:ascii="Times New Roman" w:eastAsia="Calibri" w:hAnsi="Times New Roman"/>
                <w:i/>
                <w:color w:val="auto"/>
                <w:spacing w:val="0"/>
                <w:sz w:val="22"/>
                <w:szCs w:val="22"/>
                <w:lang w:eastAsia="en-US"/>
              </w:rPr>
            </w:pPr>
            <w:r w:rsidRPr="00F00404">
              <w:rPr>
                <w:rFonts w:ascii="Times New Roman" w:eastAsia="Calibri" w:hAnsi="Times New Roman"/>
                <w:i/>
                <w:color w:val="auto"/>
                <w:spacing w:val="0"/>
                <w:sz w:val="22"/>
                <w:szCs w:val="22"/>
                <w:lang w:eastAsia="en-US"/>
              </w:rPr>
              <w:t>Is when inflation is not taken into account</w:t>
            </w:r>
          </w:p>
        </w:tc>
      </w:tr>
      <w:tr w:rsidR="00A048A9" w:rsidRPr="00F00404" w14:paraId="13555914" w14:textId="77777777" w:rsidTr="00F00404">
        <w:trPr>
          <w:gridAfter w:val="3"/>
          <w:wAfter w:w="2662" w:type="dxa"/>
        </w:trPr>
        <w:tc>
          <w:tcPr>
            <w:tcW w:w="269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700A05" w14:textId="77777777" w:rsidR="00A048A9" w:rsidRPr="00F00404" w:rsidRDefault="00A048A9">
            <w:pPr>
              <w:spacing w:after="60" w:line="240" w:lineRule="auto"/>
              <w:jc w:val="both"/>
              <w:rPr>
                <w:rFonts w:ascii="Times New Roman" w:eastAsia="Calibri" w:hAnsi="Times New Roman"/>
                <w:i/>
                <w:color w:val="auto"/>
                <w:spacing w:val="0"/>
                <w:sz w:val="22"/>
                <w:szCs w:val="22"/>
                <w:lang w:eastAsia="en-US"/>
              </w:rPr>
            </w:pPr>
            <w:r w:rsidRPr="00F00404">
              <w:rPr>
                <w:rFonts w:ascii="Times New Roman" w:eastAsia="Calibri" w:hAnsi="Times New Roman"/>
                <w:i/>
                <w:color w:val="auto"/>
                <w:spacing w:val="0"/>
                <w:sz w:val="22"/>
                <w:szCs w:val="22"/>
                <w:lang w:eastAsia="en-US"/>
              </w:rPr>
              <w:t xml:space="preserve">Real Increase/Decrease </w:t>
            </w:r>
          </w:p>
        </w:tc>
        <w:tc>
          <w:tcPr>
            <w:tcW w:w="4252" w:type="dxa"/>
            <w:gridSpan w:val="4"/>
            <w:tcBorders>
              <w:top w:val="single" w:sz="4" w:space="0" w:color="auto"/>
              <w:left w:val="single" w:sz="4" w:space="0" w:color="auto"/>
              <w:bottom w:val="single" w:sz="4" w:space="0" w:color="auto"/>
              <w:right w:val="single" w:sz="4" w:space="0" w:color="auto"/>
            </w:tcBorders>
            <w:hideMark/>
          </w:tcPr>
          <w:p w14:paraId="683D50E5" w14:textId="77777777" w:rsidR="00A048A9" w:rsidRPr="00F00404" w:rsidRDefault="00A048A9">
            <w:pPr>
              <w:spacing w:after="60" w:line="240" w:lineRule="auto"/>
              <w:jc w:val="both"/>
              <w:rPr>
                <w:rFonts w:ascii="Times New Roman" w:eastAsia="Calibri" w:hAnsi="Times New Roman"/>
                <w:i/>
                <w:color w:val="auto"/>
                <w:spacing w:val="0"/>
                <w:sz w:val="22"/>
                <w:szCs w:val="22"/>
                <w:lang w:eastAsia="en-US"/>
              </w:rPr>
            </w:pPr>
            <w:r w:rsidRPr="00F00404">
              <w:rPr>
                <w:rFonts w:ascii="Times New Roman" w:eastAsia="Calibri" w:hAnsi="Times New Roman"/>
                <w:i/>
                <w:color w:val="auto"/>
                <w:spacing w:val="0"/>
                <w:sz w:val="22"/>
                <w:szCs w:val="22"/>
                <w:lang w:eastAsia="en-US"/>
              </w:rPr>
              <w:t xml:space="preserve">Is when inflation is taken into account </w:t>
            </w:r>
          </w:p>
        </w:tc>
      </w:tr>
    </w:tbl>
    <w:p w14:paraId="4C471FB8" w14:textId="77777777" w:rsidR="00A048A9" w:rsidRPr="00F00404" w:rsidRDefault="00A048A9" w:rsidP="00A048A9">
      <w:pPr>
        <w:spacing w:after="60" w:line="276" w:lineRule="auto"/>
        <w:jc w:val="both"/>
        <w:rPr>
          <w:rFonts w:ascii="Times New Roman" w:hAnsi="Times New Roman"/>
          <w:color w:val="auto"/>
          <w:spacing w:val="0"/>
          <w:sz w:val="22"/>
          <w:szCs w:val="22"/>
          <w:lang w:val="en-GB"/>
        </w:rPr>
      </w:pPr>
      <w:r w:rsidRPr="00F00404">
        <w:rPr>
          <w:rFonts w:ascii="Times New Roman" w:hAnsi="Times New Roman"/>
          <w:color w:val="auto"/>
          <w:spacing w:val="0"/>
          <w:sz w:val="22"/>
          <w:szCs w:val="22"/>
          <w:lang w:val="en-GB"/>
        </w:rPr>
        <w:t>Source: National Treasury (2022)</w:t>
      </w:r>
    </w:p>
    <w:p w14:paraId="5F98AC4F" w14:textId="77777777" w:rsidR="00A048A9" w:rsidRPr="0035165B" w:rsidRDefault="00A048A9" w:rsidP="00A048A9">
      <w:pPr>
        <w:jc w:val="both"/>
        <w:rPr>
          <w:rFonts w:ascii="Times New Roman" w:hAnsi="Times New Roman"/>
          <w:sz w:val="22"/>
          <w:szCs w:val="22"/>
        </w:rPr>
      </w:pPr>
    </w:p>
    <w:p w14:paraId="7F174410"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For the 2022/23 financial year, the Department receives an allocation of R 9.40 billion compared to the R 9.43 billion special adjusted allocations of 2021/22. As stated previously, the adjusted budget includes revenue generated through the issuance of civil documents. Without inflation (nominally), the Department’s budget decreases by 0.3 % from the previous year. This allocation is much lower in </w:t>
      </w:r>
      <w:r w:rsidRPr="0035165B">
        <w:rPr>
          <w:rFonts w:ascii="Times New Roman" w:hAnsi="Times New Roman"/>
          <w:color w:val="auto"/>
          <w:spacing w:val="0"/>
          <w:sz w:val="22"/>
          <w:szCs w:val="22"/>
          <w:u w:val="single"/>
          <w:lang w:val="en-GB"/>
        </w:rPr>
        <w:t>real</w:t>
      </w:r>
      <w:r w:rsidRPr="0035165B">
        <w:rPr>
          <w:rFonts w:ascii="Times New Roman" w:hAnsi="Times New Roman"/>
          <w:color w:val="auto"/>
          <w:spacing w:val="0"/>
          <w:sz w:val="22"/>
          <w:szCs w:val="22"/>
          <w:lang w:val="en-GB"/>
        </w:rPr>
        <w:t xml:space="preserve"> terms as the Department allocation is 4.56 % lower than the previous year’s budget. This allocation translates into a decrease of R 430.4 million in </w:t>
      </w:r>
      <w:r w:rsidRPr="0035165B">
        <w:rPr>
          <w:rFonts w:ascii="Times New Roman" w:hAnsi="Times New Roman"/>
          <w:color w:val="auto"/>
          <w:spacing w:val="0"/>
          <w:sz w:val="22"/>
          <w:szCs w:val="22"/>
          <w:u w:val="single"/>
          <w:lang w:val="en-GB"/>
        </w:rPr>
        <w:t>real</w:t>
      </w:r>
      <w:r w:rsidRPr="0035165B">
        <w:rPr>
          <w:rFonts w:ascii="Times New Roman" w:hAnsi="Times New Roman"/>
          <w:color w:val="auto"/>
          <w:spacing w:val="0"/>
          <w:sz w:val="22"/>
          <w:szCs w:val="22"/>
          <w:lang w:val="en-GB"/>
        </w:rPr>
        <w:t xml:space="preserve"> rand value. The </w:t>
      </w:r>
      <w:r w:rsidRPr="0035165B">
        <w:rPr>
          <w:rFonts w:ascii="Times New Roman" w:hAnsi="Times New Roman"/>
          <w:color w:val="auto"/>
          <w:spacing w:val="0"/>
          <w:sz w:val="22"/>
          <w:szCs w:val="22"/>
          <w:lang w:val="en-GB"/>
        </w:rPr>
        <w:lastRenderedPageBreak/>
        <w:t>Department’s responsibilities keep increasing considering the BMA, One-Stop-Boarder-Post and modernisation of its IT infrastructure; however, its budget has decreased in real terms for the past four financial years.</w:t>
      </w:r>
    </w:p>
    <w:p w14:paraId="3A9B1332" w14:textId="77777777" w:rsidR="00A048A9" w:rsidRPr="0035165B" w:rsidRDefault="00A048A9" w:rsidP="00A048A9">
      <w:pPr>
        <w:jc w:val="both"/>
        <w:rPr>
          <w:rFonts w:ascii="Times New Roman" w:hAnsi="Times New Roman"/>
          <w:color w:val="auto"/>
          <w:spacing w:val="0"/>
          <w:sz w:val="22"/>
          <w:szCs w:val="22"/>
          <w:lang w:val="en-GB"/>
        </w:rPr>
      </w:pPr>
    </w:p>
    <w:p w14:paraId="6A3C48E4"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Only two of the DHA’s four programmes show a real increase in the current financial year. The Administration branch shows a real increase of R 125.9 million or 5.31%, while the Institutional Support and Transfers Programme shows a real increase of R 179.9 million or 7.30%. The budget increase in the Institutional Support and Transfers could be attributed to the implementation of the One-Stop Border Post and implementation of the BMA, whilst the increase in the Administration Branch could be attributed to the procurement of ICT infrastructure such as the implementation of the Automated Biometric Systems and the Advanced Passenger Processing System.</w:t>
      </w:r>
    </w:p>
    <w:p w14:paraId="25C549F7" w14:textId="77777777" w:rsidR="00A048A9" w:rsidRPr="0035165B" w:rsidRDefault="00A048A9" w:rsidP="00A048A9">
      <w:pPr>
        <w:jc w:val="both"/>
        <w:rPr>
          <w:rFonts w:ascii="Times New Roman" w:hAnsi="Times New Roman"/>
          <w:color w:val="auto"/>
          <w:spacing w:val="0"/>
          <w:sz w:val="22"/>
          <w:szCs w:val="22"/>
          <w:lang w:val="en-GB"/>
        </w:rPr>
      </w:pPr>
    </w:p>
    <w:p w14:paraId="1CB35B3B"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Both Citizen and Immigration Affairs programmes have been allocated a smaller budget compared to the last financial year. However, since the Department’s revenue will be appropriated in September 2022, its respective programme budgets will likely increase. The Citizen Affairs budget is significantly reduced by R 651 million or 21.02% when considering inflation. Programme 3: Immigration Affairs experiences a slight budget reduction of R 85.3 million or 5.69 % in real terms.</w:t>
      </w:r>
    </w:p>
    <w:p w14:paraId="27BF9963" w14:textId="77777777" w:rsidR="00A048A9" w:rsidRPr="0035165B" w:rsidRDefault="00A048A9" w:rsidP="00A048A9">
      <w:pPr>
        <w:jc w:val="both"/>
        <w:rPr>
          <w:rFonts w:ascii="Times New Roman" w:hAnsi="Times New Roman"/>
          <w:color w:val="auto"/>
          <w:spacing w:val="0"/>
          <w:sz w:val="22"/>
          <w:szCs w:val="22"/>
          <w:lang w:val="en-GB"/>
        </w:rPr>
      </w:pPr>
    </w:p>
    <w:p w14:paraId="7C6C3238" w14:textId="55F812A9"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In terms of economic classification, the Vote’s main cost drivers are the compensation of employees (COE), which costs the Department R 3.88 billion or 41.2% and goods &amp; services at R 2,91 billion or 30.98%.</w:t>
      </w:r>
      <w:r w:rsidR="00570AD6" w:rsidRPr="0035165B">
        <w:rPr>
          <w:rFonts w:ascii="Times New Roman" w:hAnsi="Times New Roman"/>
          <w:color w:val="auto"/>
          <w:spacing w:val="0"/>
          <w:sz w:val="22"/>
          <w:szCs w:val="22"/>
          <w:vertAlign w:val="superscript"/>
          <w:lang w:val="en-GB"/>
        </w:rPr>
        <w:t xml:space="preserve"> </w:t>
      </w:r>
      <w:r w:rsidRPr="0035165B">
        <w:rPr>
          <w:rFonts w:ascii="Times New Roman" w:hAnsi="Times New Roman"/>
          <w:color w:val="auto"/>
          <w:spacing w:val="0"/>
          <w:sz w:val="22"/>
          <w:szCs w:val="22"/>
          <w:lang w:val="en-GB"/>
        </w:rPr>
        <w:t xml:space="preserve">The COE and goods &amp; Services are allocated R6.79 billion or 72.18 % of the department’s total budget of R9.40 billion. </w:t>
      </w:r>
    </w:p>
    <w:p w14:paraId="5DCF8494" w14:textId="77777777" w:rsidR="00A048A9" w:rsidRPr="0035165B" w:rsidRDefault="00A048A9" w:rsidP="00A048A9">
      <w:pPr>
        <w:jc w:val="both"/>
        <w:rPr>
          <w:rFonts w:ascii="Times New Roman" w:hAnsi="Times New Roman"/>
          <w:color w:val="auto"/>
          <w:spacing w:val="0"/>
          <w:sz w:val="22"/>
          <w:szCs w:val="22"/>
          <w:lang w:val="en-GB"/>
        </w:rPr>
      </w:pPr>
    </w:p>
    <w:p w14:paraId="7D1E13E1" w14:textId="73D2F7DD" w:rsidR="00A048A9" w:rsidRPr="0035165B" w:rsidRDefault="00570AD6" w:rsidP="00A048A9">
      <w:pPr>
        <w:pStyle w:val="Heading2"/>
        <w:rPr>
          <w:rFonts w:ascii="Times New Roman" w:hAnsi="Times New Roman" w:cs="Times New Roman"/>
          <w:color w:val="E36C0A" w:themeColor="accent6" w:themeShade="BF"/>
          <w:sz w:val="22"/>
          <w:szCs w:val="22"/>
          <w:lang w:val="en-GB"/>
        </w:rPr>
      </w:pPr>
      <w:bookmarkStart w:id="7" w:name="_Toc101369927"/>
      <w:bookmarkStart w:id="8" w:name="_Toc34052275"/>
      <w:r w:rsidRPr="0035165B">
        <w:rPr>
          <w:rFonts w:ascii="Times New Roman" w:hAnsi="Times New Roman" w:cs="Times New Roman"/>
          <w:sz w:val="22"/>
          <w:szCs w:val="22"/>
        </w:rPr>
        <w:t xml:space="preserve">1.5.1 </w:t>
      </w:r>
      <w:r w:rsidR="00A048A9" w:rsidRPr="0035165B">
        <w:rPr>
          <w:rFonts w:ascii="Times New Roman" w:hAnsi="Times New Roman" w:cs="Times New Roman"/>
          <w:sz w:val="22"/>
          <w:szCs w:val="22"/>
        </w:rPr>
        <w:t>Allocation per programme</w:t>
      </w:r>
      <w:bookmarkEnd w:id="7"/>
      <w:bookmarkEnd w:id="8"/>
    </w:p>
    <w:p w14:paraId="05ED9115" w14:textId="77777777" w:rsidR="00A048A9" w:rsidRPr="0035165B" w:rsidRDefault="00A048A9" w:rsidP="00A048A9">
      <w:pPr>
        <w:jc w:val="both"/>
        <w:rPr>
          <w:rFonts w:ascii="Times New Roman" w:hAnsi="Times New Roman"/>
          <w:sz w:val="22"/>
          <w:szCs w:val="22"/>
          <w:lang w:val="en-GB"/>
        </w:rPr>
      </w:pPr>
    </w:p>
    <w:p w14:paraId="5F077C93" w14:textId="60090A27" w:rsidR="00A048A9" w:rsidRPr="0035165B" w:rsidRDefault="00A048A9" w:rsidP="00A048A9">
      <w:pPr>
        <w:jc w:val="both"/>
        <w:rPr>
          <w:rFonts w:ascii="Times New Roman" w:hAnsi="Times New Roman"/>
          <w:color w:val="auto"/>
          <w:sz w:val="22"/>
          <w:szCs w:val="22"/>
        </w:rPr>
      </w:pPr>
      <w:r w:rsidRPr="0035165B">
        <w:rPr>
          <w:rFonts w:ascii="Times New Roman" w:hAnsi="Times New Roman"/>
          <w:color w:val="auto"/>
          <w:sz w:val="22"/>
          <w:szCs w:val="22"/>
        </w:rPr>
        <w:t>Figure 2 compares the proportional allocations per main programme between the 2021/22 adjusted budget and 2022/23 voted funds. The Citizen Affairs programme loses its majority allocation as its allocation is less by 2% in the current financial year from 29% in 2021/22 to 27% in the current financial year. There is also a 1% decrease in the Immigration Affairs Programme from 17% during 2021/22 to 16% in the current financial year. On the contrary, both the Institutional Support &amp; Transfers Programme and the Administration Programme receive a 1% and 2% increase. The former’s allocation increases from 28% in the previous financial year to 29% in the current financial year, while the latter’s allocation increases from 26% to 28% in the current financial year.</w:t>
      </w:r>
    </w:p>
    <w:p w14:paraId="55D766E3" w14:textId="77777777" w:rsidR="00570AD6" w:rsidRPr="0035165B" w:rsidRDefault="00570AD6" w:rsidP="00A048A9">
      <w:pPr>
        <w:jc w:val="both"/>
        <w:rPr>
          <w:rFonts w:ascii="Times New Roman" w:hAnsi="Times New Roman"/>
          <w:color w:val="auto"/>
          <w:sz w:val="22"/>
          <w:szCs w:val="22"/>
        </w:rPr>
      </w:pPr>
    </w:p>
    <w:p w14:paraId="3D430598" w14:textId="629CEC88" w:rsidR="00A048A9" w:rsidRPr="0035165B" w:rsidRDefault="00A048A9" w:rsidP="00A048A9">
      <w:pPr>
        <w:pStyle w:val="Caption"/>
        <w:jc w:val="both"/>
        <w:rPr>
          <w:rFonts w:ascii="Times New Roman" w:hAnsi="Times New Roman"/>
          <w:sz w:val="22"/>
          <w:szCs w:val="22"/>
        </w:rPr>
      </w:pPr>
      <w:r w:rsidRPr="0035165B">
        <w:rPr>
          <w:rFonts w:ascii="Times New Roman" w:hAnsi="Times New Roman"/>
          <w:noProof/>
          <w:sz w:val="22"/>
          <w:szCs w:val="22"/>
          <w:lang w:val="en-US" w:eastAsia="en-US"/>
        </w:rPr>
        <w:drawing>
          <wp:anchor distT="0" distB="0" distL="114300" distR="114300" simplePos="0" relativeHeight="251661824" behindDoc="1" locked="0" layoutInCell="1" allowOverlap="1" wp14:anchorId="7214EAA1" wp14:editId="1E44957D">
            <wp:simplePos x="0" y="0"/>
            <wp:positionH relativeFrom="margin">
              <wp:align>left</wp:align>
            </wp:positionH>
            <wp:positionV relativeFrom="paragraph">
              <wp:posOffset>177800</wp:posOffset>
            </wp:positionV>
            <wp:extent cx="2947670" cy="3162300"/>
            <wp:effectExtent l="0" t="0" r="508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35165B">
        <w:rPr>
          <w:rFonts w:ascii="Times New Roman" w:hAnsi="Times New Roman"/>
          <w:noProof/>
          <w:sz w:val="22"/>
          <w:szCs w:val="22"/>
          <w:lang w:val="en-US" w:eastAsia="en-US"/>
        </w:rPr>
        <w:drawing>
          <wp:anchor distT="0" distB="0" distL="114300" distR="114300" simplePos="0" relativeHeight="251662848" behindDoc="1" locked="0" layoutInCell="1" allowOverlap="1" wp14:anchorId="277A1C06" wp14:editId="6821F993">
            <wp:simplePos x="0" y="0"/>
            <wp:positionH relativeFrom="column">
              <wp:posOffset>2931160</wp:posOffset>
            </wp:positionH>
            <wp:positionV relativeFrom="paragraph">
              <wp:posOffset>177800</wp:posOffset>
            </wp:positionV>
            <wp:extent cx="3419475" cy="3162300"/>
            <wp:effectExtent l="0" t="0" r="9525"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35165B">
        <w:rPr>
          <w:rFonts w:ascii="Times New Roman" w:hAnsi="Times New Roman"/>
          <w:color w:val="auto"/>
          <w:sz w:val="22"/>
          <w:szCs w:val="22"/>
          <w:lang w:val="en-GB"/>
        </w:rPr>
        <w:t xml:space="preserve"> </w:t>
      </w:r>
      <w:r w:rsidRPr="0035165B">
        <w:rPr>
          <w:rFonts w:ascii="Times New Roman" w:hAnsi="Times New Roman"/>
          <w:sz w:val="22"/>
          <w:szCs w:val="22"/>
        </w:rPr>
        <w:t>Figure 2: comparison of the split of the Department of Home Affairs budget between programmes</w:t>
      </w:r>
    </w:p>
    <w:p w14:paraId="0F2E0706" w14:textId="20D9F777" w:rsidR="00A048A9" w:rsidRPr="0035165B" w:rsidRDefault="00A048A9" w:rsidP="00A048A9">
      <w:pPr>
        <w:jc w:val="both"/>
        <w:rPr>
          <w:rFonts w:ascii="Times New Roman" w:hAnsi="Times New Roman"/>
          <w:sz w:val="22"/>
          <w:szCs w:val="22"/>
        </w:rPr>
      </w:pPr>
    </w:p>
    <w:p w14:paraId="64F748CD" w14:textId="77777777" w:rsidR="00570AD6" w:rsidRPr="0035165B" w:rsidRDefault="00570AD6" w:rsidP="00A048A9">
      <w:pPr>
        <w:jc w:val="both"/>
        <w:rPr>
          <w:rFonts w:ascii="Times New Roman" w:hAnsi="Times New Roman"/>
          <w:sz w:val="22"/>
          <w:szCs w:val="22"/>
        </w:rPr>
      </w:pPr>
    </w:p>
    <w:p w14:paraId="73D01FB5" w14:textId="2FCEFBE4" w:rsidR="00A048A9" w:rsidRDefault="00A048A9" w:rsidP="00A048A9">
      <w:pPr>
        <w:jc w:val="both"/>
        <w:rPr>
          <w:rFonts w:ascii="Times New Roman" w:hAnsi="Times New Roman"/>
          <w:color w:val="auto"/>
          <w:sz w:val="22"/>
          <w:szCs w:val="22"/>
        </w:rPr>
      </w:pPr>
    </w:p>
    <w:p w14:paraId="32A21DB7" w14:textId="77777777" w:rsidR="00F00404" w:rsidRPr="0035165B" w:rsidRDefault="00F00404" w:rsidP="00A048A9">
      <w:pPr>
        <w:jc w:val="both"/>
        <w:rPr>
          <w:rFonts w:ascii="Times New Roman" w:hAnsi="Times New Roman"/>
          <w:color w:val="auto"/>
          <w:sz w:val="22"/>
          <w:szCs w:val="22"/>
        </w:rPr>
      </w:pPr>
    </w:p>
    <w:p w14:paraId="22821000" w14:textId="05AA2303" w:rsidR="00A048A9" w:rsidRPr="0035165B" w:rsidRDefault="00A048A9" w:rsidP="00570AD6">
      <w:pPr>
        <w:pStyle w:val="Heading3"/>
        <w:jc w:val="both"/>
        <w:rPr>
          <w:rFonts w:ascii="Times New Roman" w:hAnsi="Times New Roman" w:cs="Times New Roman"/>
          <w:color w:val="F79646" w:themeColor="accent6"/>
          <w:sz w:val="22"/>
          <w:szCs w:val="22"/>
        </w:rPr>
      </w:pPr>
      <w:bookmarkStart w:id="9" w:name="_Toc101369928"/>
      <w:bookmarkStart w:id="10" w:name="_Toc34052276"/>
      <w:r w:rsidRPr="0035165B">
        <w:rPr>
          <w:rFonts w:ascii="Times New Roman" w:hAnsi="Times New Roman" w:cs="Times New Roman"/>
          <w:sz w:val="22"/>
          <w:szCs w:val="22"/>
          <w:lang w:val="en-GB"/>
        </w:rPr>
        <w:lastRenderedPageBreak/>
        <w:t>Programme 1: Administration</w:t>
      </w:r>
      <w:bookmarkEnd w:id="9"/>
      <w:bookmarkEnd w:id="10"/>
    </w:p>
    <w:p w14:paraId="5F8A4D80" w14:textId="031BA999" w:rsidR="00A048A9" w:rsidRPr="0035165B" w:rsidRDefault="00A048A9" w:rsidP="00A048A9">
      <w:pPr>
        <w:spacing w:after="60" w:line="276" w:lineRule="auto"/>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Table 3 below depicts DHA’s budget changes in comparison to the previous financial year:</w:t>
      </w:r>
    </w:p>
    <w:p w14:paraId="5746115F" w14:textId="77777777" w:rsidR="00570AD6" w:rsidRPr="0035165B" w:rsidRDefault="00570AD6" w:rsidP="00A048A9">
      <w:pPr>
        <w:spacing w:after="60" w:line="276" w:lineRule="auto"/>
        <w:jc w:val="both"/>
        <w:rPr>
          <w:rFonts w:ascii="Times New Roman" w:hAnsi="Times New Roman"/>
          <w:color w:val="auto"/>
          <w:spacing w:val="0"/>
          <w:sz w:val="22"/>
          <w:szCs w:val="22"/>
          <w:lang w:val="en-GB"/>
        </w:rPr>
      </w:pPr>
    </w:p>
    <w:p w14:paraId="57CC04C9" w14:textId="77777777" w:rsidR="00A048A9" w:rsidRPr="0035165B" w:rsidRDefault="00A048A9" w:rsidP="00A048A9">
      <w:pPr>
        <w:spacing w:after="60" w:line="276" w:lineRule="auto"/>
        <w:jc w:val="both"/>
        <w:rPr>
          <w:rFonts w:ascii="Times New Roman" w:hAnsi="Times New Roman"/>
          <w:b/>
          <w:spacing w:val="0"/>
          <w:sz w:val="22"/>
          <w:szCs w:val="22"/>
          <w:lang w:val="en-GB"/>
        </w:rPr>
      </w:pPr>
      <w:r w:rsidRPr="0035165B">
        <w:rPr>
          <w:rFonts w:ascii="Times New Roman" w:hAnsi="Times New Roman"/>
          <w:b/>
          <w:spacing w:val="0"/>
          <w:sz w:val="22"/>
          <w:szCs w:val="22"/>
          <w:lang w:val="en-GB"/>
        </w:rPr>
        <w:t>Table 3: Programme 1: Administration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184"/>
        <w:gridCol w:w="1142"/>
        <w:gridCol w:w="1266"/>
        <w:gridCol w:w="1288"/>
        <w:gridCol w:w="1235"/>
        <w:gridCol w:w="1006"/>
      </w:tblGrid>
      <w:tr w:rsidR="00A048A9" w:rsidRPr="0035165B" w14:paraId="7C48CBEA" w14:textId="77777777" w:rsidTr="00A048A9">
        <w:trPr>
          <w:trHeight w:val="765"/>
        </w:trPr>
        <w:tc>
          <w:tcPr>
            <w:tcW w:w="2502" w:type="dxa"/>
            <w:tcBorders>
              <w:top w:val="single" w:sz="12" w:space="0" w:color="auto"/>
              <w:left w:val="single" w:sz="12" w:space="0" w:color="auto"/>
              <w:bottom w:val="double" w:sz="4" w:space="0" w:color="auto"/>
              <w:right w:val="single" w:sz="12" w:space="0" w:color="auto"/>
            </w:tcBorders>
            <w:shd w:val="pct15" w:color="auto" w:fill="auto"/>
            <w:noWrap/>
            <w:hideMark/>
          </w:tcPr>
          <w:p w14:paraId="48E07254"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Programme</w:t>
            </w:r>
          </w:p>
        </w:tc>
        <w:tc>
          <w:tcPr>
            <w:tcW w:w="2326" w:type="dxa"/>
            <w:gridSpan w:val="2"/>
            <w:tcBorders>
              <w:top w:val="single" w:sz="12" w:space="0" w:color="auto"/>
              <w:left w:val="single" w:sz="12" w:space="0" w:color="auto"/>
              <w:bottom w:val="double" w:sz="4" w:space="0" w:color="auto"/>
              <w:right w:val="single" w:sz="12" w:space="0" w:color="auto"/>
            </w:tcBorders>
            <w:shd w:val="pct15" w:color="auto" w:fill="auto"/>
            <w:hideMark/>
          </w:tcPr>
          <w:p w14:paraId="658EDC27"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Budget</w:t>
            </w:r>
          </w:p>
        </w:tc>
        <w:tc>
          <w:tcPr>
            <w:tcW w:w="1266"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34A0A3A1"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Nominal Increase/ Decrease in 2022/23</w:t>
            </w:r>
          </w:p>
          <w:p w14:paraId="11B21AB4"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Rand)</w:t>
            </w:r>
          </w:p>
        </w:tc>
        <w:tc>
          <w:tcPr>
            <w:tcW w:w="1288"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78B71C3E"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Real Increase/ Decrease in 2022/23</w:t>
            </w:r>
          </w:p>
          <w:p w14:paraId="23C360D9"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(Rand)</w:t>
            </w:r>
          </w:p>
        </w:tc>
        <w:tc>
          <w:tcPr>
            <w:tcW w:w="1235"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19673515"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Nominal Percent change in 2022/23</w:t>
            </w:r>
          </w:p>
        </w:tc>
        <w:tc>
          <w:tcPr>
            <w:tcW w:w="1006"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276C2EB6"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Real Percent change in 2022/23</w:t>
            </w:r>
          </w:p>
        </w:tc>
      </w:tr>
      <w:tr w:rsidR="00A048A9" w:rsidRPr="0035165B" w14:paraId="58ECC2BF" w14:textId="77777777" w:rsidTr="00A048A9">
        <w:trPr>
          <w:trHeight w:val="264"/>
        </w:trPr>
        <w:tc>
          <w:tcPr>
            <w:tcW w:w="2502" w:type="dxa"/>
            <w:tcBorders>
              <w:top w:val="single" w:sz="12" w:space="0" w:color="auto"/>
              <w:left w:val="single" w:sz="12" w:space="0" w:color="auto"/>
              <w:bottom w:val="single" w:sz="12" w:space="0" w:color="auto"/>
              <w:right w:val="single" w:sz="12" w:space="0" w:color="auto"/>
            </w:tcBorders>
            <w:shd w:val="pct15" w:color="auto" w:fill="auto"/>
            <w:noWrap/>
            <w:hideMark/>
          </w:tcPr>
          <w:p w14:paraId="0FC3BB02"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 million</w:t>
            </w:r>
          </w:p>
        </w:tc>
        <w:tc>
          <w:tcPr>
            <w:tcW w:w="1184" w:type="dxa"/>
            <w:tcBorders>
              <w:top w:val="single" w:sz="12" w:space="0" w:color="auto"/>
              <w:left w:val="single" w:sz="12" w:space="0" w:color="auto"/>
              <w:bottom w:val="single" w:sz="12" w:space="0" w:color="auto"/>
              <w:right w:val="single" w:sz="12" w:space="0" w:color="auto"/>
            </w:tcBorders>
            <w:shd w:val="pct15" w:color="auto" w:fill="auto"/>
            <w:noWrap/>
            <w:hideMark/>
          </w:tcPr>
          <w:p w14:paraId="62E9FDE3"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2021/22</w:t>
            </w:r>
          </w:p>
        </w:tc>
        <w:tc>
          <w:tcPr>
            <w:tcW w:w="1142" w:type="dxa"/>
            <w:tcBorders>
              <w:top w:val="single" w:sz="12" w:space="0" w:color="auto"/>
              <w:left w:val="single" w:sz="12" w:space="0" w:color="auto"/>
              <w:bottom w:val="single" w:sz="12" w:space="0" w:color="auto"/>
              <w:right w:val="single" w:sz="12" w:space="0" w:color="auto"/>
            </w:tcBorders>
            <w:shd w:val="pct15" w:color="auto" w:fill="auto"/>
            <w:noWrap/>
            <w:hideMark/>
          </w:tcPr>
          <w:p w14:paraId="45BDD637"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2022/23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ECFD346"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5E8EF5C"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4336879"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33BD1CE" w14:textId="77777777" w:rsidR="00A048A9" w:rsidRPr="0035165B" w:rsidRDefault="00A048A9">
            <w:pPr>
              <w:spacing w:line="240" w:lineRule="auto"/>
              <w:rPr>
                <w:rFonts w:ascii="Times New Roman" w:eastAsia="Calibri" w:hAnsi="Times New Roman"/>
                <w:b/>
                <w:bCs/>
                <w:spacing w:val="0"/>
                <w:sz w:val="22"/>
                <w:szCs w:val="22"/>
                <w:lang w:val="en-GB"/>
              </w:rPr>
            </w:pPr>
          </w:p>
        </w:tc>
      </w:tr>
      <w:tr w:rsidR="00A048A9" w:rsidRPr="0035165B" w14:paraId="514ABC13" w14:textId="77777777" w:rsidTr="00A048A9">
        <w:trPr>
          <w:trHeight w:val="264"/>
        </w:trPr>
        <w:tc>
          <w:tcPr>
            <w:tcW w:w="2502" w:type="dxa"/>
            <w:tcBorders>
              <w:top w:val="single" w:sz="12" w:space="0" w:color="auto"/>
              <w:left w:val="single" w:sz="4" w:space="0" w:color="auto"/>
              <w:bottom w:val="single" w:sz="4" w:space="0" w:color="auto"/>
              <w:right w:val="single" w:sz="4" w:space="0" w:color="auto"/>
            </w:tcBorders>
            <w:noWrap/>
            <w:hideMark/>
          </w:tcPr>
          <w:p w14:paraId="0DF7FD6B"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Ministry</w:t>
            </w:r>
          </w:p>
        </w:tc>
        <w:tc>
          <w:tcPr>
            <w:tcW w:w="1184" w:type="dxa"/>
            <w:tcBorders>
              <w:top w:val="single" w:sz="12" w:space="0" w:color="auto"/>
              <w:left w:val="single" w:sz="4" w:space="0" w:color="auto"/>
              <w:bottom w:val="single" w:sz="4" w:space="0" w:color="auto"/>
              <w:right w:val="single" w:sz="4" w:space="0" w:color="auto"/>
            </w:tcBorders>
            <w:noWrap/>
            <w:hideMark/>
          </w:tcPr>
          <w:p w14:paraId="7DC1B82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30,8</w:t>
            </w:r>
          </w:p>
        </w:tc>
        <w:tc>
          <w:tcPr>
            <w:tcW w:w="1142" w:type="dxa"/>
            <w:tcBorders>
              <w:top w:val="single" w:sz="12" w:space="0" w:color="auto"/>
              <w:left w:val="single" w:sz="4" w:space="0" w:color="auto"/>
              <w:bottom w:val="single" w:sz="4" w:space="0" w:color="auto"/>
              <w:right w:val="single" w:sz="4" w:space="0" w:color="auto"/>
            </w:tcBorders>
            <w:noWrap/>
            <w:hideMark/>
          </w:tcPr>
          <w:p w14:paraId="0BC2988C"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34,5</w:t>
            </w:r>
          </w:p>
        </w:tc>
        <w:tc>
          <w:tcPr>
            <w:tcW w:w="1266" w:type="dxa"/>
            <w:tcBorders>
              <w:top w:val="single" w:sz="12" w:space="0" w:color="auto"/>
              <w:left w:val="single" w:sz="4" w:space="0" w:color="auto"/>
              <w:bottom w:val="single" w:sz="4" w:space="0" w:color="auto"/>
              <w:right w:val="single" w:sz="4" w:space="0" w:color="auto"/>
            </w:tcBorders>
            <w:noWrap/>
            <w:hideMark/>
          </w:tcPr>
          <w:p w14:paraId="4362E762"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3,7</w:t>
            </w:r>
          </w:p>
        </w:tc>
        <w:tc>
          <w:tcPr>
            <w:tcW w:w="1288" w:type="dxa"/>
            <w:tcBorders>
              <w:top w:val="single" w:sz="12" w:space="0" w:color="auto"/>
              <w:left w:val="single" w:sz="4" w:space="0" w:color="auto"/>
              <w:bottom w:val="single" w:sz="4" w:space="0" w:color="auto"/>
              <w:right w:val="single" w:sz="4" w:space="0" w:color="auto"/>
            </w:tcBorders>
            <w:noWrap/>
            <w:hideMark/>
          </w:tcPr>
          <w:p w14:paraId="4453811B"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2,2</w:t>
            </w:r>
          </w:p>
        </w:tc>
        <w:tc>
          <w:tcPr>
            <w:tcW w:w="1235" w:type="dxa"/>
            <w:tcBorders>
              <w:top w:val="single" w:sz="12" w:space="0" w:color="auto"/>
              <w:left w:val="single" w:sz="4" w:space="0" w:color="auto"/>
              <w:bottom w:val="single" w:sz="4" w:space="0" w:color="auto"/>
              <w:right w:val="single" w:sz="4" w:space="0" w:color="auto"/>
            </w:tcBorders>
            <w:noWrap/>
            <w:hideMark/>
          </w:tcPr>
          <w:p w14:paraId="528CAED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12,01%</w:t>
            </w:r>
          </w:p>
        </w:tc>
        <w:tc>
          <w:tcPr>
            <w:tcW w:w="1006" w:type="dxa"/>
            <w:tcBorders>
              <w:top w:val="single" w:sz="12" w:space="0" w:color="auto"/>
              <w:left w:val="single" w:sz="4" w:space="0" w:color="auto"/>
              <w:bottom w:val="single" w:sz="4" w:space="0" w:color="auto"/>
              <w:right w:val="single" w:sz="4" w:space="0" w:color="auto"/>
            </w:tcBorders>
            <w:noWrap/>
            <w:hideMark/>
          </w:tcPr>
          <w:p w14:paraId="7A1D4E1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7,19%</w:t>
            </w:r>
          </w:p>
        </w:tc>
      </w:tr>
      <w:tr w:rsidR="00A048A9" w:rsidRPr="0035165B" w14:paraId="6FCE9639" w14:textId="77777777" w:rsidTr="00A048A9">
        <w:trPr>
          <w:trHeight w:val="264"/>
        </w:trPr>
        <w:tc>
          <w:tcPr>
            <w:tcW w:w="2502" w:type="dxa"/>
            <w:tcBorders>
              <w:top w:val="single" w:sz="4" w:space="0" w:color="auto"/>
              <w:left w:val="single" w:sz="4" w:space="0" w:color="auto"/>
              <w:bottom w:val="single" w:sz="4" w:space="0" w:color="auto"/>
              <w:right w:val="single" w:sz="4" w:space="0" w:color="auto"/>
            </w:tcBorders>
            <w:noWrap/>
            <w:hideMark/>
          </w:tcPr>
          <w:p w14:paraId="3B1E036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Management Support Services</w:t>
            </w:r>
          </w:p>
        </w:tc>
        <w:tc>
          <w:tcPr>
            <w:tcW w:w="1184" w:type="dxa"/>
            <w:tcBorders>
              <w:top w:val="single" w:sz="4" w:space="0" w:color="auto"/>
              <w:left w:val="single" w:sz="4" w:space="0" w:color="auto"/>
              <w:bottom w:val="single" w:sz="4" w:space="0" w:color="auto"/>
              <w:right w:val="single" w:sz="4" w:space="0" w:color="auto"/>
            </w:tcBorders>
            <w:noWrap/>
            <w:hideMark/>
          </w:tcPr>
          <w:p w14:paraId="0974C8A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199,4</w:t>
            </w:r>
          </w:p>
        </w:tc>
        <w:tc>
          <w:tcPr>
            <w:tcW w:w="1142" w:type="dxa"/>
            <w:tcBorders>
              <w:top w:val="single" w:sz="4" w:space="0" w:color="auto"/>
              <w:left w:val="single" w:sz="4" w:space="0" w:color="auto"/>
              <w:bottom w:val="single" w:sz="4" w:space="0" w:color="auto"/>
              <w:right w:val="single" w:sz="4" w:space="0" w:color="auto"/>
            </w:tcBorders>
            <w:noWrap/>
            <w:hideMark/>
          </w:tcPr>
          <w:p w14:paraId="60437B4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279,6</w:t>
            </w:r>
          </w:p>
        </w:tc>
        <w:tc>
          <w:tcPr>
            <w:tcW w:w="1266" w:type="dxa"/>
            <w:tcBorders>
              <w:top w:val="single" w:sz="4" w:space="0" w:color="auto"/>
              <w:left w:val="single" w:sz="4" w:space="0" w:color="auto"/>
              <w:bottom w:val="single" w:sz="4" w:space="0" w:color="auto"/>
              <w:right w:val="single" w:sz="4" w:space="0" w:color="auto"/>
            </w:tcBorders>
            <w:noWrap/>
            <w:hideMark/>
          </w:tcPr>
          <w:p w14:paraId="17DD11E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80,2</w:t>
            </w:r>
          </w:p>
        </w:tc>
        <w:tc>
          <w:tcPr>
            <w:tcW w:w="1288" w:type="dxa"/>
            <w:tcBorders>
              <w:top w:val="single" w:sz="4" w:space="0" w:color="auto"/>
              <w:left w:val="single" w:sz="4" w:space="0" w:color="auto"/>
              <w:bottom w:val="single" w:sz="4" w:space="0" w:color="auto"/>
              <w:right w:val="single" w:sz="4" w:space="0" w:color="auto"/>
            </w:tcBorders>
            <w:noWrap/>
            <w:hideMark/>
          </w:tcPr>
          <w:p w14:paraId="1703E2B2"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68,2</w:t>
            </w:r>
          </w:p>
        </w:tc>
        <w:tc>
          <w:tcPr>
            <w:tcW w:w="1235" w:type="dxa"/>
            <w:tcBorders>
              <w:top w:val="single" w:sz="4" w:space="0" w:color="auto"/>
              <w:left w:val="single" w:sz="4" w:space="0" w:color="auto"/>
              <w:bottom w:val="single" w:sz="4" w:space="0" w:color="auto"/>
              <w:right w:val="single" w:sz="4" w:space="0" w:color="auto"/>
            </w:tcBorders>
            <w:noWrap/>
            <w:hideMark/>
          </w:tcPr>
          <w:p w14:paraId="0B1C871B"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40,22%</w:t>
            </w:r>
          </w:p>
        </w:tc>
        <w:tc>
          <w:tcPr>
            <w:tcW w:w="1006" w:type="dxa"/>
            <w:tcBorders>
              <w:top w:val="single" w:sz="4" w:space="0" w:color="auto"/>
              <w:left w:val="single" w:sz="4" w:space="0" w:color="auto"/>
              <w:bottom w:val="single" w:sz="4" w:space="0" w:color="auto"/>
              <w:right w:val="single" w:sz="4" w:space="0" w:color="auto"/>
            </w:tcBorders>
            <w:noWrap/>
            <w:hideMark/>
          </w:tcPr>
          <w:p w14:paraId="6077D260"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34,18%</w:t>
            </w:r>
          </w:p>
        </w:tc>
      </w:tr>
      <w:tr w:rsidR="00A048A9" w:rsidRPr="0035165B" w14:paraId="2D6975D2" w14:textId="77777777" w:rsidTr="00A048A9">
        <w:trPr>
          <w:trHeight w:val="264"/>
        </w:trPr>
        <w:tc>
          <w:tcPr>
            <w:tcW w:w="2502" w:type="dxa"/>
            <w:tcBorders>
              <w:top w:val="single" w:sz="4" w:space="0" w:color="auto"/>
              <w:left w:val="single" w:sz="4" w:space="0" w:color="auto"/>
              <w:bottom w:val="single" w:sz="4" w:space="0" w:color="auto"/>
              <w:right w:val="single" w:sz="4" w:space="0" w:color="auto"/>
            </w:tcBorders>
            <w:noWrap/>
            <w:hideMark/>
          </w:tcPr>
          <w:p w14:paraId="6365F161"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Corporate Services</w:t>
            </w:r>
          </w:p>
        </w:tc>
        <w:tc>
          <w:tcPr>
            <w:tcW w:w="1184" w:type="dxa"/>
            <w:tcBorders>
              <w:top w:val="single" w:sz="4" w:space="0" w:color="auto"/>
              <w:left w:val="single" w:sz="4" w:space="0" w:color="auto"/>
              <w:bottom w:val="single" w:sz="4" w:space="0" w:color="auto"/>
              <w:right w:val="single" w:sz="4" w:space="0" w:color="auto"/>
            </w:tcBorders>
            <w:noWrap/>
            <w:hideMark/>
          </w:tcPr>
          <w:p w14:paraId="58EA0D00"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555,1</w:t>
            </w:r>
          </w:p>
        </w:tc>
        <w:tc>
          <w:tcPr>
            <w:tcW w:w="1142" w:type="dxa"/>
            <w:tcBorders>
              <w:top w:val="single" w:sz="4" w:space="0" w:color="auto"/>
              <w:left w:val="single" w:sz="4" w:space="0" w:color="auto"/>
              <w:bottom w:val="single" w:sz="4" w:space="0" w:color="auto"/>
              <w:right w:val="single" w:sz="4" w:space="0" w:color="auto"/>
            </w:tcBorders>
            <w:noWrap/>
            <w:hideMark/>
          </w:tcPr>
          <w:p w14:paraId="26018F05"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655,9</w:t>
            </w:r>
          </w:p>
        </w:tc>
        <w:tc>
          <w:tcPr>
            <w:tcW w:w="1266" w:type="dxa"/>
            <w:tcBorders>
              <w:top w:val="single" w:sz="4" w:space="0" w:color="auto"/>
              <w:left w:val="single" w:sz="4" w:space="0" w:color="auto"/>
              <w:bottom w:val="single" w:sz="4" w:space="0" w:color="auto"/>
              <w:right w:val="single" w:sz="4" w:space="0" w:color="auto"/>
            </w:tcBorders>
            <w:noWrap/>
            <w:hideMark/>
          </w:tcPr>
          <w:p w14:paraId="24D87A60"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100,8</w:t>
            </w:r>
          </w:p>
        </w:tc>
        <w:tc>
          <w:tcPr>
            <w:tcW w:w="1288" w:type="dxa"/>
            <w:tcBorders>
              <w:top w:val="single" w:sz="4" w:space="0" w:color="auto"/>
              <w:left w:val="single" w:sz="4" w:space="0" w:color="auto"/>
              <w:bottom w:val="single" w:sz="4" w:space="0" w:color="auto"/>
              <w:right w:val="single" w:sz="4" w:space="0" w:color="auto"/>
            </w:tcBorders>
            <w:noWrap/>
            <w:hideMark/>
          </w:tcPr>
          <w:p w14:paraId="1FDB7A4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72,6</w:t>
            </w:r>
          </w:p>
        </w:tc>
        <w:tc>
          <w:tcPr>
            <w:tcW w:w="1235" w:type="dxa"/>
            <w:tcBorders>
              <w:top w:val="single" w:sz="4" w:space="0" w:color="auto"/>
              <w:left w:val="single" w:sz="4" w:space="0" w:color="auto"/>
              <w:bottom w:val="single" w:sz="4" w:space="0" w:color="auto"/>
              <w:right w:val="single" w:sz="4" w:space="0" w:color="auto"/>
            </w:tcBorders>
            <w:noWrap/>
            <w:hideMark/>
          </w:tcPr>
          <w:p w14:paraId="41EE1775"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18,16%</w:t>
            </w:r>
          </w:p>
        </w:tc>
        <w:tc>
          <w:tcPr>
            <w:tcW w:w="1006" w:type="dxa"/>
            <w:tcBorders>
              <w:top w:val="single" w:sz="4" w:space="0" w:color="auto"/>
              <w:left w:val="single" w:sz="4" w:space="0" w:color="auto"/>
              <w:bottom w:val="single" w:sz="4" w:space="0" w:color="auto"/>
              <w:right w:val="single" w:sz="4" w:space="0" w:color="auto"/>
            </w:tcBorders>
            <w:noWrap/>
            <w:hideMark/>
          </w:tcPr>
          <w:p w14:paraId="6606C968"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13,07%</w:t>
            </w:r>
          </w:p>
        </w:tc>
      </w:tr>
      <w:tr w:rsidR="00A048A9" w:rsidRPr="0035165B" w14:paraId="49D8B830" w14:textId="77777777" w:rsidTr="00A048A9">
        <w:trPr>
          <w:trHeight w:val="264"/>
        </w:trPr>
        <w:tc>
          <w:tcPr>
            <w:tcW w:w="2502" w:type="dxa"/>
            <w:tcBorders>
              <w:top w:val="single" w:sz="4" w:space="0" w:color="auto"/>
              <w:left w:val="single" w:sz="4" w:space="0" w:color="auto"/>
              <w:bottom w:val="single" w:sz="4" w:space="0" w:color="auto"/>
              <w:right w:val="single" w:sz="4" w:space="0" w:color="auto"/>
            </w:tcBorders>
            <w:noWrap/>
            <w:hideMark/>
          </w:tcPr>
          <w:p w14:paraId="41D9C75D"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Transversal Information</w:t>
            </w:r>
          </w:p>
        </w:tc>
        <w:tc>
          <w:tcPr>
            <w:tcW w:w="1184" w:type="dxa"/>
            <w:tcBorders>
              <w:top w:val="single" w:sz="4" w:space="0" w:color="auto"/>
              <w:left w:val="single" w:sz="4" w:space="0" w:color="auto"/>
              <w:bottom w:val="single" w:sz="4" w:space="0" w:color="auto"/>
              <w:right w:val="single" w:sz="4" w:space="0" w:color="auto"/>
            </w:tcBorders>
            <w:noWrap/>
            <w:hideMark/>
          </w:tcPr>
          <w:p w14:paraId="5AC21EF7"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1 003,9</w:t>
            </w:r>
          </w:p>
        </w:tc>
        <w:tc>
          <w:tcPr>
            <w:tcW w:w="1142" w:type="dxa"/>
            <w:tcBorders>
              <w:top w:val="single" w:sz="4" w:space="0" w:color="auto"/>
              <w:left w:val="single" w:sz="4" w:space="0" w:color="auto"/>
              <w:bottom w:val="single" w:sz="4" w:space="0" w:color="auto"/>
              <w:right w:val="single" w:sz="4" w:space="0" w:color="auto"/>
            </w:tcBorders>
            <w:noWrap/>
            <w:hideMark/>
          </w:tcPr>
          <w:p w14:paraId="642ABDF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1 174,9</w:t>
            </w:r>
          </w:p>
        </w:tc>
        <w:tc>
          <w:tcPr>
            <w:tcW w:w="1266" w:type="dxa"/>
            <w:tcBorders>
              <w:top w:val="single" w:sz="4" w:space="0" w:color="auto"/>
              <w:left w:val="single" w:sz="4" w:space="0" w:color="auto"/>
              <w:bottom w:val="single" w:sz="4" w:space="0" w:color="auto"/>
              <w:right w:val="single" w:sz="4" w:space="0" w:color="auto"/>
            </w:tcBorders>
            <w:noWrap/>
            <w:hideMark/>
          </w:tcPr>
          <w:p w14:paraId="56C5F369"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171,0</w:t>
            </w:r>
          </w:p>
        </w:tc>
        <w:tc>
          <w:tcPr>
            <w:tcW w:w="1288" w:type="dxa"/>
            <w:tcBorders>
              <w:top w:val="single" w:sz="4" w:space="0" w:color="auto"/>
              <w:left w:val="single" w:sz="4" w:space="0" w:color="auto"/>
              <w:bottom w:val="single" w:sz="4" w:space="0" w:color="auto"/>
              <w:right w:val="single" w:sz="4" w:space="0" w:color="auto"/>
            </w:tcBorders>
            <w:noWrap/>
            <w:hideMark/>
          </w:tcPr>
          <w:p w14:paraId="0317DEB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120,4</w:t>
            </w:r>
          </w:p>
        </w:tc>
        <w:tc>
          <w:tcPr>
            <w:tcW w:w="1235" w:type="dxa"/>
            <w:tcBorders>
              <w:top w:val="single" w:sz="4" w:space="0" w:color="auto"/>
              <w:left w:val="single" w:sz="4" w:space="0" w:color="auto"/>
              <w:bottom w:val="single" w:sz="4" w:space="0" w:color="auto"/>
              <w:right w:val="single" w:sz="4" w:space="0" w:color="auto"/>
            </w:tcBorders>
            <w:noWrap/>
            <w:hideMark/>
          </w:tcPr>
          <w:p w14:paraId="45C79E3F"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17,03%</w:t>
            </w:r>
          </w:p>
        </w:tc>
        <w:tc>
          <w:tcPr>
            <w:tcW w:w="1006" w:type="dxa"/>
            <w:tcBorders>
              <w:top w:val="single" w:sz="4" w:space="0" w:color="auto"/>
              <w:left w:val="single" w:sz="4" w:space="0" w:color="auto"/>
              <w:bottom w:val="single" w:sz="4" w:space="0" w:color="auto"/>
              <w:right w:val="single" w:sz="4" w:space="0" w:color="auto"/>
            </w:tcBorders>
            <w:noWrap/>
            <w:hideMark/>
          </w:tcPr>
          <w:p w14:paraId="160E9E39"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11,99%</w:t>
            </w:r>
          </w:p>
        </w:tc>
      </w:tr>
      <w:tr w:rsidR="00A048A9" w:rsidRPr="0035165B" w14:paraId="5EA4FA68" w14:textId="77777777" w:rsidTr="00A048A9">
        <w:trPr>
          <w:trHeight w:val="264"/>
        </w:trPr>
        <w:tc>
          <w:tcPr>
            <w:tcW w:w="2502" w:type="dxa"/>
            <w:tcBorders>
              <w:top w:val="single" w:sz="4" w:space="0" w:color="auto"/>
              <w:left w:val="single" w:sz="4" w:space="0" w:color="auto"/>
              <w:bottom w:val="single" w:sz="12" w:space="0" w:color="auto"/>
              <w:right w:val="single" w:sz="4" w:space="0" w:color="auto"/>
            </w:tcBorders>
            <w:noWrap/>
            <w:hideMark/>
          </w:tcPr>
          <w:p w14:paraId="1A1EEE38"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Office Accommodation</w:t>
            </w:r>
          </w:p>
        </w:tc>
        <w:tc>
          <w:tcPr>
            <w:tcW w:w="1184" w:type="dxa"/>
            <w:tcBorders>
              <w:top w:val="single" w:sz="4" w:space="0" w:color="auto"/>
              <w:left w:val="single" w:sz="4" w:space="0" w:color="auto"/>
              <w:bottom w:val="single" w:sz="12" w:space="0" w:color="auto"/>
              <w:right w:val="single" w:sz="4" w:space="0" w:color="auto"/>
            </w:tcBorders>
            <w:noWrap/>
            <w:hideMark/>
          </w:tcPr>
          <w:p w14:paraId="2FA5999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582,3</w:t>
            </w:r>
          </w:p>
        </w:tc>
        <w:tc>
          <w:tcPr>
            <w:tcW w:w="1142" w:type="dxa"/>
            <w:tcBorders>
              <w:top w:val="single" w:sz="4" w:space="0" w:color="auto"/>
              <w:left w:val="single" w:sz="4" w:space="0" w:color="auto"/>
              <w:bottom w:val="single" w:sz="12" w:space="0" w:color="auto"/>
              <w:right w:val="single" w:sz="4" w:space="0" w:color="auto"/>
            </w:tcBorders>
            <w:noWrap/>
            <w:hideMark/>
          </w:tcPr>
          <w:p w14:paraId="7F01CEA7"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465,0</w:t>
            </w:r>
          </w:p>
        </w:tc>
        <w:tc>
          <w:tcPr>
            <w:tcW w:w="1266" w:type="dxa"/>
            <w:tcBorders>
              <w:top w:val="single" w:sz="4" w:space="0" w:color="auto"/>
              <w:left w:val="single" w:sz="4" w:space="0" w:color="auto"/>
              <w:bottom w:val="single" w:sz="12" w:space="0" w:color="auto"/>
              <w:right w:val="single" w:sz="4" w:space="0" w:color="auto"/>
            </w:tcBorders>
            <w:noWrap/>
            <w:hideMark/>
          </w:tcPr>
          <w:p w14:paraId="0361E198"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color w:val="FF0000"/>
                <w:spacing w:val="0"/>
                <w:sz w:val="22"/>
                <w:szCs w:val="22"/>
                <w:lang w:val="en-GB"/>
              </w:rPr>
              <w:t>-117,3</w:t>
            </w:r>
          </w:p>
        </w:tc>
        <w:tc>
          <w:tcPr>
            <w:tcW w:w="1288" w:type="dxa"/>
            <w:tcBorders>
              <w:top w:val="single" w:sz="4" w:space="0" w:color="auto"/>
              <w:left w:val="single" w:sz="4" w:space="0" w:color="auto"/>
              <w:bottom w:val="single" w:sz="12" w:space="0" w:color="auto"/>
              <w:right w:val="single" w:sz="4" w:space="0" w:color="auto"/>
            </w:tcBorders>
            <w:noWrap/>
            <w:hideMark/>
          </w:tcPr>
          <w:p w14:paraId="5D1840AF"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color w:val="FF0000"/>
                <w:spacing w:val="0"/>
                <w:sz w:val="22"/>
                <w:szCs w:val="22"/>
                <w:lang w:val="en-GB"/>
              </w:rPr>
              <w:t>-137,3</w:t>
            </w:r>
          </w:p>
        </w:tc>
        <w:tc>
          <w:tcPr>
            <w:tcW w:w="1235" w:type="dxa"/>
            <w:tcBorders>
              <w:top w:val="single" w:sz="4" w:space="0" w:color="auto"/>
              <w:left w:val="single" w:sz="4" w:space="0" w:color="auto"/>
              <w:bottom w:val="single" w:sz="12" w:space="0" w:color="auto"/>
              <w:right w:val="single" w:sz="4" w:space="0" w:color="auto"/>
            </w:tcBorders>
            <w:noWrap/>
            <w:hideMark/>
          </w:tcPr>
          <w:p w14:paraId="067669D2"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color w:val="FF0000"/>
                <w:spacing w:val="0"/>
                <w:sz w:val="22"/>
                <w:szCs w:val="22"/>
                <w:lang w:val="en-GB"/>
              </w:rPr>
              <w:t>-20,14%</w:t>
            </w:r>
          </w:p>
        </w:tc>
        <w:tc>
          <w:tcPr>
            <w:tcW w:w="1006" w:type="dxa"/>
            <w:tcBorders>
              <w:top w:val="single" w:sz="4" w:space="0" w:color="auto"/>
              <w:left w:val="single" w:sz="4" w:space="0" w:color="auto"/>
              <w:bottom w:val="single" w:sz="12" w:space="0" w:color="auto"/>
              <w:right w:val="single" w:sz="4" w:space="0" w:color="auto"/>
            </w:tcBorders>
            <w:noWrap/>
            <w:hideMark/>
          </w:tcPr>
          <w:p w14:paraId="07C65484"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color w:val="FF0000"/>
                <w:spacing w:val="0"/>
                <w:sz w:val="22"/>
                <w:szCs w:val="22"/>
                <w:lang w:val="en-GB"/>
              </w:rPr>
              <w:t>-23,58%</w:t>
            </w:r>
          </w:p>
        </w:tc>
      </w:tr>
      <w:tr w:rsidR="00A048A9" w:rsidRPr="0035165B" w14:paraId="7CC7D61C" w14:textId="77777777" w:rsidTr="00A048A9">
        <w:trPr>
          <w:trHeight w:val="264"/>
        </w:trPr>
        <w:tc>
          <w:tcPr>
            <w:tcW w:w="2502" w:type="dxa"/>
            <w:tcBorders>
              <w:top w:val="single" w:sz="12" w:space="0" w:color="auto"/>
              <w:left w:val="single" w:sz="12" w:space="0" w:color="auto"/>
              <w:bottom w:val="single" w:sz="12" w:space="0" w:color="auto"/>
              <w:right w:val="double" w:sz="4" w:space="0" w:color="auto"/>
            </w:tcBorders>
            <w:shd w:val="pct15" w:color="auto" w:fill="auto"/>
            <w:noWrap/>
            <w:hideMark/>
          </w:tcPr>
          <w:p w14:paraId="7A27594B"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TOTAL</w:t>
            </w:r>
          </w:p>
        </w:tc>
        <w:tc>
          <w:tcPr>
            <w:tcW w:w="1184" w:type="dxa"/>
            <w:tcBorders>
              <w:top w:val="single" w:sz="12" w:space="0" w:color="auto"/>
              <w:left w:val="double" w:sz="4" w:space="0" w:color="auto"/>
              <w:bottom w:val="single" w:sz="12" w:space="0" w:color="auto"/>
              <w:right w:val="double" w:sz="4" w:space="0" w:color="auto"/>
            </w:tcBorders>
            <w:shd w:val="pct15" w:color="auto" w:fill="auto"/>
            <w:noWrap/>
            <w:hideMark/>
          </w:tcPr>
          <w:p w14:paraId="52999991"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2 371,5</w:t>
            </w:r>
          </w:p>
        </w:tc>
        <w:tc>
          <w:tcPr>
            <w:tcW w:w="1142" w:type="dxa"/>
            <w:tcBorders>
              <w:top w:val="single" w:sz="12" w:space="0" w:color="auto"/>
              <w:left w:val="double" w:sz="4" w:space="0" w:color="auto"/>
              <w:bottom w:val="single" w:sz="12" w:space="0" w:color="auto"/>
              <w:right w:val="double" w:sz="4" w:space="0" w:color="auto"/>
            </w:tcBorders>
            <w:shd w:val="pct15" w:color="auto" w:fill="auto"/>
            <w:noWrap/>
            <w:hideMark/>
          </w:tcPr>
          <w:p w14:paraId="69A52B50"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2 609,9</w:t>
            </w:r>
          </w:p>
        </w:tc>
        <w:tc>
          <w:tcPr>
            <w:tcW w:w="1266" w:type="dxa"/>
            <w:tcBorders>
              <w:top w:val="single" w:sz="12" w:space="0" w:color="auto"/>
              <w:left w:val="double" w:sz="4" w:space="0" w:color="auto"/>
              <w:bottom w:val="single" w:sz="12" w:space="0" w:color="auto"/>
              <w:right w:val="double" w:sz="4" w:space="0" w:color="auto"/>
            </w:tcBorders>
            <w:shd w:val="pct15" w:color="auto" w:fill="auto"/>
            <w:noWrap/>
            <w:hideMark/>
          </w:tcPr>
          <w:p w14:paraId="007B7B86"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238,4</w:t>
            </w:r>
          </w:p>
        </w:tc>
        <w:tc>
          <w:tcPr>
            <w:tcW w:w="1288" w:type="dxa"/>
            <w:tcBorders>
              <w:top w:val="single" w:sz="12" w:space="0" w:color="auto"/>
              <w:left w:val="double" w:sz="4" w:space="0" w:color="auto"/>
              <w:bottom w:val="single" w:sz="12" w:space="0" w:color="auto"/>
              <w:right w:val="double" w:sz="4" w:space="0" w:color="auto"/>
            </w:tcBorders>
            <w:shd w:val="pct15" w:color="auto" w:fill="auto"/>
            <w:noWrap/>
            <w:hideMark/>
          </w:tcPr>
          <w:p w14:paraId="1C3E86E5"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126,0</w:t>
            </w:r>
          </w:p>
        </w:tc>
        <w:tc>
          <w:tcPr>
            <w:tcW w:w="1235" w:type="dxa"/>
            <w:tcBorders>
              <w:top w:val="single" w:sz="12" w:space="0" w:color="auto"/>
              <w:left w:val="double" w:sz="4" w:space="0" w:color="auto"/>
              <w:bottom w:val="single" w:sz="12" w:space="0" w:color="auto"/>
              <w:right w:val="double" w:sz="4" w:space="0" w:color="auto"/>
            </w:tcBorders>
            <w:shd w:val="pct15" w:color="auto" w:fill="auto"/>
            <w:noWrap/>
            <w:hideMark/>
          </w:tcPr>
          <w:p w14:paraId="25C9B00C"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10.1%</w:t>
            </w:r>
          </w:p>
        </w:tc>
        <w:tc>
          <w:tcPr>
            <w:tcW w:w="1006" w:type="dxa"/>
            <w:tcBorders>
              <w:top w:val="single" w:sz="12" w:space="0" w:color="auto"/>
              <w:left w:val="double" w:sz="4" w:space="0" w:color="auto"/>
              <w:bottom w:val="single" w:sz="12" w:space="0" w:color="auto"/>
              <w:right w:val="single" w:sz="12" w:space="0" w:color="auto"/>
            </w:tcBorders>
            <w:shd w:val="pct15" w:color="auto" w:fill="auto"/>
            <w:noWrap/>
            <w:hideMark/>
          </w:tcPr>
          <w:p w14:paraId="45738BD2"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5,31%</w:t>
            </w:r>
          </w:p>
        </w:tc>
      </w:tr>
    </w:tbl>
    <w:p w14:paraId="196DD806" w14:textId="77777777" w:rsidR="00A048A9" w:rsidRPr="00F00404" w:rsidRDefault="00A048A9" w:rsidP="00A048A9">
      <w:pPr>
        <w:spacing w:after="60" w:line="276" w:lineRule="auto"/>
        <w:jc w:val="both"/>
        <w:rPr>
          <w:rFonts w:ascii="Times New Roman" w:hAnsi="Times New Roman"/>
          <w:color w:val="auto"/>
          <w:spacing w:val="0"/>
          <w:sz w:val="22"/>
          <w:szCs w:val="22"/>
          <w:lang w:val="en-GB"/>
        </w:rPr>
      </w:pPr>
      <w:r w:rsidRPr="00F00404">
        <w:rPr>
          <w:rFonts w:ascii="Times New Roman" w:hAnsi="Times New Roman"/>
          <w:color w:val="auto"/>
          <w:spacing w:val="0"/>
          <w:sz w:val="22"/>
          <w:szCs w:val="22"/>
          <w:lang w:val="en-GB"/>
        </w:rPr>
        <w:t>Source: National Treasury (2022), Adapted</w:t>
      </w:r>
    </w:p>
    <w:p w14:paraId="26052EBB" w14:textId="77777777" w:rsidR="00A048A9" w:rsidRPr="0035165B" w:rsidRDefault="00A048A9" w:rsidP="00A048A9">
      <w:pPr>
        <w:jc w:val="both"/>
        <w:rPr>
          <w:rFonts w:ascii="Times New Roman" w:hAnsi="Times New Roman"/>
          <w:sz w:val="22"/>
          <w:szCs w:val="22"/>
        </w:rPr>
      </w:pPr>
    </w:p>
    <w:p w14:paraId="2FDE7987" w14:textId="77777777" w:rsidR="00A048A9" w:rsidRPr="0035165B" w:rsidRDefault="00A048A9" w:rsidP="00A048A9">
      <w:pPr>
        <w:tabs>
          <w:tab w:val="left" w:pos="3837"/>
        </w:tabs>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As Table 3 above depicts, the </w:t>
      </w:r>
      <w:r w:rsidRPr="0035165B">
        <w:rPr>
          <w:rFonts w:ascii="Times New Roman" w:hAnsi="Times New Roman"/>
          <w:i/>
          <w:color w:val="auto"/>
          <w:spacing w:val="0"/>
          <w:sz w:val="22"/>
          <w:szCs w:val="22"/>
          <w:lang w:val="en-GB"/>
        </w:rPr>
        <w:t>Administration</w:t>
      </w:r>
      <w:r w:rsidRPr="0035165B">
        <w:rPr>
          <w:rFonts w:ascii="Times New Roman" w:hAnsi="Times New Roman"/>
          <w:color w:val="auto"/>
          <w:spacing w:val="0"/>
          <w:sz w:val="22"/>
          <w:szCs w:val="22"/>
          <w:lang w:val="en-GB"/>
        </w:rPr>
        <w:t xml:space="preserve"> programme receives R 2.6 billion for 2022/23 compared to an adjusted appropriation of R 2.37 billion the previous year. The current allocation translates into an increase of 10.1% or R 238.4 million in nominal terms and 5.31% or R 126 million in real terms. </w:t>
      </w:r>
    </w:p>
    <w:p w14:paraId="04E8EF5C" w14:textId="77777777" w:rsidR="00A048A9" w:rsidRPr="0035165B" w:rsidRDefault="00A048A9" w:rsidP="00A048A9">
      <w:pPr>
        <w:tabs>
          <w:tab w:val="left" w:pos="3837"/>
        </w:tabs>
        <w:jc w:val="both"/>
        <w:rPr>
          <w:rFonts w:ascii="Times New Roman" w:hAnsi="Times New Roman"/>
          <w:color w:val="auto"/>
          <w:spacing w:val="0"/>
          <w:sz w:val="22"/>
          <w:szCs w:val="22"/>
          <w:lang w:val="en-GB"/>
        </w:rPr>
      </w:pPr>
    </w:p>
    <w:p w14:paraId="7733628D" w14:textId="77777777" w:rsidR="00A048A9" w:rsidRPr="0035165B" w:rsidRDefault="00A048A9" w:rsidP="00A048A9">
      <w:pPr>
        <w:tabs>
          <w:tab w:val="left" w:pos="3837"/>
        </w:tabs>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The Office Accommodation sub-programme is the only sub-programme that receives a budget decrease. The allocation is decreased by R 117.3 million or 20.14% in nominal terms and R137,3 million or 23.58% if inflation is considered. </w:t>
      </w:r>
    </w:p>
    <w:p w14:paraId="0A732A09" w14:textId="6F9B3A7B" w:rsidR="00A048A9" w:rsidRPr="0035165B" w:rsidRDefault="00A048A9" w:rsidP="00A048A9">
      <w:pPr>
        <w:tabs>
          <w:tab w:val="left" w:pos="3837"/>
        </w:tabs>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The other five sub-programmes receive an increased allocation in both nominal and real terms for the current financial year. The </w:t>
      </w:r>
      <w:r w:rsidRPr="0035165B">
        <w:rPr>
          <w:rFonts w:ascii="Times New Roman" w:hAnsi="Times New Roman"/>
          <w:i/>
          <w:color w:val="auto"/>
          <w:spacing w:val="0"/>
          <w:sz w:val="22"/>
          <w:szCs w:val="22"/>
          <w:lang w:val="en-GB"/>
        </w:rPr>
        <w:t>Management Support Services</w:t>
      </w:r>
      <w:r w:rsidRPr="0035165B">
        <w:rPr>
          <w:rFonts w:ascii="Times New Roman" w:hAnsi="Times New Roman"/>
          <w:color w:val="auto"/>
          <w:spacing w:val="0"/>
          <w:sz w:val="22"/>
          <w:szCs w:val="22"/>
          <w:lang w:val="en-GB"/>
        </w:rPr>
        <w:t xml:space="preserve"> received the most significant allocation in real percentage terms by 34,18% or R68.2 million. It is followed by the </w:t>
      </w:r>
      <w:r w:rsidRPr="0035165B">
        <w:rPr>
          <w:rFonts w:ascii="Times New Roman" w:hAnsi="Times New Roman"/>
          <w:i/>
          <w:color w:val="auto"/>
          <w:spacing w:val="0"/>
          <w:sz w:val="22"/>
          <w:szCs w:val="22"/>
          <w:lang w:val="en-GB"/>
        </w:rPr>
        <w:t>Corporate Services</w:t>
      </w:r>
      <w:r w:rsidRPr="0035165B">
        <w:rPr>
          <w:rFonts w:ascii="Times New Roman" w:hAnsi="Times New Roman"/>
          <w:color w:val="auto"/>
          <w:spacing w:val="0"/>
          <w:sz w:val="22"/>
          <w:szCs w:val="22"/>
          <w:lang w:val="en-GB"/>
        </w:rPr>
        <w:t xml:space="preserve"> and the </w:t>
      </w:r>
      <w:r w:rsidRPr="0035165B">
        <w:rPr>
          <w:rFonts w:ascii="Times New Roman" w:hAnsi="Times New Roman"/>
          <w:i/>
          <w:color w:val="auto"/>
          <w:spacing w:val="0"/>
          <w:sz w:val="22"/>
          <w:szCs w:val="22"/>
          <w:lang w:val="en-GB"/>
        </w:rPr>
        <w:t>Transversal Info</w:t>
      </w:r>
      <w:r w:rsidR="00570AD6" w:rsidRPr="0035165B">
        <w:rPr>
          <w:rFonts w:ascii="Times New Roman" w:hAnsi="Times New Roman"/>
          <w:i/>
          <w:color w:val="auto"/>
          <w:spacing w:val="0"/>
          <w:sz w:val="22"/>
          <w:szCs w:val="22"/>
          <w:lang w:val="en-GB"/>
        </w:rPr>
        <w:t>r</w:t>
      </w:r>
      <w:r w:rsidRPr="0035165B">
        <w:rPr>
          <w:rFonts w:ascii="Times New Roman" w:hAnsi="Times New Roman"/>
          <w:i/>
          <w:color w:val="auto"/>
          <w:spacing w:val="0"/>
          <w:sz w:val="22"/>
          <w:szCs w:val="22"/>
          <w:lang w:val="en-GB"/>
        </w:rPr>
        <w:t>mation</w:t>
      </w:r>
      <w:r w:rsidRPr="0035165B">
        <w:rPr>
          <w:rFonts w:ascii="Times New Roman" w:hAnsi="Times New Roman"/>
          <w:color w:val="auto"/>
          <w:spacing w:val="0"/>
          <w:sz w:val="22"/>
          <w:szCs w:val="22"/>
          <w:lang w:val="en-GB"/>
        </w:rPr>
        <w:t xml:space="preserve"> sub-programmes, which receive 13,07% (R 72.6 million) and 11.99% (R 120.4 million). The </w:t>
      </w:r>
      <w:r w:rsidRPr="0035165B">
        <w:rPr>
          <w:rFonts w:ascii="Times New Roman" w:hAnsi="Times New Roman"/>
          <w:i/>
          <w:color w:val="auto"/>
          <w:spacing w:val="0"/>
          <w:sz w:val="22"/>
          <w:szCs w:val="22"/>
          <w:lang w:val="en-GB"/>
        </w:rPr>
        <w:t>Ministry</w:t>
      </w:r>
      <w:r w:rsidRPr="0035165B">
        <w:rPr>
          <w:rFonts w:ascii="Times New Roman" w:hAnsi="Times New Roman"/>
          <w:color w:val="auto"/>
          <w:spacing w:val="0"/>
          <w:sz w:val="22"/>
          <w:szCs w:val="22"/>
          <w:lang w:val="en-GB"/>
        </w:rPr>
        <w:t xml:space="preserve"> sub-programme also received an increased budget from R 30.8 million in the previous year to R 34.5 million in the current year. This increase translates to R 2.2 million or a 7.19% budget increase in real terms.</w:t>
      </w:r>
    </w:p>
    <w:p w14:paraId="0964DA81" w14:textId="5F406F83" w:rsidR="00A048A9" w:rsidRPr="0035165B" w:rsidRDefault="00A048A9" w:rsidP="00570AD6">
      <w:pPr>
        <w:pStyle w:val="Heading3"/>
        <w:jc w:val="both"/>
        <w:rPr>
          <w:rFonts w:ascii="Times New Roman" w:hAnsi="Times New Roman" w:cs="Times New Roman"/>
          <w:sz w:val="22"/>
          <w:szCs w:val="22"/>
          <w:lang w:val="en-GB"/>
        </w:rPr>
      </w:pPr>
      <w:bookmarkStart w:id="11" w:name="_Toc101369929"/>
      <w:bookmarkStart w:id="12" w:name="_Toc34052277"/>
      <w:r w:rsidRPr="0035165B">
        <w:rPr>
          <w:rFonts w:ascii="Times New Roman" w:hAnsi="Times New Roman" w:cs="Times New Roman"/>
          <w:sz w:val="22"/>
          <w:szCs w:val="22"/>
          <w:lang w:val="en-GB"/>
        </w:rPr>
        <w:t>Programme 2: Citizen Affairs</w:t>
      </w:r>
      <w:bookmarkEnd w:id="11"/>
      <w:bookmarkEnd w:id="12"/>
    </w:p>
    <w:p w14:paraId="7D1F3611" w14:textId="3B85650E"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The Citizen Affairs branch is responsible for providing secure, efficient and accessible services and documents to citizens and lawful residents. It ensures that entry to the population register happens within 30 days of a child’s birth. It maintains the number of smart identity cards, and it has a target of 3 million per year. It also targets to issue 90% of machine-readable adult passports through the new live capture process within 13 working days.</w:t>
      </w:r>
    </w:p>
    <w:p w14:paraId="316A14A6" w14:textId="77777777" w:rsidR="00A048A9" w:rsidRPr="0035165B" w:rsidRDefault="00A048A9" w:rsidP="00A048A9">
      <w:pPr>
        <w:jc w:val="both"/>
        <w:rPr>
          <w:rFonts w:ascii="Times New Roman" w:hAnsi="Times New Roman"/>
          <w:color w:val="auto"/>
          <w:spacing w:val="0"/>
          <w:sz w:val="22"/>
          <w:szCs w:val="22"/>
          <w:lang w:val="en-GB"/>
        </w:rPr>
      </w:pPr>
    </w:p>
    <w:p w14:paraId="4DA7027D" w14:textId="77777777" w:rsidR="00A048A9" w:rsidRPr="0035165B" w:rsidRDefault="00A048A9" w:rsidP="00A048A9">
      <w:pPr>
        <w:pStyle w:val="Caption"/>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Table 4: Programme 2: Citizen Affairs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969"/>
        <w:gridCol w:w="938"/>
        <w:gridCol w:w="1103"/>
        <w:gridCol w:w="1103"/>
        <w:gridCol w:w="1087"/>
        <w:gridCol w:w="1223"/>
      </w:tblGrid>
      <w:tr w:rsidR="00A048A9" w:rsidRPr="0035165B" w14:paraId="421D9F0E" w14:textId="77777777" w:rsidTr="00A048A9">
        <w:trPr>
          <w:trHeight w:val="765"/>
        </w:trPr>
        <w:tc>
          <w:tcPr>
            <w:tcW w:w="3201" w:type="dxa"/>
            <w:tcBorders>
              <w:top w:val="single" w:sz="12" w:space="0" w:color="auto"/>
              <w:left w:val="double" w:sz="4" w:space="0" w:color="auto"/>
              <w:bottom w:val="single" w:sz="12" w:space="0" w:color="auto"/>
              <w:right w:val="single" w:sz="12" w:space="0" w:color="auto"/>
            </w:tcBorders>
            <w:shd w:val="pct15" w:color="auto" w:fill="auto"/>
            <w:noWrap/>
            <w:hideMark/>
          </w:tcPr>
          <w:p w14:paraId="1B175B9D"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Programme</w:t>
            </w:r>
          </w:p>
        </w:tc>
        <w:tc>
          <w:tcPr>
            <w:tcW w:w="1906"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6A226695"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Budget</w:t>
            </w:r>
          </w:p>
        </w:tc>
        <w:tc>
          <w:tcPr>
            <w:tcW w:w="1103"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44C64615"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Nominal Increase/ Decrease in 2022/23</w:t>
            </w:r>
          </w:p>
        </w:tc>
        <w:tc>
          <w:tcPr>
            <w:tcW w:w="1103"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057B794F"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Real Increase/  Decrease in 2022/23</w:t>
            </w:r>
          </w:p>
        </w:tc>
        <w:tc>
          <w:tcPr>
            <w:tcW w:w="1087"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6CE991D4"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Nominal Percent change in 2022/23</w:t>
            </w:r>
          </w:p>
        </w:tc>
        <w:tc>
          <w:tcPr>
            <w:tcW w:w="1223"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578C72D1"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Real Percent change in 2022/23</w:t>
            </w:r>
          </w:p>
        </w:tc>
      </w:tr>
      <w:tr w:rsidR="00A048A9" w:rsidRPr="0035165B" w14:paraId="1678B391" w14:textId="77777777" w:rsidTr="00A048A9">
        <w:trPr>
          <w:trHeight w:val="264"/>
        </w:trPr>
        <w:tc>
          <w:tcPr>
            <w:tcW w:w="3201" w:type="dxa"/>
            <w:tcBorders>
              <w:top w:val="single" w:sz="12" w:space="0" w:color="auto"/>
              <w:left w:val="single" w:sz="12" w:space="0" w:color="auto"/>
              <w:bottom w:val="single" w:sz="12" w:space="0" w:color="auto"/>
              <w:right w:val="single" w:sz="12" w:space="0" w:color="auto"/>
            </w:tcBorders>
            <w:shd w:val="pct15" w:color="auto" w:fill="auto"/>
            <w:noWrap/>
            <w:hideMark/>
          </w:tcPr>
          <w:p w14:paraId="056BC1D8"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 million</w:t>
            </w:r>
          </w:p>
        </w:tc>
        <w:tc>
          <w:tcPr>
            <w:tcW w:w="969" w:type="dxa"/>
            <w:tcBorders>
              <w:top w:val="single" w:sz="12" w:space="0" w:color="auto"/>
              <w:left w:val="single" w:sz="12" w:space="0" w:color="auto"/>
              <w:bottom w:val="single" w:sz="12" w:space="0" w:color="auto"/>
              <w:right w:val="single" w:sz="12" w:space="0" w:color="auto"/>
            </w:tcBorders>
            <w:shd w:val="pct15" w:color="auto" w:fill="auto"/>
            <w:noWrap/>
            <w:hideMark/>
          </w:tcPr>
          <w:p w14:paraId="11F82236"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2021/22</w:t>
            </w:r>
          </w:p>
        </w:tc>
        <w:tc>
          <w:tcPr>
            <w:tcW w:w="937" w:type="dxa"/>
            <w:tcBorders>
              <w:top w:val="single" w:sz="12" w:space="0" w:color="auto"/>
              <w:left w:val="single" w:sz="12" w:space="0" w:color="auto"/>
              <w:bottom w:val="single" w:sz="12" w:space="0" w:color="auto"/>
              <w:right w:val="single" w:sz="12" w:space="0" w:color="auto"/>
            </w:tcBorders>
            <w:shd w:val="pct15" w:color="auto" w:fill="auto"/>
            <w:noWrap/>
            <w:hideMark/>
          </w:tcPr>
          <w:p w14:paraId="77452191"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2022/23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225C178"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7BF3EE"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749DB69"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7731EFC" w14:textId="77777777" w:rsidR="00A048A9" w:rsidRPr="0035165B" w:rsidRDefault="00A048A9">
            <w:pPr>
              <w:spacing w:line="240" w:lineRule="auto"/>
              <w:rPr>
                <w:rFonts w:ascii="Times New Roman" w:eastAsia="Calibri" w:hAnsi="Times New Roman"/>
                <w:b/>
                <w:bCs/>
                <w:spacing w:val="0"/>
                <w:sz w:val="22"/>
                <w:szCs w:val="22"/>
                <w:lang w:val="en-GB"/>
              </w:rPr>
            </w:pPr>
          </w:p>
        </w:tc>
      </w:tr>
      <w:tr w:rsidR="00A048A9" w:rsidRPr="0035165B" w14:paraId="4FC90CC1" w14:textId="77777777" w:rsidTr="00A048A9">
        <w:trPr>
          <w:trHeight w:val="264"/>
        </w:trPr>
        <w:tc>
          <w:tcPr>
            <w:tcW w:w="3201" w:type="dxa"/>
            <w:tcBorders>
              <w:top w:val="single" w:sz="12" w:space="0" w:color="auto"/>
              <w:left w:val="single" w:sz="4" w:space="0" w:color="auto"/>
              <w:bottom w:val="single" w:sz="4" w:space="0" w:color="auto"/>
              <w:right w:val="single" w:sz="4" w:space="0" w:color="auto"/>
            </w:tcBorders>
            <w:noWrap/>
            <w:hideMark/>
          </w:tcPr>
          <w:p w14:paraId="2F8D8BA2"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Citizen Affairs Management</w:t>
            </w:r>
          </w:p>
        </w:tc>
        <w:tc>
          <w:tcPr>
            <w:tcW w:w="969" w:type="dxa"/>
            <w:tcBorders>
              <w:top w:val="single" w:sz="12" w:space="0" w:color="auto"/>
              <w:left w:val="single" w:sz="4" w:space="0" w:color="auto"/>
              <w:bottom w:val="single" w:sz="4" w:space="0" w:color="auto"/>
              <w:right w:val="single" w:sz="4" w:space="0" w:color="auto"/>
            </w:tcBorders>
            <w:noWrap/>
            <w:hideMark/>
          </w:tcPr>
          <w:p w14:paraId="6432840A"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26,2</w:t>
            </w:r>
          </w:p>
        </w:tc>
        <w:tc>
          <w:tcPr>
            <w:tcW w:w="937" w:type="dxa"/>
            <w:tcBorders>
              <w:top w:val="single" w:sz="12" w:space="0" w:color="auto"/>
              <w:left w:val="single" w:sz="4" w:space="0" w:color="auto"/>
              <w:bottom w:val="single" w:sz="4" w:space="0" w:color="auto"/>
              <w:right w:val="single" w:sz="4" w:space="0" w:color="auto"/>
            </w:tcBorders>
            <w:noWrap/>
            <w:hideMark/>
          </w:tcPr>
          <w:p w14:paraId="01006AB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35,9</w:t>
            </w:r>
          </w:p>
        </w:tc>
        <w:tc>
          <w:tcPr>
            <w:tcW w:w="1103" w:type="dxa"/>
            <w:tcBorders>
              <w:top w:val="single" w:sz="12" w:space="0" w:color="auto"/>
              <w:left w:val="single" w:sz="4" w:space="0" w:color="auto"/>
              <w:bottom w:val="single" w:sz="4" w:space="0" w:color="auto"/>
              <w:right w:val="single" w:sz="4" w:space="0" w:color="auto"/>
            </w:tcBorders>
            <w:noWrap/>
            <w:hideMark/>
          </w:tcPr>
          <w:p w14:paraId="0809FA32"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9,7</w:t>
            </w:r>
          </w:p>
        </w:tc>
        <w:tc>
          <w:tcPr>
            <w:tcW w:w="1103" w:type="dxa"/>
            <w:tcBorders>
              <w:top w:val="single" w:sz="12" w:space="0" w:color="auto"/>
              <w:left w:val="single" w:sz="4" w:space="0" w:color="auto"/>
              <w:bottom w:val="single" w:sz="4" w:space="0" w:color="auto"/>
              <w:right w:val="single" w:sz="4" w:space="0" w:color="auto"/>
            </w:tcBorders>
            <w:noWrap/>
            <w:hideMark/>
          </w:tcPr>
          <w:p w14:paraId="01D0073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8,2</w:t>
            </w:r>
          </w:p>
        </w:tc>
        <w:tc>
          <w:tcPr>
            <w:tcW w:w="1087" w:type="dxa"/>
            <w:tcBorders>
              <w:top w:val="single" w:sz="12" w:space="0" w:color="auto"/>
              <w:left w:val="single" w:sz="4" w:space="0" w:color="auto"/>
              <w:bottom w:val="single" w:sz="4" w:space="0" w:color="auto"/>
              <w:right w:val="single" w:sz="4" w:space="0" w:color="auto"/>
            </w:tcBorders>
            <w:noWrap/>
            <w:hideMark/>
          </w:tcPr>
          <w:p w14:paraId="24B2818C"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37,02%</w:t>
            </w:r>
          </w:p>
        </w:tc>
        <w:tc>
          <w:tcPr>
            <w:tcW w:w="1223" w:type="dxa"/>
            <w:tcBorders>
              <w:top w:val="single" w:sz="12" w:space="0" w:color="auto"/>
              <w:left w:val="single" w:sz="4" w:space="0" w:color="auto"/>
              <w:bottom w:val="single" w:sz="4" w:space="0" w:color="auto"/>
              <w:right w:val="single" w:sz="4" w:space="0" w:color="auto"/>
            </w:tcBorders>
            <w:noWrap/>
            <w:hideMark/>
          </w:tcPr>
          <w:p w14:paraId="6F20938A"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31,12%</w:t>
            </w:r>
          </w:p>
        </w:tc>
      </w:tr>
      <w:tr w:rsidR="00A048A9" w:rsidRPr="0035165B" w14:paraId="763F00DA" w14:textId="77777777" w:rsidTr="00A048A9">
        <w:trPr>
          <w:trHeight w:val="264"/>
        </w:trPr>
        <w:tc>
          <w:tcPr>
            <w:tcW w:w="3201" w:type="dxa"/>
            <w:tcBorders>
              <w:top w:val="single" w:sz="4" w:space="0" w:color="auto"/>
              <w:left w:val="single" w:sz="4" w:space="0" w:color="auto"/>
              <w:bottom w:val="single" w:sz="4" w:space="0" w:color="auto"/>
              <w:right w:val="single" w:sz="4" w:space="0" w:color="auto"/>
            </w:tcBorders>
            <w:noWrap/>
            <w:hideMark/>
          </w:tcPr>
          <w:p w14:paraId="6EFB34D5"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Status Services</w:t>
            </w:r>
          </w:p>
        </w:tc>
        <w:tc>
          <w:tcPr>
            <w:tcW w:w="969" w:type="dxa"/>
            <w:tcBorders>
              <w:top w:val="single" w:sz="4" w:space="0" w:color="auto"/>
              <w:left w:val="single" w:sz="4" w:space="0" w:color="auto"/>
              <w:bottom w:val="single" w:sz="4" w:space="0" w:color="auto"/>
              <w:right w:val="single" w:sz="4" w:space="0" w:color="auto"/>
            </w:tcBorders>
            <w:noWrap/>
            <w:hideMark/>
          </w:tcPr>
          <w:p w14:paraId="3626BEB9"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547,3</w:t>
            </w:r>
          </w:p>
        </w:tc>
        <w:tc>
          <w:tcPr>
            <w:tcW w:w="937" w:type="dxa"/>
            <w:tcBorders>
              <w:top w:val="single" w:sz="4" w:space="0" w:color="auto"/>
              <w:left w:val="single" w:sz="4" w:space="0" w:color="auto"/>
              <w:bottom w:val="single" w:sz="4" w:space="0" w:color="auto"/>
              <w:right w:val="single" w:sz="4" w:space="0" w:color="auto"/>
            </w:tcBorders>
            <w:noWrap/>
            <w:hideMark/>
          </w:tcPr>
          <w:p w14:paraId="076F960D"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92,0</w:t>
            </w:r>
          </w:p>
        </w:tc>
        <w:tc>
          <w:tcPr>
            <w:tcW w:w="1103" w:type="dxa"/>
            <w:tcBorders>
              <w:top w:val="single" w:sz="4" w:space="0" w:color="auto"/>
              <w:left w:val="single" w:sz="4" w:space="0" w:color="auto"/>
              <w:bottom w:val="single" w:sz="4" w:space="0" w:color="auto"/>
              <w:right w:val="single" w:sz="4" w:space="0" w:color="auto"/>
            </w:tcBorders>
            <w:noWrap/>
            <w:hideMark/>
          </w:tcPr>
          <w:p w14:paraId="5EDC3834"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-455,3</w:t>
            </w:r>
          </w:p>
        </w:tc>
        <w:tc>
          <w:tcPr>
            <w:tcW w:w="1103" w:type="dxa"/>
            <w:tcBorders>
              <w:top w:val="single" w:sz="4" w:space="0" w:color="auto"/>
              <w:left w:val="single" w:sz="4" w:space="0" w:color="auto"/>
              <w:bottom w:val="single" w:sz="4" w:space="0" w:color="auto"/>
              <w:right w:val="single" w:sz="4" w:space="0" w:color="auto"/>
            </w:tcBorders>
            <w:noWrap/>
            <w:hideMark/>
          </w:tcPr>
          <w:p w14:paraId="416507AB"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-459,3</w:t>
            </w:r>
          </w:p>
        </w:tc>
        <w:tc>
          <w:tcPr>
            <w:tcW w:w="1087" w:type="dxa"/>
            <w:tcBorders>
              <w:top w:val="single" w:sz="4" w:space="0" w:color="auto"/>
              <w:left w:val="single" w:sz="4" w:space="0" w:color="auto"/>
              <w:bottom w:val="single" w:sz="4" w:space="0" w:color="auto"/>
              <w:right w:val="single" w:sz="4" w:space="0" w:color="auto"/>
            </w:tcBorders>
            <w:noWrap/>
            <w:hideMark/>
          </w:tcPr>
          <w:p w14:paraId="5BE410B9"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-83,19%</w:t>
            </w:r>
          </w:p>
        </w:tc>
        <w:tc>
          <w:tcPr>
            <w:tcW w:w="1223" w:type="dxa"/>
            <w:tcBorders>
              <w:top w:val="single" w:sz="4" w:space="0" w:color="auto"/>
              <w:left w:val="single" w:sz="4" w:space="0" w:color="auto"/>
              <w:bottom w:val="single" w:sz="4" w:space="0" w:color="auto"/>
              <w:right w:val="single" w:sz="4" w:space="0" w:color="auto"/>
            </w:tcBorders>
            <w:noWrap/>
            <w:hideMark/>
          </w:tcPr>
          <w:p w14:paraId="57626EBC"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-83,91%</w:t>
            </w:r>
          </w:p>
        </w:tc>
      </w:tr>
      <w:tr w:rsidR="00A048A9" w:rsidRPr="0035165B" w14:paraId="2C0DFFA3" w14:textId="77777777" w:rsidTr="00A048A9">
        <w:trPr>
          <w:trHeight w:val="264"/>
        </w:trPr>
        <w:tc>
          <w:tcPr>
            <w:tcW w:w="3201" w:type="dxa"/>
            <w:tcBorders>
              <w:top w:val="single" w:sz="4" w:space="0" w:color="auto"/>
              <w:left w:val="single" w:sz="4" w:space="0" w:color="auto"/>
              <w:bottom w:val="single" w:sz="4" w:space="0" w:color="auto"/>
              <w:right w:val="single" w:sz="4" w:space="0" w:color="auto"/>
            </w:tcBorders>
            <w:noWrap/>
            <w:hideMark/>
          </w:tcPr>
          <w:p w14:paraId="6A10B43D"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Identification Services</w:t>
            </w:r>
          </w:p>
        </w:tc>
        <w:tc>
          <w:tcPr>
            <w:tcW w:w="969" w:type="dxa"/>
            <w:tcBorders>
              <w:top w:val="single" w:sz="4" w:space="0" w:color="auto"/>
              <w:left w:val="single" w:sz="4" w:space="0" w:color="auto"/>
              <w:bottom w:val="single" w:sz="4" w:space="0" w:color="auto"/>
              <w:right w:val="single" w:sz="4" w:space="0" w:color="auto"/>
            </w:tcBorders>
            <w:noWrap/>
            <w:hideMark/>
          </w:tcPr>
          <w:p w14:paraId="1DDF6A8B"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250,5</w:t>
            </w:r>
          </w:p>
        </w:tc>
        <w:tc>
          <w:tcPr>
            <w:tcW w:w="937" w:type="dxa"/>
            <w:tcBorders>
              <w:top w:val="single" w:sz="4" w:space="0" w:color="auto"/>
              <w:left w:val="single" w:sz="4" w:space="0" w:color="auto"/>
              <w:bottom w:val="single" w:sz="4" w:space="0" w:color="auto"/>
              <w:right w:val="single" w:sz="4" w:space="0" w:color="auto"/>
            </w:tcBorders>
            <w:noWrap/>
            <w:hideMark/>
          </w:tcPr>
          <w:p w14:paraId="1F071CE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174,1</w:t>
            </w:r>
          </w:p>
        </w:tc>
        <w:tc>
          <w:tcPr>
            <w:tcW w:w="1103" w:type="dxa"/>
            <w:tcBorders>
              <w:top w:val="single" w:sz="4" w:space="0" w:color="auto"/>
              <w:left w:val="single" w:sz="4" w:space="0" w:color="auto"/>
              <w:bottom w:val="single" w:sz="4" w:space="0" w:color="auto"/>
              <w:right w:val="single" w:sz="4" w:space="0" w:color="auto"/>
            </w:tcBorders>
            <w:noWrap/>
            <w:hideMark/>
          </w:tcPr>
          <w:p w14:paraId="6EEDA668"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-76,4</w:t>
            </w:r>
          </w:p>
        </w:tc>
        <w:tc>
          <w:tcPr>
            <w:tcW w:w="1103" w:type="dxa"/>
            <w:tcBorders>
              <w:top w:val="single" w:sz="4" w:space="0" w:color="auto"/>
              <w:left w:val="single" w:sz="4" w:space="0" w:color="auto"/>
              <w:bottom w:val="single" w:sz="4" w:space="0" w:color="auto"/>
              <w:right w:val="single" w:sz="4" w:space="0" w:color="auto"/>
            </w:tcBorders>
            <w:noWrap/>
            <w:hideMark/>
          </w:tcPr>
          <w:p w14:paraId="2E15DCB8"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-83,9</w:t>
            </w:r>
          </w:p>
        </w:tc>
        <w:tc>
          <w:tcPr>
            <w:tcW w:w="1087" w:type="dxa"/>
            <w:tcBorders>
              <w:top w:val="single" w:sz="4" w:space="0" w:color="auto"/>
              <w:left w:val="single" w:sz="4" w:space="0" w:color="auto"/>
              <w:bottom w:val="single" w:sz="4" w:space="0" w:color="auto"/>
              <w:right w:val="single" w:sz="4" w:space="0" w:color="auto"/>
            </w:tcBorders>
            <w:noWrap/>
            <w:hideMark/>
          </w:tcPr>
          <w:p w14:paraId="17C138EA"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-30,50%</w:t>
            </w:r>
          </w:p>
        </w:tc>
        <w:tc>
          <w:tcPr>
            <w:tcW w:w="1223" w:type="dxa"/>
            <w:tcBorders>
              <w:top w:val="single" w:sz="4" w:space="0" w:color="auto"/>
              <w:left w:val="single" w:sz="4" w:space="0" w:color="auto"/>
              <w:bottom w:val="single" w:sz="4" w:space="0" w:color="auto"/>
              <w:right w:val="single" w:sz="4" w:space="0" w:color="auto"/>
            </w:tcBorders>
            <w:noWrap/>
            <w:hideMark/>
          </w:tcPr>
          <w:p w14:paraId="6AB13A14"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-33,49%</w:t>
            </w:r>
          </w:p>
        </w:tc>
      </w:tr>
      <w:tr w:rsidR="00A048A9" w:rsidRPr="0035165B" w14:paraId="75FB5D02" w14:textId="77777777" w:rsidTr="00A048A9">
        <w:trPr>
          <w:trHeight w:val="264"/>
        </w:trPr>
        <w:tc>
          <w:tcPr>
            <w:tcW w:w="3201" w:type="dxa"/>
            <w:tcBorders>
              <w:top w:val="single" w:sz="4" w:space="0" w:color="auto"/>
              <w:left w:val="single" w:sz="4" w:space="0" w:color="auto"/>
              <w:bottom w:val="single" w:sz="4" w:space="0" w:color="auto"/>
              <w:right w:val="single" w:sz="4" w:space="0" w:color="auto"/>
            </w:tcBorders>
            <w:noWrap/>
            <w:hideMark/>
          </w:tcPr>
          <w:p w14:paraId="3014D90C"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Service Delivery to Provinces</w:t>
            </w:r>
          </w:p>
        </w:tc>
        <w:tc>
          <w:tcPr>
            <w:tcW w:w="969" w:type="dxa"/>
            <w:tcBorders>
              <w:top w:val="single" w:sz="4" w:space="0" w:color="auto"/>
              <w:left w:val="single" w:sz="4" w:space="0" w:color="auto"/>
              <w:bottom w:val="single" w:sz="4" w:space="0" w:color="auto"/>
              <w:right w:val="single" w:sz="4" w:space="0" w:color="auto"/>
            </w:tcBorders>
            <w:noWrap/>
            <w:hideMark/>
          </w:tcPr>
          <w:p w14:paraId="2AD76A1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2 272,8</w:t>
            </w:r>
          </w:p>
        </w:tc>
        <w:tc>
          <w:tcPr>
            <w:tcW w:w="937" w:type="dxa"/>
            <w:tcBorders>
              <w:top w:val="single" w:sz="4" w:space="0" w:color="auto"/>
              <w:left w:val="single" w:sz="4" w:space="0" w:color="auto"/>
              <w:bottom w:val="single" w:sz="4" w:space="0" w:color="auto"/>
              <w:right w:val="single" w:sz="4" w:space="0" w:color="auto"/>
            </w:tcBorders>
            <w:noWrap/>
            <w:hideMark/>
          </w:tcPr>
          <w:p w14:paraId="250EC2B0"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2 253,9</w:t>
            </w:r>
          </w:p>
        </w:tc>
        <w:tc>
          <w:tcPr>
            <w:tcW w:w="1103" w:type="dxa"/>
            <w:tcBorders>
              <w:top w:val="single" w:sz="4" w:space="0" w:color="auto"/>
              <w:left w:val="single" w:sz="4" w:space="0" w:color="auto"/>
              <w:bottom w:val="single" w:sz="4" w:space="0" w:color="auto"/>
              <w:right w:val="single" w:sz="4" w:space="0" w:color="auto"/>
            </w:tcBorders>
            <w:noWrap/>
            <w:hideMark/>
          </w:tcPr>
          <w:p w14:paraId="424F9FD9"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-18,9</w:t>
            </w:r>
          </w:p>
        </w:tc>
        <w:tc>
          <w:tcPr>
            <w:tcW w:w="1103" w:type="dxa"/>
            <w:tcBorders>
              <w:top w:val="single" w:sz="4" w:space="0" w:color="auto"/>
              <w:left w:val="single" w:sz="4" w:space="0" w:color="auto"/>
              <w:bottom w:val="single" w:sz="4" w:space="0" w:color="auto"/>
              <w:right w:val="single" w:sz="4" w:space="0" w:color="auto"/>
            </w:tcBorders>
            <w:noWrap/>
            <w:hideMark/>
          </w:tcPr>
          <w:p w14:paraId="03B40D5F"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-116,0</w:t>
            </w:r>
          </w:p>
        </w:tc>
        <w:tc>
          <w:tcPr>
            <w:tcW w:w="1087" w:type="dxa"/>
            <w:tcBorders>
              <w:top w:val="single" w:sz="4" w:space="0" w:color="auto"/>
              <w:left w:val="single" w:sz="4" w:space="0" w:color="auto"/>
              <w:bottom w:val="single" w:sz="4" w:space="0" w:color="auto"/>
              <w:right w:val="single" w:sz="4" w:space="0" w:color="auto"/>
            </w:tcBorders>
            <w:noWrap/>
            <w:hideMark/>
          </w:tcPr>
          <w:p w14:paraId="2D719834"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0,83%</w:t>
            </w:r>
          </w:p>
        </w:tc>
        <w:tc>
          <w:tcPr>
            <w:tcW w:w="1223" w:type="dxa"/>
            <w:tcBorders>
              <w:top w:val="single" w:sz="4" w:space="0" w:color="auto"/>
              <w:left w:val="single" w:sz="4" w:space="0" w:color="auto"/>
              <w:bottom w:val="single" w:sz="4" w:space="0" w:color="auto"/>
              <w:right w:val="single" w:sz="4" w:space="0" w:color="auto"/>
            </w:tcBorders>
            <w:noWrap/>
            <w:hideMark/>
          </w:tcPr>
          <w:p w14:paraId="79E8E08C"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color w:val="FF0000"/>
                <w:spacing w:val="0"/>
                <w:sz w:val="22"/>
                <w:szCs w:val="22"/>
                <w:lang w:val="en-GB"/>
              </w:rPr>
              <w:t>-5,10%</w:t>
            </w:r>
          </w:p>
        </w:tc>
      </w:tr>
      <w:tr w:rsidR="00A048A9" w:rsidRPr="0035165B" w14:paraId="0E184D50" w14:textId="77777777" w:rsidTr="00A048A9">
        <w:trPr>
          <w:trHeight w:val="264"/>
        </w:trPr>
        <w:tc>
          <w:tcPr>
            <w:tcW w:w="3201" w:type="dxa"/>
            <w:tcBorders>
              <w:top w:val="single" w:sz="12" w:space="0" w:color="auto"/>
              <w:left w:val="single" w:sz="12" w:space="0" w:color="auto"/>
              <w:bottom w:val="single" w:sz="12" w:space="0" w:color="auto"/>
              <w:right w:val="single" w:sz="4" w:space="0" w:color="auto"/>
            </w:tcBorders>
            <w:shd w:val="pct15" w:color="auto" w:fill="auto"/>
            <w:noWrap/>
            <w:hideMark/>
          </w:tcPr>
          <w:p w14:paraId="472C0332"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TOTAL</w:t>
            </w:r>
          </w:p>
        </w:tc>
        <w:tc>
          <w:tcPr>
            <w:tcW w:w="969" w:type="dxa"/>
            <w:tcBorders>
              <w:top w:val="single" w:sz="12" w:space="0" w:color="auto"/>
              <w:left w:val="single" w:sz="4" w:space="0" w:color="auto"/>
              <w:bottom w:val="single" w:sz="12" w:space="0" w:color="auto"/>
              <w:right w:val="single" w:sz="4" w:space="0" w:color="auto"/>
            </w:tcBorders>
            <w:shd w:val="pct15" w:color="auto" w:fill="auto"/>
            <w:noWrap/>
            <w:hideMark/>
          </w:tcPr>
          <w:p w14:paraId="7E837D89"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3 096,8</w:t>
            </w:r>
          </w:p>
        </w:tc>
        <w:tc>
          <w:tcPr>
            <w:tcW w:w="937" w:type="dxa"/>
            <w:tcBorders>
              <w:top w:val="single" w:sz="12" w:space="0" w:color="auto"/>
              <w:left w:val="single" w:sz="4" w:space="0" w:color="auto"/>
              <w:bottom w:val="single" w:sz="12" w:space="0" w:color="auto"/>
              <w:right w:val="single" w:sz="4" w:space="0" w:color="auto"/>
            </w:tcBorders>
            <w:shd w:val="pct15" w:color="auto" w:fill="auto"/>
            <w:noWrap/>
            <w:hideMark/>
          </w:tcPr>
          <w:p w14:paraId="1573F1F3"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2 555,9</w:t>
            </w:r>
          </w:p>
        </w:tc>
        <w:tc>
          <w:tcPr>
            <w:tcW w:w="1103" w:type="dxa"/>
            <w:tcBorders>
              <w:top w:val="single" w:sz="12" w:space="0" w:color="auto"/>
              <w:left w:val="single" w:sz="4" w:space="0" w:color="auto"/>
              <w:bottom w:val="single" w:sz="12" w:space="0" w:color="auto"/>
              <w:right w:val="single" w:sz="4" w:space="0" w:color="auto"/>
            </w:tcBorders>
            <w:shd w:val="pct15" w:color="auto" w:fill="auto"/>
            <w:noWrap/>
            <w:hideMark/>
          </w:tcPr>
          <w:p w14:paraId="1C15B073"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-540,9</w:t>
            </w:r>
          </w:p>
        </w:tc>
        <w:tc>
          <w:tcPr>
            <w:tcW w:w="1103" w:type="dxa"/>
            <w:tcBorders>
              <w:top w:val="single" w:sz="12" w:space="0" w:color="auto"/>
              <w:left w:val="single" w:sz="4" w:space="0" w:color="auto"/>
              <w:bottom w:val="single" w:sz="12" w:space="0" w:color="auto"/>
              <w:right w:val="single" w:sz="4" w:space="0" w:color="auto"/>
            </w:tcBorders>
            <w:shd w:val="pct15" w:color="auto" w:fill="auto"/>
            <w:noWrap/>
            <w:hideMark/>
          </w:tcPr>
          <w:p w14:paraId="071EF5F6"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-651,0</w:t>
            </w:r>
          </w:p>
        </w:tc>
        <w:tc>
          <w:tcPr>
            <w:tcW w:w="1087" w:type="dxa"/>
            <w:tcBorders>
              <w:top w:val="single" w:sz="12" w:space="0" w:color="auto"/>
              <w:left w:val="single" w:sz="4" w:space="0" w:color="auto"/>
              <w:bottom w:val="single" w:sz="12" w:space="0" w:color="auto"/>
              <w:right w:val="single" w:sz="4" w:space="0" w:color="auto"/>
            </w:tcBorders>
            <w:shd w:val="pct15" w:color="auto" w:fill="auto"/>
            <w:noWrap/>
            <w:hideMark/>
          </w:tcPr>
          <w:p w14:paraId="49CE8B19"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-17,5%</w:t>
            </w:r>
          </w:p>
        </w:tc>
        <w:tc>
          <w:tcPr>
            <w:tcW w:w="1223" w:type="dxa"/>
            <w:tcBorders>
              <w:top w:val="single" w:sz="12" w:space="0" w:color="auto"/>
              <w:left w:val="single" w:sz="4" w:space="0" w:color="auto"/>
              <w:bottom w:val="single" w:sz="12" w:space="0" w:color="auto"/>
              <w:right w:val="single" w:sz="12" w:space="0" w:color="auto"/>
            </w:tcBorders>
            <w:shd w:val="pct15" w:color="auto" w:fill="auto"/>
            <w:noWrap/>
            <w:hideMark/>
          </w:tcPr>
          <w:p w14:paraId="13BB28C8"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-21,02%</w:t>
            </w:r>
          </w:p>
        </w:tc>
      </w:tr>
    </w:tbl>
    <w:p w14:paraId="69901464"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lastRenderedPageBreak/>
        <w:t xml:space="preserve">The </w:t>
      </w:r>
      <w:r w:rsidRPr="0035165B">
        <w:rPr>
          <w:rFonts w:ascii="Times New Roman" w:hAnsi="Times New Roman"/>
          <w:i/>
          <w:color w:val="auto"/>
          <w:spacing w:val="0"/>
          <w:sz w:val="22"/>
          <w:szCs w:val="22"/>
          <w:lang w:val="en-GB"/>
        </w:rPr>
        <w:t>Citizen Affairs</w:t>
      </w:r>
      <w:r w:rsidRPr="0035165B">
        <w:rPr>
          <w:rFonts w:ascii="Times New Roman" w:hAnsi="Times New Roman"/>
          <w:color w:val="auto"/>
          <w:spacing w:val="0"/>
          <w:sz w:val="22"/>
          <w:szCs w:val="22"/>
          <w:lang w:val="en-GB"/>
        </w:rPr>
        <w:t xml:space="preserve"> branch budget declines from R 3.09 billion in 2021/22 special adjusted allocation to R 2.55 billion in the 2022/23 financial year. This is a reduction of R540.9 million or 17.5% in nominal terms and R 651 million or 21.02% in real terms. The </w:t>
      </w:r>
      <w:r w:rsidRPr="0035165B">
        <w:rPr>
          <w:rFonts w:ascii="Times New Roman" w:hAnsi="Times New Roman"/>
          <w:i/>
          <w:color w:val="auto"/>
          <w:spacing w:val="0"/>
          <w:sz w:val="22"/>
          <w:szCs w:val="22"/>
          <w:lang w:val="en-GB"/>
        </w:rPr>
        <w:t>Citizens Affairs Management</w:t>
      </w:r>
      <w:r w:rsidRPr="0035165B">
        <w:rPr>
          <w:rFonts w:ascii="Times New Roman" w:hAnsi="Times New Roman"/>
          <w:color w:val="auto"/>
          <w:spacing w:val="0"/>
          <w:sz w:val="22"/>
          <w:szCs w:val="22"/>
          <w:lang w:val="en-GB"/>
        </w:rPr>
        <w:t xml:space="preserve"> is the only sub-programme to receive an increased budget in the programme by R 8.2 million or 31.12% in real terms. </w:t>
      </w:r>
    </w:p>
    <w:p w14:paraId="576B3870" w14:textId="77777777" w:rsidR="00A048A9" w:rsidRPr="0035165B" w:rsidRDefault="00A048A9" w:rsidP="00A048A9">
      <w:pPr>
        <w:jc w:val="both"/>
        <w:rPr>
          <w:rFonts w:ascii="Times New Roman" w:hAnsi="Times New Roman"/>
          <w:color w:val="auto"/>
          <w:spacing w:val="0"/>
          <w:sz w:val="22"/>
          <w:szCs w:val="22"/>
          <w:lang w:val="en-GB"/>
        </w:rPr>
      </w:pPr>
    </w:p>
    <w:p w14:paraId="4761010C"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The </w:t>
      </w:r>
      <w:r w:rsidRPr="0035165B">
        <w:rPr>
          <w:rFonts w:ascii="Times New Roman" w:hAnsi="Times New Roman"/>
          <w:i/>
          <w:color w:val="auto"/>
          <w:spacing w:val="0"/>
          <w:sz w:val="22"/>
          <w:szCs w:val="22"/>
          <w:lang w:val="en-GB"/>
        </w:rPr>
        <w:t>Status Services</w:t>
      </w:r>
      <w:r w:rsidRPr="0035165B">
        <w:rPr>
          <w:rFonts w:ascii="Times New Roman" w:hAnsi="Times New Roman"/>
          <w:color w:val="auto"/>
          <w:spacing w:val="0"/>
          <w:sz w:val="22"/>
          <w:szCs w:val="22"/>
          <w:lang w:val="en-GB"/>
        </w:rPr>
        <w:t xml:space="preserve"> sub-programme received the most considerable decrease in real percentage terms after being allocated a decrease of R 495.3 million, equivalent to an 83.19 % decrease. The </w:t>
      </w:r>
      <w:r w:rsidRPr="0035165B">
        <w:rPr>
          <w:rFonts w:ascii="Times New Roman" w:hAnsi="Times New Roman"/>
          <w:i/>
          <w:color w:val="auto"/>
          <w:spacing w:val="0"/>
          <w:sz w:val="22"/>
          <w:szCs w:val="22"/>
          <w:lang w:val="en-GB"/>
        </w:rPr>
        <w:t>Identification Services</w:t>
      </w:r>
      <w:r w:rsidRPr="0035165B">
        <w:rPr>
          <w:rFonts w:ascii="Times New Roman" w:hAnsi="Times New Roman"/>
          <w:color w:val="auto"/>
          <w:spacing w:val="0"/>
          <w:sz w:val="22"/>
          <w:szCs w:val="22"/>
          <w:lang w:val="en-GB"/>
        </w:rPr>
        <w:t xml:space="preserve"> and </w:t>
      </w:r>
      <w:r w:rsidRPr="0035165B">
        <w:rPr>
          <w:rFonts w:ascii="Times New Roman" w:hAnsi="Times New Roman"/>
          <w:i/>
          <w:color w:val="auto"/>
          <w:spacing w:val="0"/>
          <w:sz w:val="22"/>
          <w:szCs w:val="22"/>
          <w:lang w:val="en-GB"/>
        </w:rPr>
        <w:t>Service Delivery to Provinces</w:t>
      </w:r>
      <w:r w:rsidRPr="0035165B">
        <w:rPr>
          <w:rFonts w:ascii="Times New Roman" w:hAnsi="Times New Roman"/>
          <w:color w:val="auto"/>
          <w:spacing w:val="0"/>
          <w:sz w:val="22"/>
          <w:szCs w:val="22"/>
          <w:lang w:val="en-GB"/>
        </w:rPr>
        <w:t xml:space="preserve"> also received a budget decrease in both nominal and real terms. The </w:t>
      </w:r>
      <w:r w:rsidRPr="0035165B">
        <w:rPr>
          <w:rFonts w:ascii="Times New Roman" w:hAnsi="Times New Roman"/>
          <w:i/>
          <w:color w:val="auto"/>
          <w:spacing w:val="0"/>
          <w:sz w:val="22"/>
          <w:szCs w:val="22"/>
          <w:lang w:val="en-GB"/>
        </w:rPr>
        <w:t>Identification Services</w:t>
      </w:r>
      <w:r w:rsidRPr="0035165B">
        <w:rPr>
          <w:rFonts w:ascii="Times New Roman" w:hAnsi="Times New Roman"/>
          <w:color w:val="auto"/>
          <w:spacing w:val="0"/>
          <w:sz w:val="22"/>
          <w:szCs w:val="22"/>
          <w:lang w:val="en-GB"/>
        </w:rPr>
        <w:t xml:space="preserve"> allocation decreases from R 250.5 million in the previous year to R 174.1 million in the current year. This allocation decrease translates to a decrease of R 83.9 million or 33.50 % in real terms, while the </w:t>
      </w:r>
      <w:r w:rsidRPr="0035165B">
        <w:rPr>
          <w:rFonts w:ascii="Times New Roman" w:hAnsi="Times New Roman"/>
          <w:i/>
          <w:color w:val="auto"/>
          <w:spacing w:val="0"/>
          <w:sz w:val="22"/>
          <w:szCs w:val="22"/>
          <w:lang w:val="en-GB"/>
        </w:rPr>
        <w:t>Service Delivery to Provinces</w:t>
      </w:r>
      <w:r w:rsidRPr="0035165B">
        <w:rPr>
          <w:rFonts w:ascii="Times New Roman" w:hAnsi="Times New Roman"/>
          <w:color w:val="auto"/>
          <w:spacing w:val="0"/>
          <w:sz w:val="22"/>
          <w:szCs w:val="22"/>
          <w:lang w:val="en-GB"/>
        </w:rPr>
        <w:t xml:space="preserve"> decreases from R 2.27 billion in the previous year to R 2.25 billion in the current financial year, thus translating to a decrease of R 116.0 million or 5.10 % in real terms. As stated previously, the Programme 2 is usually allocated additional funding during the adjustment period in September 2022.</w:t>
      </w:r>
    </w:p>
    <w:p w14:paraId="53A1D062" w14:textId="703085E8" w:rsidR="00A048A9" w:rsidRPr="0035165B" w:rsidRDefault="00A048A9" w:rsidP="00570AD6">
      <w:pPr>
        <w:pStyle w:val="Heading3"/>
        <w:jc w:val="both"/>
        <w:rPr>
          <w:rFonts w:ascii="Times New Roman" w:hAnsi="Times New Roman" w:cs="Times New Roman"/>
          <w:color w:val="F79646" w:themeColor="accent6"/>
          <w:sz w:val="22"/>
          <w:szCs w:val="22"/>
          <w:lang w:val="en-GB"/>
        </w:rPr>
      </w:pPr>
      <w:bookmarkStart w:id="13" w:name="_Toc101369930"/>
      <w:bookmarkStart w:id="14" w:name="_Toc34052278"/>
      <w:r w:rsidRPr="0035165B">
        <w:rPr>
          <w:rFonts w:ascii="Times New Roman" w:hAnsi="Times New Roman" w:cs="Times New Roman"/>
          <w:sz w:val="22"/>
          <w:szCs w:val="22"/>
          <w:lang w:val="en-GB"/>
        </w:rPr>
        <w:t>Programme 3: Immigration Affairs</w:t>
      </w:r>
      <w:bookmarkEnd w:id="13"/>
      <w:bookmarkEnd w:id="14"/>
    </w:p>
    <w:p w14:paraId="01C428F4"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The immigration affairs branch facilitates and regulates the secure movement of people through ports of entry into and out of the Republic of South Africa. It also determines the status of asylum seekers and regulates refugee affairs. Programme 3 has four sub-programmes under it.</w:t>
      </w:r>
    </w:p>
    <w:p w14:paraId="5D63DAF3" w14:textId="77777777" w:rsidR="00A048A9" w:rsidRPr="0035165B" w:rsidRDefault="00A048A9" w:rsidP="00A048A9">
      <w:pPr>
        <w:jc w:val="both"/>
        <w:rPr>
          <w:rFonts w:ascii="Times New Roman" w:hAnsi="Times New Roman"/>
          <w:color w:val="auto"/>
          <w:spacing w:val="0"/>
          <w:sz w:val="22"/>
          <w:szCs w:val="22"/>
          <w:lang w:val="en-GB"/>
        </w:rPr>
      </w:pPr>
    </w:p>
    <w:p w14:paraId="5AD392F7"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Constituting only 16% of the Department’s budget in the current financial year, the </w:t>
      </w:r>
      <w:r w:rsidRPr="0035165B">
        <w:rPr>
          <w:rFonts w:ascii="Times New Roman" w:hAnsi="Times New Roman"/>
          <w:i/>
          <w:color w:val="auto"/>
          <w:spacing w:val="0"/>
          <w:sz w:val="22"/>
          <w:szCs w:val="22"/>
          <w:lang w:val="en-GB"/>
        </w:rPr>
        <w:t>Immigration Affairs</w:t>
      </w:r>
      <w:r w:rsidRPr="0035165B">
        <w:rPr>
          <w:rFonts w:ascii="Times New Roman" w:hAnsi="Times New Roman"/>
          <w:color w:val="auto"/>
          <w:spacing w:val="0"/>
          <w:sz w:val="22"/>
          <w:szCs w:val="22"/>
          <w:lang w:val="en-GB"/>
        </w:rPr>
        <w:t xml:space="preserve"> programme has the lowest spending area. However, if inflation is not considered, the programme’s budget increased from R 1.44 billion in 2021/22 to R 1.47 billion in 2022/23. The programme's allocation delines by R35.4 million or 2.44% if inflation is considered.</w:t>
      </w:r>
    </w:p>
    <w:p w14:paraId="01B9F3C9" w14:textId="77777777" w:rsidR="00A048A9" w:rsidRPr="0035165B" w:rsidRDefault="00A048A9" w:rsidP="00A048A9">
      <w:pPr>
        <w:jc w:val="both"/>
        <w:rPr>
          <w:rFonts w:ascii="Times New Roman" w:hAnsi="Times New Roman"/>
          <w:color w:val="auto"/>
          <w:spacing w:val="0"/>
          <w:sz w:val="22"/>
          <w:szCs w:val="22"/>
          <w:lang w:val="en-GB"/>
        </w:rPr>
      </w:pPr>
    </w:p>
    <w:p w14:paraId="55CA28A1" w14:textId="77777777" w:rsidR="00A048A9" w:rsidRPr="0035165B" w:rsidRDefault="00A048A9" w:rsidP="00A048A9">
      <w:pPr>
        <w:pStyle w:val="Caption"/>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Table 5: </w:t>
      </w:r>
      <w:r w:rsidRPr="0035165B">
        <w:rPr>
          <w:rFonts w:ascii="Times New Roman" w:hAnsi="Times New Roman"/>
          <w:bCs w:val="0"/>
          <w:color w:val="auto"/>
          <w:spacing w:val="0"/>
          <w:sz w:val="22"/>
          <w:szCs w:val="22"/>
          <w:lang w:val="en-GB"/>
        </w:rPr>
        <w:t>Programme 3: Immigration Affairs</w:t>
      </w:r>
    </w:p>
    <w:tbl>
      <w:tblPr>
        <w:tblW w:w="99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939"/>
        <w:gridCol w:w="1134"/>
        <w:gridCol w:w="1134"/>
        <w:gridCol w:w="1106"/>
        <w:gridCol w:w="1134"/>
        <w:gridCol w:w="1134"/>
      </w:tblGrid>
      <w:tr w:rsidR="00A048A9" w:rsidRPr="0035165B" w14:paraId="64E32491" w14:textId="77777777" w:rsidTr="00A048A9">
        <w:trPr>
          <w:trHeight w:val="765"/>
        </w:trPr>
        <w:tc>
          <w:tcPr>
            <w:tcW w:w="3384" w:type="dxa"/>
            <w:tcBorders>
              <w:top w:val="single" w:sz="12" w:space="0" w:color="auto"/>
              <w:left w:val="single" w:sz="12" w:space="0" w:color="auto"/>
              <w:bottom w:val="single" w:sz="4" w:space="0" w:color="auto"/>
              <w:right w:val="single" w:sz="4" w:space="0" w:color="auto"/>
            </w:tcBorders>
            <w:shd w:val="pct15" w:color="auto" w:fill="auto"/>
            <w:noWrap/>
            <w:hideMark/>
          </w:tcPr>
          <w:p w14:paraId="478594B0"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Programme</w:t>
            </w:r>
          </w:p>
        </w:tc>
        <w:tc>
          <w:tcPr>
            <w:tcW w:w="2073" w:type="dxa"/>
            <w:gridSpan w:val="2"/>
            <w:tcBorders>
              <w:top w:val="single" w:sz="12" w:space="0" w:color="auto"/>
              <w:left w:val="single" w:sz="4" w:space="0" w:color="auto"/>
              <w:bottom w:val="single" w:sz="4" w:space="0" w:color="auto"/>
              <w:right w:val="single" w:sz="4" w:space="0" w:color="auto"/>
            </w:tcBorders>
            <w:shd w:val="pct15" w:color="auto" w:fill="auto"/>
            <w:hideMark/>
          </w:tcPr>
          <w:p w14:paraId="6AA5F981"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Budget</w:t>
            </w:r>
          </w:p>
        </w:tc>
        <w:tc>
          <w:tcPr>
            <w:tcW w:w="1134" w:type="dxa"/>
            <w:vMerge w:val="restart"/>
            <w:tcBorders>
              <w:top w:val="single" w:sz="12" w:space="0" w:color="auto"/>
              <w:left w:val="single" w:sz="4" w:space="0" w:color="auto"/>
              <w:bottom w:val="single" w:sz="12" w:space="0" w:color="auto"/>
              <w:right w:val="single" w:sz="4" w:space="0" w:color="auto"/>
            </w:tcBorders>
            <w:shd w:val="pct15" w:color="auto" w:fill="auto"/>
            <w:hideMark/>
          </w:tcPr>
          <w:p w14:paraId="7C61B455"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Nominal Increase/ Decrease in 2022/23</w:t>
            </w:r>
          </w:p>
        </w:tc>
        <w:tc>
          <w:tcPr>
            <w:tcW w:w="1106" w:type="dxa"/>
            <w:vMerge w:val="restart"/>
            <w:tcBorders>
              <w:top w:val="single" w:sz="12" w:space="0" w:color="auto"/>
              <w:left w:val="single" w:sz="4" w:space="0" w:color="auto"/>
              <w:bottom w:val="single" w:sz="12" w:space="0" w:color="auto"/>
              <w:right w:val="single" w:sz="4" w:space="0" w:color="auto"/>
            </w:tcBorders>
            <w:shd w:val="pct15" w:color="auto" w:fill="auto"/>
            <w:hideMark/>
          </w:tcPr>
          <w:p w14:paraId="4B50255A"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Real Increase/ Decrease in 2022/23</w:t>
            </w:r>
          </w:p>
        </w:tc>
        <w:tc>
          <w:tcPr>
            <w:tcW w:w="1134" w:type="dxa"/>
            <w:vMerge w:val="restart"/>
            <w:tcBorders>
              <w:top w:val="single" w:sz="12" w:space="0" w:color="auto"/>
              <w:left w:val="single" w:sz="4" w:space="0" w:color="auto"/>
              <w:bottom w:val="single" w:sz="12" w:space="0" w:color="auto"/>
              <w:right w:val="single" w:sz="4" w:space="0" w:color="auto"/>
            </w:tcBorders>
            <w:shd w:val="pct15" w:color="auto" w:fill="auto"/>
            <w:hideMark/>
          </w:tcPr>
          <w:p w14:paraId="5CB5CCEE"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Nominal Percent change in 2022/23</w:t>
            </w:r>
          </w:p>
        </w:tc>
        <w:tc>
          <w:tcPr>
            <w:tcW w:w="1134" w:type="dxa"/>
            <w:vMerge w:val="restart"/>
            <w:tcBorders>
              <w:top w:val="single" w:sz="12" w:space="0" w:color="auto"/>
              <w:left w:val="single" w:sz="4" w:space="0" w:color="auto"/>
              <w:bottom w:val="single" w:sz="12" w:space="0" w:color="auto"/>
              <w:right w:val="single" w:sz="12" w:space="0" w:color="auto"/>
            </w:tcBorders>
            <w:shd w:val="pct15" w:color="auto" w:fill="auto"/>
            <w:hideMark/>
          </w:tcPr>
          <w:p w14:paraId="45839B21"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Real Percent change in 2022/23</w:t>
            </w:r>
          </w:p>
        </w:tc>
      </w:tr>
      <w:tr w:rsidR="00A048A9" w:rsidRPr="0035165B" w14:paraId="2D6118DC" w14:textId="77777777" w:rsidTr="00A048A9">
        <w:trPr>
          <w:trHeight w:val="264"/>
        </w:trPr>
        <w:tc>
          <w:tcPr>
            <w:tcW w:w="3384" w:type="dxa"/>
            <w:tcBorders>
              <w:top w:val="single" w:sz="12" w:space="0" w:color="auto"/>
              <w:left w:val="single" w:sz="12" w:space="0" w:color="auto"/>
              <w:bottom w:val="single" w:sz="12" w:space="0" w:color="auto"/>
              <w:right w:val="single" w:sz="4" w:space="0" w:color="auto"/>
            </w:tcBorders>
            <w:shd w:val="pct15" w:color="auto" w:fill="auto"/>
            <w:noWrap/>
            <w:hideMark/>
          </w:tcPr>
          <w:p w14:paraId="78FEB7DF"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 million</w:t>
            </w:r>
          </w:p>
        </w:tc>
        <w:tc>
          <w:tcPr>
            <w:tcW w:w="939" w:type="dxa"/>
            <w:tcBorders>
              <w:top w:val="single" w:sz="12" w:space="0" w:color="auto"/>
              <w:left w:val="single" w:sz="4" w:space="0" w:color="auto"/>
              <w:bottom w:val="single" w:sz="12" w:space="0" w:color="auto"/>
              <w:right w:val="single" w:sz="4" w:space="0" w:color="auto"/>
            </w:tcBorders>
            <w:shd w:val="pct15" w:color="auto" w:fill="auto"/>
            <w:noWrap/>
            <w:hideMark/>
          </w:tcPr>
          <w:p w14:paraId="5EE0E71D"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2021/22</w:t>
            </w:r>
          </w:p>
        </w:tc>
        <w:tc>
          <w:tcPr>
            <w:tcW w:w="1134" w:type="dxa"/>
            <w:tcBorders>
              <w:top w:val="single" w:sz="12" w:space="0" w:color="auto"/>
              <w:left w:val="single" w:sz="4" w:space="0" w:color="auto"/>
              <w:bottom w:val="single" w:sz="12" w:space="0" w:color="auto"/>
              <w:right w:val="single" w:sz="4" w:space="0" w:color="auto"/>
            </w:tcBorders>
            <w:shd w:val="pct15" w:color="auto" w:fill="auto"/>
            <w:noWrap/>
            <w:hideMark/>
          </w:tcPr>
          <w:p w14:paraId="750F1C2C"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2022/23</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FB8BF9D"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D9BDF26"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FCC8AF8"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4FC47F4" w14:textId="77777777" w:rsidR="00A048A9" w:rsidRPr="0035165B" w:rsidRDefault="00A048A9">
            <w:pPr>
              <w:spacing w:line="240" w:lineRule="auto"/>
              <w:rPr>
                <w:rFonts w:ascii="Times New Roman" w:eastAsia="Calibri" w:hAnsi="Times New Roman"/>
                <w:b/>
                <w:bCs/>
                <w:spacing w:val="0"/>
                <w:sz w:val="22"/>
                <w:szCs w:val="22"/>
                <w:lang w:val="en-GB"/>
              </w:rPr>
            </w:pPr>
          </w:p>
        </w:tc>
      </w:tr>
      <w:tr w:rsidR="00A048A9" w:rsidRPr="0035165B" w14:paraId="1C32D6D6" w14:textId="77777777" w:rsidTr="00A048A9">
        <w:trPr>
          <w:trHeight w:val="264"/>
        </w:trPr>
        <w:tc>
          <w:tcPr>
            <w:tcW w:w="3384" w:type="dxa"/>
            <w:tcBorders>
              <w:top w:val="single" w:sz="12" w:space="0" w:color="auto"/>
              <w:left w:val="single" w:sz="4" w:space="0" w:color="auto"/>
              <w:bottom w:val="single" w:sz="4" w:space="0" w:color="auto"/>
              <w:right w:val="single" w:sz="4" w:space="0" w:color="auto"/>
            </w:tcBorders>
            <w:noWrap/>
            <w:hideMark/>
          </w:tcPr>
          <w:p w14:paraId="010372C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Immigration Affairs Management</w:t>
            </w:r>
          </w:p>
        </w:tc>
        <w:tc>
          <w:tcPr>
            <w:tcW w:w="939" w:type="dxa"/>
            <w:tcBorders>
              <w:top w:val="single" w:sz="12" w:space="0" w:color="auto"/>
              <w:left w:val="single" w:sz="4" w:space="0" w:color="auto"/>
              <w:bottom w:val="single" w:sz="4" w:space="0" w:color="auto"/>
              <w:right w:val="single" w:sz="4" w:space="0" w:color="auto"/>
            </w:tcBorders>
            <w:noWrap/>
            <w:hideMark/>
          </w:tcPr>
          <w:p w14:paraId="7C56573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32,9</w:t>
            </w:r>
          </w:p>
        </w:tc>
        <w:tc>
          <w:tcPr>
            <w:tcW w:w="1134" w:type="dxa"/>
            <w:tcBorders>
              <w:top w:val="single" w:sz="12" w:space="0" w:color="auto"/>
              <w:left w:val="single" w:sz="4" w:space="0" w:color="auto"/>
              <w:bottom w:val="single" w:sz="4" w:space="0" w:color="auto"/>
              <w:right w:val="single" w:sz="4" w:space="0" w:color="auto"/>
            </w:tcBorders>
            <w:noWrap/>
            <w:hideMark/>
          </w:tcPr>
          <w:p w14:paraId="175CB18D"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30,5</w:t>
            </w:r>
          </w:p>
        </w:tc>
        <w:tc>
          <w:tcPr>
            <w:tcW w:w="1134" w:type="dxa"/>
            <w:tcBorders>
              <w:top w:val="single" w:sz="12" w:space="0" w:color="auto"/>
              <w:left w:val="single" w:sz="4" w:space="0" w:color="auto"/>
              <w:bottom w:val="single" w:sz="4" w:space="0" w:color="auto"/>
              <w:right w:val="single" w:sz="4" w:space="0" w:color="auto"/>
            </w:tcBorders>
            <w:noWrap/>
            <w:hideMark/>
          </w:tcPr>
          <w:p w14:paraId="5A1421B2"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-2,4</w:t>
            </w:r>
          </w:p>
        </w:tc>
        <w:tc>
          <w:tcPr>
            <w:tcW w:w="1106" w:type="dxa"/>
            <w:tcBorders>
              <w:top w:val="single" w:sz="12" w:space="0" w:color="auto"/>
              <w:left w:val="single" w:sz="4" w:space="0" w:color="auto"/>
              <w:bottom w:val="single" w:sz="4" w:space="0" w:color="auto"/>
              <w:right w:val="single" w:sz="4" w:space="0" w:color="auto"/>
            </w:tcBorders>
            <w:noWrap/>
            <w:hideMark/>
          </w:tcPr>
          <w:p w14:paraId="515DA1B3"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-3,7</w:t>
            </w:r>
          </w:p>
        </w:tc>
        <w:tc>
          <w:tcPr>
            <w:tcW w:w="1134" w:type="dxa"/>
            <w:tcBorders>
              <w:top w:val="single" w:sz="12" w:space="0" w:color="auto"/>
              <w:left w:val="single" w:sz="4" w:space="0" w:color="auto"/>
              <w:bottom w:val="single" w:sz="4" w:space="0" w:color="auto"/>
              <w:right w:val="single" w:sz="4" w:space="0" w:color="auto"/>
            </w:tcBorders>
            <w:noWrap/>
            <w:hideMark/>
          </w:tcPr>
          <w:p w14:paraId="1011296C"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-7,29%</w:t>
            </w:r>
          </w:p>
        </w:tc>
        <w:tc>
          <w:tcPr>
            <w:tcW w:w="1134" w:type="dxa"/>
            <w:tcBorders>
              <w:top w:val="single" w:sz="12" w:space="0" w:color="auto"/>
              <w:left w:val="single" w:sz="4" w:space="0" w:color="auto"/>
              <w:bottom w:val="single" w:sz="4" w:space="0" w:color="auto"/>
              <w:right w:val="single" w:sz="4" w:space="0" w:color="auto"/>
            </w:tcBorders>
            <w:noWrap/>
            <w:hideMark/>
          </w:tcPr>
          <w:p w14:paraId="7D6EBC18"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-11,29%</w:t>
            </w:r>
          </w:p>
        </w:tc>
      </w:tr>
      <w:tr w:rsidR="00A048A9" w:rsidRPr="0035165B" w14:paraId="32B79F26" w14:textId="77777777" w:rsidTr="00A048A9">
        <w:trPr>
          <w:trHeight w:val="264"/>
        </w:trPr>
        <w:tc>
          <w:tcPr>
            <w:tcW w:w="3384" w:type="dxa"/>
            <w:tcBorders>
              <w:top w:val="single" w:sz="4" w:space="0" w:color="auto"/>
              <w:left w:val="single" w:sz="4" w:space="0" w:color="auto"/>
              <w:bottom w:val="single" w:sz="4" w:space="0" w:color="auto"/>
              <w:right w:val="single" w:sz="4" w:space="0" w:color="auto"/>
            </w:tcBorders>
            <w:noWrap/>
            <w:hideMark/>
          </w:tcPr>
          <w:p w14:paraId="65689BCB"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Admission Services</w:t>
            </w:r>
          </w:p>
        </w:tc>
        <w:tc>
          <w:tcPr>
            <w:tcW w:w="939" w:type="dxa"/>
            <w:tcBorders>
              <w:top w:val="single" w:sz="4" w:space="0" w:color="auto"/>
              <w:left w:val="single" w:sz="4" w:space="0" w:color="auto"/>
              <w:bottom w:val="single" w:sz="4" w:space="0" w:color="auto"/>
              <w:right w:val="single" w:sz="4" w:space="0" w:color="auto"/>
            </w:tcBorders>
            <w:noWrap/>
            <w:hideMark/>
          </w:tcPr>
          <w:p w14:paraId="792DA298"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1 047,7</w:t>
            </w:r>
          </w:p>
        </w:tc>
        <w:tc>
          <w:tcPr>
            <w:tcW w:w="1134" w:type="dxa"/>
            <w:tcBorders>
              <w:top w:val="single" w:sz="4" w:space="0" w:color="auto"/>
              <w:left w:val="single" w:sz="4" w:space="0" w:color="auto"/>
              <w:bottom w:val="single" w:sz="4" w:space="0" w:color="auto"/>
              <w:right w:val="single" w:sz="4" w:space="0" w:color="auto"/>
            </w:tcBorders>
            <w:noWrap/>
            <w:hideMark/>
          </w:tcPr>
          <w:p w14:paraId="66C397FA"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1 066,7</w:t>
            </w:r>
          </w:p>
        </w:tc>
        <w:tc>
          <w:tcPr>
            <w:tcW w:w="1134" w:type="dxa"/>
            <w:tcBorders>
              <w:top w:val="single" w:sz="4" w:space="0" w:color="auto"/>
              <w:left w:val="single" w:sz="4" w:space="0" w:color="auto"/>
              <w:bottom w:val="single" w:sz="4" w:space="0" w:color="auto"/>
              <w:right w:val="single" w:sz="4" w:space="0" w:color="auto"/>
            </w:tcBorders>
            <w:noWrap/>
            <w:hideMark/>
          </w:tcPr>
          <w:p w14:paraId="78AA4E46"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-19,0</w:t>
            </w:r>
          </w:p>
        </w:tc>
        <w:tc>
          <w:tcPr>
            <w:tcW w:w="1106" w:type="dxa"/>
            <w:tcBorders>
              <w:top w:val="single" w:sz="4" w:space="0" w:color="auto"/>
              <w:left w:val="single" w:sz="4" w:space="0" w:color="auto"/>
              <w:bottom w:val="single" w:sz="4" w:space="0" w:color="auto"/>
              <w:right w:val="single" w:sz="4" w:space="0" w:color="auto"/>
            </w:tcBorders>
            <w:noWrap/>
            <w:hideMark/>
          </w:tcPr>
          <w:p w14:paraId="3889C852"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-26,9</w:t>
            </w:r>
          </w:p>
        </w:tc>
        <w:tc>
          <w:tcPr>
            <w:tcW w:w="1134" w:type="dxa"/>
            <w:tcBorders>
              <w:top w:val="single" w:sz="4" w:space="0" w:color="auto"/>
              <w:left w:val="single" w:sz="4" w:space="0" w:color="auto"/>
              <w:bottom w:val="single" w:sz="4" w:space="0" w:color="auto"/>
              <w:right w:val="single" w:sz="4" w:space="0" w:color="auto"/>
            </w:tcBorders>
            <w:noWrap/>
            <w:hideMark/>
          </w:tcPr>
          <w:p w14:paraId="18D6B30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1,81%</w:t>
            </w:r>
          </w:p>
        </w:tc>
        <w:tc>
          <w:tcPr>
            <w:tcW w:w="1134" w:type="dxa"/>
            <w:tcBorders>
              <w:top w:val="single" w:sz="4" w:space="0" w:color="auto"/>
              <w:left w:val="single" w:sz="4" w:space="0" w:color="auto"/>
              <w:bottom w:val="single" w:sz="4" w:space="0" w:color="auto"/>
              <w:right w:val="single" w:sz="4" w:space="0" w:color="auto"/>
            </w:tcBorders>
            <w:noWrap/>
            <w:hideMark/>
          </w:tcPr>
          <w:p w14:paraId="7F9FDB9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color w:val="FF0000"/>
                <w:spacing w:val="0"/>
                <w:sz w:val="22"/>
                <w:szCs w:val="22"/>
                <w:lang w:val="en-GB"/>
              </w:rPr>
              <w:t>-2,57%</w:t>
            </w:r>
          </w:p>
        </w:tc>
      </w:tr>
      <w:tr w:rsidR="00A048A9" w:rsidRPr="0035165B" w14:paraId="7FE445C7" w14:textId="77777777" w:rsidTr="00A048A9">
        <w:trPr>
          <w:trHeight w:val="264"/>
        </w:trPr>
        <w:tc>
          <w:tcPr>
            <w:tcW w:w="3384" w:type="dxa"/>
            <w:tcBorders>
              <w:top w:val="single" w:sz="4" w:space="0" w:color="auto"/>
              <w:left w:val="single" w:sz="4" w:space="0" w:color="auto"/>
              <w:bottom w:val="single" w:sz="4" w:space="0" w:color="auto"/>
              <w:right w:val="single" w:sz="4" w:space="0" w:color="auto"/>
            </w:tcBorders>
            <w:noWrap/>
            <w:hideMark/>
          </w:tcPr>
          <w:p w14:paraId="49613B50"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Immigration Services</w:t>
            </w:r>
          </w:p>
        </w:tc>
        <w:tc>
          <w:tcPr>
            <w:tcW w:w="939" w:type="dxa"/>
            <w:tcBorders>
              <w:top w:val="single" w:sz="4" w:space="0" w:color="auto"/>
              <w:left w:val="single" w:sz="4" w:space="0" w:color="auto"/>
              <w:bottom w:val="single" w:sz="4" w:space="0" w:color="auto"/>
              <w:right w:val="single" w:sz="4" w:space="0" w:color="auto"/>
            </w:tcBorders>
            <w:noWrap/>
            <w:hideMark/>
          </w:tcPr>
          <w:p w14:paraId="322D42FB"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258,7</w:t>
            </w:r>
          </w:p>
        </w:tc>
        <w:tc>
          <w:tcPr>
            <w:tcW w:w="1134" w:type="dxa"/>
            <w:tcBorders>
              <w:top w:val="single" w:sz="4" w:space="0" w:color="auto"/>
              <w:left w:val="single" w:sz="4" w:space="0" w:color="auto"/>
              <w:bottom w:val="single" w:sz="4" w:space="0" w:color="auto"/>
              <w:right w:val="single" w:sz="4" w:space="0" w:color="auto"/>
            </w:tcBorders>
            <w:noWrap/>
            <w:hideMark/>
          </w:tcPr>
          <w:p w14:paraId="0D6F65A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221,4</w:t>
            </w:r>
          </w:p>
        </w:tc>
        <w:tc>
          <w:tcPr>
            <w:tcW w:w="1134" w:type="dxa"/>
            <w:tcBorders>
              <w:top w:val="single" w:sz="4" w:space="0" w:color="auto"/>
              <w:left w:val="single" w:sz="4" w:space="0" w:color="auto"/>
              <w:bottom w:val="single" w:sz="4" w:space="0" w:color="auto"/>
              <w:right w:val="single" w:sz="4" w:space="0" w:color="auto"/>
            </w:tcBorders>
            <w:noWrap/>
            <w:hideMark/>
          </w:tcPr>
          <w:p w14:paraId="059AD883"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-37,3</w:t>
            </w:r>
          </w:p>
        </w:tc>
        <w:tc>
          <w:tcPr>
            <w:tcW w:w="1106" w:type="dxa"/>
            <w:tcBorders>
              <w:top w:val="single" w:sz="4" w:space="0" w:color="auto"/>
              <w:left w:val="single" w:sz="4" w:space="0" w:color="auto"/>
              <w:bottom w:val="single" w:sz="4" w:space="0" w:color="auto"/>
              <w:right w:val="single" w:sz="4" w:space="0" w:color="auto"/>
            </w:tcBorders>
            <w:noWrap/>
            <w:hideMark/>
          </w:tcPr>
          <w:p w14:paraId="2070D935"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-46,8</w:t>
            </w:r>
          </w:p>
        </w:tc>
        <w:tc>
          <w:tcPr>
            <w:tcW w:w="1134" w:type="dxa"/>
            <w:tcBorders>
              <w:top w:val="single" w:sz="4" w:space="0" w:color="auto"/>
              <w:left w:val="single" w:sz="4" w:space="0" w:color="auto"/>
              <w:bottom w:val="single" w:sz="4" w:space="0" w:color="auto"/>
              <w:right w:val="single" w:sz="4" w:space="0" w:color="auto"/>
            </w:tcBorders>
            <w:noWrap/>
            <w:hideMark/>
          </w:tcPr>
          <w:p w14:paraId="244981E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14,42%</w:t>
            </w:r>
          </w:p>
        </w:tc>
        <w:tc>
          <w:tcPr>
            <w:tcW w:w="1134" w:type="dxa"/>
            <w:tcBorders>
              <w:top w:val="single" w:sz="4" w:space="0" w:color="auto"/>
              <w:left w:val="single" w:sz="4" w:space="0" w:color="auto"/>
              <w:bottom w:val="single" w:sz="4" w:space="0" w:color="auto"/>
              <w:right w:val="single" w:sz="4" w:space="0" w:color="auto"/>
            </w:tcBorders>
            <w:noWrap/>
            <w:hideMark/>
          </w:tcPr>
          <w:p w14:paraId="33091E83"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-18,10%</w:t>
            </w:r>
          </w:p>
        </w:tc>
      </w:tr>
      <w:tr w:rsidR="00A048A9" w:rsidRPr="0035165B" w14:paraId="69251A90" w14:textId="77777777" w:rsidTr="00A048A9">
        <w:trPr>
          <w:trHeight w:val="264"/>
        </w:trPr>
        <w:tc>
          <w:tcPr>
            <w:tcW w:w="3384" w:type="dxa"/>
            <w:tcBorders>
              <w:top w:val="single" w:sz="4" w:space="0" w:color="auto"/>
              <w:left w:val="single" w:sz="4" w:space="0" w:color="auto"/>
              <w:bottom w:val="single" w:sz="4" w:space="0" w:color="auto"/>
              <w:right w:val="single" w:sz="4" w:space="0" w:color="auto"/>
            </w:tcBorders>
            <w:noWrap/>
            <w:hideMark/>
          </w:tcPr>
          <w:p w14:paraId="7355DA5A"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Asylum Seekers</w:t>
            </w:r>
          </w:p>
        </w:tc>
        <w:tc>
          <w:tcPr>
            <w:tcW w:w="939" w:type="dxa"/>
            <w:tcBorders>
              <w:top w:val="single" w:sz="4" w:space="0" w:color="auto"/>
              <w:left w:val="single" w:sz="4" w:space="0" w:color="auto"/>
              <w:bottom w:val="single" w:sz="4" w:space="0" w:color="auto"/>
              <w:right w:val="single" w:sz="4" w:space="0" w:color="auto"/>
            </w:tcBorders>
            <w:noWrap/>
            <w:hideMark/>
          </w:tcPr>
          <w:p w14:paraId="3FA6A0A9"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160,1</w:t>
            </w:r>
          </w:p>
        </w:tc>
        <w:tc>
          <w:tcPr>
            <w:tcW w:w="1134" w:type="dxa"/>
            <w:tcBorders>
              <w:top w:val="single" w:sz="4" w:space="0" w:color="auto"/>
              <w:left w:val="single" w:sz="4" w:space="0" w:color="auto"/>
              <w:bottom w:val="single" w:sz="4" w:space="0" w:color="auto"/>
              <w:right w:val="single" w:sz="4" w:space="0" w:color="auto"/>
            </w:tcBorders>
            <w:noWrap/>
            <w:hideMark/>
          </w:tcPr>
          <w:p w14:paraId="766E57DF"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159,0</w:t>
            </w:r>
          </w:p>
        </w:tc>
        <w:tc>
          <w:tcPr>
            <w:tcW w:w="1134" w:type="dxa"/>
            <w:tcBorders>
              <w:top w:val="single" w:sz="4" w:space="0" w:color="auto"/>
              <w:left w:val="single" w:sz="4" w:space="0" w:color="auto"/>
              <w:bottom w:val="single" w:sz="4" w:space="0" w:color="auto"/>
              <w:right w:val="single" w:sz="4" w:space="0" w:color="auto"/>
            </w:tcBorders>
            <w:noWrap/>
            <w:hideMark/>
          </w:tcPr>
          <w:p w14:paraId="022DF61C"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-1,1</w:t>
            </w:r>
          </w:p>
        </w:tc>
        <w:tc>
          <w:tcPr>
            <w:tcW w:w="1106" w:type="dxa"/>
            <w:tcBorders>
              <w:top w:val="single" w:sz="4" w:space="0" w:color="auto"/>
              <w:left w:val="single" w:sz="4" w:space="0" w:color="auto"/>
              <w:bottom w:val="single" w:sz="4" w:space="0" w:color="auto"/>
              <w:right w:val="single" w:sz="4" w:space="0" w:color="auto"/>
            </w:tcBorders>
            <w:noWrap/>
            <w:hideMark/>
          </w:tcPr>
          <w:p w14:paraId="38473975"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-7,9</w:t>
            </w:r>
          </w:p>
        </w:tc>
        <w:tc>
          <w:tcPr>
            <w:tcW w:w="1134" w:type="dxa"/>
            <w:tcBorders>
              <w:top w:val="single" w:sz="4" w:space="0" w:color="auto"/>
              <w:left w:val="single" w:sz="4" w:space="0" w:color="auto"/>
              <w:bottom w:val="single" w:sz="4" w:space="0" w:color="auto"/>
              <w:right w:val="single" w:sz="4" w:space="0" w:color="auto"/>
            </w:tcBorders>
            <w:noWrap/>
            <w:hideMark/>
          </w:tcPr>
          <w:p w14:paraId="1F741A92"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-0,69%</w:t>
            </w:r>
          </w:p>
        </w:tc>
        <w:tc>
          <w:tcPr>
            <w:tcW w:w="1134" w:type="dxa"/>
            <w:tcBorders>
              <w:top w:val="single" w:sz="4" w:space="0" w:color="auto"/>
              <w:left w:val="single" w:sz="4" w:space="0" w:color="auto"/>
              <w:bottom w:val="single" w:sz="4" w:space="0" w:color="auto"/>
              <w:right w:val="single" w:sz="4" w:space="0" w:color="auto"/>
            </w:tcBorders>
            <w:noWrap/>
            <w:hideMark/>
          </w:tcPr>
          <w:p w14:paraId="442C0E15"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-4,96%</w:t>
            </w:r>
          </w:p>
        </w:tc>
      </w:tr>
      <w:tr w:rsidR="00A048A9" w:rsidRPr="0035165B" w14:paraId="4FDF8F25" w14:textId="77777777" w:rsidTr="00A048A9">
        <w:trPr>
          <w:trHeight w:val="264"/>
        </w:trPr>
        <w:tc>
          <w:tcPr>
            <w:tcW w:w="3384" w:type="dxa"/>
            <w:tcBorders>
              <w:top w:val="single" w:sz="12" w:space="0" w:color="auto"/>
              <w:left w:val="single" w:sz="12" w:space="0" w:color="auto"/>
              <w:bottom w:val="single" w:sz="12" w:space="0" w:color="auto"/>
              <w:right w:val="single" w:sz="4" w:space="0" w:color="auto"/>
            </w:tcBorders>
            <w:shd w:val="pct15" w:color="auto" w:fill="auto"/>
            <w:noWrap/>
            <w:hideMark/>
          </w:tcPr>
          <w:p w14:paraId="4F78E579"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TOTAL</w:t>
            </w:r>
          </w:p>
        </w:tc>
        <w:tc>
          <w:tcPr>
            <w:tcW w:w="939" w:type="dxa"/>
            <w:tcBorders>
              <w:top w:val="single" w:sz="12" w:space="0" w:color="auto"/>
              <w:left w:val="single" w:sz="4" w:space="0" w:color="auto"/>
              <w:bottom w:val="single" w:sz="12" w:space="0" w:color="auto"/>
              <w:right w:val="single" w:sz="4" w:space="0" w:color="auto"/>
            </w:tcBorders>
            <w:shd w:val="pct15" w:color="auto" w:fill="auto"/>
            <w:noWrap/>
            <w:hideMark/>
          </w:tcPr>
          <w:p w14:paraId="6C0820A8"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1 449,4</w:t>
            </w:r>
          </w:p>
        </w:tc>
        <w:tc>
          <w:tcPr>
            <w:tcW w:w="1134" w:type="dxa"/>
            <w:tcBorders>
              <w:top w:val="single" w:sz="12" w:space="0" w:color="auto"/>
              <w:left w:val="single" w:sz="4" w:space="0" w:color="auto"/>
              <w:bottom w:val="single" w:sz="12" w:space="0" w:color="auto"/>
              <w:right w:val="single" w:sz="4" w:space="0" w:color="auto"/>
            </w:tcBorders>
            <w:shd w:val="pct15" w:color="auto" w:fill="auto"/>
            <w:noWrap/>
            <w:hideMark/>
          </w:tcPr>
          <w:p w14:paraId="0ED9B4BC"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1 477,6</w:t>
            </w:r>
          </w:p>
        </w:tc>
        <w:tc>
          <w:tcPr>
            <w:tcW w:w="1134" w:type="dxa"/>
            <w:tcBorders>
              <w:top w:val="single" w:sz="12" w:space="0" w:color="auto"/>
              <w:left w:val="single" w:sz="4" w:space="0" w:color="auto"/>
              <w:bottom w:val="single" w:sz="12" w:space="0" w:color="auto"/>
              <w:right w:val="single" w:sz="4" w:space="0" w:color="auto"/>
            </w:tcBorders>
            <w:shd w:val="pct15" w:color="auto" w:fill="auto"/>
            <w:noWrap/>
            <w:hideMark/>
          </w:tcPr>
          <w:p w14:paraId="50F752C2"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28,2</w:t>
            </w:r>
          </w:p>
        </w:tc>
        <w:tc>
          <w:tcPr>
            <w:tcW w:w="1106" w:type="dxa"/>
            <w:tcBorders>
              <w:top w:val="single" w:sz="12" w:space="0" w:color="auto"/>
              <w:left w:val="single" w:sz="4" w:space="0" w:color="auto"/>
              <w:bottom w:val="single" w:sz="12" w:space="0" w:color="auto"/>
              <w:right w:val="single" w:sz="4" w:space="0" w:color="auto"/>
            </w:tcBorders>
            <w:shd w:val="pct15" w:color="auto" w:fill="auto"/>
            <w:noWrap/>
            <w:hideMark/>
          </w:tcPr>
          <w:p w14:paraId="3B2EBABD"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color w:val="FF0000"/>
                <w:spacing w:val="0"/>
                <w:sz w:val="22"/>
                <w:szCs w:val="22"/>
                <w:lang w:val="en-GB"/>
              </w:rPr>
              <w:t>-35,4</w:t>
            </w:r>
          </w:p>
        </w:tc>
        <w:tc>
          <w:tcPr>
            <w:tcW w:w="1134" w:type="dxa"/>
            <w:tcBorders>
              <w:top w:val="single" w:sz="12" w:space="0" w:color="auto"/>
              <w:left w:val="single" w:sz="4" w:space="0" w:color="auto"/>
              <w:bottom w:val="single" w:sz="12" w:space="0" w:color="auto"/>
              <w:right w:val="single" w:sz="4" w:space="0" w:color="auto"/>
            </w:tcBorders>
            <w:shd w:val="pct15" w:color="auto" w:fill="auto"/>
            <w:noWrap/>
            <w:hideMark/>
          </w:tcPr>
          <w:p w14:paraId="0ABEAB79"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1,9%</w:t>
            </w:r>
          </w:p>
        </w:tc>
        <w:tc>
          <w:tcPr>
            <w:tcW w:w="1134" w:type="dxa"/>
            <w:tcBorders>
              <w:top w:val="single" w:sz="12" w:space="0" w:color="auto"/>
              <w:left w:val="single" w:sz="4" w:space="0" w:color="auto"/>
              <w:bottom w:val="single" w:sz="12" w:space="0" w:color="auto"/>
              <w:right w:val="single" w:sz="12" w:space="0" w:color="auto"/>
            </w:tcBorders>
            <w:shd w:val="pct15" w:color="auto" w:fill="auto"/>
            <w:noWrap/>
            <w:hideMark/>
          </w:tcPr>
          <w:p w14:paraId="4FC4E705" w14:textId="77777777" w:rsidR="00A048A9" w:rsidRPr="0035165B" w:rsidRDefault="00A048A9">
            <w:pPr>
              <w:spacing w:after="60" w:line="276" w:lineRule="auto"/>
              <w:jc w:val="both"/>
              <w:rPr>
                <w:rFonts w:ascii="Times New Roman" w:eastAsia="Calibri" w:hAnsi="Times New Roman"/>
                <w:b/>
                <w:bCs/>
                <w:color w:val="FF0000"/>
                <w:spacing w:val="0"/>
                <w:sz w:val="22"/>
                <w:szCs w:val="22"/>
                <w:lang w:val="en-GB"/>
              </w:rPr>
            </w:pPr>
            <w:r w:rsidRPr="0035165B">
              <w:rPr>
                <w:rFonts w:ascii="Times New Roman" w:eastAsia="Calibri" w:hAnsi="Times New Roman"/>
                <w:b/>
                <w:bCs/>
                <w:color w:val="FF0000"/>
                <w:spacing w:val="0"/>
                <w:sz w:val="22"/>
                <w:szCs w:val="22"/>
                <w:lang w:val="en-GB"/>
              </w:rPr>
              <w:t>-2,44%</w:t>
            </w:r>
          </w:p>
        </w:tc>
      </w:tr>
    </w:tbl>
    <w:p w14:paraId="4E836099" w14:textId="77777777" w:rsidR="00A048A9" w:rsidRPr="0035165B" w:rsidRDefault="00A048A9" w:rsidP="00A048A9">
      <w:pPr>
        <w:spacing w:after="60" w:line="276" w:lineRule="auto"/>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Source: National Treasury (2022)</w:t>
      </w:r>
    </w:p>
    <w:p w14:paraId="211DA57A" w14:textId="77777777" w:rsidR="00A048A9" w:rsidRPr="0035165B" w:rsidRDefault="00A048A9" w:rsidP="00A048A9">
      <w:pPr>
        <w:spacing w:after="60" w:line="276" w:lineRule="auto"/>
        <w:jc w:val="both"/>
        <w:rPr>
          <w:rFonts w:ascii="Times New Roman" w:hAnsi="Times New Roman"/>
          <w:spacing w:val="0"/>
          <w:sz w:val="22"/>
          <w:szCs w:val="22"/>
          <w:lang w:val="en-GB"/>
        </w:rPr>
      </w:pPr>
    </w:p>
    <w:p w14:paraId="0961EF46"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All the sub-programmes of the Immigration Affairs programme experienced a real decrease on their allocations in the current financial year. In terms of real percentage decline, the </w:t>
      </w:r>
      <w:r w:rsidRPr="0035165B">
        <w:rPr>
          <w:rFonts w:ascii="Times New Roman" w:hAnsi="Times New Roman"/>
          <w:i/>
          <w:color w:val="auto"/>
          <w:spacing w:val="0"/>
          <w:sz w:val="22"/>
          <w:szCs w:val="22"/>
          <w:lang w:val="en-GB"/>
        </w:rPr>
        <w:t>Immigration Services</w:t>
      </w:r>
      <w:r w:rsidRPr="0035165B">
        <w:rPr>
          <w:rFonts w:ascii="Times New Roman" w:hAnsi="Times New Roman"/>
          <w:color w:val="auto"/>
          <w:spacing w:val="0"/>
          <w:sz w:val="22"/>
          <w:szCs w:val="22"/>
          <w:lang w:val="en-GB"/>
        </w:rPr>
        <w:t xml:space="preserve"> sub-programme was the biggest loser as its allocation was reduced by 18% (or R46.8 million) from R258.7 million in the previous financial year to R221.4 million in the current financial year.</w:t>
      </w:r>
    </w:p>
    <w:p w14:paraId="0D24FB84" w14:textId="77777777" w:rsidR="00A048A9" w:rsidRPr="0035165B" w:rsidRDefault="00A048A9" w:rsidP="00A048A9">
      <w:pPr>
        <w:jc w:val="both"/>
        <w:rPr>
          <w:rFonts w:ascii="Times New Roman" w:hAnsi="Times New Roman"/>
          <w:color w:val="auto"/>
          <w:spacing w:val="0"/>
          <w:sz w:val="22"/>
          <w:szCs w:val="22"/>
          <w:lang w:val="en-GB"/>
        </w:rPr>
      </w:pPr>
    </w:p>
    <w:p w14:paraId="5ED1BB70"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The </w:t>
      </w:r>
      <w:r w:rsidRPr="0035165B">
        <w:rPr>
          <w:rFonts w:ascii="Times New Roman" w:hAnsi="Times New Roman"/>
          <w:i/>
          <w:color w:val="auto"/>
          <w:spacing w:val="0"/>
          <w:sz w:val="22"/>
          <w:szCs w:val="22"/>
          <w:lang w:val="en-GB"/>
        </w:rPr>
        <w:t>Immigration Affairs Manager</w:t>
      </w:r>
      <w:r w:rsidRPr="0035165B">
        <w:rPr>
          <w:rFonts w:ascii="Times New Roman" w:hAnsi="Times New Roman"/>
          <w:color w:val="auto"/>
          <w:spacing w:val="0"/>
          <w:sz w:val="22"/>
          <w:szCs w:val="22"/>
          <w:lang w:val="en-GB"/>
        </w:rPr>
        <w:t xml:space="preserve"> and </w:t>
      </w:r>
      <w:r w:rsidRPr="0035165B">
        <w:rPr>
          <w:rFonts w:ascii="Times New Roman" w:hAnsi="Times New Roman"/>
          <w:i/>
          <w:color w:val="auto"/>
          <w:spacing w:val="0"/>
          <w:sz w:val="22"/>
          <w:szCs w:val="22"/>
          <w:lang w:val="en-GB"/>
        </w:rPr>
        <w:t>Asylum Seekers</w:t>
      </w:r>
      <w:r w:rsidRPr="0035165B">
        <w:rPr>
          <w:rFonts w:ascii="Times New Roman" w:hAnsi="Times New Roman"/>
          <w:color w:val="auto"/>
          <w:spacing w:val="0"/>
          <w:sz w:val="22"/>
          <w:szCs w:val="22"/>
          <w:lang w:val="en-GB"/>
        </w:rPr>
        <w:t xml:space="preserve"> sub-programmes also received a reduced by 11.29% and 4.96% respectively in real terms. The former’s budget was reduced from R258.7 million in the previous financial year to R221.4 million in the current financial year while the latter’s budget allocation was slightly decreased from R160.1 million in the previous financial year to R159 million in the current financial year. The Admission Services sub-programme had the least allocation reduction in percentage terms by just 2.57%. This allocation reduction translates to a decrease of R26.9 million from R1.04 billion in the previous financial year to R1.06 billion in the current finantial year if inflation is considered.</w:t>
      </w:r>
    </w:p>
    <w:p w14:paraId="2F109247" w14:textId="77777777" w:rsidR="00A048A9" w:rsidRPr="0035165B" w:rsidRDefault="00A048A9" w:rsidP="00A048A9">
      <w:pPr>
        <w:spacing w:after="60" w:line="276" w:lineRule="auto"/>
        <w:jc w:val="both"/>
        <w:rPr>
          <w:rFonts w:ascii="Times New Roman" w:hAnsi="Times New Roman"/>
          <w:spacing w:val="0"/>
          <w:sz w:val="22"/>
          <w:szCs w:val="22"/>
          <w:lang w:val="en-GB"/>
        </w:rPr>
      </w:pPr>
    </w:p>
    <w:p w14:paraId="29C8786C" w14:textId="77777777" w:rsidR="00A048A9" w:rsidRPr="0035165B" w:rsidRDefault="00A048A9" w:rsidP="00A048A9">
      <w:pPr>
        <w:spacing w:after="60" w:line="276" w:lineRule="auto"/>
        <w:jc w:val="both"/>
        <w:rPr>
          <w:rFonts w:ascii="Times New Roman" w:hAnsi="Times New Roman"/>
          <w:spacing w:val="0"/>
          <w:sz w:val="22"/>
          <w:szCs w:val="22"/>
          <w:lang w:val="en-GB"/>
        </w:rPr>
      </w:pPr>
    </w:p>
    <w:p w14:paraId="0AC09DC8" w14:textId="77777777" w:rsidR="00A048A9" w:rsidRPr="0035165B" w:rsidRDefault="00A048A9" w:rsidP="00A048A9">
      <w:pPr>
        <w:spacing w:after="60" w:line="276" w:lineRule="auto"/>
        <w:jc w:val="both"/>
        <w:rPr>
          <w:rFonts w:ascii="Times New Roman" w:hAnsi="Times New Roman"/>
          <w:spacing w:val="0"/>
          <w:sz w:val="22"/>
          <w:szCs w:val="22"/>
          <w:lang w:val="en-GB"/>
        </w:rPr>
      </w:pPr>
    </w:p>
    <w:p w14:paraId="1610D89B" w14:textId="41D13DEF" w:rsidR="00A048A9" w:rsidRPr="0035165B" w:rsidRDefault="00F00404" w:rsidP="00570AD6">
      <w:pPr>
        <w:pStyle w:val="Heading3"/>
        <w:jc w:val="both"/>
        <w:rPr>
          <w:rFonts w:ascii="Times New Roman" w:hAnsi="Times New Roman" w:cs="Times New Roman"/>
          <w:sz w:val="22"/>
          <w:szCs w:val="22"/>
          <w:lang w:val="en-GB"/>
        </w:rPr>
      </w:pPr>
      <w:bookmarkStart w:id="15" w:name="_Toc101369931"/>
      <w:r>
        <w:rPr>
          <w:rFonts w:ascii="Times New Roman" w:hAnsi="Times New Roman" w:cs="Times New Roman"/>
          <w:sz w:val="22"/>
          <w:szCs w:val="22"/>
          <w:lang w:val="en-GB"/>
        </w:rPr>
        <w:lastRenderedPageBreak/>
        <w:t xml:space="preserve">Programme 4: </w:t>
      </w:r>
      <w:r w:rsidR="00A048A9" w:rsidRPr="0035165B">
        <w:rPr>
          <w:rFonts w:ascii="Times New Roman" w:hAnsi="Times New Roman" w:cs="Times New Roman"/>
          <w:sz w:val="22"/>
          <w:szCs w:val="22"/>
          <w:lang w:val="en-GB"/>
        </w:rPr>
        <w:t>Institutional Support and Transfers</w:t>
      </w:r>
      <w:bookmarkEnd w:id="15"/>
    </w:p>
    <w:p w14:paraId="1F52700D"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The Institutional Support and Transfers funds to the Electoral Commission, the Represented Political Parties Fund and the Border Management Authority. This programme aims to defend, protect, secure and manage South Africa’s borders.</w:t>
      </w:r>
    </w:p>
    <w:p w14:paraId="38A16FF9" w14:textId="77777777" w:rsidR="00A048A9" w:rsidRPr="0035165B" w:rsidRDefault="00A048A9" w:rsidP="00A048A9">
      <w:pPr>
        <w:spacing w:after="60" w:line="276" w:lineRule="auto"/>
        <w:jc w:val="both"/>
        <w:rPr>
          <w:rFonts w:ascii="Times New Roman" w:hAnsi="Times New Roman"/>
          <w:spacing w:val="0"/>
          <w:sz w:val="22"/>
          <w:szCs w:val="22"/>
          <w:lang w:val="en-GB"/>
        </w:rPr>
      </w:pPr>
    </w:p>
    <w:p w14:paraId="245187B7" w14:textId="77777777" w:rsidR="00A048A9" w:rsidRPr="0035165B" w:rsidRDefault="00A048A9" w:rsidP="00A048A9">
      <w:pPr>
        <w:pStyle w:val="Caption"/>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Table 6: </w:t>
      </w:r>
      <w:r w:rsidRPr="0035165B">
        <w:rPr>
          <w:rFonts w:ascii="Times New Roman" w:hAnsi="Times New Roman"/>
          <w:bCs w:val="0"/>
          <w:color w:val="auto"/>
          <w:spacing w:val="0"/>
          <w:sz w:val="22"/>
          <w:szCs w:val="22"/>
          <w:lang w:val="en-GB"/>
        </w:rPr>
        <w:t>Programme 4: Institutional Support and Transfers</w:t>
      </w:r>
    </w:p>
    <w:tbl>
      <w:tblPr>
        <w:tblW w:w="99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939"/>
        <w:gridCol w:w="1134"/>
        <w:gridCol w:w="1134"/>
        <w:gridCol w:w="1106"/>
        <w:gridCol w:w="1134"/>
        <w:gridCol w:w="1134"/>
      </w:tblGrid>
      <w:tr w:rsidR="00A048A9" w:rsidRPr="0035165B" w14:paraId="0DCCCCF4" w14:textId="77777777" w:rsidTr="00A048A9">
        <w:trPr>
          <w:trHeight w:val="765"/>
        </w:trPr>
        <w:tc>
          <w:tcPr>
            <w:tcW w:w="3384" w:type="dxa"/>
            <w:tcBorders>
              <w:top w:val="single" w:sz="12" w:space="0" w:color="auto"/>
              <w:left w:val="single" w:sz="12" w:space="0" w:color="auto"/>
              <w:bottom w:val="single" w:sz="4" w:space="0" w:color="auto"/>
              <w:right w:val="single" w:sz="4" w:space="0" w:color="auto"/>
            </w:tcBorders>
            <w:shd w:val="pct15" w:color="auto" w:fill="auto"/>
            <w:noWrap/>
            <w:hideMark/>
          </w:tcPr>
          <w:p w14:paraId="66D02C4E"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Programme</w:t>
            </w:r>
          </w:p>
        </w:tc>
        <w:tc>
          <w:tcPr>
            <w:tcW w:w="2073" w:type="dxa"/>
            <w:gridSpan w:val="2"/>
            <w:tcBorders>
              <w:top w:val="single" w:sz="12" w:space="0" w:color="auto"/>
              <w:left w:val="single" w:sz="4" w:space="0" w:color="auto"/>
              <w:bottom w:val="single" w:sz="4" w:space="0" w:color="auto"/>
              <w:right w:val="single" w:sz="4" w:space="0" w:color="auto"/>
            </w:tcBorders>
            <w:shd w:val="pct15" w:color="auto" w:fill="auto"/>
            <w:hideMark/>
          </w:tcPr>
          <w:p w14:paraId="5B408859"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Budget</w:t>
            </w:r>
          </w:p>
        </w:tc>
        <w:tc>
          <w:tcPr>
            <w:tcW w:w="1134" w:type="dxa"/>
            <w:vMerge w:val="restart"/>
            <w:tcBorders>
              <w:top w:val="single" w:sz="12" w:space="0" w:color="auto"/>
              <w:left w:val="single" w:sz="4" w:space="0" w:color="auto"/>
              <w:bottom w:val="single" w:sz="12" w:space="0" w:color="auto"/>
              <w:right w:val="single" w:sz="4" w:space="0" w:color="auto"/>
            </w:tcBorders>
            <w:shd w:val="pct15" w:color="auto" w:fill="auto"/>
            <w:hideMark/>
          </w:tcPr>
          <w:p w14:paraId="55BB9A45"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Nominal Increase/ Decrease in 2022/23</w:t>
            </w:r>
          </w:p>
        </w:tc>
        <w:tc>
          <w:tcPr>
            <w:tcW w:w="1106" w:type="dxa"/>
            <w:vMerge w:val="restart"/>
            <w:tcBorders>
              <w:top w:val="single" w:sz="12" w:space="0" w:color="auto"/>
              <w:left w:val="single" w:sz="4" w:space="0" w:color="auto"/>
              <w:bottom w:val="single" w:sz="12" w:space="0" w:color="auto"/>
              <w:right w:val="single" w:sz="4" w:space="0" w:color="auto"/>
            </w:tcBorders>
            <w:shd w:val="pct15" w:color="auto" w:fill="auto"/>
            <w:hideMark/>
          </w:tcPr>
          <w:p w14:paraId="191A1E0A"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Real Increase/ Decrease in 2022/23</w:t>
            </w:r>
          </w:p>
        </w:tc>
        <w:tc>
          <w:tcPr>
            <w:tcW w:w="1134" w:type="dxa"/>
            <w:vMerge w:val="restart"/>
            <w:tcBorders>
              <w:top w:val="single" w:sz="12" w:space="0" w:color="auto"/>
              <w:left w:val="single" w:sz="4" w:space="0" w:color="auto"/>
              <w:bottom w:val="single" w:sz="12" w:space="0" w:color="auto"/>
              <w:right w:val="single" w:sz="4" w:space="0" w:color="auto"/>
            </w:tcBorders>
            <w:shd w:val="pct15" w:color="auto" w:fill="auto"/>
            <w:hideMark/>
          </w:tcPr>
          <w:p w14:paraId="19FF185D"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Nominal Percent change in 2022/23</w:t>
            </w:r>
          </w:p>
        </w:tc>
        <w:tc>
          <w:tcPr>
            <w:tcW w:w="1134" w:type="dxa"/>
            <w:vMerge w:val="restart"/>
            <w:tcBorders>
              <w:top w:val="single" w:sz="12" w:space="0" w:color="auto"/>
              <w:left w:val="single" w:sz="4" w:space="0" w:color="auto"/>
              <w:bottom w:val="single" w:sz="12" w:space="0" w:color="auto"/>
              <w:right w:val="single" w:sz="12" w:space="0" w:color="auto"/>
            </w:tcBorders>
            <w:shd w:val="pct15" w:color="auto" w:fill="auto"/>
            <w:hideMark/>
          </w:tcPr>
          <w:p w14:paraId="6A565A22"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Real Percent change in 2022/23</w:t>
            </w:r>
          </w:p>
        </w:tc>
      </w:tr>
      <w:tr w:rsidR="00A048A9" w:rsidRPr="0035165B" w14:paraId="0FB8B143" w14:textId="77777777" w:rsidTr="00A048A9">
        <w:trPr>
          <w:trHeight w:val="264"/>
        </w:trPr>
        <w:tc>
          <w:tcPr>
            <w:tcW w:w="3384" w:type="dxa"/>
            <w:tcBorders>
              <w:top w:val="single" w:sz="12" w:space="0" w:color="auto"/>
              <w:left w:val="single" w:sz="12" w:space="0" w:color="auto"/>
              <w:bottom w:val="single" w:sz="12" w:space="0" w:color="auto"/>
              <w:right w:val="single" w:sz="4" w:space="0" w:color="auto"/>
            </w:tcBorders>
            <w:shd w:val="pct15" w:color="auto" w:fill="auto"/>
            <w:noWrap/>
            <w:hideMark/>
          </w:tcPr>
          <w:p w14:paraId="04DF7720"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R million</w:t>
            </w:r>
          </w:p>
        </w:tc>
        <w:tc>
          <w:tcPr>
            <w:tcW w:w="939" w:type="dxa"/>
            <w:tcBorders>
              <w:top w:val="single" w:sz="12" w:space="0" w:color="auto"/>
              <w:left w:val="single" w:sz="4" w:space="0" w:color="auto"/>
              <w:bottom w:val="single" w:sz="12" w:space="0" w:color="auto"/>
              <w:right w:val="single" w:sz="4" w:space="0" w:color="auto"/>
            </w:tcBorders>
            <w:shd w:val="pct15" w:color="auto" w:fill="auto"/>
            <w:noWrap/>
            <w:hideMark/>
          </w:tcPr>
          <w:p w14:paraId="0BE9A8DF"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2021/22</w:t>
            </w:r>
          </w:p>
        </w:tc>
        <w:tc>
          <w:tcPr>
            <w:tcW w:w="1134" w:type="dxa"/>
            <w:tcBorders>
              <w:top w:val="single" w:sz="12" w:space="0" w:color="auto"/>
              <w:left w:val="single" w:sz="4" w:space="0" w:color="auto"/>
              <w:bottom w:val="single" w:sz="12" w:space="0" w:color="auto"/>
              <w:right w:val="single" w:sz="4" w:space="0" w:color="auto"/>
            </w:tcBorders>
            <w:shd w:val="pct15" w:color="auto" w:fill="auto"/>
            <w:noWrap/>
            <w:hideMark/>
          </w:tcPr>
          <w:p w14:paraId="1E0026DD"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2022/23</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6DFBA70"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0001F79"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FC4350F" w14:textId="77777777" w:rsidR="00A048A9" w:rsidRPr="0035165B" w:rsidRDefault="00A048A9">
            <w:pPr>
              <w:spacing w:line="240" w:lineRule="auto"/>
              <w:rPr>
                <w:rFonts w:ascii="Times New Roman" w:eastAsia="Calibri" w:hAnsi="Times New Roman"/>
                <w:b/>
                <w:bCs/>
                <w:spacing w:val="0"/>
                <w:sz w:val="22"/>
                <w:szCs w:val="22"/>
                <w:lang w:val="en-GB"/>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5343A99" w14:textId="77777777" w:rsidR="00A048A9" w:rsidRPr="0035165B" w:rsidRDefault="00A048A9">
            <w:pPr>
              <w:spacing w:line="240" w:lineRule="auto"/>
              <w:rPr>
                <w:rFonts w:ascii="Times New Roman" w:eastAsia="Calibri" w:hAnsi="Times New Roman"/>
                <w:b/>
                <w:bCs/>
                <w:spacing w:val="0"/>
                <w:sz w:val="22"/>
                <w:szCs w:val="22"/>
                <w:lang w:val="en-GB"/>
              </w:rPr>
            </w:pPr>
          </w:p>
        </w:tc>
      </w:tr>
      <w:tr w:rsidR="00A048A9" w:rsidRPr="0035165B" w14:paraId="625C37CD" w14:textId="77777777" w:rsidTr="00A048A9">
        <w:trPr>
          <w:trHeight w:val="264"/>
        </w:trPr>
        <w:tc>
          <w:tcPr>
            <w:tcW w:w="3384" w:type="dxa"/>
            <w:tcBorders>
              <w:top w:val="single" w:sz="12" w:space="0" w:color="auto"/>
              <w:left w:val="single" w:sz="4" w:space="0" w:color="auto"/>
              <w:bottom w:val="single" w:sz="4" w:space="0" w:color="auto"/>
              <w:right w:val="single" w:sz="4" w:space="0" w:color="auto"/>
            </w:tcBorders>
            <w:noWrap/>
            <w:hideMark/>
          </w:tcPr>
          <w:p w14:paraId="3B751B3A"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Border Management Authority</w:t>
            </w:r>
          </w:p>
        </w:tc>
        <w:tc>
          <w:tcPr>
            <w:tcW w:w="939" w:type="dxa"/>
            <w:tcBorders>
              <w:top w:val="single" w:sz="12" w:space="0" w:color="auto"/>
              <w:left w:val="single" w:sz="4" w:space="0" w:color="auto"/>
              <w:bottom w:val="single" w:sz="4" w:space="0" w:color="auto"/>
              <w:right w:val="single" w:sz="4" w:space="0" w:color="auto"/>
            </w:tcBorders>
            <w:noWrap/>
            <w:hideMark/>
          </w:tcPr>
          <w:p w14:paraId="16A24947"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46,6</w:t>
            </w:r>
          </w:p>
        </w:tc>
        <w:tc>
          <w:tcPr>
            <w:tcW w:w="1134" w:type="dxa"/>
            <w:tcBorders>
              <w:top w:val="single" w:sz="12" w:space="0" w:color="auto"/>
              <w:left w:val="single" w:sz="4" w:space="0" w:color="auto"/>
              <w:bottom w:val="single" w:sz="4" w:space="0" w:color="auto"/>
              <w:right w:val="single" w:sz="4" w:space="0" w:color="auto"/>
            </w:tcBorders>
            <w:noWrap/>
            <w:hideMark/>
          </w:tcPr>
          <w:p w14:paraId="6AE1EE0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196,7</w:t>
            </w:r>
          </w:p>
        </w:tc>
        <w:tc>
          <w:tcPr>
            <w:tcW w:w="1134" w:type="dxa"/>
            <w:tcBorders>
              <w:top w:val="single" w:sz="12" w:space="0" w:color="auto"/>
              <w:left w:val="single" w:sz="4" w:space="0" w:color="auto"/>
              <w:bottom w:val="single" w:sz="4" w:space="0" w:color="auto"/>
              <w:right w:val="single" w:sz="4" w:space="0" w:color="auto"/>
            </w:tcBorders>
            <w:noWrap/>
            <w:hideMark/>
          </w:tcPr>
          <w:p w14:paraId="7875561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150,1</w:t>
            </w:r>
          </w:p>
        </w:tc>
        <w:tc>
          <w:tcPr>
            <w:tcW w:w="1106" w:type="dxa"/>
            <w:tcBorders>
              <w:top w:val="single" w:sz="12" w:space="0" w:color="auto"/>
              <w:left w:val="single" w:sz="4" w:space="0" w:color="auto"/>
              <w:bottom w:val="single" w:sz="4" w:space="0" w:color="auto"/>
              <w:right w:val="single" w:sz="4" w:space="0" w:color="auto"/>
            </w:tcBorders>
            <w:noWrap/>
            <w:hideMark/>
          </w:tcPr>
          <w:p w14:paraId="48747836"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141,6</w:t>
            </w:r>
          </w:p>
        </w:tc>
        <w:tc>
          <w:tcPr>
            <w:tcW w:w="1134" w:type="dxa"/>
            <w:tcBorders>
              <w:top w:val="single" w:sz="12" w:space="0" w:color="auto"/>
              <w:left w:val="single" w:sz="4" w:space="0" w:color="auto"/>
              <w:bottom w:val="single" w:sz="4" w:space="0" w:color="auto"/>
              <w:right w:val="single" w:sz="4" w:space="0" w:color="auto"/>
            </w:tcBorders>
            <w:noWrap/>
            <w:hideMark/>
          </w:tcPr>
          <w:p w14:paraId="373490F3"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322,10%</w:t>
            </w:r>
          </w:p>
        </w:tc>
        <w:tc>
          <w:tcPr>
            <w:tcW w:w="1134" w:type="dxa"/>
            <w:tcBorders>
              <w:top w:val="single" w:sz="12" w:space="0" w:color="auto"/>
              <w:left w:val="single" w:sz="4" w:space="0" w:color="auto"/>
              <w:bottom w:val="single" w:sz="4" w:space="0" w:color="auto"/>
              <w:right w:val="single" w:sz="4" w:space="0" w:color="auto"/>
            </w:tcBorders>
            <w:noWrap/>
            <w:hideMark/>
          </w:tcPr>
          <w:p w14:paraId="76A9923D"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303,93%</w:t>
            </w:r>
          </w:p>
        </w:tc>
      </w:tr>
      <w:tr w:rsidR="00A048A9" w:rsidRPr="0035165B" w14:paraId="29869641" w14:textId="77777777" w:rsidTr="00A048A9">
        <w:trPr>
          <w:trHeight w:val="264"/>
        </w:trPr>
        <w:tc>
          <w:tcPr>
            <w:tcW w:w="3384" w:type="dxa"/>
            <w:tcBorders>
              <w:top w:val="single" w:sz="4" w:space="0" w:color="auto"/>
              <w:left w:val="single" w:sz="4" w:space="0" w:color="auto"/>
              <w:bottom w:val="single" w:sz="4" w:space="0" w:color="auto"/>
              <w:right w:val="single" w:sz="4" w:space="0" w:color="auto"/>
            </w:tcBorders>
            <w:noWrap/>
            <w:hideMark/>
          </w:tcPr>
          <w:p w14:paraId="06D5A73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Electoral Commission</w:t>
            </w:r>
          </w:p>
        </w:tc>
        <w:tc>
          <w:tcPr>
            <w:tcW w:w="939" w:type="dxa"/>
            <w:tcBorders>
              <w:top w:val="single" w:sz="4" w:space="0" w:color="auto"/>
              <w:left w:val="single" w:sz="4" w:space="0" w:color="auto"/>
              <w:bottom w:val="single" w:sz="4" w:space="0" w:color="auto"/>
              <w:right w:val="single" w:sz="4" w:space="0" w:color="auto"/>
            </w:tcBorders>
            <w:noWrap/>
            <w:hideMark/>
          </w:tcPr>
          <w:p w14:paraId="4D7D9AFD"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2 250,3</w:t>
            </w:r>
          </w:p>
        </w:tc>
        <w:tc>
          <w:tcPr>
            <w:tcW w:w="1134" w:type="dxa"/>
            <w:tcBorders>
              <w:top w:val="single" w:sz="4" w:space="0" w:color="auto"/>
              <w:left w:val="single" w:sz="4" w:space="0" w:color="auto"/>
              <w:bottom w:val="single" w:sz="4" w:space="0" w:color="auto"/>
              <w:right w:val="single" w:sz="4" w:space="0" w:color="auto"/>
            </w:tcBorders>
            <w:noWrap/>
            <w:hideMark/>
          </w:tcPr>
          <w:p w14:paraId="66AFAEDB"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2 223,8</w:t>
            </w:r>
          </w:p>
        </w:tc>
        <w:tc>
          <w:tcPr>
            <w:tcW w:w="1134" w:type="dxa"/>
            <w:tcBorders>
              <w:top w:val="single" w:sz="4" w:space="0" w:color="auto"/>
              <w:left w:val="single" w:sz="4" w:space="0" w:color="auto"/>
              <w:bottom w:val="single" w:sz="4" w:space="0" w:color="auto"/>
              <w:right w:val="single" w:sz="4" w:space="0" w:color="auto"/>
            </w:tcBorders>
            <w:noWrap/>
            <w:hideMark/>
          </w:tcPr>
          <w:p w14:paraId="7CD3E451"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-26,5</w:t>
            </w:r>
          </w:p>
        </w:tc>
        <w:tc>
          <w:tcPr>
            <w:tcW w:w="1106" w:type="dxa"/>
            <w:tcBorders>
              <w:top w:val="single" w:sz="4" w:space="0" w:color="auto"/>
              <w:left w:val="single" w:sz="4" w:space="0" w:color="auto"/>
              <w:bottom w:val="single" w:sz="4" w:space="0" w:color="auto"/>
              <w:right w:val="single" w:sz="4" w:space="0" w:color="auto"/>
            </w:tcBorders>
            <w:noWrap/>
            <w:hideMark/>
          </w:tcPr>
          <w:p w14:paraId="67EAF2AE"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-122,3</w:t>
            </w:r>
          </w:p>
        </w:tc>
        <w:tc>
          <w:tcPr>
            <w:tcW w:w="1134" w:type="dxa"/>
            <w:tcBorders>
              <w:top w:val="single" w:sz="4" w:space="0" w:color="auto"/>
              <w:left w:val="single" w:sz="4" w:space="0" w:color="auto"/>
              <w:bottom w:val="single" w:sz="4" w:space="0" w:color="auto"/>
              <w:right w:val="single" w:sz="4" w:space="0" w:color="auto"/>
            </w:tcBorders>
            <w:noWrap/>
            <w:hideMark/>
          </w:tcPr>
          <w:p w14:paraId="3B6CF5C5"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-1,18%</w:t>
            </w:r>
          </w:p>
        </w:tc>
        <w:tc>
          <w:tcPr>
            <w:tcW w:w="1134" w:type="dxa"/>
            <w:tcBorders>
              <w:top w:val="single" w:sz="4" w:space="0" w:color="auto"/>
              <w:left w:val="single" w:sz="4" w:space="0" w:color="auto"/>
              <w:bottom w:val="single" w:sz="4" w:space="0" w:color="auto"/>
              <w:right w:val="single" w:sz="4" w:space="0" w:color="auto"/>
            </w:tcBorders>
            <w:noWrap/>
            <w:hideMark/>
          </w:tcPr>
          <w:p w14:paraId="5E1D6A5F" w14:textId="77777777" w:rsidR="00A048A9" w:rsidRPr="0035165B" w:rsidRDefault="00A048A9">
            <w:pPr>
              <w:spacing w:after="60" w:line="276" w:lineRule="auto"/>
              <w:jc w:val="both"/>
              <w:rPr>
                <w:rFonts w:ascii="Times New Roman" w:eastAsia="Calibri" w:hAnsi="Times New Roman"/>
                <w:color w:val="FF0000"/>
                <w:spacing w:val="0"/>
                <w:sz w:val="22"/>
                <w:szCs w:val="22"/>
                <w:lang w:val="en-GB"/>
              </w:rPr>
            </w:pPr>
            <w:r w:rsidRPr="0035165B">
              <w:rPr>
                <w:rFonts w:ascii="Times New Roman" w:eastAsia="Calibri" w:hAnsi="Times New Roman"/>
                <w:color w:val="FF0000"/>
                <w:spacing w:val="0"/>
                <w:sz w:val="22"/>
                <w:szCs w:val="22"/>
                <w:lang w:val="en-GB"/>
              </w:rPr>
              <w:t>-5,43%</w:t>
            </w:r>
          </w:p>
        </w:tc>
      </w:tr>
      <w:tr w:rsidR="00A048A9" w:rsidRPr="0035165B" w14:paraId="4F5D62B0" w14:textId="77777777" w:rsidTr="00A048A9">
        <w:trPr>
          <w:trHeight w:val="264"/>
        </w:trPr>
        <w:tc>
          <w:tcPr>
            <w:tcW w:w="3384" w:type="dxa"/>
            <w:tcBorders>
              <w:top w:val="single" w:sz="4" w:space="0" w:color="auto"/>
              <w:left w:val="single" w:sz="4" w:space="0" w:color="auto"/>
              <w:bottom w:val="single" w:sz="4" w:space="0" w:color="auto"/>
              <w:right w:val="single" w:sz="4" w:space="0" w:color="auto"/>
            </w:tcBorders>
            <w:noWrap/>
            <w:hideMark/>
          </w:tcPr>
          <w:p w14:paraId="2B3F09FD"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Represented Political Parties Fund</w:t>
            </w:r>
          </w:p>
        </w:tc>
        <w:tc>
          <w:tcPr>
            <w:tcW w:w="939" w:type="dxa"/>
            <w:tcBorders>
              <w:top w:val="single" w:sz="4" w:space="0" w:color="auto"/>
              <w:left w:val="single" w:sz="4" w:space="0" w:color="auto"/>
              <w:bottom w:val="single" w:sz="4" w:space="0" w:color="auto"/>
              <w:right w:val="single" w:sz="4" w:space="0" w:color="auto"/>
            </w:tcBorders>
            <w:noWrap/>
            <w:hideMark/>
          </w:tcPr>
          <w:p w14:paraId="2C6F089A"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166,8</w:t>
            </w:r>
          </w:p>
        </w:tc>
        <w:tc>
          <w:tcPr>
            <w:tcW w:w="1134" w:type="dxa"/>
            <w:tcBorders>
              <w:top w:val="single" w:sz="4" w:space="0" w:color="auto"/>
              <w:left w:val="single" w:sz="4" w:space="0" w:color="auto"/>
              <w:bottom w:val="single" w:sz="4" w:space="0" w:color="auto"/>
              <w:right w:val="single" w:sz="4" w:space="0" w:color="auto"/>
            </w:tcBorders>
            <w:noWrap/>
            <w:hideMark/>
          </w:tcPr>
          <w:p w14:paraId="3AA9BFAE"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342,1</w:t>
            </w:r>
          </w:p>
        </w:tc>
        <w:tc>
          <w:tcPr>
            <w:tcW w:w="1134" w:type="dxa"/>
            <w:tcBorders>
              <w:top w:val="single" w:sz="4" w:space="0" w:color="auto"/>
              <w:left w:val="single" w:sz="4" w:space="0" w:color="auto"/>
              <w:bottom w:val="single" w:sz="4" w:space="0" w:color="auto"/>
              <w:right w:val="single" w:sz="4" w:space="0" w:color="auto"/>
            </w:tcBorders>
            <w:noWrap/>
            <w:hideMark/>
          </w:tcPr>
          <w:p w14:paraId="1D2B57D8"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175,3</w:t>
            </w:r>
          </w:p>
        </w:tc>
        <w:tc>
          <w:tcPr>
            <w:tcW w:w="1106" w:type="dxa"/>
            <w:tcBorders>
              <w:top w:val="single" w:sz="4" w:space="0" w:color="auto"/>
              <w:left w:val="single" w:sz="4" w:space="0" w:color="auto"/>
              <w:bottom w:val="single" w:sz="4" w:space="0" w:color="auto"/>
              <w:right w:val="single" w:sz="4" w:space="0" w:color="auto"/>
            </w:tcBorders>
            <w:noWrap/>
            <w:hideMark/>
          </w:tcPr>
          <w:p w14:paraId="22D5C6F2"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160,6</w:t>
            </w:r>
          </w:p>
        </w:tc>
        <w:tc>
          <w:tcPr>
            <w:tcW w:w="1134" w:type="dxa"/>
            <w:tcBorders>
              <w:top w:val="single" w:sz="4" w:space="0" w:color="auto"/>
              <w:left w:val="single" w:sz="4" w:space="0" w:color="auto"/>
              <w:bottom w:val="single" w:sz="4" w:space="0" w:color="auto"/>
              <w:right w:val="single" w:sz="4" w:space="0" w:color="auto"/>
            </w:tcBorders>
            <w:noWrap/>
          </w:tcPr>
          <w:p w14:paraId="7E3E04B5" w14:textId="77777777" w:rsidR="00A048A9" w:rsidRPr="0035165B" w:rsidRDefault="00A048A9">
            <w:pPr>
              <w:spacing w:after="60" w:line="276" w:lineRule="auto"/>
              <w:jc w:val="both"/>
              <w:rPr>
                <w:rFonts w:ascii="Times New Roman" w:eastAsia="Calibri" w:hAnsi="Times New Roman"/>
                <w:spacing w:val="0"/>
                <w:sz w:val="22"/>
                <w:szCs w:val="22"/>
                <w:lang w:val="en-GB"/>
              </w:rPr>
            </w:pPr>
          </w:p>
        </w:tc>
        <w:tc>
          <w:tcPr>
            <w:tcW w:w="1134" w:type="dxa"/>
            <w:tcBorders>
              <w:top w:val="single" w:sz="4" w:space="0" w:color="auto"/>
              <w:left w:val="single" w:sz="4" w:space="0" w:color="auto"/>
              <w:bottom w:val="single" w:sz="4" w:space="0" w:color="auto"/>
              <w:right w:val="single" w:sz="4" w:space="0" w:color="auto"/>
            </w:tcBorders>
            <w:noWrap/>
            <w:hideMark/>
          </w:tcPr>
          <w:p w14:paraId="2C4788F1" w14:textId="77777777" w:rsidR="00A048A9" w:rsidRPr="0035165B" w:rsidRDefault="00A048A9">
            <w:pPr>
              <w:spacing w:after="60" w:line="276" w:lineRule="auto"/>
              <w:jc w:val="both"/>
              <w:rPr>
                <w:rFonts w:ascii="Times New Roman" w:eastAsia="Calibri" w:hAnsi="Times New Roman"/>
                <w:spacing w:val="0"/>
                <w:sz w:val="22"/>
                <w:szCs w:val="22"/>
                <w:lang w:val="en-GB"/>
              </w:rPr>
            </w:pPr>
            <w:r w:rsidRPr="0035165B">
              <w:rPr>
                <w:rFonts w:ascii="Times New Roman" w:eastAsia="Calibri" w:hAnsi="Times New Roman"/>
                <w:spacing w:val="0"/>
                <w:sz w:val="22"/>
                <w:szCs w:val="22"/>
                <w:lang w:val="en-GB"/>
              </w:rPr>
              <w:t>96,26%</w:t>
            </w:r>
          </w:p>
        </w:tc>
      </w:tr>
      <w:tr w:rsidR="00A048A9" w:rsidRPr="0035165B" w14:paraId="15FBA16C" w14:textId="77777777" w:rsidTr="00A048A9">
        <w:trPr>
          <w:trHeight w:val="264"/>
        </w:trPr>
        <w:tc>
          <w:tcPr>
            <w:tcW w:w="3384" w:type="dxa"/>
            <w:tcBorders>
              <w:top w:val="single" w:sz="12" w:space="0" w:color="auto"/>
              <w:left w:val="single" w:sz="12" w:space="0" w:color="auto"/>
              <w:bottom w:val="single" w:sz="12" w:space="0" w:color="auto"/>
              <w:right w:val="single" w:sz="4" w:space="0" w:color="auto"/>
            </w:tcBorders>
            <w:shd w:val="pct15" w:color="auto" w:fill="auto"/>
            <w:noWrap/>
            <w:hideMark/>
          </w:tcPr>
          <w:p w14:paraId="4C9FCB4F"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TOTAL</w:t>
            </w:r>
          </w:p>
        </w:tc>
        <w:tc>
          <w:tcPr>
            <w:tcW w:w="939" w:type="dxa"/>
            <w:tcBorders>
              <w:top w:val="single" w:sz="12" w:space="0" w:color="auto"/>
              <w:left w:val="single" w:sz="4" w:space="0" w:color="auto"/>
              <w:bottom w:val="single" w:sz="12" w:space="0" w:color="auto"/>
              <w:right w:val="single" w:sz="4" w:space="0" w:color="auto"/>
            </w:tcBorders>
            <w:shd w:val="pct15" w:color="auto" w:fill="auto"/>
            <w:noWrap/>
            <w:hideMark/>
          </w:tcPr>
          <w:p w14:paraId="29477995"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2 463,7</w:t>
            </w:r>
          </w:p>
        </w:tc>
        <w:tc>
          <w:tcPr>
            <w:tcW w:w="1134" w:type="dxa"/>
            <w:tcBorders>
              <w:top w:val="single" w:sz="12" w:space="0" w:color="auto"/>
              <w:left w:val="single" w:sz="4" w:space="0" w:color="auto"/>
              <w:bottom w:val="single" w:sz="12" w:space="0" w:color="auto"/>
              <w:right w:val="single" w:sz="4" w:space="0" w:color="auto"/>
            </w:tcBorders>
            <w:shd w:val="pct15" w:color="auto" w:fill="auto"/>
            <w:noWrap/>
            <w:hideMark/>
          </w:tcPr>
          <w:p w14:paraId="3610017A"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2 762,6</w:t>
            </w:r>
          </w:p>
        </w:tc>
        <w:tc>
          <w:tcPr>
            <w:tcW w:w="1134" w:type="dxa"/>
            <w:tcBorders>
              <w:top w:val="single" w:sz="12" w:space="0" w:color="auto"/>
              <w:left w:val="single" w:sz="4" w:space="0" w:color="auto"/>
              <w:bottom w:val="single" w:sz="12" w:space="0" w:color="auto"/>
              <w:right w:val="single" w:sz="4" w:space="0" w:color="auto"/>
            </w:tcBorders>
            <w:shd w:val="pct15" w:color="auto" w:fill="auto"/>
            <w:noWrap/>
            <w:hideMark/>
          </w:tcPr>
          <w:p w14:paraId="1F156F94"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298,9</w:t>
            </w:r>
          </w:p>
        </w:tc>
        <w:tc>
          <w:tcPr>
            <w:tcW w:w="1106" w:type="dxa"/>
            <w:tcBorders>
              <w:top w:val="single" w:sz="12" w:space="0" w:color="auto"/>
              <w:left w:val="single" w:sz="4" w:space="0" w:color="auto"/>
              <w:bottom w:val="single" w:sz="12" w:space="0" w:color="auto"/>
              <w:right w:val="single" w:sz="4" w:space="0" w:color="auto"/>
            </w:tcBorders>
            <w:shd w:val="pct15" w:color="auto" w:fill="auto"/>
            <w:noWrap/>
            <w:hideMark/>
          </w:tcPr>
          <w:p w14:paraId="14663478"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179,9</w:t>
            </w:r>
          </w:p>
        </w:tc>
        <w:tc>
          <w:tcPr>
            <w:tcW w:w="1134" w:type="dxa"/>
            <w:tcBorders>
              <w:top w:val="single" w:sz="12" w:space="0" w:color="auto"/>
              <w:left w:val="single" w:sz="4" w:space="0" w:color="auto"/>
              <w:bottom w:val="single" w:sz="12" w:space="0" w:color="auto"/>
              <w:right w:val="single" w:sz="4" w:space="0" w:color="auto"/>
            </w:tcBorders>
            <w:shd w:val="pct15" w:color="auto" w:fill="auto"/>
            <w:noWrap/>
            <w:hideMark/>
          </w:tcPr>
          <w:p w14:paraId="2FF79FCF"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12,1%</w:t>
            </w:r>
          </w:p>
        </w:tc>
        <w:tc>
          <w:tcPr>
            <w:tcW w:w="1134" w:type="dxa"/>
            <w:tcBorders>
              <w:top w:val="single" w:sz="12" w:space="0" w:color="auto"/>
              <w:left w:val="single" w:sz="4" w:space="0" w:color="auto"/>
              <w:bottom w:val="single" w:sz="12" w:space="0" w:color="auto"/>
              <w:right w:val="single" w:sz="12" w:space="0" w:color="auto"/>
            </w:tcBorders>
            <w:shd w:val="pct15" w:color="auto" w:fill="auto"/>
            <w:noWrap/>
            <w:hideMark/>
          </w:tcPr>
          <w:p w14:paraId="49BA953A" w14:textId="77777777" w:rsidR="00A048A9" w:rsidRPr="0035165B" w:rsidRDefault="00A048A9">
            <w:pPr>
              <w:spacing w:after="60" w:line="276" w:lineRule="auto"/>
              <w:jc w:val="both"/>
              <w:rPr>
                <w:rFonts w:ascii="Times New Roman" w:eastAsia="Calibri" w:hAnsi="Times New Roman"/>
                <w:b/>
                <w:bCs/>
                <w:spacing w:val="0"/>
                <w:sz w:val="22"/>
                <w:szCs w:val="22"/>
                <w:lang w:val="en-GB"/>
              </w:rPr>
            </w:pPr>
            <w:r w:rsidRPr="0035165B">
              <w:rPr>
                <w:rFonts w:ascii="Times New Roman" w:eastAsia="Calibri" w:hAnsi="Times New Roman"/>
                <w:b/>
                <w:bCs/>
                <w:spacing w:val="0"/>
                <w:sz w:val="22"/>
                <w:szCs w:val="22"/>
                <w:lang w:val="en-GB"/>
              </w:rPr>
              <w:t>7,30%</w:t>
            </w:r>
          </w:p>
        </w:tc>
      </w:tr>
    </w:tbl>
    <w:p w14:paraId="67AEA31F" w14:textId="61C469FF" w:rsidR="00A048A9" w:rsidRPr="0035165B" w:rsidRDefault="00A048A9" w:rsidP="00A048A9">
      <w:pPr>
        <w:spacing w:after="60" w:line="276" w:lineRule="auto"/>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Source: National Treasury (2022)</w:t>
      </w:r>
    </w:p>
    <w:p w14:paraId="31B4C2D7"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The </w:t>
      </w:r>
      <w:r w:rsidRPr="0035165B">
        <w:rPr>
          <w:rFonts w:ascii="Times New Roman" w:hAnsi="Times New Roman"/>
          <w:i/>
          <w:color w:val="auto"/>
          <w:spacing w:val="0"/>
          <w:sz w:val="22"/>
          <w:szCs w:val="22"/>
          <w:lang w:val="en-GB"/>
        </w:rPr>
        <w:t>Border Management Authority Act (No 2 of 2020)</w:t>
      </w:r>
      <w:r w:rsidRPr="0035165B">
        <w:rPr>
          <w:rFonts w:ascii="Times New Roman" w:hAnsi="Times New Roman"/>
          <w:color w:val="auto"/>
          <w:spacing w:val="0"/>
          <w:sz w:val="22"/>
          <w:szCs w:val="22"/>
          <w:lang w:val="en-GB"/>
        </w:rPr>
        <w:t xml:space="preserve"> was signed into law in July 2020 and became effective 1 January 2021. It is encouraging to note that the BMA’s budget increases to R 150.1 million in the current financial year from the previous allocation of R 40.6 million. This is an increase of R 150.1 million if inflation is not considered and R 141.6 million or 303.93% in real terms. The BMA’s allocation will be utilised for operationalisation and recruitment of staff.</w:t>
      </w:r>
    </w:p>
    <w:p w14:paraId="7EA37F21" w14:textId="77777777" w:rsidR="00A048A9" w:rsidRPr="0035165B" w:rsidRDefault="00A048A9" w:rsidP="00A048A9">
      <w:pPr>
        <w:jc w:val="both"/>
        <w:rPr>
          <w:rFonts w:ascii="Times New Roman" w:hAnsi="Times New Roman"/>
          <w:color w:val="auto"/>
          <w:spacing w:val="0"/>
          <w:sz w:val="22"/>
          <w:szCs w:val="22"/>
          <w:lang w:val="en-GB"/>
        </w:rPr>
      </w:pPr>
    </w:p>
    <w:p w14:paraId="61510AB3"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 xml:space="preserve"> The </w:t>
      </w:r>
      <w:r w:rsidRPr="0035165B">
        <w:rPr>
          <w:rFonts w:ascii="Times New Roman" w:hAnsi="Times New Roman"/>
          <w:i/>
          <w:color w:val="auto"/>
          <w:spacing w:val="0"/>
          <w:sz w:val="22"/>
          <w:szCs w:val="22"/>
          <w:lang w:val="en-GB"/>
        </w:rPr>
        <w:t>Represented Political Parties</w:t>
      </w:r>
      <w:r w:rsidRPr="0035165B">
        <w:rPr>
          <w:rFonts w:ascii="Times New Roman" w:hAnsi="Times New Roman"/>
          <w:color w:val="auto"/>
          <w:spacing w:val="0"/>
          <w:sz w:val="22"/>
          <w:szCs w:val="22"/>
          <w:lang w:val="en-GB"/>
        </w:rPr>
        <w:t xml:space="preserve"> </w:t>
      </w:r>
      <w:r w:rsidRPr="0035165B">
        <w:rPr>
          <w:rFonts w:ascii="Times New Roman" w:hAnsi="Times New Roman"/>
          <w:i/>
          <w:color w:val="auto"/>
          <w:spacing w:val="0"/>
          <w:sz w:val="22"/>
          <w:szCs w:val="22"/>
          <w:lang w:val="en-GB"/>
        </w:rPr>
        <w:t>Fund</w:t>
      </w:r>
      <w:r w:rsidRPr="0035165B">
        <w:rPr>
          <w:rFonts w:ascii="Times New Roman" w:hAnsi="Times New Roman"/>
          <w:color w:val="auto"/>
          <w:spacing w:val="0"/>
          <w:sz w:val="22"/>
          <w:szCs w:val="22"/>
          <w:lang w:val="en-GB"/>
        </w:rPr>
        <w:t xml:space="preserve"> sub-programme also almost doubled its increase from R166.8 million in the previous financial year to R342.1 million in the current financial year. This increase translates to a 96.26% increase in real terms.</w:t>
      </w:r>
    </w:p>
    <w:p w14:paraId="7D145CA6" w14:textId="77777777" w:rsidR="00A048A9" w:rsidRPr="0035165B" w:rsidRDefault="00A048A9" w:rsidP="00A048A9">
      <w:pPr>
        <w:jc w:val="both"/>
        <w:rPr>
          <w:rFonts w:ascii="Times New Roman" w:hAnsi="Times New Roman"/>
          <w:color w:val="auto"/>
          <w:spacing w:val="0"/>
          <w:sz w:val="22"/>
          <w:szCs w:val="22"/>
          <w:lang w:val="en-GB"/>
        </w:rPr>
      </w:pPr>
    </w:p>
    <w:p w14:paraId="11335487" w14:textId="77777777" w:rsidR="00A048A9" w:rsidRPr="0035165B" w:rsidRDefault="00A048A9" w:rsidP="00A048A9">
      <w:pPr>
        <w:jc w:val="both"/>
        <w:rPr>
          <w:rFonts w:ascii="Times New Roman" w:hAnsi="Times New Roman"/>
          <w:color w:val="auto"/>
          <w:spacing w:val="0"/>
          <w:sz w:val="22"/>
          <w:szCs w:val="22"/>
          <w:lang w:val="en-GB"/>
        </w:rPr>
      </w:pPr>
      <w:r w:rsidRPr="0035165B">
        <w:rPr>
          <w:rFonts w:ascii="Times New Roman" w:hAnsi="Times New Roman"/>
          <w:color w:val="auto"/>
          <w:spacing w:val="0"/>
          <w:sz w:val="22"/>
          <w:szCs w:val="22"/>
          <w:lang w:val="en-GB"/>
        </w:rPr>
        <w:t>In Programme 4, only the Electoral Commission receives a slight decrease from R 2.250 billion in 2021/22 to R 2.22 billion in the current financial year. This decrease translates to R 122,3 million or 5.43% in real terms. This decrease could be attributed to the that the Electoral commission hosted the Local Government Election during November 2021, hence it was allocated more funding during the 2021/22.</w:t>
      </w:r>
    </w:p>
    <w:p w14:paraId="793E7B35" w14:textId="77777777" w:rsidR="00A048A9" w:rsidRPr="0035165B" w:rsidRDefault="00A048A9" w:rsidP="00A048A9">
      <w:pPr>
        <w:spacing w:after="60" w:line="276" w:lineRule="auto"/>
        <w:jc w:val="both"/>
        <w:rPr>
          <w:rFonts w:ascii="Times New Roman" w:hAnsi="Times New Roman"/>
          <w:spacing w:val="0"/>
          <w:sz w:val="22"/>
          <w:szCs w:val="22"/>
          <w:lang w:val="en-GB"/>
        </w:rPr>
      </w:pPr>
    </w:p>
    <w:p w14:paraId="552020DB" w14:textId="451BAD80" w:rsidR="0019370F" w:rsidRPr="0035165B" w:rsidRDefault="00570AD6" w:rsidP="0098397E">
      <w:pPr>
        <w:pStyle w:val="Heading1"/>
        <w:suppressAutoHyphens w:val="0"/>
        <w:autoSpaceDN/>
        <w:spacing w:line="276" w:lineRule="auto"/>
        <w:ind w:right="142"/>
        <w:contextualSpacing/>
        <w:jc w:val="both"/>
        <w:textAlignment w:val="auto"/>
        <w:rPr>
          <w:rFonts w:cs="Times New Roman"/>
          <w:spacing w:val="0"/>
          <w:sz w:val="22"/>
          <w:szCs w:val="22"/>
          <w:lang w:eastAsia="en-US"/>
        </w:rPr>
      </w:pPr>
      <w:r w:rsidRPr="0035165B">
        <w:rPr>
          <w:rFonts w:cs="Times New Roman"/>
          <w:caps w:val="0"/>
          <w:sz w:val="22"/>
          <w:szCs w:val="22"/>
        </w:rPr>
        <w:t>1.6 A</w:t>
      </w:r>
      <w:r w:rsidR="00F3147F" w:rsidRPr="0035165B">
        <w:rPr>
          <w:rFonts w:cs="Times New Roman"/>
          <w:caps w:val="0"/>
          <w:sz w:val="22"/>
          <w:szCs w:val="22"/>
        </w:rPr>
        <w:t xml:space="preserve">nalysis of the DHA </w:t>
      </w:r>
      <w:bookmarkEnd w:id="3"/>
      <w:bookmarkEnd w:id="4"/>
      <w:bookmarkEnd w:id="5"/>
      <w:r w:rsidRPr="0035165B">
        <w:rPr>
          <w:rFonts w:cs="Times New Roman"/>
          <w:caps w:val="0"/>
          <w:sz w:val="22"/>
          <w:szCs w:val="22"/>
        </w:rPr>
        <w:t xml:space="preserve">Expenditure by </w:t>
      </w:r>
      <w:r w:rsidR="00CE0C1C">
        <w:rPr>
          <w:rFonts w:cs="Times New Roman"/>
          <w:caps w:val="0"/>
          <w:sz w:val="22"/>
          <w:szCs w:val="22"/>
        </w:rPr>
        <w:t xml:space="preserve">the </w:t>
      </w:r>
      <w:r w:rsidRPr="0035165B">
        <w:rPr>
          <w:rFonts w:cs="Times New Roman"/>
          <w:caps w:val="0"/>
          <w:sz w:val="22"/>
          <w:szCs w:val="22"/>
        </w:rPr>
        <w:t>Third Quarter 2021/22</w:t>
      </w:r>
    </w:p>
    <w:p w14:paraId="1ADC3C8B" w14:textId="77777777" w:rsidR="00A836D3" w:rsidRPr="0035165B" w:rsidRDefault="00A836D3" w:rsidP="00A836D3">
      <w:pPr>
        <w:suppressAutoHyphens w:val="0"/>
        <w:autoSpaceDN/>
        <w:spacing w:line="276" w:lineRule="auto"/>
        <w:ind w:right="142"/>
        <w:contextualSpacing/>
        <w:jc w:val="both"/>
        <w:textAlignment w:val="auto"/>
        <w:rPr>
          <w:rFonts w:ascii="Times New Roman" w:eastAsia="Calibri" w:hAnsi="Times New Roman"/>
          <w:noProof/>
          <w:color w:val="auto"/>
          <w:spacing w:val="0"/>
          <w:sz w:val="22"/>
          <w:szCs w:val="22"/>
          <w:lang w:val="en-GB" w:eastAsia="en-ZA"/>
        </w:rPr>
      </w:pPr>
    </w:p>
    <w:p w14:paraId="3D8BD869"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For the 2021/22 financial year, the DHA received a total voted allocation of R8.69 billion, but this allocation was adjusted upward to R9.43 billion during the Budget Adjustment in September 2021. A trend for the DHA allocation to invariably be adjusted upward in the adjusted allocation during September of each year should be noted. This is in part because the revenue generated by the Department (mainly through administrative fees for certificates, identity documents (IDs), permits, etc.) is appropriated to it during the adjustment process.</w:t>
      </w:r>
    </w:p>
    <w:p w14:paraId="38FA091D"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p>
    <w:p w14:paraId="6B3C769F"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By the end of the Third Quarter of 2021/22, the DHA had spent R7.05 billion (74.8%) of the adjusted budget of R9.43 billion. As a result, spending was R185.9 million (3%) lower than the projected amount of R7.24 billion. Compared to the end of the Third Quarter in the previous financial year 2020/21, the overall expenditure performance increased. This is because the DHA had spent R6.05 billion (68.9 %) of its allocated budget for the financial year. It should be noted that the COVID-19 had a major indluence in spending patterns across government due to lockdown restrictions.</w:t>
      </w:r>
    </w:p>
    <w:p w14:paraId="099FB0D8"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p>
    <w:p w14:paraId="4E500457"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According to its financial performance targets for the Third Quarter of 2021/22, all DHA programmes spent less than projections on their budget allocations. However, the financial performance is commendable as it managed to achieve an overall success rate of 97%. For instance, programme 2 achieved 99.8%, programme 1 and 4 achieved 96.6% and 97.4% respectively. The least performing programme, the Immigration branch, achieved a 94% success rate. See figure 1 on the next page.</w:t>
      </w:r>
    </w:p>
    <w:p w14:paraId="6EC36E72"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p>
    <w:p w14:paraId="5A70FA62"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The department’s overall spending in the Third Quarter of 2021/22 was lower by R185.9 million (2.6%). This means that the overall expenditure was R7.1 (74.8%) billion, against a projected expenditure of R7.2 billion. The lower than expected expenditure was mainly attributed to Programmes 1, 3 and 4 under goods and service.</w:t>
      </w:r>
    </w:p>
    <w:p w14:paraId="7BCC0EF1" w14:textId="21C5F87C"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Figure 1: Comparative analysis of Quarter 1, 2 and 3 expenditure report (%)</w:t>
      </w:r>
      <w:r w:rsidRPr="0035165B">
        <w:rPr>
          <w:rFonts w:ascii="Times New Roman" w:hAnsi="Times New Roman"/>
          <w:noProof/>
          <w:sz w:val="22"/>
          <w:szCs w:val="22"/>
          <w:lang w:val="en-US" w:eastAsia="en-US"/>
        </w:rPr>
        <w:drawing>
          <wp:anchor distT="0" distB="0" distL="114300" distR="114300" simplePos="0" relativeHeight="251664896" behindDoc="1" locked="0" layoutInCell="1" allowOverlap="1" wp14:anchorId="5DB67718" wp14:editId="0C5E894D">
            <wp:simplePos x="0" y="0"/>
            <wp:positionH relativeFrom="column">
              <wp:posOffset>-38735</wp:posOffset>
            </wp:positionH>
            <wp:positionV relativeFrom="paragraph">
              <wp:posOffset>208280</wp:posOffset>
            </wp:positionV>
            <wp:extent cx="6217920" cy="3060065"/>
            <wp:effectExtent l="38100" t="57150" r="49530" b="45085"/>
            <wp:wrapTight wrapText="bothSides">
              <wp:wrapPolygon edited="0">
                <wp:start x="-132" y="-403"/>
                <wp:lineTo x="-132" y="21784"/>
                <wp:lineTo x="21706" y="21784"/>
                <wp:lineTo x="21706" y="-403"/>
                <wp:lineTo x="-132" y="-403"/>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E6640F0"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Source, National Treasury (2021). Adapted by the Researcher (Parliamentary Research Unit)</w:t>
      </w:r>
    </w:p>
    <w:p w14:paraId="4B187195" w14:textId="2CE0EA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p>
    <w:p w14:paraId="03CA4430" w14:textId="77777777" w:rsidR="00570AD6" w:rsidRPr="0035165B" w:rsidRDefault="00570AD6" w:rsidP="00570AD6">
      <w:pPr>
        <w:suppressAutoHyphens w:val="0"/>
        <w:spacing w:line="276" w:lineRule="auto"/>
        <w:ind w:right="142"/>
        <w:contextualSpacing/>
        <w:jc w:val="both"/>
        <w:rPr>
          <w:rFonts w:ascii="Times New Roman" w:eastAsia="Calibri" w:hAnsi="Times New Roman"/>
          <w:b/>
          <w:bCs/>
          <w:noProof/>
          <w:color w:val="auto"/>
          <w:spacing w:val="0"/>
          <w:sz w:val="22"/>
          <w:szCs w:val="22"/>
          <w:lang w:eastAsia="en-ZA"/>
        </w:rPr>
      </w:pPr>
      <w:r w:rsidRPr="0035165B">
        <w:rPr>
          <w:rFonts w:ascii="Times New Roman" w:eastAsia="Calibri" w:hAnsi="Times New Roman"/>
          <w:b/>
          <w:bCs/>
          <w:noProof/>
          <w:color w:val="auto"/>
          <w:spacing w:val="0"/>
          <w:sz w:val="22"/>
          <w:szCs w:val="22"/>
          <w:lang w:eastAsia="en-ZA"/>
        </w:rPr>
        <w:t xml:space="preserve">Table </w:t>
      </w:r>
      <w:r w:rsidRPr="0035165B">
        <w:rPr>
          <w:rFonts w:ascii="Times New Roman" w:eastAsia="Calibri" w:hAnsi="Times New Roman"/>
          <w:b/>
          <w:bCs/>
          <w:noProof/>
          <w:color w:val="auto"/>
          <w:spacing w:val="0"/>
          <w:sz w:val="22"/>
          <w:szCs w:val="22"/>
          <w:lang w:eastAsia="en-ZA"/>
        </w:rPr>
        <w:fldChar w:fldCharType="begin"/>
      </w:r>
      <w:r w:rsidRPr="0035165B">
        <w:rPr>
          <w:rFonts w:ascii="Times New Roman" w:eastAsia="Calibri" w:hAnsi="Times New Roman"/>
          <w:b/>
          <w:bCs/>
          <w:noProof/>
          <w:color w:val="auto"/>
          <w:spacing w:val="0"/>
          <w:sz w:val="22"/>
          <w:szCs w:val="22"/>
          <w:lang w:eastAsia="en-ZA"/>
        </w:rPr>
        <w:instrText xml:space="preserve"> SEQ Table \* ARABIC </w:instrText>
      </w:r>
      <w:r w:rsidRPr="0035165B">
        <w:rPr>
          <w:rFonts w:ascii="Times New Roman" w:eastAsia="Calibri" w:hAnsi="Times New Roman"/>
          <w:b/>
          <w:bCs/>
          <w:noProof/>
          <w:color w:val="auto"/>
          <w:spacing w:val="0"/>
          <w:sz w:val="22"/>
          <w:szCs w:val="22"/>
          <w:lang w:eastAsia="en-ZA"/>
        </w:rPr>
        <w:fldChar w:fldCharType="separate"/>
      </w:r>
      <w:r w:rsidRPr="0035165B">
        <w:rPr>
          <w:rFonts w:ascii="Times New Roman" w:eastAsia="Calibri" w:hAnsi="Times New Roman"/>
          <w:b/>
          <w:bCs/>
          <w:noProof/>
          <w:color w:val="auto"/>
          <w:spacing w:val="0"/>
          <w:sz w:val="22"/>
          <w:szCs w:val="22"/>
          <w:lang w:eastAsia="en-ZA"/>
        </w:rPr>
        <w:t>1</w:t>
      </w:r>
      <w:r w:rsidRPr="0035165B">
        <w:rPr>
          <w:rFonts w:ascii="Times New Roman" w:eastAsia="Calibri" w:hAnsi="Times New Roman"/>
          <w:noProof/>
          <w:color w:val="auto"/>
          <w:spacing w:val="0"/>
          <w:sz w:val="22"/>
          <w:szCs w:val="22"/>
          <w:lang w:eastAsia="en-ZA"/>
        </w:rPr>
        <w:fldChar w:fldCharType="end"/>
      </w:r>
      <w:r w:rsidRPr="0035165B">
        <w:rPr>
          <w:rFonts w:ascii="Times New Roman" w:eastAsia="Calibri" w:hAnsi="Times New Roman"/>
          <w:b/>
          <w:bCs/>
          <w:noProof/>
          <w:color w:val="auto"/>
          <w:spacing w:val="0"/>
          <w:sz w:val="22"/>
          <w:szCs w:val="22"/>
          <w:lang w:eastAsia="en-ZA"/>
        </w:rPr>
        <w:t xml:space="preserve">: 2021/22 Third quarter expenditure of DHA </w:t>
      </w:r>
    </w:p>
    <w:tbl>
      <w:tblPr>
        <w:tblW w:w="0" w:type="auto"/>
        <w:tblInd w:w="-147" w:type="dxa"/>
        <w:tblLook w:val="04A0" w:firstRow="1" w:lastRow="0" w:firstColumn="1" w:lastColumn="0" w:noHBand="0" w:noVBand="1"/>
      </w:tblPr>
      <w:tblGrid>
        <w:gridCol w:w="1323"/>
        <w:gridCol w:w="1494"/>
        <w:gridCol w:w="1088"/>
        <w:gridCol w:w="1120"/>
        <w:gridCol w:w="1365"/>
        <w:gridCol w:w="1365"/>
        <w:gridCol w:w="1365"/>
        <w:gridCol w:w="1365"/>
      </w:tblGrid>
      <w:tr w:rsidR="00570AD6" w:rsidRPr="0035165B" w14:paraId="399B6036" w14:textId="77777777" w:rsidTr="00570AD6">
        <w:tc>
          <w:tcPr>
            <w:tcW w:w="1560" w:type="dxa"/>
            <w:tcBorders>
              <w:top w:val="single" w:sz="4" w:space="0" w:color="auto"/>
              <w:left w:val="single" w:sz="4" w:space="0" w:color="auto"/>
              <w:bottom w:val="single" w:sz="4" w:space="0" w:color="auto"/>
              <w:right w:val="single" w:sz="4" w:space="0" w:color="auto"/>
            </w:tcBorders>
            <w:shd w:val="clear" w:color="auto" w:fill="C2D69B"/>
            <w:hideMark/>
          </w:tcPr>
          <w:p w14:paraId="01A69DDD"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Programme</w:t>
            </w:r>
          </w:p>
        </w:tc>
        <w:tc>
          <w:tcPr>
            <w:tcW w:w="1253" w:type="dxa"/>
            <w:tcBorders>
              <w:top w:val="single" w:sz="4" w:space="0" w:color="auto"/>
              <w:left w:val="single" w:sz="4" w:space="0" w:color="auto"/>
              <w:bottom w:val="single" w:sz="4" w:space="0" w:color="auto"/>
              <w:right w:val="single" w:sz="4" w:space="0" w:color="auto"/>
            </w:tcBorders>
            <w:shd w:val="clear" w:color="auto" w:fill="C2D69B"/>
            <w:hideMark/>
          </w:tcPr>
          <w:p w14:paraId="7002D224"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Main appropriation</w:t>
            </w:r>
          </w:p>
          <w:p w14:paraId="3744AB63"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(R million)</w:t>
            </w:r>
          </w:p>
        </w:tc>
        <w:tc>
          <w:tcPr>
            <w:tcW w:w="1090" w:type="dxa"/>
            <w:tcBorders>
              <w:top w:val="single" w:sz="4" w:space="0" w:color="auto"/>
              <w:left w:val="single" w:sz="4" w:space="0" w:color="auto"/>
              <w:bottom w:val="single" w:sz="4" w:space="0" w:color="auto"/>
              <w:right w:val="single" w:sz="4" w:space="0" w:color="auto"/>
            </w:tcBorders>
            <w:shd w:val="clear" w:color="auto" w:fill="C2D69B"/>
            <w:hideMark/>
          </w:tcPr>
          <w:p w14:paraId="606FC12A"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 xml:space="preserve">Adjusted Budget </w:t>
            </w:r>
          </w:p>
        </w:tc>
        <w:tc>
          <w:tcPr>
            <w:tcW w:w="1122" w:type="dxa"/>
            <w:tcBorders>
              <w:top w:val="single" w:sz="4" w:space="0" w:color="auto"/>
              <w:left w:val="single" w:sz="4" w:space="0" w:color="auto"/>
              <w:bottom w:val="single" w:sz="4" w:space="0" w:color="auto"/>
              <w:right w:val="single" w:sz="4" w:space="0" w:color="auto"/>
            </w:tcBorders>
            <w:shd w:val="clear" w:color="auto" w:fill="C2D69B"/>
            <w:hideMark/>
          </w:tcPr>
          <w:p w14:paraId="3A525E0C"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Available Budget (R million)</w:t>
            </w:r>
          </w:p>
        </w:tc>
        <w:tc>
          <w:tcPr>
            <w:tcW w:w="1365" w:type="dxa"/>
            <w:tcBorders>
              <w:top w:val="single" w:sz="4" w:space="0" w:color="auto"/>
              <w:left w:val="single" w:sz="4" w:space="0" w:color="auto"/>
              <w:bottom w:val="single" w:sz="4" w:space="0" w:color="auto"/>
              <w:right w:val="single" w:sz="4" w:space="0" w:color="auto"/>
            </w:tcBorders>
            <w:shd w:val="clear" w:color="auto" w:fill="C2D69B"/>
            <w:hideMark/>
          </w:tcPr>
          <w:p w14:paraId="04EEBA85"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Third Quarter Actual Expenditure</w:t>
            </w:r>
          </w:p>
          <w:p w14:paraId="557630B8"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(R million)</w:t>
            </w:r>
          </w:p>
        </w:tc>
        <w:tc>
          <w:tcPr>
            <w:tcW w:w="1365" w:type="dxa"/>
            <w:tcBorders>
              <w:top w:val="single" w:sz="4" w:space="0" w:color="auto"/>
              <w:left w:val="single" w:sz="4" w:space="0" w:color="auto"/>
              <w:bottom w:val="single" w:sz="4" w:space="0" w:color="auto"/>
              <w:right w:val="single" w:sz="4" w:space="0" w:color="auto"/>
            </w:tcBorders>
            <w:shd w:val="clear" w:color="auto" w:fill="C2D69B"/>
            <w:hideMark/>
          </w:tcPr>
          <w:p w14:paraId="3237E9B9"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Third Quarter Projected</w:t>
            </w:r>
          </w:p>
          <w:p w14:paraId="260E20BF"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Expenditure</w:t>
            </w:r>
          </w:p>
          <w:p w14:paraId="070AFE41"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(R million)</w:t>
            </w:r>
          </w:p>
        </w:tc>
        <w:tc>
          <w:tcPr>
            <w:tcW w:w="1365" w:type="dxa"/>
            <w:tcBorders>
              <w:top w:val="single" w:sz="4" w:space="0" w:color="auto"/>
              <w:left w:val="single" w:sz="4" w:space="0" w:color="auto"/>
              <w:bottom w:val="single" w:sz="4" w:space="0" w:color="auto"/>
              <w:right w:val="single" w:sz="4" w:space="0" w:color="auto"/>
            </w:tcBorders>
            <w:shd w:val="clear" w:color="auto" w:fill="C2D69B"/>
            <w:hideMark/>
          </w:tcPr>
          <w:p w14:paraId="4BC8C64D"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Expenditure</w:t>
            </w:r>
          </w:p>
          <w:p w14:paraId="706C44C6"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(As % of Available Budget)</w:t>
            </w:r>
          </w:p>
        </w:tc>
        <w:tc>
          <w:tcPr>
            <w:tcW w:w="1365" w:type="dxa"/>
            <w:tcBorders>
              <w:top w:val="single" w:sz="4" w:space="0" w:color="auto"/>
              <w:left w:val="single" w:sz="4" w:space="0" w:color="auto"/>
              <w:bottom w:val="single" w:sz="4" w:space="0" w:color="auto"/>
              <w:right w:val="single" w:sz="4" w:space="0" w:color="auto"/>
            </w:tcBorders>
            <w:shd w:val="clear" w:color="auto" w:fill="C2D69B"/>
            <w:hideMark/>
          </w:tcPr>
          <w:p w14:paraId="049740BE"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 Variance from Projected Expenditure</w:t>
            </w:r>
          </w:p>
        </w:tc>
      </w:tr>
      <w:tr w:rsidR="00570AD6" w:rsidRPr="0035165B" w14:paraId="281F5136" w14:textId="77777777" w:rsidTr="00570AD6">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18C6D162"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1</w:t>
            </w:r>
          </w:p>
        </w:tc>
        <w:tc>
          <w:tcPr>
            <w:tcW w:w="1253" w:type="dxa"/>
            <w:tcBorders>
              <w:top w:val="single" w:sz="4" w:space="0" w:color="auto"/>
              <w:left w:val="single" w:sz="4" w:space="0" w:color="auto"/>
              <w:bottom w:val="single" w:sz="4" w:space="0" w:color="auto"/>
              <w:right w:val="single" w:sz="4" w:space="0" w:color="auto"/>
            </w:tcBorders>
            <w:shd w:val="clear" w:color="auto" w:fill="F2F2F2"/>
            <w:hideMark/>
          </w:tcPr>
          <w:p w14:paraId="1E5B674F"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2 266.6</w:t>
            </w:r>
          </w:p>
        </w:tc>
        <w:tc>
          <w:tcPr>
            <w:tcW w:w="1090" w:type="dxa"/>
            <w:tcBorders>
              <w:top w:val="single" w:sz="4" w:space="0" w:color="auto"/>
              <w:left w:val="single" w:sz="4" w:space="0" w:color="auto"/>
              <w:bottom w:val="single" w:sz="4" w:space="0" w:color="auto"/>
              <w:right w:val="single" w:sz="4" w:space="0" w:color="auto"/>
            </w:tcBorders>
            <w:shd w:val="clear" w:color="auto" w:fill="F2F2F2"/>
            <w:hideMark/>
          </w:tcPr>
          <w:p w14:paraId="3396F8D9"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2.371.5</w:t>
            </w:r>
          </w:p>
        </w:tc>
        <w:tc>
          <w:tcPr>
            <w:tcW w:w="1122" w:type="dxa"/>
            <w:tcBorders>
              <w:top w:val="single" w:sz="4" w:space="0" w:color="auto"/>
              <w:left w:val="single" w:sz="4" w:space="0" w:color="auto"/>
              <w:bottom w:val="single" w:sz="4" w:space="0" w:color="auto"/>
              <w:right w:val="single" w:sz="4" w:space="0" w:color="auto"/>
            </w:tcBorders>
            <w:shd w:val="clear" w:color="auto" w:fill="F2F2F2"/>
            <w:hideMark/>
          </w:tcPr>
          <w:p w14:paraId="41D56AAF"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2 560.7</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336A8AD9"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1 879.2</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195D876B"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1 945.2</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3420CC85"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66.1</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6952CA14"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3.4%</w:t>
            </w:r>
          </w:p>
        </w:tc>
      </w:tr>
      <w:tr w:rsidR="00570AD6" w:rsidRPr="0035165B" w14:paraId="0427D91C" w14:textId="77777777" w:rsidTr="00570AD6">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547B4654"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2</w:t>
            </w:r>
          </w:p>
        </w:tc>
        <w:tc>
          <w:tcPr>
            <w:tcW w:w="1253" w:type="dxa"/>
            <w:tcBorders>
              <w:top w:val="single" w:sz="4" w:space="0" w:color="auto"/>
              <w:left w:val="single" w:sz="4" w:space="0" w:color="auto"/>
              <w:bottom w:val="single" w:sz="4" w:space="0" w:color="auto"/>
              <w:right w:val="single" w:sz="4" w:space="0" w:color="auto"/>
            </w:tcBorders>
            <w:shd w:val="clear" w:color="auto" w:fill="F2F2F2"/>
            <w:hideMark/>
          </w:tcPr>
          <w:p w14:paraId="1845E9D2"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2 552.4</w:t>
            </w:r>
          </w:p>
        </w:tc>
        <w:tc>
          <w:tcPr>
            <w:tcW w:w="1090" w:type="dxa"/>
            <w:tcBorders>
              <w:top w:val="single" w:sz="4" w:space="0" w:color="auto"/>
              <w:left w:val="single" w:sz="4" w:space="0" w:color="auto"/>
              <w:bottom w:val="single" w:sz="4" w:space="0" w:color="auto"/>
              <w:right w:val="single" w:sz="4" w:space="0" w:color="auto"/>
            </w:tcBorders>
            <w:shd w:val="clear" w:color="auto" w:fill="F2F2F2"/>
            <w:hideMark/>
          </w:tcPr>
          <w:p w14:paraId="4D27E6F1"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3 100.8</w:t>
            </w:r>
          </w:p>
        </w:tc>
        <w:tc>
          <w:tcPr>
            <w:tcW w:w="1122" w:type="dxa"/>
            <w:tcBorders>
              <w:top w:val="single" w:sz="4" w:space="0" w:color="auto"/>
              <w:left w:val="single" w:sz="4" w:space="0" w:color="auto"/>
              <w:bottom w:val="single" w:sz="4" w:space="0" w:color="auto"/>
              <w:right w:val="single" w:sz="4" w:space="0" w:color="auto"/>
            </w:tcBorders>
            <w:shd w:val="clear" w:color="auto" w:fill="F2F2F2"/>
            <w:hideMark/>
          </w:tcPr>
          <w:p w14:paraId="0ED39A99"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2 889.2</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66DE9A66"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2 171.5</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04D62B73"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2 175.7</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274D9FF0"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4.2</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67FD86C3"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0.2%</w:t>
            </w:r>
          </w:p>
        </w:tc>
      </w:tr>
      <w:tr w:rsidR="00570AD6" w:rsidRPr="0035165B" w14:paraId="01CF1CA0" w14:textId="77777777" w:rsidTr="00570AD6">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07C0BABA"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3</w:t>
            </w:r>
          </w:p>
        </w:tc>
        <w:tc>
          <w:tcPr>
            <w:tcW w:w="1253" w:type="dxa"/>
            <w:tcBorders>
              <w:top w:val="single" w:sz="4" w:space="0" w:color="auto"/>
              <w:left w:val="single" w:sz="4" w:space="0" w:color="auto"/>
              <w:bottom w:val="single" w:sz="4" w:space="0" w:color="auto"/>
              <w:right w:val="single" w:sz="4" w:space="0" w:color="auto"/>
            </w:tcBorders>
            <w:shd w:val="clear" w:color="auto" w:fill="F2F2F2"/>
            <w:hideMark/>
          </w:tcPr>
          <w:p w14:paraId="07C823DA"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1 454.3</w:t>
            </w:r>
          </w:p>
        </w:tc>
        <w:tc>
          <w:tcPr>
            <w:tcW w:w="1090" w:type="dxa"/>
            <w:tcBorders>
              <w:top w:val="single" w:sz="4" w:space="0" w:color="auto"/>
              <w:left w:val="single" w:sz="4" w:space="0" w:color="auto"/>
              <w:bottom w:val="single" w:sz="4" w:space="0" w:color="auto"/>
              <w:right w:val="single" w:sz="4" w:space="0" w:color="auto"/>
            </w:tcBorders>
            <w:shd w:val="clear" w:color="auto" w:fill="F2F2F2"/>
            <w:hideMark/>
          </w:tcPr>
          <w:p w14:paraId="2414111A"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1 502.0</w:t>
            </w:r>
          </w:p>
        </w:tc>
        <w:tc>
          <w:tcPr>
            <w:tcW w:w="1122" w:type="dxa"/>
            <w:tcBorders>
              <w:top w:val="single" w:sz="4" w:space="0" w:color="auto"/>
              <w:left w:val="single" w:sz="4" w:space="0" w:color="auto"/>
              <w:bottom w:val="single" w:sz="4" w:space="0" w:color="auto"/>
              <w:right w:val="single" w:sz="4" w:space="0" w:color="auto"/>
            </w:tcBorders>
            <w:shd w:val="clear" w:color="auto" w:fill="F2F2F2"/>
            <w:hideMark/>
          </w:tcPr>
          <w:p w14:paraId="30E0E10C"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1 409.1</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3E265197"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936.6</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5F14EB97"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996.6</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409EE29C"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59.9</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2A6863F3"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6.0%</w:t>
            </w:r>
          </w:p>
        </w:tc>
      </w:tr>
      <w:tr w:rsidR="00570AD6" w:rsidRPr="0035165B" w14:paraId="74B304A9" w14:textId="77777777" w:rsidTr="00570AD6">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0189D436"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4</w:t>
            </w:r>
          </w:p>
        </w:tc>
        <w:tc>
          <w:tcPr>
            <w:tcW w:w="1253" w:type="dxa"/>
            <w:tcBorders>
              <w:top w:val="single" w:sz="4" w:space="0" w:color="auto"/>
              <w:left w:val="single" w:sz="4" w:space="0" w:color="auto"/>
              <w:bottom w:val="single" w:sz="4" w:space="0" w:color="auto"/>
              <w:right w:val="single" w:sz="4" w:space="0" w:color="auto"/>
            </w:tcBorders>
            <w:shd w:val="clear" w:color="auto" w:fill="F2F2F2"/>
            <w:hideMark/>
          </w:tcPr>
          <w:p w14:paraId="1F9EC3EF"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2 417.1</w:t>
            </w:r>
          </w:p>
        </w:tc>
        <w:tc>
          <w:tcPr>
            <w:tcW w:w="1090" w:type="dxa"/>
            <w:tcBorders>
              <w:top w:val="single" w:sz="4" w:space="0" w:color="auto"/>
              <w:left w:val="single" w:sz="4" w:space="0" w:color="auto"/>
              <w:bottom w:val="single" w:sz="4" w:space="0" w:color="auto"/>
              <w:right w:val="single" w:sz="4" w:space="0" w:color="auto"/>
            </w:tcBorders>
            <w:shd w:val="clear" w:color="auto" w:fill="F2F2F2"/>
            <w:hideMark/>
          </w:tcPr>
          <w:p w14:paraId="28CF67A9"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2 457.1</w:t>
            </w:r>
          </w:p>
        </w:tc>
        <w:tc>
          <w:tcPr>
            <w:tcW w:w="1122" w:type="dxa"/>
            <w:tcBorders>
              <w:top w:val="single" w:sz="4" w:space="0" w:color="auto"/>
              <w:left w:val="single" w:sz="4" w:space="0" w:color="auto"/>
              <w:bottom w:val="single" w:sz="4" w:space="0" w:color="auto"/>
              <w:right w:val="single" w:sz="4" w:space="0" w:color="auto"/>
            </w:tcBorders>
            <w:shd w:val="clear" w:color="auto" w:fill="F2F2F2"/>
            <w:hideMark/>
          </w:tcPr>
          <w:p w14:paraId="37C87BCD"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2 562.4</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2142288D"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2 069.3</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021A6685"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2 125.5</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49DB9FC2"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55.9</w:t>
            </w:r>
          </w:p>
        </w:tc>
        <w:tc>
          <w:tcPr>
            <w:tcW w:w="1365" w:type="dxa"/>
            <w:tcBorders>
              <w:top w:val="single" w:sz="4" w:space="0" w:color="auto"/>
              <w:left w:val="single" w:sz="4" w:space="0" w:color="auto"/>
              <w:bottom w:val="single" w:sz="4" w:space="0" w:color="auto"/>
              <w:right w:val="single" w:sz="4" w:space="0" w:color="auto"/>
            </w:tcBorders>
            <w:shd w:val="clear" w:color="auto" w:fill="F2F2F2"/>
            <w:hideMark/>
          </w:tcPr>
          <w:p w14:paraId="098CAC1A" w14:textId="77777777" w:rsidR="00570AD6" w:rsidRPr="0035165B" w:rsidRDefault="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2.6%</w:t>
            </w:r>
          </w:p>
        </w:tc>
      </w:tr>
      <w:tr w:rsidR="00570AD6" w:rsidRPr="0035165B" w14:paraId="0D77A614" w14:textId="77777777" w:rsidTr="00570AD6">
        <w:tc>
          <w:tcPr>
            <w:tcW w:w="1560" w:type="dxa"/>
            <w:tcBorders>
              <w:top w:val="single" w:sz="4" w:space="0" w:color="auto"/>
              <w:left w:val="single" w:sz="4" w:space="0" w:color="auto"/>
              <w:bottom w:val="single" w:sz="4" w:space="0" w:color="auto"/>
              <w:right w:val="single" w:sz="4" w:space="0" w:color="auto"/>
            </w:tcBorders>
            <w:shd w:val="clear" w:color="auto" w:fill="C2D69B"/>
            <w:hideMark/>
          </w:tcPr>
          <w:p w14:paraId="12C6AF79"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Total</w:t>
            </w:r>
          </w:p>
        </w:tc>
        <w:tc>
          <w:tcPr>
            <w:tcW w:w="1253" w:type="dxa"/>
            <w:tcBorders>
              <w:top w:val="single" w:sz="4" w:space="0" w:color="auto"/>
              <w:left w:val="single" w:sz="4" w:space="0" w:color="auto"/>
              <w:bottom w:val="single" w:sz="4" w:space="0" w:color="auto"/>
              <w:right w:val="single" w:sz="4" w:space="0" w:color="auto"/>
            </w:tcBorders>
            <w:shd w:val="clear" w:color="auto" w:fill="C2D69B"/>
            <w:hideMark/>
          </w:tcPr>
          <w:p w14:paraId="6B4673F8"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8 690.5</w:t>
            </w:r>
          </w:p>
        </w:tc>
        <w:tc>
          <w:tcPr>
            <w:tcW w:w="1090" w:type="dxa"/>
            <w:tcBorders>
              <w:top w:val="single" w:sz="4" w:space="0" w:color="auto"/>
              <w:left w:val="single" w:sz="4" w:space="0" w:color="auto"/>
              <w:bottom w:val="single" w:sz="4" w:space="0" w:color="auto"/>
              <w:right w:val="single" w:sz="4" w:space="0" w:color="auto"/>
            </w:tcBorders>
            <w:shd w:val="clear" w:color="auto" w:fill="C2D69B"/>
            <w:hideMark/>
          </w:tcPr>
          <w:p w14:paraId="08DBE815"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9 431.4</w:t>
            </w:r>
          </w:p>
        </w:tc>
        <w:tc>
          <w:tcPr>
            <w:tcW w:w="1122" w:type="dxa"/>
            <w:tcBorders>
              <w:top w:val="single" w:sz="4" w:space="0" w:color="auto"/>
              <w:left w:val="single" w:sz="4" w:space="0" w:color="auto"/>
              <w:bottom w:val="single" w:sz="4" w:space="0" w:color="auto"/>
              <w:right w:val="single" w:sz="4" w:space="0" w:color="auto"/>
            </w:tcBorders>
            <w:shd w:val="clear" w:color="auto" w:fill="C2D69B"/>
            <w:hideMark/>
          </w:tcPr>
          <w:p w14:paraId="7763322F"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9 431.4</w:t>
            </w:r>
          </w:p>
        </w:tc>
        <w:tc>
          <w:tcPr>
            <w:tcW w:w="1365" w:type="dxa"/>
            <w:tcBorders>
              <w:top w:val="single" w:sz="4" w:space="0" w:color="auto"/>
              <w:left w:val="single" w:sz="4" w:space="0" w:color="auto"/>
              <w:bottom w:val="single" w:sz="4" w:space="0" w:color="auto"/>
              <w:right w:val="single" w:sz="4" w:space="0" w:color="auto"/>
            </w:tcBorders>
            <w:shd w:val="clear" w:color="auto" w:fill="C2D69B"/>
            <w:hideMark/>
          </w:tcPr>
          <w:p w14:paraId="33893CFF"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7 056.6</w:t>
            </w:r>
          </w:p>
        </w:tc>
        <w:tc>
          <w:tcPr>
            <w:tcW w:w="1365" w:type="dxa"/>
            <w:tcBorders>
              <w:top w:val="single" w:sz="4" w:space="0" w:color="auto"/>
              <w:left w:val="single" w:sz="4" w:space="0" w:color="auto"/>
              <w:bottom w:val="single" w:sz="4" w:space="0" w:color="auto"/>
              <w:right w:val="single" w:sz="4" w:space="0" w:color="auto"/>
            </w:tcBorders>
            <w:shd w:val="clear" w:color="auto" w:fill="C2D69B"/>
            <w:hideMark/>
          </w:tcPr>
          <w:p w14:paraId="32F5C94C"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7 242.5</w:t>
            </w:r>
          </w:p>
        </w:tc>
        <w:tc>
          <w:tcPr>
            <w:tcW w:w="1365" w:type="dxa"/>
            <w:tcBorders>
              <w:top w:val="single" w:sz="4" w:space="0" w:color="auto"/>
              <w:left w:val="single" w:sz="4" w:space="0" w:color="auto"/>
              <w:bottom w:val="single" w:sz="4" w:space="0" w:color="auto"/>
              <w:right w:val="single" w:sz="4" w:space="0" w:color="auto"/>
            </w:tcBorders>
            <w:shd w:val="clear" w:color="auto" w:fill="C2D69B"/>
            <w:hideMark/>
          </w:tcPr>
          <w:p w14:paraId="1A38271A"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185.9</w:t>
            </w:r>
          </w:p>
        </w:tc>
        <w:tc>
          <w:tcPr>
            <w:tcW w:w="1365" w:type="dxa"/>
            <w:tcBorders>
              <w:top w:val="single" w:sz="4" w:space="0" w:color="auto"/>
              <w:left w:val="single" w:sz="4" w:space="0" w:color="auto"/>
              <w:bottom w:val="single" w:sz="4" w:space="0" w:color="auto"/>
              <w:right w:val="single" w:sz="4" w:space="0" w:color="auto"/>
            </w:tcBorders>
            <w:shd w:val="clear" w:color="auto" w:fill="C2D69B"/>
            <w:hideMark/>
          </w:tcPr>
          <w:p w14:paraId="7740D6A6" w14:textId="77777777" w:rsidR="00570AD6" w:rsidRPr="0035165B" w:rsidRDefault="00570AD6">
            <w:pPr>
              <w:suppressAutoHyphens w:val="0"/>
              <w:spacing w:line="276" w:lineRule="auto"/>
              <w:ind w:right="142"/>
              <w:contextualSpacing/>
              <w:jc w:val="both"/>
              <w:rPr>
                <w:rFonts w:ascii="Times New Roman" w:eastAsia="Calibri" w:hAnsi="Times New Roman"/>
                <w:b/>
                <w:noProof/>
                <w:color w:val="auto"/>
                <w:spacing w:val="0"/>
                <w:sz w:val="22"/>
                <w:szCs w:val="22"/>
                <w:lang w:val="en-GB" w:eastAsia="en-ZA"/>
              </w:rPr>
            </w:pPr>
            <w:r w:rsidRPr="0035165B">
              <w:rPr>
                <w:rFonts w:ascii="Times New Roman" w:eastAsia="Calibri" w:hAnsi="Times New Roman"/>
                <w:b/>
                <w:noProof/>
                <w:color w:val="auto"/>
                <w:spacing w:val="0"/>
                <w:sz w:val="22"/>
                <w:szCs w:val="22"/>
                <w:lang w:val="en-GB" w:eastAsia="en-ZA"/>
              </w:rPr>
              <w:t>3.%</w:t>
            </w:r>
          </w:p>
        </w:tc>
      </w:tr>
    </w:tbl>
    <w:p w14:paraId="422B05D6"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eastAsia="en-ZA"/>
        </w:rPr>
        <w:t xml:space="preserve">Source: </w:t>
      </w:r>
      <w:r w:rsidRPr="0035165B">
        <w:rPr>
          <w:rFonts w:ascii="Times New Roman" w:eastAsia="Calibri" w:hAnsi="Times New Roman"/>
          <w:noProof/>
          <w:color w:val="auto"/>
          <w:spacing w:val="0"/>
          <w:sz w:val="22"/>
          <w:szCs w:val="22"/>
          <w:lang w:val="en-GB" w:eastAsia="en-ZA"/>
        </w:rPr>
        <w:t>National Treasury (2021a), adapted.</w:t>
      </w:r>
    </w:p>
    <w:p w14:paraId="078BC1E8"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 Percentage variance: Negative figures show actual expenditure exceeds what was projected for the period.</w:t>
      </w:r>
    </w:p>
    <w:p w14:paraId="179A889F"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p>
    <w:p w14:paraId="1E77FD1A"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r w:rsidRPr="0035165B">
        <w:rPr>
          <w:rFonts w:ascii="Times New Roman" w:eastAsia="Calibri" w:hAnsi="Times New Roman"/>
          <w:noProof/>
          <w:color w:val="auto"/>
          <w:spacing w:val="0"/>
          <w:sz w:val="22"/>
          <w:szCs w:val="22"/>
          <w:lang w:val="en-GB" w:eastAsia="en-ZA"/>
        </w:rPr>
        <w:t xml:space="preserve">The mandate of the Department is carried out in the following budgeted programmes: </w:t>
      </w:r>
    </w:p>
    <w:p w14:paraId="7C3590E7"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val="en-GB" w:eastAsia="en-ZA"/>
        </w:rPr>
      </w:pPr>
    </w:p>
    <w:p w14:paraId="2E04F28B" w14:textId="77777777" w:rsidR="00570AD6" w:rsidRPr="0035165B" w:rsidRDefault="00570AD6" w:rsidP="00570AD6">
      <w:pPr>
        <w:suppressAutoHyphens w:val="0"/>
        <w:spacing w:line="276" w:lineRule="auto"/>
        <w:ind w:right="142"/>
        <w:contextualSpacing/>
        <w:jc w:val="both"/>
        <w:rPr>
          <w:rFonts w:ascii="Times New Roman" w:eastAsia="Calibri" w:hAnsi="Times New Roman"/>
          <w:i/>
          <w:noProof/>
          <w:color w:val="auto"/>
          <w:spacing w:val="0"/>
          <w:sz w:val="22"/>
          <w:szCs w:val="22"/>
          <w:lang w:eastAsia="en-ZA"/>
        </w:rPr>
      </w:pPr>
      <w:r w:rsidRPr="0035165B">
        <w:rPr>
          <w:rFonts w:ascii="Times New Roman" w:eastAsia="Calibri" w:hAnsi="Times New Roman"/>
          <w:b/>
          <w:bCs/>
          <w:i/>
          <w:noProof/>
          <w:color w:val="auto"/>
          <w:spacing w:val="0"/>
          <w:sz w:val="22"/>
          <w:szCs w:val="22"/>
          <w:lang w:eastAsia="en-ZA"/>
        </w:rPr>
        <w:t>Programme 1: Administration</w:t>
      </w:r>
      <w:r w:rsidRPr="0035165B">
        <w:rPr>
          <w:rFonts w:ascii="Times New Roman" w:eastAsia="Calibri" w:hAnsi="Times New Roman"/>
          <w:i/>
          <w:noProof/>
          <w:color w:val="auto"/>
          <w:spacing w:val="0"/>
          <w:sz w:val="22"/>
          <w:szCs w:val="22"/>
          <w:lang w:eastAsia="en-ZA"/>
        </w:rPr>
        <w:t xml:space="preserve">: </w:t>
      </w:r>
    </w:p>
    <w:p w14:paraId="7733722E" w14:textId="08264639"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r w:rsidRPr="0035165B">
        <w:rPr>
          <w:rFonts w:ascii="Times New Roman" w:eastAsia="Calibri" w:hAnsi="Times New Roman"/>
          <w:noProof/>
          <w:color w:val="auto"/>
          <w:spacing w:val="0"/>
          <w:sz w:val="22"/>
          <w:szCs w:val="22"/>
          <w:lang w:eastAsia="en-ZA"/>
        </w:rPr>
        <w:t>At the end of the third quarter (2021/22), actual expenditure amounted to R1.87 billion (73.4 %) of the programme’s total available budget of R 2.26 billion. The programme’s expenditure was R 66.1 million (3.4 %) lower than its projected expenditure for the third quarter. The low expenditure was due to savings on travel expenses as most meetings were held virtually. In addition, some of the expired contracts were still in the process of being renewed, and there were delays in receiving invoices from State Information Technology Agency (SITA).</w:t>
      </w:r>
    </w:p>
    <w:p w14:paraId="0BB045ED"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p>
    <w:p w14:paraId="04774847" w14:textId="77777777" w:rsidR="00570AD6" w:rsidRPr="0035165B" w:rsidRDefault="00570AD6" w:rsidP="00570AD6">
      <w:pPr>
        <w:suppressAutoHyphens w:val="0"/>
        <w:spacing w:line="276" w:lineRule="auto"/>
        <w:ind w:right="142"/>
        <w:contextualSpacing/>
        <w:jc w:val="both"/>
        <w:rPr>
          <w:rFonts w:ascii="Times New Roman" w:eastAsia="Calibri" w:hAnsi="Times New Roman"/>
          <w:i/>
          <w:noProof/>
          <w:color w:val="auto"/>
          <w:spacing w:val="0"/>
          <w:sz w:val="22"/>
          <w:szCs w:val="22"/>
          <w:lang w:eastAsia="en-ZA"/>
        </w:rPr>
      </w:pPr>
      <w:r w:rsidRPr="0035165B">
        <w:rPr>
          <w:rFonts w:ascii="Times New Roman" w:eastAsia="Calibri" w:hAnsi="Times New Roman"/>
          <w:b/>
          <w:bCs/>
          <w:i/>
          <w:noProof/>
          <w:color w:val="auto"/>
          <w:spacing w:val="0"/>
          <w:sz w:val="22"/>
          <w:szCs w:val="22"/>
          <w:lang w:eastAsia="en-ZA"/>
        </w:rPr>
        <w:t>Programme 2: Citizen Affairs</w:t>
      </w:r>
      <w:r w:rsidRPr="0035165B">
        <w:rPr>
          <w:rFonts w:ascii="Times New Roman" w:eastAsia="Calibri" w:hAnsi="Times New Roman"/>
          <w:i/>
          <w:noProof/>
          <w:color w:val="auto"/>
          <w:spacing w:val="0"/>
          <w:sz w:val="22"/>
          <w:szCs w:val="22"/>
          <w:lang w:eastAsia="en-ZA"/>
        </w:rPr>
        <w:t>:</w:t>
      </w:r>
    </w:p>
    <w:p w14:paraId="4D49361B" w14:textId="29019CB6"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r w:rsidRPr="0035165B">
        <w:rPr>
          <w:rFonts w:ascii="Times New Roman" w:eastAsia="Calibri" w:hAnsi="Times New Roman"/>
          <w:noProof/>
          <w:color w:val="auto"/>
          <w:spacing w:val="0"/>
          <w:sz w:val="22"/>
          <w:szCs w:val="22"/>
          <w:lang w:eastAsia="en-ZA"/>
        </w:rPr>
        <w:t xml:space="preserve">Actual expenditure at the end of the third quarter (2021/22) amounted to R 2.17 billion (99.8%) of the programme’s total available budget of R 3.1 billion. Expenditure was R 4.2 million lower than the projected expenditure of R 2.175 billion. The reasons for lower expenditure are Covid-19 lockdown regulations where some civic services such as </w:t>
      </w:r>
      <w:r w:rsidRPr="0035165B">
        <w:rPr>
          <w:rFonts w:ascii="Times New Roman" w:eastAsia="Calibri" w:hAnsi="Times New Roman"/>
          <w:noProof/>
          <w:color w:val="auto"/>
          <w:spacing w:val="0"/>
          <w:sz w:val="22"/>
          <w:szCs w:val="22"/>
          <w:lang w:eastAsia="en-ZA"/>
        </w:rPr>
        <w:lastRenderedPageBreak/>
        <w:t>identity documents, passports, and birth certificates were not offered. Consequently, there was a lesser expenditure on the courier services as IDs and Passports were not delivered.</w:t>
      </w:r>
    </w:p>
    <w:p w14:paraId="0CAD775D"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p>
    <w:p w14:paraId="75C8DE2F" w14:textId="77777777" w:rsidR="00570AD6" w:rsidRPr="0035165B" w:rsidRDefault="00570AD6" w:rsidP="00570AD6">
      <w:pPr>
        <w:suppressAutoHyphens w:val="0"/>
        <w:spacing w:line="276" w:lineRule="auto"/>
        <w:ind w:right="142"/>
        <w:contextualSpacing/>
        <w:jc w:val="both"/>
        <w:rPr>
          <w:rFonts w:ascii="Times New Roman" w:eastAsia="Calibri" w:hAnsi="Times New Roman"/>
          <w:b/>
          <w:bCs/>
          <w:i/>
          <w:noProof/>
          <w:color w:val="auto"/>
          <w:spacing w:val="0"/>
          <w:sz w:val="22"/>
          <w:szCs w:val="22"/>
          <w:lang w:eastAsia="en-ZA"/>
        </w:rPr>
      </w:pPr>
      <w:r w:rsidRPr="0035165B">
        <w:rPr>
          <w:rFonts w:ascii="Times New Roman" w:eastAsia="Calibri" w:hAnsi="Times New Roman"/>
          <w:b/>
          <w:bCs/>
          <w:i/>
          <w:noProof/>
          <w:color w:val="auto"/>
          <w:spacing w:val="0"/>
          <w:sz w:val="22"/>
          <w:szCs w:val="22"/>
          <w:lang w:eastAsia="en-ZA"/>
        </w:rPr>
        <w:t>Programme 3: Immigration Affairs:</w:t>
      </w:r>
    </w:p>
    <w:p w14:paraId="34444AEB" w14:textId="60494CE8"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r w:rsidRPr="0035165B">
        <w:rPr>
          <w:rFonts w:ascii="Times New Roman" w:eastAsia="Calibri" w:hAnsi="Times New Roman"/>
          <w:bCs/>
          <w:noProof/>
          <w:color w:val="auto"/>
          <w:spacing w:val="0"/>
          <w:sz w:val="22"/>
          <w:szCs w:val="22"/>
          <w:lang w:eastAsia="en-ZA"/>
        </w:rPr>
        <w:t>The actual expenditure of Programme 3</w:t>
      </w:r>
      <w:r w:rsidRPr="0035165B">
        <w:rPr>
          <w:rFonts w:ascii="Times New Roman" w:eastAsia="Calibri" w:hAnsi="Times New Roman"/>
          <w:noProof/>
          <w:color w:val="auto"/>
          <w:spacing w:val="0"/>
          <w:sz w:val="22"/>
          <w:szCs w:val="22"/>
          <w:lang w:eastAsia="en-ZA"/>
        </w:rPr>
        <w:t xml:space="preserve"> amounted to R 936.6 million of the available budget of R 1.5 billion. This was R 59.9 million (6%) lower than the projected expenditure of R 996.6 million, mainly due to less expenditure resulting from delays in receiving invoices for the Lindela holding facility nutrition and delays in the payment of Advanced Passenger Protection (APP) by SITA.</w:t>
      </w:r>
    </w:p>
    <w:p w14:paraId="3AFAFA54"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p>
    <w:p w14:paraId="59D7ABE2" w14:textId="35E34990"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r w:rsidRPr="0035165B">
        <w:rPr>
          <w:rFonts w:ascii="Times New Roman" w:eastAsia="Calibri" w:hAnsi="Times New Roman"/>
          <w:b/>
          <w:i/>
          <w:noProof/>
          <w:color w:val="auto"/>
          <w:spacing w:val="0"/>
          <w:sz w:val="22"/>
          <w:szCs w:val="22"/>
          <w:lang w:eastAsia="en-ZA"/>
        </w:rPr>
        <w:t>Programme 4: Institutional Support and Transfers</w:t>
      </w:r>
      <w:r w:rsidRPr="0035165B">
        <w:rPr>
          <w:rFonts w:ascii="Times New Roman" w:eastAsia="Calibri" w:hAnsi="Times New Roman"/>
          <w:noProof/>
          <w:color w:val="auto"/>
          <w:spacing w:val="0"/>
          <w:sz w:val="22"/>
          <w:szCs w:val="22"/>
          <w:lang w:eastAsia="en-ZA"/>
        </w:rPr>
        <w:t xml:space="preserve">: </w:t>
      </w:r>
    </w:p>
    <w:p w14:paraId="41E9EEEB" w14:textId="77777777" w:rsidR="00570AD6" w:rsidRPr="0035165B" w:rsidRDefault="00570AD6" w:rsidP="00570AD6">
      <w:pPr>
        <w:suppressAutoHyphens w:val="0"/>
        <w:spacing w:line="276" w:lineRule="auto"/>
        <w:ind w:right="142"/>
        <w:contextualSpacing/>
        <w:jc w:val="both"/>
        <w:rPr>
          <w:rFonts w:ascii="Times New Roman" w:eastAsia="Calibri" w:hAnsi="Times New Roman"/>
          <w:noProof/>
          <w:color w:val="auto"/>
          <w:spacing w:val="0"/>
          <w:sz w:val="22"/>
          <w:szCs w:val="22"/>
          <w:lang w:eastAsia="en-ZA"/>
        </w:rPr>
      </w:pPr>
      <w:r w:rsidRPr="0035165B">
        <w:rPr>
          <w:rFonts w:ascii="Times New Roman" w:eastAsia="Calibri" w:hAnsi="Times New Roman"/>
          <w:noProof/>
          <w:color w:val="auto"/>
          <w:spacing w:val="0"/>
          <w:sz w:val="22"/>
          <w:szCs w:val="22"/>
          <w:lang w:eastAsia="en-ZA"/>
        </w:rPr>
        <w:t>At the end of the third quarter, the actual expenditure was R2.06 billion against the projected expenditure of R2.12 billion. The spending was R59.9 million (2%) lower than the projected expenditure. The reasons for lower expenditure were due to the delays in the implementation of the BMA and delays in the appointment of key managers such as the BMA Commissioner and Deputy Commissioners.</w:t>
      </w:r>
    </w:p>
    <w:p w14:paraId="37533DD9" w14:textId="64576D84" w:rsidR="00C95C23" w:rsidRPr="0035165B" w:rsidRDefault="00C95C23" w:rsidP="0098397E">
      <w:pPr>
        <w:spacing w:line="276" w:lineRule="auto"/>
        <w:ind w:right="142"/>
        <w:jc w:val="both"/>
        <w:rPr>
          <w:rFonts w:ascii="Times New Roman" w:hAnsi="Times New Roman"/>
          <w:b/>
          <w:bCs/>
          <w:color w:val="auto"/>
          <w:sz w:val="22"/>
          <w:szCs w:val="22"/>
        </w:rPr>
      </w:pPr>
    </w:p>
    <w:p w14:paraId="2CB41945" w14:textId="41EB30F2" w:rsidR="0019370F" w:rsidRDefault="00CE0C1C" w:rsidP="0098397E">
      <w:pPr>
        <w:spacing w:line="276" w:lineRule="auto"/>
        <w:ind w:right="142"/>
        <w:jc w:val="both"/>
        <w:rPr>
          <w:rFonts w:ascii="Times New Roman" w:hAnsi="Times New Roman"/>
          <w:b/>
          <w:bCs/>
          <w:color w:val="auto"/>
          <w:sz w:val="22"/>
          <w:szCs w:val="22"/>
        </w:rPr>
      </w:pPr>
      <w:r w:rsidRPr="0035165B">
        <w:rPr>
          <w:rFonts w:ascii="Times New Roman" w:hAnsi="Times New Roman"/>
          <w:b/>
          <w:bCs/>
          <w:color w:val="auto"/>
          <w:sz w:val="22"/>
          <w:szCs w:val="22"/>
        </w:rPr>
        <w:t>1.7 ANALYSIS OF THE DHA 2022/23 ANNUAL PERFORMANCE</w:t>
      </w:r>
      <w:r>
        <w:rPr>
          <w:rFonts w:ascii="Times New Roman" w:hAnsi="Times New Roman"/>
          <w:b/>
          <w:bCs/>
          <w:color w:val="auto"/>
          <w:sz w:val="22"/>
          <w:szCs w:val="22"/>
        </w:rPr>
        <w:t xml:space="preserve"> PLAN</w:t>
      </w:r>
      <w:r w:rsidRPr="0035165B">
        <w:rPr>
          <w:rFonts w:ascii="Times New Roman" w:hAnsi="Times New Roman"/>
          <w:b/>
          <w:bCs/>
          <w:color w:val="auto"/>
          <w:sz w:val="22"/>
          <w:szCs w:val="22"/>
        </w:rPr>
        <w:t xml:space="preserve"> </w:t>
      </w:r>
    </w:p>
    <w:p w14:paraId="2E5FB28D" w14:textId="33460CAB" w:rsidR="00CE0C1C" w:rsidRDefault="00CE0C1C" w:rsidP="0098397E">
      <w:pPr>
        <w:spacing w:line="276" w:lineRule="auto"/>
        <w:ind w:right="142"/>
        <w:jc w:val="both"/>
        <w:rPr>
          <w:rFonts w:ascii="Times New Roman" w:hAnsi="Times New Roman"/>
          <w:b/>
          <w:bCs/>
          <w:color w:val="auto"/>
          <w:sz w:val="22"/>
          <w:szCs w:val="22"/>
        </w:rPr>
      </w:pPr>
    </w:p>
    <w:p w14:paraId="2160DD4E" w14:textId="15AE613A" w:rsidR="00CE0C1C" w:rsidRPr="0035165B" w:rsidRDefault="00CE0C1C" w:rsidP="0098397E">
      <w:pPr>
        <w:spacing w:line="276" w:lineRule="auto"/>
        <w:ind w:right="142"/>
        <w:jc w:val="both"/>
        <w:rPr>
          <w:rFonts w:ascii="Times New Roman" w:hAnsi="Times New Roman"/>
          <w:b/>
          <w:bCs/>
          <w:color w:val="auto"/>
          <w:sz w:val="22"/>
          <w:szCs w:val="22"/>
        </w:rPr>
      </w:pPr>
      <w:r>
        <w:rPr>
          <w:rFonts w:ascii="Times New Roman" w:hAnsi="Times New Roman"/>
          <w:b/>
          <w:bCs/>
          <w:color w:val="auto"/>
          <w:sz w:val="22"/>
          <w:szCs w:val="22"/>
        </w:rPr>
        <w:t>1.7.1 Analysis of performance against previous targets</w:t>
      </w:r>
    </w:p>
    <w:p w14:paraId="2CBE9406" w14:textId="77777777" w:rsidR="003A1FAE" w:rsidRPr="0035165B" w:rsidRDefault="003A1FAE" w:rsidP="003A1FAE">
      <w:pPr>
        <w:spacing w:line="276" w:lineRule="auto"/>
        <w:ind w:right="142"/>
        <w:jc w:val="both"/>
        <w:rPr>
          <w:rFonts w:ascii="Times New Roman" w:hAnsi="Times New Roman"/>
          <w:color w:val="auto"/>
          <w:sz w:val="22"/>
          <w:szCs w:val="22"/>
        </w:rPr>
      </w:pPr>
    </w:p>
    <w:p w14:paraId="695B5530" w14:textId="2A1C435C" w:rsidR="00CE0C1C" w:rsidRPr="00CE0C1C" w:rsidRDefault="00CE0C1C" w:rsidP="00CE0C1C">
      <w:pPr>
        <w:jc w:val="both"/>
        <w:rPr>
          <w:rFonts w:ascii="Times New Roman" w:hAnsi="Times New Roman"/>
          <w:bCs/>
          <w:color w:val="auto"/>
          <w:spacing w:val="0"/>
          <w:sz w:val="22"/>
          <w:szCs w:val="22"/>
          <w:lang w:eastAsia="en-US"/>
        </w:rPr>
      </w:pPr>
      <w:r w:rsidRPr="00CE0C1C">
        <w:rPr>
          <w:rFonts w:ascii="Times New Roman" w:hAnsi="Times New Roman"/>
          <w:bCs/>
          <w:sz w:val="22"/>
          <w:szCs w:val="22"/>
        </w:rPr>
        <w:t>This comparison with the previous financial years</w:t>
      </w:r>
      <w:r>
        <w:rPr>
          <w:rFonts w:ascii="Times New Roman" w:hAnsi="Times New Roman"/>
          <w:bCs/>
          <w:sz w:val="22"/>
          <w:szCs w:val="22"/>
        </w:rPr>
        <w:t xml:space="preserve"> identifies</w:t>
      </w:r>
      <w:r w:rsidRPr="00CE0C1C">
        <w:rPr>
          <w:rFonts w:ascii="Times New Roman" w:hAnsi="Times New Roman"/>
          <w:bCs/>
          <w:sz w:val="22"/>
          <w:szCs w:val="22"/>
        </w:rPr>
        <w:t xml:space="preserve"> and highlight</w:t>
      </w:r>
      <w:r>
        <w:rPr>
          <w:rFonts w:ascii="Times New Roman" w:hAnsi="Times New Roman"/>
          <w:bCs/>
          <w:sz w:val="22"/>
          <w:szCs w:val="22"/>
        </w:rPr>
        <w:t>s</w:t>
      </w:r>
      <w:r w:rsidRPr="00CE0C1C">
        <w:rPr>
          <w:rFonts w:ascii="Times New Roman" w:hAnsi="Times New Roman"/>
          <w:bCs/>
          <w:sz w:val="22"/>
          <w:szCs w:val="22"/>
        </w:rPr>
        <w:t xml:space="preserve"> ongoing challenges experienced by the Department to inform the current APP and targets.</w:t>
      </w:r>
    </w:p>
    <w:p w14:paraId="6FE005C0" w14:textId="77777777" w:rsidR="00CE0C1C" w:rsidRPr="00CE0C1C" w:rsidRDefault="00CE0C1C" w:rsidP="00CE0C1C">
      <w:pPr>
        <w:spacing w:line="276" w:lineRule="auto"/>
        <w:jc w:val="both"/>
        <w:rPr>
          <w:rFonts w:ascii="Times New Roman" w:hAnsi="Times New Roman"/>
          <w:bCs/>
          <w:sz w:val="22"/>
          <w:szCs w:val="22"/>
        </w:rPr>
      </w:pPr>
    </w:p>
    <w:p w14:paraId="00498580" w14:textId="10F59453" w:rsidR="00CE0C1C" w:rsidRPr="00CE0C1C" w:rsidRDefault="00CE0C1C" w:rsidP="00CE0C1C">
      <w:pPr>
        <w:spacing w:line="276" w:lineRule="auto"/>
        <w:jc w:val="both"/>
        <w:rPr>
          <w:rFonts w:ascii="Times New Roman" w:hAnsi="Times New Roman"/>
          <w:sz w:val="22"/>
          <w:szCs w:val="22"/>
        </w:rPr>
      </w:pPr>
      <w:r w:rsidRPr="00CE0C1C">
        <w:rPr>
          <w:rFonts w:ascii="Times New Roman" w:hAnsi="Times New Roman"/>
          <w:b/>
          <w:sz w:val="22"/>
          <w:szCs w:val="22"/>
        </w:rPr>
        <w:t>Table 2: Departmental Performance and Target Achievement: 2020/2021</w:t>
      </w:r>
    </w:p>
    <w:tbl>
      <w:tblPr>
        <w:tblStyle w:val="GridTable5Dark-Accent3"/>
        <w:tblW w:w="10095" w:type="dxa"/>
        <w:tblLayout w:type="fixed"/>
        <w:tblLook w:val="04A0" w:firstRow="1" w:lastRow="0" w:firstColumn="1" w:lastColumn="0" w:noHBand="0" w:noVBand="1"/>
      </w:tblPr>
      <w:tblGrid>
        <w:gridCol w:w="2552"/>
        <w:gridCol w:w="1701"/>
        <w:gridCol w:w="1277"/>
        <w:gridCol w:w="1418"/>
        <w:gridCol w:w="1560"/>
        <w:gridCol w:w="1587"/>
      </w:tblGrid>
      <w:tr w:rsidR="00CE0C1C" w:rsidRPr="00CE0C1C" w14:paraId="41157F7F" w14:textId="77777777" w:rsidTr="00CE0C1C">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552" w:type="dxa"/>
            <w:hideMark/>
          </w:tcPr>
          <w:p w14:paraId="1F931E99" w14:textId="77777777" w:rsidR="00CE0C1C" w:rsidRPr="00CE0C1C" w:rsidRDefault="00CE0C1C" w:rsidP="00CE0C1C">
            <w:pPr>
              <w:spacing w:line="276" w:lineRule="auto"/>
              <w:jc w:val="both"/>
              <w:rPr>
                <w:rFonts w:ascii="Times New Roman" w:hAnsi="Times New Roman"/>
                <w:sz w:val="22"/>
                <w:szCs w:val="22"/>
              </w:rPr>
            </w:pPr>
            <w:r w:rsidRPr="00CE0C1C">
              <w:rPr>
                <w:rFonts w:ascii="Times New Roman" w:hAnsi="Times New Roman"/>
                <w:b w:val="0"/>
                <w:sz w:val="22"/>
                <w:szCs w:val="22"/>
              </w:rPr>
              <w:t>Programme</w:t>
            </w:r>
          </w:p>
        </w:tc>
        <w:tc>
          <w:tcPr>
            <w:tcW w:w="1701" w:type="dxa"/>
            <w:hideMark/>
          </w:tcPr>
          <w:p w14:paraId="6A0995AB" w14:textId="77777777" w:rsidR="00CE0C1C" w:rsidRPr="00CE0C1C" w:rsidRDefault="00CE0C1C" w:rsidP="00CE0C1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CE0C1C">
              <w:rPr>
                <w:rFonts w:ascii="Times New Roman" w:hAnsi="Times New Roman"/>
                <w:b w:val="0"/>
                <w:sz w:val="22"/>
                <w:szCs w:val="22"/>
              </w:rPr>
              <w:t>No. of Targets</w:t>
            </w:r>
          </w:p>
        </w:tc>
        <w:tc>
          <w:tcPr>
            <w:tcW w:w="1276" w:type="dxa"/>
            <w:hideMark/>
          </w:tcPr>
          <w:p w14:paraId="0CBFB14B" w14:textId="77777777" w:rsidR="00CE0C1C" w:rsidRPr="00CE0C1C" w:rsidRDefault="00CE0C1C" w:rsidP="00CE0C1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CE0C1C">
              <w:rPr>
                <w:rFonts w:ascii="Times New Roman" w:hAnsi="Times New Roman"/>
                <w:b w:val="0"/>
                <w:sz w:val="22"/>
                <w:szCs w:val="22"/>
              </w:rPr>
              <w:t>Achieved</w:t>
            </w:r>
          </w:p>
        </w:tc>
        <w:tc>
          <w:tcPr>
            <w:tcW w:w="1417" w:type="dxa"/>
            <w:hideMark/>
          </w:tcPr>
          <w:p w14:paraId="31013A80" w14:textId="77777777" w:rsidR="00CE0C1C" w:rsidRPr="00CE0C1C" w:rsidRDefault="00CE0C1C" w:rsidP="00CE0C1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CE0C1C">
              <w:rPr>
                <w:rFonts w:ascii="Times New Roman" w:hAnsi="Times New Roman"/>
                <w:b w:val="0"/>
                <w:sz w:val="22"/>
                <w:szCs w:val="22"/>
              </w:rPr>
              <w:t>Not achieved</w:t>
            </w:r>
          </w:p>
        </w:tc>
        <w:tc>
          <w:tcPr>
            <w:tcW w:w="1559" w:type="dxa"/>
            <w:hideMark/>
          </w:tcPr>
          <w:p w14:paraId="172E1971" w14:textId="77777777" w:rsidR="00CE0C1C" w:rsidRPr="00CE0C1C" w:rsidRDefault="00CE0C1C" w:rsidP="00CE0C1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CE0C1C">
              <w:rPr>
                <w:rFonts w:ascii="Times New Roman" w:hAnsi="Times New Roman"/>
                <w:b w:val="0"/>
                <w:sz w:val="22"/>
                <w:szCs w:val="22"/>
              </w:rPr>
              <w:t>% Not achieved</w:t>
            </w:r>
          </w:p>
        </w:tc>
        <w:tc>
          <w:tcPr>
            <w:tcW w:w="1586" w:type="dxa"/>
            <w:hideMark/>
          </w:tcPr>
          <w:p w14:paraId="5E92CED4" w14:textId="77777777" w:rsidR="00CE0C1C" w:rsidRPr="00CE0C1C" w:rsidRDefault="00CE0C1C" w:rsidP="00CE0C1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CE0C1C">
              <w:rPr>
                <w:rFonts w:ascii="Times New Roman" w:hAnsi="Times New Roman"/>
                <w:b w:val="0"/>
                <w:sz w:val="22"/>
                <w:szCs w:val="22"/>
              </w:rPr>
              <w:t>%  Achieved</w:t>
            </w:r>
          </w:p>
        </w:tc>
      </w:tr>
      <w:tr w:rsidR="00CE0C1C" w:rsidRPr="00CE0C1C" w14:paraId="79951AD1" w14:textId="77777777" w:rsidTr="00CE0C1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552" w:type="dxa"/>
            <w:hideMark/>
          </w:tcPr>
          <w:p w14:paraId="70C8F4DD" w14:textId="77777777" w:rsidR="00CE0C1C" w:rsidRPr="00CE0C1C" w:rsidRDefault="00CE0C1C" w:rsidP="00CB4303">
            <w:pPr>
              <w:pStyle w:val="ListParagraph"/>
              <w:numPr>
                <w:ilvl w:val="0"/>
                <w:numId w:val="25"/>
              </w:numPr>
              <w:suppressAutoHyphens w:val="0"/>
              <w:autoSpaceDN/>
              <w:spacing w:line="276" w:lineRule="auto"/>
              <w:ind w:left="317" w:hanging="317"/>
              <w:contextualSpacing/>
              <w:jc w:val="both"/>
              <w:textAlignment w:val="auto"/>
              <w:rPr>
                <w:rFonts w:ascii="Times New Roman" w:hAnsi="Times New Roman"/>
                <w:b w:val="0"/>
                <w:sz w:val="22"/>
                <w:szCs w:val="22"/>
              </w:rPr>
            </w:pPr>
            <w:r w:rsidRPr="00CE0C1C">
              <w:rPr>
                <w:rFonts w:ascii="Times New Roman" w:hAnsi="Times New Roman"/>
                <w:b w:val="0"/>
                <w:sz w:val="22"/>
                <w:szCs w:val="22"/>
              </w:rPr>
              <w:t>Administration</w:t>
            </w:r>
          </w:p>
        </w:tc>
        <w:tc>
          <w:tcPr>
            <w:tcW w:w="1701" w:type="dxa"/>
            <w:hideMark/>
          </w:tcPr>
          <w:p w14:paraId="6866B84C"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12</w:t>
            </w:r>
          </w:p>
        </w:tc>
        <w:tc>
          <w:tcPr>
            <w:tcW w:w="1276" w:type="dxa"/>
            <w:hideMark/>
          </w:tcPr>
          <w:p w14:paraId="47B918BF"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9</w:t>
            </w:r>
          </w:p>
        </w:tc>
        <w:tc>
          <w:tcPr>
            <w:tcW w:w="1417" w:type="dxa"/>
            <w:hideMark/>
          </w:tcPr>
          <w:p w14:paraId="22F728C3"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3</w:t>
            </w:r>
          </w:p>
        </w:tc>
        <w:tc>
          <w:tcPr>
            <w:tcW w:w="1559" w:type="dxa"/>
            <w:hideMark/>
          </w:tcPr>
          <w:p w14:paraId="7EE37E5A"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75%</w:t>
            </w:r>
          </w:p>
        </w:tc>
        <w:tc>
          <w:tcPr>
            <w:tcW w:w="1586" w:type="dxa"/>
            <w:hideMark/>
          </w:tcPr>
          <w:p w14:paraId="787347C4"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25%</w:t>
            </w:r>
          </w:p>
        </w:tc>
      </w:tr>
      <w:tr w:rsidR="00CE0C1C" w:rsidRPr="00CE0C1C" w14:paraId="0499E367" w14:textId="77777777" w:rsidTr="00CE0C1C">
        <w:trPr>
          <w:trHeight w:val="346"/>
        </w:trPr>
        <w:tc>
          <w:tcPr>
            <w:cnfStyle w:val="001000000000" w:firstRow="0" w:lastRow="0" w:firstColumn="1" w:lastColumn="0" w:oddVBand="0" w:evenVBand="0" w:oddHBand="0" w:evenHBand="0" w:firstRowFirstColumn="0" w:firstRowLastColumn="0" w:lastRowFirstColumn="0" w:lastRowLastColumn="0"/>
            <w:tcW w:w="2552" w:type="dxa"/>
            <w:hideMark/>
          </w:tcPr>
          <w:p w14:paraId="6832C46D" w14:textId="77777777" w:rsidR="00CE0C1C" w:rsidRPr="00CE0C1C" w:rsidRDefault="00CE0C1C" w:rsidP="00CB4303">
            <w:pPr>
              <w:pStyle w:val="ListParagraph"/>
              <w:numPr>
                <w:ilvl w:val="0"/>
                <w:numId w:val="25"/>
              </w:numPr>
              <w:suppressAutoHyphens w:val="0"/>
              <w:autoSpaceDN/>
              <w:spacing w:line="276" w:lineRule="auto"/>
              <w:ind w:left="317" w:hanging="317"/>
              <w:contextualSpacing/>
              <w:jc w:val="both"/>
              <w:textAlignment w:val="auto"/>
              <w:rPr>
                <w:rFonts w:ascii="Times New Roman" w:hAnsi="Times New Roman"/>
                <w:sz w:val="22"/>
                <w:szCs w:val="22"/>
              </w:rPr>
            </w:pPr>
            <w:r w:rsidRPr="00CE0C1C">
              <w:rPr>
                <w:rFonts w:ascii="Times New Roman" w:hAnsi="Times New Roman"/>
                <w:b w:val="0"/>
                <w:sz w:val="22"/>
                <w:szCs w:val="22"/>
              </w:rPr>
              <w:t>Civic Affairs</w:t>
            </w:r>
          </w:p>
        </w:tc>
        <w:tc>
          <w:tcPr>
            <w:tcW w:w="1701" w:type="dxa"/>
            <w:hideMark/>
          </w:tcPr>
          <w:p w14:paraId="7EA67737"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6</w:t>
            </w:r>
          </w:p>
        </w:tc>
        <w:tc>
          <w:tcPr>
            <w:tcW w:w="1276" w:type="dxa"/>
            <w:hideMark/>
          </w:tcPr>
          <w:p w14:paraId="53386F37"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5</w:t>
            </w:r>
          </w:p>
        </w:tc>
        <w:tc>
          <w:tcPr>
            <w:tcW w:w="1417" w:type="dxa"/>
            <w:hideMark/>
          </w:tcPr>
          <w:p w14:paraId="370F8319"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1</w:t>
            </w:r>
          </w:p>
        </w:tc>
        <w:tc>
          <w:tcPr>
            <w:tcW w:w="1559" w:type="dxa"/>
            <w:hideMark/>
          </w:tcPr>
          <w:p w14:paraId="6925220F"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83%</w:t>
            </w:r>
          </w:p>
        </w:tc>
        <w:tc>
          <w:tcPr>
            <w:tcW w:w="1586" w:type="dxa"/>
            <w:hideMark/>
          </w:tcPr>
          <w:p w14:paraId="50987A55"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17%</w:t>
            </w:r>
          </w:p>
        </w:tc>
      </w:tr>
      <w:tr w:rsidR="00CE0C1C" w:rsidRPr="00CE0C1C" w14:paraId="3C08171C" w14:textId="77777777" w:rsidTr="00CE0C1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552" w:type="dxa"/>
            <w:hideMark/>
          </w:tcPr>
          <w:p w14:paraId="1EB595B3" w14:textId="77777777" w:rsidR="00CE0C1C" w:rsidRPr="00CE0C1C" w:rsidRDefault="00CE0C1C" w:rsidP="00CB4303">
            <w:pPr>
              <w:pStyle w:val="ListParagraph"/>
              <w:numPr>
                <w:ilvl w:val="0"/>
                <w:numId w:val="25"/>
              </w:numPr>
              <w:suppressAutoHyphens w:val="0"/>
              <w:autoSpaceDN/>
              <w:spacing w:line="276" w:lineRule="auto"/>
              <w:ind w:left="317" w:hanging="317"/>
              <w:contextualSpacing/>
              <w:jc w:val="both"/>
              <w:textAlignment w:val="auto"/>
              <w:rPr>
                <w:rFonts w:ascii="Times New Roman" w:hAnsi="Times New Roman"/>
                <w:sz w:val="22"/>
                <w:szCs w:val="22"/>
              </w:rPr>
            </w:pPr>
            <w:r w:rsidRPr="00CE0C1C">
              <w:rPr>
                <w:rFonts w:ascii="Times New Roman" w:hAnsi="Times New Roman"/>
                <w:b w:val="0"/>
                <w:sz w:val="22"/>
                <w:szCs w:val="22"/>
              </w:rPr>
              <w:t>Immigration Affairs</w:t>
            </w:r>
          </w:p>
        </w:tc>
        <w:tc>
          <w:tcPr>
            <w:tcW w:w="1701" w:type="dxa"/>
            <w:hideMark/>
          </w:tcPr>
          <w:p w14:paraId="373CBF1B"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10</w:t>
            </w:r>
          </w:p>
        </w:tc>
        <w:tc>
          <w:tcPr>
            <w:tcW w:w="1276" w:type="dxa"/>
            <w:hideMark/>
          </w:tcPr>
          <w:p w14:paraId="307C48CC"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5</w:t>
            </w:r>
          </w:p>
        </w:tc>
        <w:tc>
          <w:tcPr>
            <w:tcW w:w="1417" w:type="dxa"/>
            <w:hideMark/>
          </w:tcPr>
          <w:p w14:paraId="2B0199B8"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5</w:t>
            </w:r>
          </w:p>
        </w:tc>
        <w:tc>
          <w:tcPr>
            <w:tcW w:w="1559" w:type="dxa"/>
            <w:hideMark/>
          </w:tcPr>
          <w:p w14:paraId="7772F8FD"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50%</w:t>
            </w:r>
          </w:p>
        </w:tc>
        <w:tc>
          <w:tcPr>
            <w:tcW w:w="1586" w:type="dxa"/>
            <w:hideMark/>
          </w:tcPr>
          <w:p w14:paraId="10C6F740" w14:textId="77777777" w:rsidR="00CE0C1C" w:rsidRPr="00CE0C1C" w:rsidRDefault="00CE0C1C" w:rsidP="00CE0C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E0C1C">
              <w:rPr>
                <w:rFonts w:ascii="Times New Roman" w:hAnsi="Times New Roman"/>
                <w:sz w:val="22"/>
                <w:szCs w:val="22"/>
              </w:rPr>
              <w:t>50%</w:t>
            </w:r>
          </w:p>
        </w:tc>
      </w:tr>
      <w:tr w:rsidR="00CE0C1C" w:rsidRPr="00CE0C1C" w14:paraId="6D91C1D2" w14:textId="77777777" w:rsidTr="00CE0C1C">
        <w:trPr>
          <w:trHeight w:val="447"/>
        </w:trPr>
        <w:tc>
          <w:tcPr>
            <w:cnfStyle w:val="001000000000" w:firstRow="0" w:lastRow="0" w:firstColumn="1" w:lastColumn="0" w:oddVBand="0" w:evenVBand="0" w:oddHBand="0" w:evenHBand="0" w:firstRowFirstColumn="0" w:firstRowLastColumn="0" w:lastRowFirstColumn="0" w:lastRowLastColumn="0"/>
            <w:tcW w:w="2552" w:type="dxa"/>
            <w:hideMark/>
          </w:tcPr>
          <w:p w14:paraId="1D6B643E" w14:textId="77777777" w:rsidR="00CE0C1C" w:rsidRPr="00CE0C1C" w:rsidRDefault="00CE0C1C" w:rsidP="00CE0C1C">
            <w:pPr>
              <w:spacing w:line="276" w:lineRule="auto"/>
              <w:jc w:val="both"/>
              <w:rPr>
                <w:rFonts w:ascii="Times New Roman" w:hAnsi="Times New Roman"/>
                <w:sz w:val="22"/>
                <w:szCs w:val="22"/>
              </w:rPr>
            </w:pPr>
            <w:r w:rsidRPr="00CE0C1C">
              <w:rPr>
                <w:rFonts w:ascii="Times New Roman" w:hAnsi="Times New Roman"/>
                <w:b w:val="0"/>
                <w:sz w:val="22"/>
                <w:szCs w:val="22"/>
              </w:rPr>
              <w:t>Total</w:t>
            </w:r>
          </w:p>
        </w:tc>
        <w:tc>
          <w:tcPr>
            <w:tcW w:w="1701" w:type="dxa"/>
            <w:hideMark/>
          </w:tcPr>
          <w:p w14:paraId="3BF1548C"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CE0C1C">
              <w:rPr>
                <w:rFonts w:ascii="Times New Roman" w:hAnsi="Times New Roman"/>
                <w:b/>
                <w:sz w:val="22"/>
                <w:szCs w:val="22"/>
              </w:rPr>
              <w:t>28</w:t>
            </w:r>
          </w:p>
        </w:tc>
        <w:tc>
          <w:tcPr>
            <w:tcW w:w="1276" w:type="dxa"/>
            <w:hideMark/>
          </w:tcPr>
          <w:p w14:paraId="34455747"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CE0C1C">
              <w:rPr>
                <w:rFonts w:ascii="Times New Roman" w:hAnsi="Times New Roman"/>
                <w:b/>
                <w:sz w:val="22"/>
                <w:szCs w:val="22"/>
              </w:rPr>
              <w:t>19</w:t>
            </w:r>
          </w:p>
        </w:tc>
        <w:tc>
          <w:tcPr>
            <w:tcW w:w="1417" w:type="dxa"/>
            <w:hideMark/>
          </w:tcPr>
          <w:p w14:paraId="6331FF28"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CE0C1C">
              <w:rPr>
                <w:rFonts w:ascii="Times New Roman" w:hAnsi="Times New Roman"/>
                <w:b/>
                <w:sz w:val="22"/>
                <w:szCs w:val="22"/>
              </w:rPr>
              <w:t>9</w:t>
            </w:r>
          </w:p>
        </w:tc>
        <w:tc>
          <w:tcPr>
            <w:tcW w:w="1559" w:type="dxa"/>
            <w:hideMark/>
          </w:tcPr>
          <w:p w14:paraId="10167C7F"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CE0C1C">
              <w:rPr>
                <w:rFonts w:ascii="Times New Roman" w:hAnsi="Times New Roman"/>
                <w:b/>
                <w:sz w:val="22"/>
                <w:szCs w:val="22"/>
              </w:rPr>
              <w:t>68%</w:t>
            </w:r>
          </w:p>
        </w:tc>
        <w:tc>
          <w:tcPr>
            <w:tcW w:w="1586" w:type="dxa"/>
            <w:hideMark/>
          </w:tcPr>
          <w:p w14:paraId="49B2DB3E" w14:textId="77777777" w:rsidR="00CE0C1C" w:rsidRPr="00CE0C1C" w:rsidRDefault="00CE0C1C" w:rsidP="00CE0C1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CE0C1C">
              <w:rPr>
                <w:rFonts w:ascii="Times New Roman" w:hAnsi="Times New Roman"/>
                <w:b/>
                <w:sz w:val="22"/>
                <w:szCs w:val="22"/>
              </w:rPr>
              <w:t>32%</w:t>
            </w:r>
          </w:p>
        </w:tc>
      </w:tr>
    </w:tbl>
    <w:p w14:paraId="351EDEDE" w14:textId="77777777" w:rsidR="00CE0C1C" w:rsidRPr="00CE0C1C" w:rsidRDefault="00CE0C1C" w:rsidP="00CE0C1C">
      <w:pPr>
        <w:jc w:val="both"/>
        <w:rPr>
          <w:rFonts w:ascii="Times New Roman" w:hAnsi="Times New Roman"/>
          <w:bCs/>
          <w:sz w:val="22"/>
          <w:szCs w:val="22"/>
        </w:rPr>
      </w:pPr>
    </w:p>
    <w:p w14:paraId="7C58BB6B" w14:textId="015CA774" w:rsidR="00CE0C1C" w:rsidRPr="00CE0C1C" w:rsidRDefault="00CE0C1C" w:rsidP="00CE0C1C">
      <w:pPr>
        <w:jc w:val="both"/>
        <w:rPr>
          <w:rFonts w:ascii="Times New Roman" w:hAnsi="Times New Roman"/>
          <w:bCs/>
          <w:sz w:val="22"/>
          <w:szCs w:val="22"/>
        </w:rPr>
      </w:pPr>
      <w:r w:rsidRPr="00CE0C1C">
        <w:rPr>
          <w:rFonts w:ascii="Times New Roman" w:hAnsi="Times New Roman"/>
          <w:bCs/>
          <w:sz w:val="22"/>
          <w:szCs w:val="22"/>
        </w:rPr>
        <w:t xml:space="preserve">Table 2 above provides an overview of the numbers of targets achieved and not achieved during the 2020/21 financial year. It should be noted that 2020/21 was when government programmes were severely disrupted due to </w:t>
      </w:r>
      <w:r>
        <w:rPr>
          <w:rFonts w:ascii="Times New Roman" w:hAnsi="Times New Roman"/>
          <w:bCs/>
          <w:sz w:val="22"/>
          <w:szCs w:val="22"/>
        </w:rPr>
        <w:t xml:space="preserve">the </w:t>
      </w:r>
      <w:r w:rsidRPr="00CE0C1C">
        <w:rPr>
          <w:rFonts w:ascii="Times New Roman" w:hAnsi="Times New Roman"/>
          <w:bCs/>
          <w:sz w:val="22"/>
          <w:szCs w:val="22"/>
        </w:rPr>
        <w:t>COVID-19</w:t>
      </w:r>
      <w:r>
        <w:rPr>
          <w:rFonts w:ascii="Times New Roman" w:hAnsi="Times New Roman"/>
          <w:bCs/>
          <w:sz w:val="22"/>
          <w:szCs w:val="22"/>
        </w:rPr>
        <w:t xml:space="preserve"> pandemic related restrictions</w:t>
      </w:r>
      <w:r w:rsidRPr="00CE0C1C">
        <w:rPr>
          <w:rFonts w:ascii="Times New Roman" w:hAnsi="Times New Roman"/>
          <w:bCs/>
          <w:sz w:val="22"/>
          <w:szCs w:val="22"/>
        </w:rPr>
        <w:t>.</w:t>
      </w:r>
    </w:p>
    <w:p w14:paraId="731AF0BA" w14:textId="77777777" w:rsidR="00CE0C1C" w:rsidRPr="00CE0C1C" w:rsidRDefault="00CE0C1C" w:rsidP="00CE0C1C">
      <w:pPr>
        <w:jc w:val="both"/>
        <w:rPr>
          <w:rFonts w:ascii="Times New Roman" w:hAnsi="Times New Roman"/>
          <w:bCs/>
          <w:sz w:val="22"/>
          <w:szCs w:val="22"/>
        </w:rPr>
      </w:pPr>
    </w:p>
    <w:p w14:paraId="6B920F52" w14:textId="2AFFC569" w:rsidR="00CE0C1C" w:rsidRPr="00CE0C1C" w:rsidRDefault="00CE0C1C" w:rsidP="00CE0C1C">
      <w:pPr>
        <w:jc w:val="both"/>
        <w:rPr>
          <w:rFonts w:ascii="Times New Roman" w:hAnsi="Times New Roman"/>
          <w:bCs/>
          <w:sz w:val="22"/>
          <w:szCs w:val="22"/>
        </w:rPr>
      </w:pPr>
      <w:r w:rsidRPr="00CE0C1C">
        <w:rPr>
          <w:rFonts w:ascii="Times New Roman" w:hAnsi="Times New Roman"/>
          <w:bCs/>
          <w:sz w:val="22"/>
          <w:szCs w:val="22"/>
        </w:rPr>
        <w:t>Overall, the Department fared better in achieving its targets in Programmes 2, compared to Programmes 1 and 3. In total, the Department has achieved 19 out of the 28 targets, with nine (9) targets not achieved. This translates to 68% target achievement and 32% not achieved. This performance shows a slight decrease in annual target achievement compared to 2020/21 and 2019/20 financial years, when it achieved 75% and 72% on its annual targets. In addition, the 2020/21 performance targets are comparably lower when compared to the 2017/18 and 2016/17 financial years when the DHA achieved a 86% and 84% overall annual target achievement, as illustrated in figure 1. See figure 1 on the next page for comparative graphical analysis.</w:t>
      </w:r>
    </w:p>
    <w:p w14:paraId="4C1CB05C" w14:textId="2D7F0795" w:rsidR="00CE0C1C" w:rsidRDefault="00CE0C1C" w:rsidP="00CE0C1C">
      <w:pPr>
        <w:spacing w:line="276" w:lineRule="auto"/>
        <w:jc w:val="both"/>
        <w:rPr>
          <w:rFonts w:ascii="Times New Roman" w:hAnsi="Times New Roman"/>
          <w:b/>
          <w:bCs/>
          <w:sz w:val="22"/>
          <w:szCs w:val="22"/>
        </w:rPr>
      </w:pPr>
    </w:p>
    <w:p w14:paraId="7D52B538" w14:textId="582CCC01" w:rsidR="00CE0C1C" w:rsidRDefault="00CE0C1C" w:rsidP="00CE0C1C">
      <w:pPr>
        <w:spacing w:line="276" w:lineRule="auto"/>
        <w:jc w:val="both"/>
        <w:rPr>
          <w:rFonts w:ascii="Times New Roman" w:hAnsi="Times New Roman"/>
          <w:b/>
          <w:bCs/>
          <w:sz w:val="22"/>
          <w:szCs w:val="22"/>
        </w:rPr>
      </w:pPr>
    </w:p>
    <w:p w14:paraId="499B150C" w14:textId="7AB981B1" w:rsidR="00CE0C1C" w:rsidRDefault="00CE0C1C" w:rsidP="00CE0C1C">
      <w:pPr>
        <w:spacing w:line="276" w:lineRule="auto"/>
        <w:jc w:val="both"/>
        <w:rPr>
          <w:rFonts w:ascii="Times New Roman" w:hAnsi="Times New Roman"/>
          <w:b/>
          <w:bCs/>
          <w:sz w:val="22"/>
          <w:szCs w:val="22"/>
        </w:rPr>
      </w:pPr>
    </w:p>
    <w:p w14:paraId="39B15963" w14:textId="7086BE29" w:rsidR="00CE0C1C" w:rsidRDefault="00CE0C1C" w:rsidP="00CE0C1C">
      <w:pPr>
        <w:spacing w:line="276" w:lineRule="auto"/>
        <w:jc w:val="both"/>
        <w:rPr>
          <w:rFonts w:ascii="Times New Roman" w:hAnsi="Times New Roman"/>
          <w:b/>
          <w:bCs/>
          <w:sz w:val="22"/>
          <w:szCs w:val="22"/>
        </w:rPr>
      </w:pPr>
    </w:p>
    <w:p w14:paraId="7C3A1AC2" w14:textId="3D72F664" w:rsidR="00CE0C1C" w:rsidRDefault="00CE0C1C" w:rsidP="00CE0C1C">
      <w:pPr>
        <w:spacing w:line="276" w:lineRule="auto"/>
        <w:jc w:val="both"/>
        <w:rPr>
          <w:rFonts w:ascii="Times New Roman" w:hAnsi="Times New Roman"/>
          <w:b/>
          <w:bCs/>
          <w:sz w:val="22"/>
          <w:szCs w:val="22"/>
        </w:rPr>
      </w:pPr>
    </w:p>
    <w:p w14:paraId="7E632E05" w14:textId="06DFBF26" w:rsidR="00CE0C1C" w:rsidRDefault="00CE0C1C" w:rsidP="00CE0C1C">
      <w:pPr>
        <w:spacing w:line="276" w:lineRule="auto"/>
        <w:jc w:val="both"/>
        <w:rPr>
          <w:rFonts w:ascii="Times New Roman" w:hAnsi="Times New Roman"/>
          <w:b/>
          <w:bCs/>
          <w:sz w:val="22"/>
          <w:szCs w:val="22"/>
        </w:rPr>
      </w:pPr>
    </w:p>
    <w:p w14:paraId="50B4BD7D" w14:textId="72A33143" w:rsidR="00CE0C1C" w:rsidRDefault="00CE0C1C" w:rsidP="00CE0C1C">
      <w:pPr>
        <w:spacing w:line="276" w:lineRule="auto"/>
        <w:jc w:val="both"/>
        <w:rPr>
          <w:rFonts w:ascii="Times New Roman" w:hAnsi="Times New Roman"/>
          <w:b/>
          <w:bCs/>
          <w:sz w:val="22"/>
          <w:szCs w:val="22"/>
        </w:rPr>
      </w:pPr>
    </w:p>
    <w:p w14:paraId="79A5C315" w14:textId="4801BB2A" w:rsidR="00CE0C1C" w:rsidRDefault="00CE0C1C" w:rsidP="00CE0C1C">
      <w:pPr>
        <w:spacing w:line="276" w:lineRule="auto"/>
        <w:jc w:val="both"/>
        <w:rPr>
          <w:rFonts w:ascii="Times New Roman" w:hAnsi="Times New Roman"/>
          <w:b/>
          <w:bCs/>
          <w:sz w:val="22"/>
          <w:szCs w:val="22"/>
        </w:rPr>
      </w:pPr>
    </w:p>
    <w:p w14:paraId="0576197F" w14:textId="47B7A4DC" w:rsidR="00CE0C1C" w:rsidRDefault="00CE0C1C" w:rsidP="00CE0C1C">
      <w:pPr>
        <w:spacing w:line="276" w:lineRule="auto"/>
        <w:jc w:val="both"/>
        <w:rPr>
          <w:rFonts w:ascii="Times New Roman" w:hAnsi="Times New Roman"/>
          <w:b/>
          <w:bCs/>
          <w:sz w:val="22"/>
          <w:szCs w:val="22"/>
        </w:rPr>
      </w:pPr>
    </w:p>
    <w:p w14:paraId="6B3C6B87" w14:textId="022E521D" w:rsidR="00CE0C1C" w:rsidRDefault="00CE0C1C" w:rsidP="00CE0C1C">
      <w:pPr>
        <w:spacing w:line="276" w:lineRule="auto"/>
        <w:jc w:val="both"/>
        <w:rPr>
          <w:rFonts w:ascii="Times New Roman" w:hAnsi="Times New Roman"/>
          <w:b/>
          <w:bCs/>
          <w:sz w:val="22"/>
          <w:szCs w:val="22"/>
        </w:rPr>
      </w:pPr>
    </w:p>
    <w:p w14:paraId="4610C1C8" w14:textId="77777777" w:rsidR="00CE0C1C" w:rsidRPr="00CE0C1C" w:rsidRDefault="00CE0C1C" w:rsidP="00CE0C1C">
      <w:pPr>
        <w:spacing w:line="276" w:lineRule="auto"/>
        <w:jc w:val="both"/>
        <w:rPr>
          <w:rFonts w:ascii="Times New Roman" w:hAnsi="Times New Roman"/>
          <w:b/>
          <w:bCs/>
          <w:sz w:val="22"/>
          <w:szCs w:val="22"/>
        </w:rPr>
      </w:pPr>
    </w:p>
    <w:p w14:paraId="03A68C85" w14:textId="20BC498B" w:rsidR="00CE0C1C" w:rsidRPr="00CE0C1C" w:rsidRDefault="00CE0C1C" w:rsidP="00CE0C1C">
      <w:pPr>
        <w:spacing w:line="276" w:lineRule="auto"/>
        <w:jc w:val="both"/>
        <w:rPr>
          <w:rFonts w:ascii="Times New Roman" w:hAnsi="Times New Roman"/>
          <w:b/>
          <w:bCs/>
          <w:sz w:val="22"/>
          <w:szCs w:val="22"/>
        </w:rPr>
      </w:pPr>
      <w:r w:rsidRPr="00CE0C1C">
        <w:rPr>
          <w:rFonts w:ascii="Times New Roman" w:hAnsi="Times New Roman"/>
          <w:b/>
          <w:bCs/>
          <w:sz w:val="22"/>
          <w:szCs w:val="22"/>
        </w:rPr>
        <w:lastRenderedPageBreak/>
        <w:t>Figure</w:t>
      </w:r>
      <w:r w:rsidR="00077989">
        <w:rPr>
          <w:rFonts w:ascii="Times New Roman" w:hAnsi="Times New Roman"/>
          <w:b/>
          <w:bCs/>
          <w:sz w:val="22"/>
          <w:szCs w:val="22"/>
        </w:rPr>
        <w:t xml:space="preserve"> </w:t>
      </w:r>
      <w:r w:rsidRPr="00CE0C1C">
        <w:rPr>
          <w:rFonts w:ascii="Times New Roman" w:hAnsi="Times New Roman"/>
          <w:b/>
          <w:bCs/>
          <w:sz w:val="22"/>
          <w:szCs w:val="22"/>
        </w:rPr>
        <w:t>1: Four years’ comparative target achievement (2016/17 to 2019/20)</w:t>
      </w:r>
    </w:p>
    <w:p w14:paraId="27698EA7" w14:textId="4A203C36" w:rsidR="00CE0C1C" w:rsidRPr="00CE0C1C" w:rsidRDefault="00CE0C1C" w:rsidP="00CE0C1C">
      <w:pPr>
        <w:spacing w:line="276" w:lineRule="auto"/>
        <w:jc w:val="both"/>
        <w:rPr>
          <w:rFonts w:ascii="Times New Roman" w:hAnsi="Times New Roman"/>
          <w:bCs/>
          <w:sz w:val="22"/>
          <w:szCs w:val="22"/>
        </w:rPr>
      </w:pPr>
      <w:r w:rsidRPr="00CE0C1C">
        <w:rPr>
          <w:rFonts w:ascii="Times New Roman" w:eastAsiaTheme="minorHAnsi" w:hAnsi="Times New Roman"/>
          <w:noProof/>
          <w:sz w:val="22"/>
          <w:szCs w:val="22"/>
          <w:lang w:val="en-US" w:eastAsia="en-US"/>
        </w:rPr>
        <w:drawing>
          <wp:inline distT="0" distB="0" distL="0" distR="0" wp14:anchorId="5AE63005" wp14:editId="1E0BEA17">
            <wp:extent cx="6130290" cy="3260090"/>
            <wp:effectExtent l="0" t="0" r="381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926953" w14:textId="77777777" w:rsidR="00CE0C1C" w:rsidRPr="00CE0C1C" w:rsidRDefault="00CE0C1C" w:rsidP="00CE0C1C">
      <w:pPr>
        <w:spacing w:line="276" w:lineRule="auto"/>
        <w:jc w:val="both"/>
        <w:rPr>
          <w:rFonts w:ascii="Times New Roman" w:hAnsi="Times New Roman"/>
          <w:bCs/>
          <w:sz w:val="22"/>
          <w:szCs w:val="22"/>
        </w:rPr>
      </w:pPr>
      <w:r w:rsidRPr="00CE0C1C">
        <w:rPr>
          <w:rFonts w:ascii="Times New Roman" w:hAnsi="Times New Roman"/>
          <w:bCs/>
          <w:sz w:val="22"/>
          <w:szCs w:val="22"/>
        </w:rPr>
        <w:t>Source: DHA (2022), adapted by Research Unit</w:t>
      </w:r>
    </w:p>
    <w:p w14:paraId="394DF874" w14:textId="7DE432D2" w:rsidR="00CE0C1C" w:rsidRPr="00CE0C1C" w:rsidRDefault="00CE0C1C" w:rsidP="00CE0C1C">
      <w:pPr>
        <w:spacing w:line="276" w:lineRule="auto"/>
        <w:jc w:val="both"/>
        <w:rPr>
          <w:rFonts w:ascii="Times New Roman" w:hAnsi="Times New Roman"/>
          <w:bCs/>
          <w:sz w:val="22"/>
          <w:szCs w:val="22"/>
        </w:rPr>
      </w:pPr>
    </w:p>
    <w:p w14:paraId="7F414BE2" w14:textId="2ECE57C0" w:rsidR="00CE0C1C" w:rsidRPr="00CE0C1C" w:rsidRDefault="00CE0C1C" w:rsidP="00CE0C1C">
      <w:pPr>
        <w:spacing w:line="276" w:lineRule="auto"/>
        <w:jc w:val="both"/>
        <w:rPr>
          <w:rFonts w:ascii="Times New Roman" w:hAnsi="Times New Roman"/>
          <w:sz w:val="22"/>
          <w:szCs w:val="22"/>
          <w:lang w:val="en-GB"/>
        </w:rPr>
      </w:pPr>
      <w:r w:rsidRPr="00CE0C1C">
        <w:rPr>
          <w:rFonts w:ascii="Times New Roman" w:hAnsi="Times New Roman"/>
          <w:noProof/>
          <w:sz w:val="22"/>
          <w:szCs w:val="22"/>
          <w:lang w:val="en-US" w:eastAsia="en-US"/>
        </w:rPr>
        <w:drawing>
          <wp:anchor distT="0" distB="0" distL="114300" distR="114300" simplePos="0" relativeHeight="251666944" behindDoc="1" locked="0" layoutInCell="1" allowOverlap="1" wp14:anchorId="5346B6F8" wp14:editId="7CA05AF5">
            <wp:simplePos x="0" y="0"/>
            <wp:positionH relativeFrom="column">
              <wp:posOffset>-10795</wp:posOffset>
            </wp:positionH>
            <wp:positionV relativeFrom="paragraph">
              <wp:posOffset>174625</wp:posOffset>
            </wp:positionV>
            <wp:extent cx="6132830" cy="2231390"/>
            <wp:effectExtent l="0" t="0" r="1270" b="1651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CE0C1C">
        <w:rPr>
          <w:rFonts w:ascii="Times New Roman" w:hAnsi="Times New Roman"/>
          <w:b/>
          <w:bCs/>
          <w:sz w:val="22"/>
          <w:szCs w:val="22"/>
        </w:rPr>
        <w:t>Figure 2: 2020/21 Financial Year Annual Target Achievement</w:t>
      </w:r>
    </w:p>
    <w:p w14:paraId="070923D4" w14:textId="77777777" w:rsidR="00CE0C1C" w:rsidRPr="00CE0C1C" w:rsidRDefault="00CE0C1C" w:rsidP="00CE0C1C">
      <w:pPr>
        <w:jc w:val="both"/>
        <w:rPr>
          <w:rFonts w:ascii="Times New Roman" w:hAnsi="Times New Roman"/>
          <w:bCs/>
          <w:sz w:val="22"/>
          <w:szCs w:val="22"/>
        </w:rPr>
      </w:pPr>
      <w:r w:rsidRPr="00CE0C1C">
        <w:rPr>
          <w:rFonts w:ascii="Times New Roman" w:hAnsi="Times New Roman"/>
          <w:bCs/>
          <w:sz w:val="22"/>
          <w:szCs w:val="22"/>
        </w:rPr>
        <w:t>Source: DHA Annual Report (2021), adapted by Research Unit</w:t>
      </w:r>
    </w:p>
    <w:p w14:paraId="04B01FE9" w14:textId="77777777" w:rsidR="00CE0C1C" w:rsidRPr="00CE0C1C" w:rsidRDefault="00CE0C1C" w:rsidP="00CE0C1C">
      <w:pPr>
        <w:jc w:val="both"/>
        <w:rPr>
          <w:rFonts w:ascii="Times New Roman" w:hAnsi="Times New Roman"/>
          <w:sz w:val="22"/>
          <w:szCs w:val="22"/>
          <w:lang w:val="en-GB"/>
        </w:rPr>
      </w:pPr>
    </w:p>
    <w:p w14:paraId="73C4E158" w14:textId="337ABCE0" w:rsidR="00CE0C1C" w:rsidRPr="00CE0C1C" w:rsidRDefault="00CE0C1C" w:rsidP="00CE0C1C">
      <w:pPr>
        <w:jc w:val="both"/>
        <w:rPr>
          <w:rFonts w:ascii="Times New Roman" w:hAnsi="Times New Roman"/>
          <w:sz w:val="22"/>
          <w:szCs w:val="22"/>
          <w:lang w:val="en-GB"/>
        </w:rPr>
      </w:pPr>
      <w:r w:rsidRPr="00CE0C1C">
        <w:rPr>
          <w:rFonts w:ascii="Times New Roman" w:hAnsi="Times New Roman"/>
          <w:sz w:val="22"/>
          <w:szCs w:val="22"/>
          <w:lang w:val="en-GB"/>
        </w:rPr>
        <w:t xml:space="preserve">For 2020/21, the </w:t>
      </w:r>
      <w:r w:rsidRPr="00CE0C1C">
        <w:rPr>
          <w:rFonts w:ascii="Times New Roman" w:hAnsi="Times New Roman"/>
          <w:b/>
          <w:sz w:val="22"/>
          <w:szCs w:val="22"/>
          <w:lang w:val="en-GB"/>
        </w:rPr>
        <w:t>Administration programme</w:t>
      </w:r>
      <w:r w:rsidRPr="00CE0C1C">
        <w:rPr>
          <w:rFonts w:ascii="Times New Roman" w:hAnsi="Times New Roman"/>
          <w:sz w:val="22"/>
          <w:szCs w:val="22"/>
          <w:lang w:val="en-GB"/>
        </w:rPr>
        <w:t xml:space="preserve"> had planned for 12 annual performance targets but only managed to achieve nine (9) and was unsuccessful on the other three (3) annual targets. This translates to 75% of targets achieved and 25% not achieved. This performance slightly improved compared to 2019/20 when it achieved 67% of targets and 33% not achieved. The Administration programme performed similarly in 2018/19, where it achieved 12 out of 18 annual performance targets (67%). However, compared to 2017/18, the Administration branch's performance has declined because it achieved 11 (85%) out of 13 annual performance targets.</w:t>
      </w:r>
    </w:p>
    <w:p w14:paraId="6305D38B" w14:textId="77777777" w:rsidR="00CE0C1C" w:rsidRPr="00CE0C1C" w:rsidRDefault="00CE0C1C" w:rsidP="00CE0C1C">
      <w:pPr>
        <w:jc w:val="both"/>
        <w:rPr>
          <w:rFonts w:ascii="Times New Roman" w:hAnsi="Times New Roman"/>
          <w:bCs/>
          <w:sz w:val="22"/>
          <w:szCs w:val="22"/>
        </w:rPr>
      </w:pPr>
    </w:p>
    <w:p w14:paraId="71916EF5" w14:textId="6788534C" w:rsidR="00CE0C1C" w:rsidRPr="00CE0C1C" w:rsidRDefault="00CE0C1C" w:rsidP="00CE0C1C">
      <w:pPr>
        <w:jc w:val="both"/>
        <w:rPr>
          <w:rFonts w:ascii="Times New Roman" w:hAnsi="Times New Roman"/>
          <w:sz w:val="22"/>
          <w:szCs w:val="22"/>
          <w:lang w:val="en-GB"/>
        </w:rPr>
      </w:pPr>
      <w:r w:rsidRPr="00CE0C1C">
        <w:rPr>
          <w:rFonts w:ascii="Times New Roman" w:hAnsi="Times New Roman"/>
          <w:sz w:val="22"/>
          <w:szCs w:val="22"/>
          <w:lang w:val="en-GB"/>
        </w:rPr>
        <w:t xml:space="preserve">In 2020/21, the </w:t>
      </w:r>
      <w:r w:rsidRPr="00CE0C1C">
        <w:rPr>
          <w:rFonts w:ascii="Times New Roman" w:hAnsi="Times New Roman"/>
          <w:b/>
          <w:sz w:val="22"/>
          <w:szCs w:val="22"/>
          <w:lang w:val="en-GB"/>
        </w:rPr>
        <w:t>Civic Affairs branch</w:t>
      </w:r>
      <w:r w:rsidRPr="00CE0C1C">
        <w:rPr>
          <w:rFonts w:ascii="Times New Roman" w:hAnsi="Times New Roman"/>
          <w:sz w:val="22"/>
          <w:szCs w:val="22"/>
          <w:lang w:val="en-GB"/>
        </w:rPr>
        <w:t xml:space="preserve"> achieved five (5) out of the planned six (6) of its annual targets, which translates to an 83% annual target performance achievement, thus making it the best performing branch. On the other hand, the Civic Affairs programme did not successfully achieve 17% of its annual targets. Compared to the previous financial year, the annual target has increased slightly by 3%.</w:t>
      </w:r>
      <w:r>
        <w:rPr>
          <w:rFonts w:ascii="Times New Roman" w:hAnsi="Times New Roman"/>
          <w:sz w:val="22"/>
          <w:szCs w:val="22"/>
          <w:lang w:val="en-GB"/>
        </w:rPr>
        <w:t xml:space="preserve"> </w:t>
      </w:r>
      <w:r w:rsidRPr="00CE0C1C">
        <w:rPr>
          <w:rFonts w:ascii="Times New Roman" w:hAnsi="Times New Roman"/>
          <w:sz w:val="22"/>
          <w:szCs w:val="22"/>
          <w:lang w:val="en-GB"/>
        </w:rPr>
        <w:t>Compared to 2018/19, the Civic Affairs branch performance has slightly declined as it had achieved 100% of its annual planned performance targets.</w:t>
      </w:r>
    </w:p>
    <w:p w14:paraId="735AA9AF" w14:textId="77777777" w:rsidR="00CE0C1C" w:rsidRPr="00CE0C1C" w:rsidRDefault="00CE0C1C" w:rsidP="00CE0C1C">
      <w:pPr>
        <w:jc w:val="both"/>
        <w:rPr>
          <w:rFonts w:ascii="Times New Roman" w:hAnsi="Times New Roman"/>
          <w:bCs/>
          <w:sz w:val="22"/>
          <w:szCs w:val="22"/>
        </w:rPr>
      </w:pPr>
    </w:p>
    <w:p w14:paraId="782C8200" w14:textId="22C1B5B8" w:rsidR="00CE0C1C" w:rsidRPr="00CE0C1C" w:rsidRDefault="00CE0C1C" w:rsidP="00CE0C1C">
      <w:pPr>
        <w:jc w:val="both"/>
        <w:rPr>
          <w:rFonts w:ascii="Times New Roman" w:hAnsi="Times New Roman"/>
          <w:sz w:val="22"/>
          <w:szCs w:val="22"/>
          <w:lang w:val="en-GB"/>
        </w:rPr>
      </w:pPr>
      <w:r w:rsidRPr="00CE0C1C">
        <w:rPr>
          <w:rFonts w:ascii="Times New Roman" w:hAnsi="Times New Roman"/>
          <w:sz w:val="22"/>
          <w:szCs w:val="22"/>
          <w:lang w:val="en-GB"/>
        </w:rPr>
        <w:t xml:space="preserve">In the same financial year (2020/21), the </w:t>
      </w:r>
      <w:r w:rsidRPr="00CE0C1C">
        <w:rPr>
          <w:rFonts w:ascii="Times New Roman" w:hAnsi="Times New Roman"/>
          <w:b/>
          <w:sz w:val="22"/>
          <w:szCs w:val="22"/>
          <w:lang w:val="en-GB"/>
        </w:rPr>
        <w:t>Immigration Affairs programme</w:t>
      </w:r>
      <w:r w:rsidRPr="00CE0C1C">
        <w:rPr>
          <w:rFonts w:ascii="Times New Roman" w:hAnsi="Times New Roman"/>
          <w:sz w:val="22"/>
          <w:szCs w:val="22"/>
          <w:lang w:val="en-GB"/>
        </w:rPr>
        <w:t xml:space="preserve"> was the least and most regressed branch in the Department. It had planned for ten (10) annual performance targets but only achieved five (50%). This is a significant decline because in the previous financial year (2019/20), it had planned six (6) annual </w:t>
      </w:r>
      <w:r w:rsidRPr="00CE0C1C">
        <w:rPr>
          <w:rFonts w:ascii="Times New Roman" w:hAnsi="Times New Roman"/>
          <w:sz w:val="22"/>
          <w:szCs w:val="22"/>
          <w:lang w:val="en-GB"/>
        </w:rPr>
        <w:lastRenderedPageBreak/>
        <w:t>performance targets, and it achieved all its targets. This performance translates to 100% target achievement. Compared to 2017/18 and 2018/19, the Immigration branch ach</w:t>
      </w:r>
      <w:r w:rsidR="00077989">
        <w:rPr>
          <w:rFonts w:ascii="Times New Roman" w:hAnsi="Times New Roman"/>
          <w:sz w:val="22"/>
          <w:szCs w:val="22"/>
          <w:lang w:val="en-GB"/>
        </w:rPr>
        <w:t>ieved 90% and 78%, respectively</w:t>
      </w:r>
      <w:r w:rsidRPr="00CE0C1C">
        <w:rPr>
          <w:rFonts w:ascii="Times New Roman" w:hAnsi="Times New Roman"/>
          <w:sz w:val="22"/>
          <w:szCs w:val="22"/>
          <w:lang w:val="en-GB"/>
        </w:rPr>
        <w:t>.</w:t>
      </w:r>
    </w:p>
    <w:p w14:paraId="5E843BB3" w14:textId="77777777" w:rsidR="00CE0C1C" w:rsidRPr="00CE0C1C" w:rsidRDefault="00CE0C1C" w:rsidP="00CE0C1C">
      <w:pPr>
        <w:jc w:val="both"/>
        <w:rPr>
          <w:rFonts w:ascii="Times New Roman" w:hAnsi="Times New Roman"/>
          <w:sz w:val="22"/>
          <w:szCs w:val="22"/>
          <w:lang w:val="en-GB"/>
        </w:rPr>
      </w:pPr>
    </w:p>
    <w:p w14:paraId="11F32C0E" w14:textId="77777777" w:rsidR="00CE0C1C" w:rsidRPr="00CE0C1C" w:rsidRDefault="00CE0C1C" w:rsidP="00CE0C1C">
      <w:pPr>
        <w:jc w:val="both"/>
        <w:rPr>
          <w:rFonts w:ascii="Times New Roman" w:hAnsi="Times New Roman"/>
          <w:sz w:val="22"/>
          <w:szCs w:val="22"/>
          <w:lang w:val="en-GB"/>
        </w:rPr>
      </w:pPr>
      <w:r w:rsidRPr="00CE0C1C">
        <w:rPr>
          <w:rFonts w:ascii="Times New Roman" w:hAnsi="Times New Roman"/>
          <w:sz w:val="22"/>
          <w:szCs w:val="22"/>
          <w:lang w:val="en-GB"/>
        </w:rPr>
        <w:t>Over the period between the five years from 2016/17 to 2020/21 financial year, the average annual target performance is 76.2%. During this period, the highest annual target performance was in 2016/17, when it achieved 86% of its annual performance targets, while the lost performance was 2020/21 financial year during the COVID-19 pandemic when it achieved 64% of its annual targets.</w:t>
      </w:r>
    </w:p>
    <w:p w14:paraId="460FE2BC" w14:textId="0C987C1C" w:rsidR="00CE0C1C" w:rsidRPr="00CE0C1C" w:rsidRDefault="00077989" w:rsidP="00CB4303">
      <w:pPr>
        <w:pStyle w:val="Heading1"/>
        <w:numPr>
          <w:ilvl w:val="2"/>
          <w:numId w:val="26"/>
        </w:numPr>
        <w:suppressAutoHyphens w:val="0"/>
        <w:autoSpaceDN/>
        <w:spacing w:line="276" w:lineRule="auto"/>
        <w:contextualSpacing/>
        <w:jc w:val="both"/>
        <w:textAlignment w:val="auto"/>
        <w:rPr>
          <w:rFonts w:cs="Times New Roman"/>
          <w:sz w:val="22"/>
          <w:szCs w:val="22"/>
        </w:rPr>
      </w:pPr>
      <w:bookmarkStart w:id="16" w:name="_Toc101771908"/>
      <w:r>
        <w:rPr>
          <w:rFonts w:cs="Times New Roman"/>
          <w:caps w:val="0"/>
          <w:sz w:val="22"/>
          <w:szCs w:val="22"/>
        </w:rPr>
        <w:t>Analysis of t</w:t>
      </w:r>
      <w:r w:rsidRPr="00CE0C1C">
        <w:rPr>
          <w:rFonts w:cs="Times New Roman"/>
          <w:caps w:val="0"/>
          <w:sz w:val="22"/>
          <w:szCs w:val="22"/>
        </w:rPr>
        <w:t>he 2022/23 A</w:t>
      </w:r>
      <w:r>
        <w:rPr>
          <w:rFonts w:cs="Times New Roman"/>
          <w:caps w:val="0"/>
          <w:sz w:val="22"/>
          <w:szCs w:val="22"/>
        </w:rPr>
        <w:t>PP</w:t>
      </w:r>
      <w:r w:rsidRPr="00CE0C1C">
        <w:rPr>
          <w:rFonts w:cs="Times New Roman"/>
          <w:caps w:val="0"/>
          <w:sz w:val="22"/>
          <w:szCs w:val="22"/>
        </w:rPr>
        <w:t xml:space="preserve"> Per Programme</w:t>
      </w:r>
      <w:bookmarkEnd w:id="16"/>
    </w:p>
    <w:p w14:paraId="6A7A18A4" w14:textId="77777777" w:rsidR="00CE0C1C" w:rsidRPr="00CE0C1C" w:rsidRDefault="00CE0C1C" w:rsidP="00CE0C1C">
      <w:pPr>
        <w:jc w:val="both"/>
        <w:rPr>
          <w:rFonts w:ascii="Times New Roman" w:hAnsi="Times New Roman"/>
          <w:sz w:val="22"/>
          <w:szCs w:val="22"/>
        </w:rPr>
      </w:pPr>
    </w:p>
    <w:p w14:paraId="69103D51" w14:textId="34766DFD" w:rsidR="00CE0C1C" w:rsidRPr="00CE0C1C" w:rsidRDefault="00CE0C1C" w:rsidP="00CE0C1C">
      <w:pPr>
        <w:shd w:val="clear" w:color="auto" w:fill="FFFFFF" w:themeFill="background1"/>
        <w:jc w:val="both"/>
        <w:rPr>
          <w:rFonts w:ascii="Times New Roman" w:hAnsi="Times New Roman"/>
          <w:sz w:val="22"/>
          <w:szCs w:val="22"/>
        </w:rPr>
      </w:pPr>
      <w:r w:rsidRPr="00CE0C1C">
        <w:rPr>
          <w:rFonts w:ascii="Times New Roman" w:hAnsi="Times New Roman"/>
          <w:sz w:val="22"/>
          <w:szCs w:val="22"/>
        </w:rPr>
        <w:t>The DHA has set out several strategic priorities in the Strategic Plan for 2019/20-2024/25 and a set of planned annual targets in the APP for 2022/2023. This section analyses the Department’s 2022/23 APP per Programme and the budget allocated to achieve the annual targets. In addition, the Department undertook an exercise to ensure that the targets are specific, measurable, achievable, relevant and time-bound (SMART). Below are the performance targets per programme for the 2022/2023 financial year:</w:t>
      </w:r>
    </w:p>
    <w:p w14:paraId="2F0D424A" w14:textId="77777777" w:rsidR="00CE0C1C" w:rsidRDefault="00CE0C1C" w:rsidP="00CE0C1C"/>
    <w:p w14:paraId="10DC14C9" w14:textId="65A4EF15" w:rsidR="003A1FAE" w:rsidRPr="0035165B" w:rsidRDefault="003A1FAE" w:rsidP="003A1FAE">
      <w:pPr>
        <w:spacing w:line="276" w:lineRule="auto"/>
        <w:ind w:right="142"/>
        <w:jc w:val="both"/>
        <w:rPr>
          <w:rFonts w:ascii="Times New Roman" w:hAnsi="Times New Roman"/>
          <w:color w:val="auto"/>
          <w:sz w:val="22"/>
          <w:szCs w:val="22"/>
        </w:rPr>
      </w:pPr>
      <w:r w:rsidRPr="0035165B">
        <w:rPr>
          <w:rFonts w:ascii="Times New Roman" w:hAnsi="Times New Roman"/>
          <w:color w:val="auto"/>
          <w:sz w:val="22"/>
          <w:szCs w:val="22"/>
        </w:rPr>
        <w:t>The DHA has set out several strategic priorities in the Strategic Plan for 2019/20-2024/25 and a set of planned annual targets in the APP for 2022/2023. This section analyses the Department’s 2022/23 APP per Programme and the budget allocated to achieve the annual targets. In addition, the Department undertook an exercise to ensure that the targets are specific, measurable, achievable, relevant and time-bound (SMART). Below are the performance targets per programme for the 2022/2023 financial year:</w:t>
      </w:r>
    </w:p>
    <w:p w14:paraId="7A7E5DB4" w14:textId="77777777" w:rsidR="003A1FAE" w:rsidRPr="0035165B" w:rsidRDefault="003A1FAE" w:rsidP="003A1FAE">
      <w:pPr>
        <w:spacing w:line="276" w:lineRule="auto"/>
        <w:ind w:right="142"/>
        <w:jc w:val="both"/>
        <w:rPr>
          <w:rFonts w:ascii="Times New Roman" w:hAnsi="Times New Roman"/>
          <w:color w:val="auto"/>
          <w:sz w:val="22"/>
          <w:szCs w:val="22"/>
        </w:rPr>
      </w:pPr>
    </w:p>
    <w:p w14:paraId="66162EC5" w14:textId="583814AF" w:rsidR="003A1FAE" w:rsidRPr="0035165B" w:rsidRDefault="003A1FAE" w:rsidP="003A1FAE">
      <w:pPr>
        <w:spacing w:line="276" w:lineRule="auto"/>
        <w:ind w:right="142"/>
        <w:jc w:val="both"/>
        <w:rPr>
          <w:rFonts w:ascii="Times New Roman" w:hAnsi="Times New Roman"/>
          <w:b/>
          <w:color w:val="auto"/>
          <w:sz w:val="22"/>
          <w:szCs w:val="22"/>
        </w:rPr>
      </w:pPr>
      <w:r w:rsidRPr="0035165B">
        <w:rPr>
          <w:rFonts w:ascii="Times New Roman" w:hAnsi="Times New Roman"/>
          <w:b/>
          <w:color w:val="auto"/>
          <w:sz w:val="22"/>
          <w:szCs w:val="22"/>
        </w:rPr>
        <w:t>Programme 1: Administration</w:t>
      </w:r>
    </w:p>
    <w:p w14:paraId="43CCECE5" w14:textId="592B86B9" w:rsidR="003A1FAE" w:rsidRPr="0035165B" w:rsidRDefault="003A1FAE" w:rsidP="003A1FAE">
      <w:pPr>
        <w:spacing w:line="276" w:lineRule="auto"/>
        <w:ind w:right="142"/>
        <w:jc w:val="both"/>
        <w:rPr>
          <w:rFonts w:ascii="Times New Roman" w:hAnsi="Times New Roman"/>
          <w:color w:val="auto"/>
          <w:sz w:val="22"/>
          <w:szCs w:val="22"/>
        </w:rPr>
      </w:pPr>
      <w:r w:rsidRPr="0035165B">
        <w:rPr>
          <w:rFonts w:ascii="Times New Roman" w:hAnsi="Times New Roman"/>
          <w:color w:val="auto"/>
          <w:sz w:val="22"/>
          <w:szCs w:val="22"/>
        </w:rPr>
        <w:t>The Administration programme covers all functions of the DHA that support its core business, such as policy, governance, finance, human resources (HR) management and security. It is also responsible for the provision of Information Communication Technology (ICT) infrastructure, accommodation, transport and the keeping of records. Specific: the nature and the required level of performance can be clearly identified; Measurable: the required performance can be measured; Achievable: the target is realistic given existing capacity; Relevant: the required performance is linked to the achievement of a goal; Time-bound: the time period or deadline for delivery is specified.</w:t>
      </w:r>
    </w:p>
    <w:p w14:paraId="75DC3CEC" w14:textId="455244CA" w:rsidR="003A1FAE" w:rsidRPr="0035165B" w:rsidRDefault="003A1FAE" w:rsidP="003A1FAE">
      <w:pPr>
        <w:spacing w:line="276" w:lineRule="auto"/>
        <w:ind w:right="142"/>
        <w:jc w:val="both"/>
        <w:rPr>
          <w:rFonts w:ascii="Times New Roman" w:hAnsi="Times New Roman"/>
          <w:color w:val="auto"/>
          <w:sz w:val="22"/>
          <w:szCs w:val="22"/>
        </w:rPr>
      </w:pPr>
    </w:p>
    <w:p w14:paraId="576573DC"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 xml:space="preserve">Table 4 below provides the analysis of selected Programme 1 performance indicators and targets for the 2022/23 financial year. It should be noted that for 2022/23, Programme 1 has 18 annual targets, but only eight annual targets and performance indicators were selected for analysis. </w:t>
      </w:r>
    </w:p>
    <w:p w14:paraId="6A1A9529" w14:textId="77777777" w:rsidR="00077989" w:rsidRPr="00077989" w:rsidRDefault="00077989" w:rsidP="00077989">
      <w:pPr>
        <w:spacing w:line="276" w:lineRule="auto"/>
        <w:ind w:right="142"/>
        <w:jc w:val="both"/>
        <w:rPr>
          <w:rFonts w:ascii="Times New Roman" w:hAnsi="Times New Roman"/>
          <w:color w:val="auto"/>
          <w:sz w:val="22"/>
          <w:szCs w:val="22"/>
        </w:rPr>
      </w:pPr>
    </w:p>
    <w:p w14:paraId="18D948B9"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b/>
          <w:color w:val="auto"/>
          <w:sz w:val="22"/>
          <w:szCs w:val="22"/>
        </w:rPr>
        <w:t>Table 4: Programme 1 performance indicators and annual targets</w:t>
      </w:r>
      <w:r w:rsidRPr="00077989">
        <w:rPr>
          <w:rFonts w:ascii="Times New Roman" w:hAnsi="Times New Roman"/>
          <w:color w:val="auto"/>
          <w:sz w:val="22"/>
          <w:szCs w:val="22"/>
        </w:rPr>
        <w:t xml:space="preserve">. </w:t>
      </w:r>
    </w:p>
    <w:tbl>
      <w:tblPr>
        <w:tblStyle w:val="TableGrid"/>
        <w:tblW w:w="9776" w:type="dxa"/>
        <w:tblLook w:val="04A0" w:firstRow="1" w:lastRow="0" w:firstColumn="1" w:lastColumn="0" w:noHBand="0" w:noVBand="1"/>
      </w:tblPr>
      <w:tblGrid>
        <w:gridCol w:w="2122"/>
        <w:gridCol w:w="2551"/>
        <w:gridCol w:w="2835"/>
        <w:gridCol w:w="2268"/>
      </w:tblGrid>
      <w:tr w:rsidR="00077989" w:rsidRPr="00077989" w14:paraId="1E7485AE" w14:textId="77777777" w:rsidTr="00077989">
        <w:tc>
          <w:tcPr>
            <w:tcW w:w="977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C79A3A"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 xml:space="preserve">Strategic Outcome: </w:t>
            </w:r>
            <w:r w:rsidRPr="00077989">
              <w:rPr>
                <w:rFonts w:ascii="Times New Roman" w:hAnsi="Times New Roman"/>
                <w:b/>
                <w:color w:val="auto"/>
                <w:sz w:val="22"/>
                <w:szCs w:val="22"/>
              </w:rPr>
              <w:tab/>
              <w:t>Secure management of international migration resulting in South Africa’s interests being served and fulfilling international commitments</w:t>
            </w:r>
          </w:p>
        </w:tc>
      </w:tr>
      <w:tr w:rsidR="00077989" w:rsidRPr="00077989" w14:paraId="1D961C8D" w14:textId="77777777" w:rsidTr="00077989">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39192F"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w:t>
            </w:r>
          </w:p>
        </w:tc>
        <w:tc>
          <w:tcPr>
            <w:tcW w:w="2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880A05"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 Indicator</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F55C06"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Estimated Performance 2021/22</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D835D5"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Annual Target 2022/23</w:t>
            </w:r>
          </w:p>
        </w:tc>
      </w:tr>
      <w:tr w:rsidR="00077989" w:rsidRPr="00077989" w14:paraId="26F078B6" w14:textId="77777777" w:rsidTr="00077989">
        <w:tc>
          <w:tcPr>
            <w:tcW w:w="2122" w:type="dxa"/>
            <w:tcBorders>
              <w:top w:val="single" w:sz="4" w:space="0" w:color="auto"/>
              <w:left w:val="single" w:sz="4" w:space="0" w:color="auto"/>
              <w:bottom w:val="single" w:sz="4" w:space="0" w:color="auto"/>
              <w:right w:val="single" w:sz="4" w:space="0" w:color="auto"/>
            </w:tcBorders>
            <w:hideMark/>
          </w:tcPr>
          <w:p w14:paraId="22D1FD7B"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Biometric functionality implemented at ports of entry equipped with Enhanced Movement Control System (EMCS).</w:t>
            </w:r>
          </w:p>
        </w:tc>
        <w:tc>
          <w:tcPr>
            <w:tcW w:w="2551" w:type="dxa"/>
            <w:tcBorders>
              <w:top w:val="single" w:sz="4" w:space="0" w:color="auto"/>
              <w:left w:val="single" w:sz="4" w:space="0" w:color="auto"/>
              <w:bottom w:val="single" w:sz="4" w:space="0" w:color="auto"/>
              <w:right w:val="single" w:sz="4" w:space="0" w:color="auto"/>
            </w:tcBorders>
            <w:hideMark/>
          </w:tcPr>
          <w:p w14:paraId="6CF60A42"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Number of selected ports of entry with biometric movements (BMCS) implemented as per approved specification.</w:t>
            </w:r>
          </w:p>
        </w:tc>
        <w:tc>
          <w:tcPr>
            <w:tcW w:w="2835" w:type="dxa"/>
            <w:tcBorders>
              <w:top w:val="single" w:sz="4" w:space="0" w:color="auto"/>
              <w:left w:val="single" w:sz="4" w:space="0" w:color="auto"/>
              <w:bottom w:val="single" w:sz="4" w:space="0" w:color="auto"/>
              <w:right w:val="single" w:sz="4" w:space="0" w:color="auto"/>
            </w:tcBorders>
            <w:hideMark/>
          </w:tcPr>
          <w:p w14:paraId="35F4771F"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System enhanced and operationalised at limited counters at 4 airports (OR Tambo, Cape Town, King Shaka and Lanseria International Airports).</w:t>
            </w:r>
          </w:p>
        </w:tc>
        <w:tc>
          <w:tcPr>
            <w:tcW w:w="2268" w:type="dxa"/>
            <w:tcBorders>
              <w:top w:val="single" w:sz="4" w:space="0" w:color="auto"/>
              <w:left w:val="single" w:sz="4" w:space="0" w:color="auto"/>
              <w:bottom w:val="single" w:sz="4" w:space="0" w:color="auto"/>
              <w:right w:val="single" w:sz="4" w:space="0" w:color="auto"/>
            </w:tcBorders>
            <w:hideMark/>
          </w:tcPr>
          <w:p w14:paraId="7E8A9E86"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34</w:t>
            </w:r>
          </w:p>
        </w:tc>
      </w:tr>
      <w:tr w:rsidR="00077989" w:rsidRPr="00077989" w14:paraId="22109E77" w14:textId="77777777" w:rsidTr="00077989">
        <w:tc>
          <w:tcPr>
            <w:tcW w:w="2122" w:type="dxa"/>
            <w:tcBorders>
              <w:top w:val="single" w:sz="4" w:space="0" w:color="auto"/>
              <w:left w:val="single" w:sz="4" w:space="0" w:color="auto"/>
              <w:bottom w:val="single" w:sz="4" w:space="0" w:color="auto"/>
              <w:right w:val="single" w:sz="4" w:space="0" w:color="auto"/>
            </w:tcBorders>
            <w:hideMark/>
          </w:tcPr>
          <w:p w14:paraId="7253A5AC"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Enhanced e-Visa System.</w:t>
            </w:r>
          </w:p>
        </w:tc>
        <w:tc>
          <w:tcPr>
            <w:tcW w:w="2551" w:type="dxa"/>
            <w:tcBorders>
              <w:top w:val="single" w:sz="4" w:space="0" w:color="auto"/>
              <w:left w:val="single" w:sz="4" w:space="0" w:color="auto"/>
              <w:bottom w:val="single" w:sz="4" w:space="0" w:color="auto"/>
              <w:right w:val="single" w:sz="4" w:space="0" w:color="auto"/>
            </w:tcBorders>
            <w:hideMark/>
          </w:tcPr>
          <w:p w14:paraId="0E07A33C"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Enhancement of e-Visa system as per approved change request.</w:t>
            </w:r>
          </w:p>
        </w:tc>
        <w:tc>
          <w:tcPr>
            <w:tcW w:w="2835" w:type="dxa"/>
            <w:tcBorders>
              <w:top w:val="single" w:sz="4" w:space="0" w:color="auto"/>
              <w:left w:val="single" w:sz="4" w:space="0" w:color="auto"/>
              <w:bottom w:val="single" w:sz="4" w:space="0" w:color="auto"/>
              <w:right w:val="single" w:sz="4" w:space="0" w:color="auto"/>
            </w:tcBorders>
            <w:hideMark/>
          </w:tcPr>
          <w:p w14:paraId="560DF010"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New Indicator</w:t>
            </w:r>
          </w:p>
        </w:tc>
        <w:tc>
          <w:tcPr>
            <w:tcW w:w="2268" w:type="dxa"/>
            <w:tcBorders>
              <w:top w:val="single" w:sz="4" w:space="0" w:color="auto"/>
              <w:left w:val="single" w:sz="4" w:space="0" w:color="auto"/>
              <w:bottom w:val="single" w:sz="4" w:space="0" w:color="auto"/>
              <w:right w:val="single" w:sz="4" w:space="0" w:color="auto"/>
            </w:tcBorders>
            <w:hideMark/>
          </w:tcPr>
          <w:p w14:paraId="6FBF89A6"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Enhanced e-Visa system released in production.</w:t>
            </w:r>
          </w:p>
        </w:tc>
      </w:tr>
    </w:tbl>
    <w:p w14:paraId="729C0A21"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Source: DHA APP (2022)</w:t>
      </w:r>
    </w:p>
    <w:p w14:paraId="673D7817" w14:textId="77777777" w:rsidR="00077989" w:rsidRPr="00077989" w:rsidRDefault="00077989" w:rsidP="00077989">
      <w:pPr>
        <w:spacing w:line="276" w:lineRule="auto"/>
        <w:ind w:right="142"/>
        <w:jc w:val="both"/>
        <w:rPr>
          <w:rFonts w:ascii="Times New Roman" w:hAnsi="Times New Roman"/>
          <w:b/>
          <w:color w:val="auto"/>
          <w:sz w:val="22"/>
          <w:szCs w:val="22"/>
        </w:rPr>
      </w:pPr>
    </w:p>
    <w:p w14:paraId="3C34FDF8" w14:textId="297C52D0"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lastRenderedPageBreak/>
        <w:t>The Department has planned to roll-out the Biometric Movement Control System (BMCS) in 34 (from 24 in the previous financial year) ports of entry by the end 2022/23 financial year. The BMCS is a new system that will replace the Enhanced Movement Control System (EMCS) used to track the movement of citizens and foreign travellers entering and departing South Africa at all ports of entry. The new system will interface with the e-Visa system to confirm visa compliance. In addition, it will further identify undesirable travellers and confirm citizens against the Automated Biometric Identification System (ABIS).</w:t>
      </w:r>
    </w:p>
    <w:p w14:paraId="57FFF759" w14:textId="77777777" w:rsidR="00077989" w:rsidRPr="00077989" w:rsidRDefault="00077989" w:rsidP="00077989">
      <w:pPr>
        <w:spacing w:line="276" w:lineRule="auto"/>
        <w:ind w:right="142"/>
        <w:jc w:val="both"/>
        <w:rPr>
          <w:rFonts w:ascii="Times New Roman" w:hAnsi="Times New Roman"/>
          <w:color w:val="auto"/>
          <w:sz w:val="22"/>
          <w:szCs w:val="22"/>
        </w:rPr>
      </w:pPr>
    </w:p>
    <w:p w14:paraId="11C0EC86" w14:textId="54BB1D87" w:rsid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The DHA started rolling out the e-Visa regime in 2019/20 financial year, starting with Kenya, then the Peoples Republic of China, Nigeria and India. By the end of March 2022, the e-Visa had been rolled out to 14 countries. The e-Visa initiative contributes to the world-class visa regime supporting economic growth and job creation. It also enhances economic recovery, increases tourism activities, and promotes investments and business growth.</w:t>
      </w:r>
    </w:p>
    <w:p w14:paraId="61F7BB7E" w14:textId="40902B44" w:rsidR="00077989" w:rsidRPr="00077989" w:rsidRDefault="00077989" w:rsidP="00077989">
      <w:pPr>
        <w:spacing w:line="276" w:lineRule="auto"/>
        <w:ind w:right="142"/>
        <w:jc w:val="both"/>
        <w:rPr>
          <w:rFonts w:ascii="Times New Roman" w:hAnsi="Times New Roman"/>
          <w:color w:val="auto"/>
          <w:sz w:val="22"/>
          <w:szCs w:val="22"/>
        </w:rPr>
      </w:pPr>
    </w:p>
    <w:p w14:paraId="77E0CD60"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b/>
          <w:color w:val="auto"/>
          <w:sz w:val="22"/>
          <w:szCs w:val="22"/>
        </w:rPr>
        <w:t>Table 5: Programme 1 performance indicators and annual targets</w:t>
      </w:r>
      <w:r w:rsidRPr="00077989">
        <w:rPr>
          <w:rFonts w:ascii="Times New Roman" w:hAnsi="Times New Roman"/>
          <w:color w:val="auto"/>
          <w:sz w:val="22"/>
          <w:szCs w:val="22"/>
        </w:rPr>
        <w:t xml:space="preserve">. </w:t>
      </w:r>
    </w:p>
    <w:tbl>
      <w:tblPr>
        <w:tblStyle w:val="TableGrid"/>
        <w:tblW w:w="9918" w:type="dxa"/>
        <w:tblLook w:val="04A0" w:firstRow="1" w:lastRow="0" w:firstColumn="1" w:lastColumn="0" w:noHBand="0" w:noVBand="1"/>
      </w:tblPr>
      <w:tblGrid>
        <w:gridCol w:w="2122"/>
        <w:gridCol w:w="2551"/>
        <w:gridCol w:w="2835"/>
        <w:gridCol w:w="2410"/>
      </w:tblGrid>
      <w:tr w:rsidR="00077989" w:rsidRPr="00077989" w14:paraId="0EF35890" w14:textId="77777777" w:rsidTr="00077989">
        <w:tc>
          <w:tcPr>
            <w:tcW w:w="991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33DEB4"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Strategic Outcome: Efficient asylum seeker identity and refugee system in compliance with domestic and international obligations</w:t>
            </w:r>
          </w:p>
        </w:tc>
      </w:tr>
      <w:tr w:rsidR="00077989" w:rsidRPr="00077989" w14:paraId="14BA916C" w14:textId="77777777" w:rsidTr="00077989">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99567E"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w:t>
            </w:r>
          </w:p>
        </w:tc>
        <w:tc>
          <w:tcPr>
            <w:tcW w:w="2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97F2DF"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 Indicator</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4D1958"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Estimated Performance 2021/22</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D237FC"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Annual Target 2022/23</w:t>
            </w:r>
          </w:p>
        </w:tc>
      </w:tr>
      <w:tr w:rsidR="00077989" w:rsidRPr="00077989" w14:paraId="1507F571" w14:textId="77777777" w:rsidTr="00077989">
        <w:trPr>
          <w:trHeight w:val="833"/>
        </w:trPr>
        <w:tc>
          <w:tcPr>
            <w:tcW w:w="2122" w:type="dxa"/>
            <w:vMerge w:val="restart"/>
            <w:tcBorders>
              <w:top w:val="single" w:sz="4" w:space="0" w:color="auto"/>
              <w:left w:val="single" w:sz="4" w:space="0" w:color="auto"/>
              <w:bottom w:val="single" w:sz="4" w:space="0" w:color="auto"/>
              <w:right w:val="single" w:sz="4" w:space="0" w:color="auto"/>
            </w:tcBorders>
            <w:hideMark/>
          </w:tcPr>
          <w:p w14:paraId="54698BAA"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Components of the National Identity System (NIS) implemented and maintained (Asylum Seeker and Refugee System and ABIS).</w:t>
            </w:r>
          </w:p>
        </w:tc>
        <w:tc>
          <w:tcPr>
            <w:tcW w:w="2551" w:type="dxa"/>
            <w:tcBorders>
              <w:top w:val="single" w:sz="4" w:space="0" w:color="auto"/>
              <w:left w:val="single" w:sz="4" w:space="0" w:color="auto"/>
              <w:bottom w:val="single" w:sz="4" w:space="0" w:color="auto"/>
              <w:right w:val="single" w:sz="4" w:space="0" w:color="auto"/>
            </w:tcBorders>
            <w:hideMark/>
          </w:tcPr>
          <w:p w14:paraId="701FD1C5"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Implementation of Asylum Seeker and Refugee System by 2023/24</w:t>
            </w:r>
          </w:p>
        </w:tc>
        <w:tc>
          <w:tcPr>
            <w:tcW w:w="2835" w:type="dxa"/>
            <w:tcBorders>
              <w:top w:val="single" w:sz="4" w:space="0" w:color="auto"/>
              <w:left w:val="single" w:sz="4" w:space="0" w:color="auto"/>
              <w:bottom w:val="single" w:sz="4" w:space="0" w:color="auto"/>
              <w:right w:val="single" w:sz="4" w:space="0" w:color="auto"/>
            </w:tcBorders>
            <w:hideMark/>
          </w:tcPr>
          <w:p w14:paraId="0FBF6AAE"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Asylum Seeker and Refugee system user requirement specifications approved.</w:t>
            </w:r>
          </w:p>
          <w:p w14:paraId="3D6C4F48"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Asylum Seeker and Refugee system developed into life.</w:t>
            </w:r>
          </w:p>
        </w:tc>
        <w:tc>
          <w:tcPr>
            <w:tcW w:w="2410" w:type="dxa"/>
            <w:tcBorders>
              <w:top w:val="single" w:sz="4" w:space="0" w:color="auto"/>
              <w:left w:val="single" w:sz="4" w:space="0" w:color="auto"/>
              <w:bottom w:val="single" w:sz="4" w:space="0" w:color="auto"/>
              <w:right w:val="single" w:sz="4" w:space="0" w:color="auto"/>
            </w:tcBorders>
            <w:hideMark/>
          </w:tcPr>
          <w:p w14:paraId="7F2A4E3A"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Asylum Seeker and Refugee system developed onto live capture.</w:t>
            </w:r>
          </w:p>
        </w:tc>
      </w:tr>
      <w:tr w:rsidR="00077989" w:rsidRPr="00077989" w14:paraId="195C3C7A" w14:textId="77777777" w:rsidTr="00077989">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FB8F4" w14:textId="77777777" w:rsidR="00077989" w:rsidRPr="00077989" w:rsidRDefault="00077989" w:rsidP="00077989">
            <w:pPr>
              <w:spacing w:line="276" w:lineRule="auto"/>
              <w:ind w:right="142"/>
              <w:jc w:val="both"/>
              <w:rPr>
                <w:rFonts w:ascii="Times New Roman" w:hAnsi="Times New Roman"/>
                <w:color w:val="auto"/>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0C475EBB"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ABIS in operation by 2022/23 Functional Iris, infant footprint and palmprint back-end recognition capability</w:t>
            </w:r>
          </w:p>
        </w:tc>
        <w:tc>
          <w:tcPr>
            <w:tcW w:w="2835" w:type="dxa"/>
            <w:tcBorders>
              <w:top w:val="single" w:sz="4" w:space="0" w:color="auto"/>
              <w:left w:val="single" w:sz="4" w:space="0" w:color="auto"/>
              <w:bottom w:val="single" w:sz="4" w:space="0" w:color="auto"/>
              <w:right w:val="single" w:sz="4" w:space="0" w:color="auto"/>
            </w:tcBorders>
            <w:hideMark/>
          </w:tcPr>
          <w:p w14:paraId="2909E99A"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ABIS phase 1 operational (facial and</w:t>
            </w:r>
          </w:p>
          <w:p w14:paraId="7C537F3A"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Fingerprint capability).</w:t>
            </w:r>
          </w:p>
        </w:tc>
        <w:tc>
          <w:tcPr>
            <w:tcW w:w="2410" w:type="dxa"/>
            <w:tcBorders>
              <w:top w:val="single" w:sz="4" w:space="0" w:color="auto"/>
              <w:left w:val="single" w:sz="4" w:space="0" w:color="auto"/>
              <w:bottom w:val="single" w:sz="4" w:space="0" w:color="auto"/>
              <w:right w:val="single" w:sz="4" w:space="0" w:color="auto"/>
            </w:tcBorders>
            <w:hideMark/>
          </w:tcPr>
          <w:p w14:paraId="2A44BC72"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ABIS Phase 2 operational: Iris, infant footprint and palm print back-end recognition capability functional (identification,</w:t>
            </w:r>
          </w:p>
          <w:p w14:paraId="29FE3C4E"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Verification and latent search.</w:t>
            </w:r>
          </w:p>
        </w:tc>
      </w:tr>
    </w:tbl>
    <w:p w14:paraId="0288DA62"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Source: DHA APP (2022)</w:t>
      </w:r>
    </w:p>
    <w:p w14:paraId="572E8EB5" w14:textId="77777777" w:rsidR="00077989" w:rsidRPr="00077989" w:rsidRDefault="00077989" w:rsidP="00077989">
      <w:pPr>
        <w:spacing w:line="276" w:lineRule="auto"/>
        <w:ind w:right="142"/>
        <w:jc w:val="both"/>
        <w:rPr>
          <w:rFonts w:ascii="Times New Roman" w:hAnsi="Times New Roman"/>
          <w:color w:val="auto"/>
          <w:sz w:val="22"/>
          <w:szCs w:val="22"/>
        </w:rPr>
      </w:pPr>
    </w:p>
    <w:p w14:paraId="48841270" w14:textId="30259CEF"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The introduction of the National Identity System (NIS) in table 5 is intended to replace the outdated National Immigration Information System (NIIS). The NIS will be developed into a live capture system and integrated with other DHA systems. This system will register the demographics and biometrics of asylum seekers and facilitate the adjudication of their cases with the option of referral to other bodies if denied. This performance indicator complies with the SMART principle as per Treasury guidelines. As a result, the Department's target is to have the Asylum Seeker and Refugee system developed into life capture by the end of this financial year.</w:t>
      </w:r>
    </w:p>
    <w:p w14:paraId="0025DD57" w14:textId="46C05D32" w:rsidR="003A1FAE" w:rsidRDefault="003A1FAE" w:rsidP="003A1FAE">
      <w:pPr>
        <w:spacing w:line="276" w:lineRule="auto"/>
        <w:ind w:right="142"/>
        <w:jc w:val="both"/>
        <w:rPr>
          <w:rFonts w:ascii="Times New Roman" w:hAnsi="Times New Roman"/>
          <w:color w:val="auto"/>
          <w:sz w:val="22"/>
          <w:szCs w:val="22"/>
        </w:rPr>
      </w:pPr>
    </w:p>
    <w:p w14:paraId="00676296"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b/>
          <w:color w:val="auto"/>
          <w:sz w:val="22"/>
          <w:szCs w:val="22"/>
        </w:rPr>
        <w:t>Table 6: Programme 1 performance indicators and annual targets</w:t>
      </w:r>
      <w:r w:rsidRPr="00077989">
        <w:rPr>
          <w:rFonts w:ascii="Times New Roman" w:hAnsi="Times New Roman"/>
          <w:color w:val="auto"/>
          <w:sz w:val="22"/>
          <w:szCs w:val="22"/>
        </w:rPr>
        <w:t>.</w:t>
      </w:r>
    </w:p>
    <w:tbl>
      <w:tblPr>
        <w:tblStyle w:val="TableGrid"/>
        <w:tblW w:w="10209" w:type="dxa"/>
        <w:tblLook w:val="04A0" w:firstRow="1" w:lastRow="0" w:firstColumn="1" w:lastColumn="0" w:noHBand="0" w:noVBand="1"/>
      </w:tblPr>
      <w:tblGrid>
        <w:gridCol w:w="1797"/>
        <w:gridCol w:w="3004"/>
        <w:gridCol w:w="3455"/>
        <w:gridCol w:w="1953"/>
      </w:tblGrid>
      <w:tr w:rsidR="00077989" w:rsidRPr="00077989" w14:paraId="702ABDEA" w14:textId="77777777" w:rsidTr="00E660A4">
        <w:trPr>
          <w:trHeight w:val="600"/>
        </w:trPr>
        <w:tc>
          <w:tcPr>
            <w:tcW w:w="1020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3DBA8F"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Strategic Outcome: DHA positioned to contribute positively to a capable and developmental state</w:t>
            </w:r>
          </w:p>
        </w:tc>
      </w:tr>
      <w:tr w:rsidR="00077989" w:rsidRPr="00077989" w14:paraId="24C36914" w14:textId="77777777" w:rsidTr="00E660A4">
        <w:trPr>
          <w:trHeight w:val="614"/>
        </w:trPr>
        <w:tc>
          <w:tcPr>
            <w:tcW w:w="179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C4AA88"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w:t>
            </w:r>
          </w:p>
        </w:tc>
        <w:tc>
          <w:tcPr>
            <w:tcW w:w="3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CEFE72"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 Indicator</w:t>
            </w:r>
          </w:p>
        </w:tc>
        <w:tc>
          <w:tcPr>
            <w:tcW w:w="3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04297D"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Estimated Performance 2021/22</w:t>
            </w:r>
          </w:p>
        </w:tc>
        <w:tc>
          <w:tcPr>
            <w:tcW w:w="1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B88497"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Annual Target 2022/23</w:t>
            </w:r>
          </w:p>
        </w:tc>
      </w:tr>
      <w:tr w:rsidR="00077989" w:rsidRPr="00077989" w14:paraId="01276199" w14:textId="77777777" w:rsidTr="00E660A4">
        <w:trPr>
          <w:trHeight w:val="774"/>
        </w:trPr>
        <w:tc>
          <w:tcPr>
            <w:tcW w:w="1797" w:type="dxa"/>
            <w:tcBorders>
              <w:top w:val="single" w:sz="4" w:space="0" w:color="auto"/>
              <w:left w:val="single" w:sz="4" w:space="0" w:color="auto"/>
              <w:bottom w:val="single" w:sz="4" w:space="0" w:color="auto"/>
              <w:right w:val="single" w:sz="4" w:space="0" w:color="auto"/>
            </w:tcBorders>
            <w:hideMark/>
          </w:tcPr>
          <w:p w14:paraId="77A2DE08"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Tabled DHA Bill in Parliament</w:t>
            </w:r>
          </w:p>
        </w:tc>
        <w:tc>
          <w:tcPr>
            <w:tcW w:w="3004" w:type="dxa"/>
            <w:tcBorders>
              <w:top w:val="single" w:sz="4" w:space="0" w:color="auto"/>
              <w:left w:val="single" w:sz="4" w:space="0" w:color="auto"/>
              <w:bottom w:val="single" w:sz="4" w:space="0" w:color="auto"/>
              <w:right w:val="single" w:sz="4" w:space="0" w:color="auto"/>
            </w:tcBorders>
            <w:hideMark/>
          </w:tcPr>
          <w:p w14:paraId="3E2CDAD5"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Tabling of DHA Bill in Parliament for processing of Bill.</w:t>
            </w:r>
          </w:p>
        </w:tc>
        <w:tc>
          <w:tcPr>
            <w:tcW w:w="3455" w:type="dxa"/>
            <w:tcBorders>
              <w:top w:val="single" w:sz="4" w:space="0" w:color="auto"/>
              <w:left w:val="single" w:sz="4" w:space="0" w:color="auto"/>
              <w:bottom w:val="single" w:sz="4" w:space="0" w:color="auto"/>
              <w:right w:val="single" w:sz="4" w:space="0" w:color="auto"/>
            </w:tcBorders>
            <w:hideMark/>
          </w:tcPr>
          <w:p w14:paraId="59D3F605"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DHA Bill gazetted for public consultation.</w:t>
            </w:r>
          </w:p>
        </w:tc>
        <w:tc>
          <w:tcPr>
            <w:tcW w:w="1952" w:type="dxa"/>
            <w:tcBorders>
              <w:top w:val="single" w:sz="4" w:space="0" w:color="auto"/>
              <w:left w:val="single" w:sz="4" w:space="0" w:color="auto"/>
              <w:bottom w:val="single" w:sz="4" w:space="0" w:color="auto"/>
              <w:right w:val="single" w:sz="4" w:space="0" w:color="auto"/>
            </w:tcBorders>
            <w:hideMark/>
          </w:tcPr>
          <w:p w14:paraId="3391F316"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DHA Bill tabled in Parliament</w:t>
            </w:r>
          </w:p>
        </w:tc>
      </w:tr>
    </w:tbl>
    <w:p w14:paraId="5ED7CC73" w14:textId="77777777" w:rsidR="00077989" w:rsidRPr="00E660A4" w:rsidRDefault="00077989" w:rsidP="00077989">
      <w:pPr>
        <w:spacing w:line="276" w:lineRule="auto"/>
        <w:ind w:right="142"/>
        <w:jc w:val="both"/>
        <w:rPr>
          <w:rFonts w:ascii="Times New Roman" w:hAnsi="Times New Roman"/>
          <w:color w:val="auto"/>
          <w:sz w:val="22"/>
          <w:szCs w:val="22"/>
        </w:rPr>
      </w:pPr>
      <w:r w:rsidRPr="00E660A4">
        <w:rPr>
          <w:rFonts w:ascii="Times New Roman" w:hAnsi="Times New Roman"/>
          <w:color w:val="auto"/>
          <w:sz w:val="22"/>
          <w:szCs w:val="22"/>
        </w:rPr>
        <w:t>Source: DHA APP (2022)</w:t>
      </w:r>
    </w:p>
    <w:p w14:paraId="17CB3584" w14:textId="77777777" w:rsidR="00077989" w:rsidRPr="00077989" w:rsidRDefault="00077989" w:rsidP="00077989">
      <w:pPr>
        <w:spacing w:line="276" w:lineRule="auto"/>
        <w:ind w:right="142"/>
        <w:jc w:val="both"/>
        <w:rPr>
          <w:rFonts w:ascii="Times New Roman" w:hAnsi="Times New Roman"/>
          <w:color w:val="auto"/>
          <w:sz w:val="22"/>
          <w:szCs w:val="22"/>
        </w:rPr>
      </w:pPr>
    </w:p>
    <w:p w14:paraId="69D0D0CF" w14:textId="0D1C98ED"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lastRenderedPageBreak/>
        <w:t>The output indicators and annual targets in table 6 above comply with the SMART principles as per Treasury regulations because they are measurable. In its quest to improve the policy and legislation in support of repositioning, the Department estimated that it would have gazetted the DHA Bill at the end of the first quarter of 2022/23. The ultimate annual target is to have the DHA Bill tabled in Parliament for processing by the end of the financial year. The new legislation will provide a constitutionally sound legal framework for repositioning the DHA as a modern and secure department with the following critical elements:</w:t>
      </w:r>
    </w:p>
    <w:p w14:paraId="0AE77676" w14:textId="77777777" w:rsidR="00077989" w:rsidRPr="00077989" w:rsidRDefault="00077989" w:rsidP="00077989">
      <w:pPr>
        <w:spacing w:line="276" w:lineRule="auto"/>
        <w:ind w:right="142"/>
        <w:jc w:val="both"/>
        <w:rPr>
          <w:rFonts w:ascii="Times New Roman" w:hAnsi="Times New Roman"/>
          <w:color w:val="auto"/>
          <w:sz w:val="22"/>
          <w:szCs w:val="22"/>
        </w:rPr>
      </w:pPr>
    </w:p>
    <w:p w14:paraId="6CB83780"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Table 7: Programme 1 Performance indicators and annual targets</w:t>
      </w:r>
    </w:p>
    <w:tbl>
      <w:tblPr>
        <w:tblStyle w:val="TableGrid"/>
        <w:tblW w:w="10164" w:type="dxa"/>
        <w:tblLook w:val="04A0" w:firstRow="1" w:lastRow="0" w:firstColumn="1" w:lastColumn="0" w:noHBand="0" w:noVBand="1"/>
      </w:tblPr>
      <w:tblGrid>
        <w:gridCol w:w="2353"/>
        <w:gridCol w:w="2653"/>
        <w:gridCol w:w="2505"/>
        <w:gridCol w:w="2653"/>
      </w:tblGrid>
      <w:tr w:rsidR="00077989" w:rsidRPr="00077989" w14:paraId="1F333ADF" w14:textId="77777777" w:rsidTr="00E660A4">
        <w:trPr>
          <w:trHeight w:val="585"/>
        </w:trPr>
        <w:tc>
          <w:tcPr>
            <w:tcW w:w="1016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23610E6"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Strategic Outcome: DHA positioned to contribute positively to a capable and developmental state</w:t>
            </w:r>
          </w:p>
        </w:tc>
      </w:tr>
      <w:tr w:rsidR="00077989" w:rsidRPr="00077989" w14:paraId="52529F03" w14:textId="77777777" w:rsidTr="00E660A4">
        <w:trPr>
          <w:trHeight w:val="891"/>
        </w:trPr>
        <w:tc>
          <w:tcPr>
            <w:tcW w:w="2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664579"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w:t>
            </w:r>
          </w:p>
        </w:tc>
        <w:tc>
          <w:tcPr>
            <w:tcW w:w="26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83D8DE"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 Indicator</w:t>
            </w:r>
          </w:p>
        </w:tc>
        <w:tc>
          <w:tcPr>
            <w:tcW w:w="25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23B967"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Estimated Performance 2021/22</w:t>
            </w:r>
          </w:p>
        </w:tc>
        <w:tc>
          <w:tcPr>
            <w:tcW w:w="26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8C8EE4"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Annual Target 2022/23</w:t>
            </w:r>
          </w:p>
        </w:tc>
      </w:tr>
      <w:tr w:rsidR="00077989" w:rsidRPr="00077989" w14:paraId="2FCFE1E3" w14:textId="77777777" w:rsidTr="00E660A4">
        <w:trPr>
          <w:trHeight w:val="1477"/>
        </w:trPr>
        <w:tc>
          <w:tcPr>
            <w:tcW w:w="2353" w:type="dxa"/>
            <w:tcBorders>
              <w:top w:val="single" w:sz="4" w:space="0" w:color="auto"/>
              <w:left w:val="single" w:sz="4" w:space="0" w:color="auto"/>
              <w:bottom w:val="single" w:sz="4" w:space="0" w:color="auto"/>
              <w:right w:val="single" w:sz="4" w:space="0" w:color="auto"/>
            </w:tcBorders>
            <w:hideMark/>
          </w:tcPr>
          <w:p w14:paraId="46AB1C4B"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Tabled National Identification and Registration Bill in Parliament.</w:t>
            </w:r>
          </w:p>
        </w:tc>
        <w:tc>
          <w:tcPr>
            <w:tcW w:w="2653" w:type="dxa"/>
            <w:tcBorders>
              <w:top w:val="single" w:sz="4" w:space="0" w:color="auto"/>
              <w:left w:val="single" w:sz="4" w:space="0" w:color="auto"/>
              <w:bottom w:val="single" w:sz="4" w:space="0" w:color="auto"/>
              <w:right w:val="single" w:sz="4" w:space="0" w:color="auto"/>
            </w:tcBorders>
            <w:hideMark/>
          </w:tcPr>
          <w:p w14:paraId="2D6939CC"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The tabling of the National Identification and Registration Bill in Parliament for processing of Bill.</w:t>
            </w:r>
          </w:p>
        </w:tc>
        <w:tc>
          <w:tcPr>
            <w:tcW w:w="2505" w:type="dxa"/>
            <w:tcBorders>
              <w:top w:val="single" w:sz="4" w:space="0" w:color="auto"/>
              <w:left w:val="single" w:sz="4" w:space="0" w:color="auto"/>
              <w:bottom w:val="single" w:sz="4" w:space="0" w:color="auto"/>
              <w:right w:val="single" w:sz="4" w:space="0" w:color="auto"/>
            </w:tcBorders>
            <w:hideMark/>
          </w:tcPr>
          <w:p w14:paraId="38DB04B4"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Official Identity Management Policy submitted to Cabinet for approval.</w:t>
            </w:r>
          </w:p>
        </w:tc>
        <w:tc>
          <w:tcPr>
            <w:tcW w:w="2652" w:type="dxa"/>
            <w:tcBorders>
              <w:top w:val="single" w:sz="4" w:space="0" w:color="auto"/>
              <w:left w:val="single" w:sz="4" w:space="0" w:color="auto"/>
              <w:bottom w:val="single" w:sz="4" w:space="0" w:color="auto"/>
              <w:right w:val="single" w:sz="4" w:space="0" w:color="auto"/>
            </w:tcBorders>
            <w:hideMark/>
          </w:tcPr>
          <w:p w14:paraId="45502CB4"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National Identification and Registration Bill submitted to Cabinet for approval for public consultation.</w:t>
            </w:r>
          </w:p>
        </w:tc>
      </w:tr>
    </w:tbl>
    <w:p w14:paraId="55199BE7" w14:textId="77777777" w:rsidR="00077989" w:rsidRPr="00E660A4" w:rsidRDefault="00077989" w:rsidP="00077989">
      <w:pPr>
        <w:spacing w:line="276" w:lineRule="auto"/>
        <w:ind w:right="142"/>
        <w:jc w:val="both"/>
        <w:rPr>
          <w:rFonts w:ascii="Times New Roman" w:hAnsi="Times New Roman"/>
          <w:color w:val="auto"/>
          <w:sz w:val="22"/>
          <w:szCs w:val="22"/>
        </w:rPr>
      </w:pPr>
      <w:r w:rsidRPr="00E660A4">
        <w:rPr>
          <w:rFonts w:ascii="Times New Roman" w:hAnsi="Times New Roman"/>
          <w:color w:val="auto"/>
          <w:sz w:val="22"/>
          <w:szCs w:val="22"/>
        </w:rPr>
        <w:t>Source: DHA APP (2022)</w:t>
      </w:r>
    </w:p>
    <w:p w14:paraId="527ECFF9" w14:textId="77777777" w:rsidR="00077989" w:rsidRPr="00077989" w:rsidRDefault="00077989" w:rsidP="00077989">
      <w:pPr>
        <w:spacing w:line="276" w:lineRule="auto"/>
        <w:ind w:right="142"/>
        <w:jc w:val="both"/>
        <w:rPr>
          <w:rFonts w:ascii="Times New Roman" w:hAnsi="Times New Roman"/>
          <w:color w:val="auto"/>
          <w:sz w:val="22"/>
          <w:szCs w:val="22"/>
        </w:rPr>
      </w:pPr>
    </w:p>
    <w:p w14:paraId="65FD623D"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An identity management framework (policy and legislation) is needed to address how the DHA will regulate the manner in which personal information will be processed by establishing conditions which</w:t>
      </w:r>
    </w:p>
    <w:p w14:paraId="79AE943F" w14:textId="1084983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meet the minimum threshold requirements for the lawful processing of personal information. It will also be necessary for the DHA to articulate how the digital administrative datasets under its control will be used to enable inclusivity, economic development and national security. This annual performance target is also measurable according to the SMART principles.</w:t>
      </w:r>
    </w:p>
    <w:p w14:paraId="397A23EE" w14:textId="77777777" w:rsidR="00077989" w:rsidRPr="00077989" w:rsidRDefault="00077989" w:rsidP="00077989">
      <w:pPr>
        <w:spacing w:line="276" w:lineRule="auto"/>
        <w:ind w:right="142"/>
        <w:jc w:val="both"/>
        <w:rPr>
          <w:rFonts w:ascii="Times New Roman" w:hAnsi="Times New Roman"/>
          <w:color w:val="auto"/>
          <w:sz w:val="22"/>
          <w:szCs w:val="22"/>
        </w:rPr>
      </w:pPr>
    </w:p>
    <w:p w14:paraId="1DC142CC"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Table 8: Programme 1 Performance indicators and annual targets</w:t>
      </w:r>
    </w:p>
    <w:tbl>
      <w:tblPr>
        <w:tblStyle w:val="TableGrid"/>
        <w:tblW w:w="10139" w:type="dxa"/>
        <w:tblLook w:val="04A0" w:firstRow="1" w:lastRow="0" w:firstColumn="1" w:lastColumn="0" w:noHBand="0" w:noVBand="1"/>
      </w:tblPr>
      <w:tblGrid>
        <w:gridCol w:w="2347"/>
        <w:gridCol w:w="2499"/>
        <w:gridCol w:w="2646"/>
        <w:gridCol w:w="2647"/>
      </w:tblGrid>
      <w:tr w:rsidR="00077989" w:rsidRPr="00077989" w14:paraId="2E485266" w14:textId="77777777" w:rsidTr="00E660A4">
        <w:trPr>
          <w:trHeight w:val="582"/>
        </w:trPr>
        <w:tc>
          <w:tcPr>
            <w:tcW w:w="1013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2C3DB7"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Strategic Outcome: Secure and efficient management of citizenship and civil registration to fulfil constitutional and international obligations</w:t>
            </w:r>
          </w:p>
        </w:tc>
      </w:tr>
      <w:tr w:rsidR="00077989" w:rsidRPr="00077989" w14:paraId="39B65A1C" w14:textId="77777777" w:rsidTr="00E660A4">
        <w:trPr>
          <w:trHeight w:val="595"/>
        </w:trPr>
        <w:tc>
          <w:tcPr>
            <w:tcW w:w="234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8DE062"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w:t>
            </w:r>
          </w:p>
        </w:tc>
        <w:tc>
          <w:tcPr>
            <w:tcW w:w="249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E5D477"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 Indicator</w:t>
            </w:r>
          </w:p>
        </w:tc>
        <w:tc>
          <w:tcPr>
            <w:tcW w:w="264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1489EE"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Estimated Performance 2021/22</w:t>
            </w:r>
          </w:p>
        </w:tc>
        <w:tc>
          <w:tcPr>
            <w:tcW w:w="26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FC7236"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Annual Target 2022/23</w:t>
            </w:r>
          </w:p>
        </w:tc>
      </w:tr>
      <w:tr w:rsidR="00077989" w:rsidRPr="00077989" w14:paraId="7DADD800" w14:textId="77777777" w:rsidTr="00E660A4">
        <w:trPr>
          <w:trHeight w:val="1164"/>
        </w:trPr>
        <w:tc>
          <w:tcPr>
            <w:tcW w:w="2347" w:type="dxa"/>
            <w:tcBorders>
              <w:top w:val="single" w:sz="4" w:space="0" w:color="auto"/>
              <w:left w:val="single" w:sz="4" w:space="0" w:color="auto"/>
              <w:bottom w:val="single" w:sz="4" w:space="0" w:color="auto"/>
              <w:right w:val="single" w:sz="4" w:space="0" w:color="auto"/>
            </w:tcBorders>
            <w:hideMark/>
          </w:tcPr>
          <w:p w14:paraId="23ABAB81"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Table Marriage Bill in Parliament</w:t>
            </w:r>
          </w:p>
        </w:tc>
        <w:tc>
          <w:tcPr>
            <w:tcW w:w="2499" w:type="dxa"/>
            <w:tcBorders>
              <w:top w:val="single" w:sz="4" w:space="0" w:color="auto"/>
              <w:left w:val="single" w:sz="4" w:space="0" w:color="auto"/>
              <w:bottom w:val="single" w:sz="4" w:space="0" w:color="auto"/>
              <w:right w:val="single" w:sz="4" w:space="0" w:color="auto"/>
            </w:tcBorders>
            <w:hideMark/>
          </w:tcPr>
          <w:p w14:paraId="0BDF4AB5"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The tabling of the Marriage Bill in Parliament for processing of Bill.</w:t>
            </w:r>
          </w:p>
        </w:tc>
        <w:tc>
          <w:tcPr>
            <w:tcW w:w="2646" w:type="dxa"/>
            <w:tcBorders>
              <w:top w:val="single" w:sz="4" w:space="0" w:color="auto"/>
              <w:left w:val="single" w:sz="4" w:space="0" w:color="auto"/>
              <w:bottom w:val="single" w:sz="4" w:space="0" w:color="auto"/>
              <w:right w:val="single" w:sz="4" w:space="0" w:color="auto"/>
            </w:tcBorders>
            <w:hideMark/>
          </w:tcPr>
          <w:p w14:paraId="1041C93D"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Marriage Policy submitted to Cabinet for approval.</w:t>
            </w:r>
          </w:p>
        </w:tc>
        <w:tc>
          <w:tcPr>
            <w:tcW w:w="2645" w:type="dxa"/>
            <w:tcBorders>
              <w:top w:val="single" w:sz="4" w:space="0" w:color="auto"/>
              <w:left w:val="single" w:sz="4" w:space="0" w:color="auto"/>
              <w:bottom w:val="single" w:sz="4" w:space="0" w:color="auto"/>
              <w:right w:val="single" w:sz="4" w:space="0" w:color="auto"/>
            </w:tcBorders>
            <w:hideMark/>
          </w:tcPr>
          <w:p w14:paraId="46D1E793"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Marriage Bill submitted to Cabinet for approval and for public consultations.</w:t>
            </w:r>
          </w:p>
        </w:tc>
      </w:tr>
    </w:tbl>
    <w:p w14:paraId="114483E5" w14:textId="77777777" w:rsidR="00077989" w:rsidRPr="00E660A4" w:rsidRDefault="00077989" w:rsidP="00077989">
      <w:pPr>
        <w:spacing w:line="276" w:lineRule="auto"/>
        <w:ind w:right="142"/>
        <w:jc w:val="both"/>
        <w:rPr>
          <w:rFonts w:ascii="Times New Roman" w:hAnsi="Times New Roman"/>
          <w:color w:val="auto"/>
          <w:sz w:val="22"/>
          <w:szCs w:val="22"/>
        </w:rPr>
      </w:pPr>
      <w:r w:rsidRPr="00E660A4">
        <w:rPr>
          <w:rFonts w:ascii="Times New Roman" w:hAnsi="Times New Roman"/>
          <w:color w:val="auto"/>
          <w:sz w:val="22"/>
          <w:szCs w:val="22"/>
        </w:rPr>
        <w:t>Source: DHA APP (2022)</w:t>
      </w:r>
    </w:p>
    <w:p w14:paraId="0C84A077" w14:textId="77777777" w:rsidR="00077989" w:rsidRPr="00077989" w:rsidRDefault="00077989" w:rsidP="00077989">
      <w:pPr>
        <w:spacing w:line="276" w:lineRule="auto"/>
        <w:ind w:right="142"/>
        <w:jc w:val="both"/>
        <w:rPr>
          <w:rFonts w:ascii="Times New Roman" w:hAnsi="Times New Roman"/>
          <w:color w:val="auto"/>
          <w:sz w:val="22"/>
          <w:szCs w:val="22"/>
        </w:rPr>
      </w:pPr>
    </w:p>
    <w:p w14:paraId="570CB884"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The legislation that regulates marriages in South Africa has been developed without an overarching policy that is based on constitutional values (e.g. equality, non-discrimination and human dignity) and</w:t>
      </w:r>
    </w:p>
    <w:p w14:paraId="1E0F7E24"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the understanding of modern societal dynamics. Instead of creating a harmonised system of marriage in South Africa, the state has sought to give recognition to different marriage rituals through passing</w:t>
      </w:r>
    </w:p>
    <w:p w14:paraId="5366EAEB" w14:textId="4F7F7333"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a range of different marriage laws.</w:t>
      </w:r>
    </w:p>
    <w:p w14:paraId="2E4F09EC" w14:textId="77777777" w:rsidR="00077989" w:rsidRPr="00077989" w:rsidRDefault="00077989" w:rsidP="00077989">
      <w:pPr>
        <w:spacing w:line="276" w:lineRule="auto"/>
        <w:ind w:right="142"/>
        <w:jc w:val="both"/>
        <w:rPr>
          <w:rFonts w:ascii="Times New Roman" w:hAnsi="Times New Roman"/>
          <w:color w:val="auto"/>
          <w:sz w:val="22"/>
          <w:szCs w:val="22"/>
        </w:rPr>
      </w:pPr>
    </w:p>
    <w:p w14:paraId="293C6054" w14:textId="5CE56200" w:rsid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Despite all the changes that have been made in the marriage legislation post-1994, there are still serious gaps in the current legislation. For instance, the current legislation does not regulate some religious marriages, such as the Hindu, Muslim and other customary marriages practised in some African or royal families. Furthermore, given the diversity of the SA population, it is virtually impossible to pass legislation governing every single religious or cultural marriage practice. It is against this background that the DHA is embarking on the process of developing a marriage policy that will lay a policy foundation for drafting a new single or omnibus legislation.</w:t>
      </w:r>
    </w:p>
    <w:p w14:paraId="66ED86A5" w14:textId="77777777" w:rsidR="00E660A4" w:rsidRPr="00077989" w:rsidRDefault="00E660A4" w:rsidP="00077989">
      <w:pPr>
        <w:spacing w:line="276" w:lineRule="auto"/>
        <w:ind w:right="142"/>
        <w:jc w:val="both"/>
        <w:rPr>
          <w:rFonts w:ascii="Times New Roman" w:hAnsi="Times New Roman"/>
          <w:color w:val="auto"/>
          <w:sz w:val="22"/>
          <w:szCs w:val="22"/>
        </w:rPr>
      </w:pPr>
    </w:p>
    <w:p w14:paraId="0C4835D5" w14:textId="77777777" w:rsidR="00077989" w:rsidRPr="00077989" w:rsidRDefault="00077989" w:rsidP="00077989">
      <w:pPr>
        <w:spacing w:line="276" w:lineRule="auto"/>
        <w:ind w:right="142"/>
        <w:jc w:val="both"/>
        <w:rPr>
          <w:rFonts w:ascii="Times New Roman" w:hAnsi="Times New Roman"/>
          <w:color w:val="auto"/>
          <w:sz w:val="22"/>
          <w:szCs w:val="22"/>
        </w:rPr>
      </w:pPr>
    </w:p>
    <w:p w14:paraId="4945F283"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b/>
          <w:color w:val="auto"/>
          <w:sz w:val="22"/>
          <w:szCs w:val="22"/>
        </w:rPr>
        <w:lastRenderedPageBreak/>
        <w:t>Table 9: Programme 1 Performance indicators and annual targets</w:t>
      </w:r>
    </w:p>
    <w:tbl>
      <w:tblPr>
        <w:tblStyle w:val="TableGrid"/>
        <w:tblW w:w="10226" w:type="dxa"/>
        <w:tblLook w:val="04A0" w:firstRow="1" w:lastRow="0" w:firstColumn="1" w:lastColumn="0" w:noHBand="0" w:noVBand="1"/>
      </w:tblPr>
      <w:tblGrid>
        <w:gridCol w:w="2367"/>
        <w:gridCol w:w="2521"/>
        <w:gridCol w:w="2669"/>
        <w:gridCol w:w="2669"/>
      </w:tblGrid>
      <w:tr w:rsidR="00077989" w:rsidRPr="00077989" w14:paraId="01D7FD9A" w14:textId="77777777" w:rsidTr="00E660A4">
        <w:trPr>
          <w:trHeight w:val="588"/>
        </w:trPr>
        <w:tc>
          <w:tcPr>
            <w:tcW w:w="1022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756608"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Strategic Outcome: Secure management of international migration resulting in South Africa’s interests being served and fulfilling international obligations</w:t>
            </w:r>
          </w:p>
        </w:tc>
      </w:tr>
      <w:tr w:rsidR="00077989" w:rsidRPr="00077989" w14:paraId="2DF60D66" w14:textId="77777777" w:rsidTr="00E660A4">
        <w:trPr>
          <w:trHeight w:val="601"/>
        </w:trPr>
        <w:tc>
          <w:tcPr>
            <w:tcW w:w="23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28B55E"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w:t>
            </w:r>
          </w:p>
        </w:tc>
        <w:tc>
          <w:tcPr>
            <w:tcW w:w="25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2C2A85F"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Output Indicator</w:t>
            </w:r>
          </w:p>
        </w:tc>
        <w:tc>
          <w:tcPr>
            <w:tcW w:w="2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C23175"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Estimated Performance 2021/22</w:t>
            </w:r>
          </w:p>
        </w:tc>
        <w:tc>
          <w:tcPr>
            <w:tcW w:w="2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F0338A" w14:textId="77777777" w:rsidR="00077989" w:rsidRPr="00077989" w:rsidRDefault="00077989" w:rsidP="00077989">
            <w:pPr>
              <w:spacing w:line="276" w:lineRule="auto"/>
              <w:ind w:right="142"/>
              <w:jc w:val="both"/>
              <w:rPr>
                <w:rFonts w:ascii="Times New Roman" w:hAnsi="Times New Roman"/>
                <w:b/>
                <w:color w:val="auto"/>
                <w:sz w:val="22"/>
                <w:szCs w:val="22"/>
              </w:rPr>
            </w:pPr>
            <w:r w:rsidRPr="00077989">
              <w:rPr>
                <w:rFonts w:ascii="Times New Roman" w:hAnsi="Times New Roman"/>
                <w:b/>
                <w:color w:val="auto"/>
                <w:sz w:val="22"/>
                <w:szCs w:val="22"/>
              </w:rPr>
              <w:t>Annual Target 2022/23</w:t>
            </w:r>
          </w:p>
        </w:tc>
      </w:tr>
      <w:tr w:rsidR="00077989" w:rsidRPr="00077989" w14:paraId="1301307E" w14:textId="77777777" w:rsidTr="00E660A4">
        <w:trPr>
          <w:trHeight w:val="882"/>
        </w:trPr>
        <w:tc>
          <w:tcPr>
            <w:tcW w:w="2367" w:type="dxa"/>
            <w:tcBorders>
              <w:top w:val="single" w:sz="4" w:space="0" w:color="auto"/>
              <w:left w:val="single" w:sz="4" w:space="0" w:color="auto"/>
              <w:bottom w:val="single" w:sz="4" w:space="0" w:color="auto"/>
              <w:right w:val="single" w:sz="4" w:space="0" w:color="auto"/>
            </w:tcBorders>
            <w:hideMark/>
          </w:tcPr>
          <w:p w14:paraId="536CDAD8"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 xml:space="preserve">Tabling of the OSBP Bill in Parliament </w:t>
            </w:r>
          </w:p>
        </w:tc>
        <w:tc>
          <w:tcPr>
            <w:tcW w:w="2521" w:type="dxa"/>
            <w:tcBorders>
              <w:top w:val="single" w:sz="4" w:space="0" w:color="auto"/>
              <w:left w:val="single" w:sz="4" w:space="0" w:color="auto"/>
              <w:bottom w:val="single" w:sz="4" w:space="0" w:color="auto"/>
              <w:right w:val="single" w:sz="4" w:space="0" w:color="auto"/>
            </w:tcBorders>
            <w:hideMark/>
          </w:tcPr>
          <w:p w14:paraId="121473AD"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Tabling of the OSBP Bill in Parliament for processing of Bill</w:t>
            </w:r>
          </w:p>
        </w:tc>
        <w:tc>
          <w:tcPr>
            <w:tcW w:w="2669" w:type="dxa"/>
            <w:tcBorders>
              <w:top w:val="single" w:sz="4" w:space="0" w:color="auto"/>
              <w:left w:val="single" w:sz="4" w:space="0" w:color="auto"/>
              <w:bottom w:val="single" w:sz="4" w:space="0" w:color="auto"/>
              <w:right w:val="single" w:sz="4" w:space="0" w:color="auto"/>
            </w:tcBorders>
            <w:hideMark/>
          </w:tcPr>
          <w:p w14:paraId="35A67A35"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One-Stop-Border-Post (OSBP) Policy gazetted for public comments</w:t>
            </w:r>
          </w:p>
        </w:tc>
        <w:tc>
          <w:tcPr>
            <w:tcW w:w="2668" w:type="dxa"/>
            <w:tcBorders>
              <w:top w:val="single" w:sz="4" w:space="0" w:color="auto"/>
              <w:left w:val="single" w:sz="4" w:space="0" w:color="auto"/>
              <w:bottom w:val="single" w:sz="4" w:space="0" w:color="auto"/>
              <w:right w:val="single" w:sz="4" w:space="0" w:color="auto"/>
            </w:tcBorders>
            <w:hideMark/>
          </w:tcPr>
          <w:p w14:paraId="4EAB0C3C"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OSBP Bill submitted to Cabinet for approval for public consultation</w:t>
            </w:r>
          </w:p>
        </w:tc>
      </w:tr>
    </w:tbl>
    <w:p w14:paraId="2FAE0B52"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Source: DHA APP (2022)</w:t>
      </w:r>
    </w:p>
    <w:p w14:paraId="42F50F72" w14:textId="77777777" w:rsidR="00077989" w:rsidRPr="00077989" w:rsidRDefault="00077989" w:rsidP="00077989">
      <w:pPr>
        <w:spacing w:line="276" w:lineRule="auto"/>
        <w:ind w:right="142"/>
        <w:jc w:val="both"/>
        <w:rPr>
          <w:rFonts w:ascii="Times New Roman" w:hAnsi="Times New Roman"/>
          <w:color w:val="auto"/>
          <w:sz w:val="22"/>
          <w:szCs w:val="22"/>
        </w:rPr>
      </w:pPr>
    </w:p>
    <w:p w14:paraId="4E5E6D44"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The OSBP concept refers to the legal and institutional framework, facilities and associated procedures that enable goods, people and vehicles to stop once whereby they undergo necessary controls following applicable regional and national laws to exit one state and enter the adjoining state. This is contrary to a traditional two-stop border post concept whereby entry/ exit procedures are carried out</w:t>
      </w:r>
    </w:p>
    <w:p w14:paraId="1792B647" w14:textId="77777777" w:rsidR="00077989" w:rsidRPr="00077989" w:rsidRDefault="00077989" w:rsidP="00077989">
      <w:pPr>
        <w:spacing w:line="276" w:lineRule="auto"/>
        <w:ind w:right="142"/>
        <w:jc w:val="both"/>
        <w:rPr>
          <w:rFonts w:ascii="Times New Roman" w:hAnsi="Times New Roman"/>
          <w:color w:val="auto"/>
          <w:sz w:val="22"/>
          <w:szCs w:val="22"/>
        </w:rPr>
      </w:pPr>
      <w:r w:rsidRPr="00077989">
        <w:rPr>
          <w:rFonts w:ascii="Times New Roman" w:hAnsi="Times New Roman"/>
          <w:color w:val="auto"/>
          <w:sz w:val="22"/>
          <w:szCs w:val="22"/>
        </w:rPr>
        <w:t xml:space="preserve">on both sides of the border for persons, vehicles and goods. The DHA plans to have the OSBP Bill submitted to Cabinet for approval and for public consultation by the end of the current financial year. </w:t>
      </w:r>
    </w:p>
    <w:p w14:paraId="5CC42BF1" w14:textId="4C64A8B0" w:rsidR="00077989" w:rsidRDefault="00077989" w:rsidP="003A1FAE">
      <w:pPr>
        <w:spacing w:line="276" w:lineRule="auto"/>
        <w:ind w:right="142"/>
        <w:jc w:val="both"/>
        <w:rPr>
          <w:rFonts w:ascii="Times New Roman" w:hAnsi="Times New Roman"/>
          <w:color w:val="auto"/>
          <w:sz w:val="22"/>
          <w:szCs w:val="22"/>
        </w:rPr>
      </w:pPr>
    </w:p>
    <w:p w14:paraId="4CA8461F" w14:textId="5229A3ED" w:rsidR="00E660A4" w:rsidRPr="00E660A4" w:rsidRDefault="00E660A4" w:rsidP="003A1FAE">
      <w:pPr>
        <w:spacing w:line="276" w:lineRule="auto"/>
        <w:ind w:right="142"/>
        <w:jc w:val="both"/>
        <w:rPr>
          <w:rFonts w:ascii="Times New Roman" w:hAnsi="Times New Roman"/>
          <w:b/>
          <w:color w:val="auto"/>
          <w:sz w:val="22"/>
          <w:szCs w:val="22"/>
        </w:rPr>
      </w:pPr>
      <w:r w:rsidRPr="00E660A4">
        <w:rPr>
          <w:rFonts w:ascii="Times New Roman" w:hAnsi="Times New Roman"/>
          <w:b/>
          <w:color w:val="auto"/>
          <w:sz w:val="22"/>
          <w:szCs w:val="22"/>
        </w:rPr>
        <w:t>Programme 2 Civic Affairs</w:t>
      </w:r>
    </w:p>
    <w:p w14:paraId="148911A6" w14:textId="2A4ACD9B" w:rsidR="00077989" w:rsidRPr="00077989" w:rsidRDefault="00077989" w:rsidP="00077989">
      <w:pPr>
        <w:spacing w:line="276" w:lineRule="auto"/>
        <w:ind w:right="142"/>
        <w:jc w:val="both"/>
        <w:rPr>
          <w:rFonts w:ascii="Times New Roman" w:hAnsi="Times New Roman"/>
          <w:bCs/>
          <w:color w:val="auto"/>
          <w:sz w:val="22"/>
          <w:szCs w:val="22"/>
          <w:lang w:val="en-GB"/>
        </w:rPr>
      </w:pPr>
      <w:r w:rsidRPr="00077989">
        <w:rPr>
          <w:rFonts w:ascii="Times New Roman" w:hAnsi="Times New Roman"/>
          <w:bCs/>
          <w:color w:val="auto"/>
          <w:sz w:val="22"/>
          <w:szCs w:val="22"/>
          <w:lang w:val="en-GB"/>
        </w:rPr>
        <w:t>The Civic Affairs branch has achieved five (5) out of the planned six (6) annual targets during the 2020/21 financial year, which translates to an 83% annual target performance achievement. In this financial year, the Civic Affairs programme did not achieve 17% of its annual targets. Compared to the previous financial year (2019/20), when it achieved two (2) out of three (3), the 2020/21 performance improved by 16%. However, the 83% target achievement in 2020/21 financial year is lower when compared to the 2018/19 financial year when it achieved 100% of its annual targets.</w:t>
      </w:r>
    </w:p>
    <w:p w14:paraId="6976C56C" w14:textId="77777777" w:rsidR="00077989" w:rsidRPr="00077989" w:rsidRDefault="00077989" w:rsidP="00077989">
      <w:pPr>
        <w:spacing w:line="276" w:lineRule="auto"/>
        <w:ind w:right="142"/>
        <w:jc w:val="both"/>
        <w:rPr>
          <w:rFonts w:ascii="Times New Roman" w:hAnsi="Times New Roman"/>
          <w:bCs/>
          <w:color w:val="auto"/>
          <w:sz w:val="22"/>
          <w:szCs w:val="22"/>
        </w:rPr>
      </w:pPr>
    </w:p>
    <w:p w14:paraId="0C80C250" w14:textId="77777777" w:rsidR="00077989" w:rsidRPr="00077989" w:rsidRDefault="00077989" w:rsidP="00077989">
      <w:pPr>
        <w:spacing w:line="276" w:lineRule="auto"/>
        <w:ind w:right="142"/>
        <w:jc w:val="both"/>
        <w:rPr>
          <w:rFonts w:ascii="Times New Roman" w:hAnsi="Times New Roman"/>
          <w:b/>
          <w:bCs/>
          <w:color w:val="auto"/>
          <w:sz w:val="22"/>
          <w:szCs w:val="22"/>
        </w:rPr>
      </w:pPr>
      <w:r w:rsidRPr="00077989">
        <w:rPr>
          <w:rFonts w:ascii="Times New Roman" w:hAnsi="Times New Roman"/>
          <w:b/>
          <w:bCs/>
          <w:color w:val="auto"/>
          <w:sz w:val="22"/>
          <w:szCs w:val="22"/>
        </w:rPr>
        <w:t>Figure: 3 Years annual target performance (2017/18 -2019/20)</w:t>
      </w:r>
    </w:p>
    <w:p w14:paraId="42AB3720" w14:textId="1C63DC08"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noProof/>
          <w:color w:val="auto"/>
          <w:sz w:val="22"/>
          <w:szCs w:val="22"/>
          <w:lang w:val="en-US" w:eastAsia="en-US"/>
        </w:rPr>
        <w:drawing>
          <wp:inline distT="0" distB="0" distL="0" distR="0" wp14:anchorId="53202DC7" wp14:editId="71B3DE4B">
            <wp:extent cx="6297295" cy="3665855"/>
            <wp:effectExtent l="0" t="0" r="8255"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6EAC14" w14:textId="77777777" w:rsidR="00077989" w:rsidRPr="00E660A4" w:rsidRDefault="00077989" w:rsidP="00077989">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Source: DHA, adapted by Research Unit</w:t>
      </w:r>
    </w:p>
    <w:p w14:paraId="59CC52DB" w14:textId="77777777" w:rsidR="00077989" w:rsidRPr="00077989" w:rsidRDefault="00077989" w:rsidP="00077989">
      <w:pPr>
        <w:spacing w:line="276" w:lineRule="auto"/>
        <w:ind w:right="142"/>
        <w:jc w:val="both"/>
        <w:rPr>
          <w:rFonts w:ascii="Times New Roman" w:hAnsi="Times New Roman"/>
          <w:bCs/>
          <w:color w:val="auto"/>
          <w:sz w:val="22"/>
          <w:szCs w:val="22"/>
        </w:rPr>
      </w:pPr>
    </w:p>
    <w:p w14:paraId="0E93825D"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 xml:space="preserve">Table 11 below provides the analysis of Programme 2 outputs indicators and targets for the 2022/23 financial year. Programme 2 (Civic affairs) strategic outcome is </w:t>
      </w:r>
      <w:r w:rsidRPr="00077989">
        <w:rPr>
          <w:rFonts w:ascii="Times New Roman" w:hAnsi="Times New Roman"/>
          <w:b/>
          <w:bCs/>
          <w:color w:val="auto"/>
          <w:sz w:val="22"/>
          <w:szCs w:val="22"/>
        </w:rPr>
        <w:t>to secure and efficiently manage citizenship and civil registration to fulfil constitutional and international obligations</w:t>
      </w:r>
      <w:r w:rsidRPr="00077989">
        <w:rPr>
          <w:rFonts w:ascii="Times New Roman" w:hAnsi="Times New Roman"/>
          <w:bCs/>
          <w:color w:val="auto"/>
          <w:sz w:val="22"/>
          <w:szCs w:val="22"/>
        </w:rPr>
        <w:t>. The Civic Affairs branch has four output indicators and four annual targets for the 2022/23 financial year.</w:t>
      </w:r>
    </w:p>
    <w:p w14:paraId="4BFCE55A" w14:textId="77777777" w:rsidR="00077989" w:rsidRPr="00077989" w:rsidRDefault="00077989" w:rsidP="00077989">
      <w:pPr>
        <w:spacing w:line="276" w:lineRule="auto"/>
        <w:ind w:right="142"/>
        <w:jc w:val="both"/>
        <w:rPr>
          <w:rFonts w:ascii="Times New Roman" w:hAnsi="Times New Roman"/>
          <w:bCs/>
          <w:color w:val="auto"/>
          <w:sz w:val="22"/>
          <w:szCs w:val="22"/>
        </w:rPr>
      </w:pPr>
    </w:p>
    <w:p w14:paraId="3FF7970B"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lastRenderedPageBreak/>
        <w:t>All indicators on programme 2 comply with the SMART principle. As depicted in table 11 below, the first three output indicators remain the same as the two previous financial years, but the last indicator is a new indicator in the programme.</w:t>
      </w:r>
    </w:p>
    <w:p w14:paraId="186A69AC" w14:textId="77777777" w:rsidR="00077989" w:rsidRPr="00077989" w:rsidRDefault="00077989" w:rsidP="00077989">
      <w:pPr>
        <w:spacing w:line="276" w:lineRule="auto"/>
        <w:ind w:right="142"/>
        <w:jc w:val="both"/>
        <w:rPr>
          <w:rFonts w:ascii="Times New Roman" w:hAnsi="Times New Roman"/>
          <w:bCs/>
          <w:color w:val="auto"/>
          <w:sz w:val="22"/>
          <w:szCs w:val="22"/>
        </w:rPr>
      </w:pPr>
    </w:p>
    <w:p w14:paraId="4564BBCF"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
          <w:bCs/>
          <w:color w:val="auto"/>
          <w:sz w:val="22"/>
          <w:szCs w:val="22"/>
        </w:rPr>
        <w:t>Table 11: Programme 2 performance indicators and annual targets</w:t>
      </w:r>
      <w:r w:rsidRPr="00077989">
        <w:rPr>
          <w:rFonts w:ascii="Times New Roman" w:hAnsi="Times New Roman"/>
          <w:bCs/>
          <w:color w:val="auto"/>
          <w:sz w:val="22"/>
          <w:szCs w:val="22"/>
        </w:rPr>
        <w:t>.</w:t>
      </w:r>
    </w:p>
    <w:tbl>
      <w:tblPr>
        <w:tblStyle w:val="TableGrid"/>
        <w:tblW w:w="0" w:type="auto"/>
        <w:tblLook w:val="04A0" w:firstRow="1" w:lastRow="0" w:firstColumn="1" w:lastColumn="0" w:noHBand="0" w:noVBand="1"/>
      </w:tblPr>
      <w:tblGrid>
        <w:gridCol w:w="5035"/>
        <w:gridCol w:w="1711"/>
        <w:gridCol w:w="1704"/>
        <w:gridCol w:w="1815"/>
      </w:tblGrid>
      <w:tr w:rsidR="00077989" w:rsidRPr="00077989" w14:paraId="633E65BA" w14:textId="77777777" w:rsidTr="00FE42B6">
        <w:trPr>
          <w:trHeight w:val="1180"/>
        </w:trPr>
        <w:tc>
          <w:tcPr>
            <w:tcW w:w="50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85C340" w14:textId="77777777" w:rsidR="00077989" w:rsidRPr="00077989" w:rsidRDefault="00077989" w:rsidP="00077989">
            <w:pPr>
              <w:spacing w:line="276" w:lineRule="auto"/>
              <w:ind w:right="142"/>
              <w:jc w:val="both"/>
              <w:rPr>
                <w:rFonts w:ascii="Times New Roman" w:hAnsi="Times New Roman"/>
                <w:b/>
                <w:bCs/>
                <w:color w:val="auto"/>
                <w:sz w:val="22"/>
                <w:szCs w:val="22"/>
              </w:rPr>
            </w:pPr>
            <w:r w:rsidRPr="00077989">
              <w:rPr>
                <w:rFonts w:ascii="Times New Roman" w:hAnsi="Times New Roman"/>
                <w:b/>
                <w:bCs/>
                <w:color w:val="auto"/>
                <w:sz w:val="22"/>
                <w:szCs w:val="22"/>
              </w:rPr>
              <w:t>Output Indicator</w:t>
            </w:r>
          </w:p>
        </w:tc>
        <w:tc>
          <w:tcPr>
            <w:tcW w:w="171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A039ED" w14:textId="77777777" w:rsidR="00077989" w:rsidRPr="00077989" w:rsidRDefault="00077989" w:rsidP="00077989">
            <w:pPr>
              <w:spacing w:line="276" w:lineRule="auto"/>
              <w:ind w:right="142"/>
              <w:jc w:val="both"/>
              <w:rPr>
                <w:rFonts w:ascii="Times New Roman" w:hAnsi="Times New Roman"/>
                <w:b/>
                <w:bCs/>
                <w:color w:val="auto"/>
                <w:sz w:val="22"/>
                <w:szCs w:val="22"/>
              </w:rPr>
            </w:pPr>
            <w:r w:rsidRPr="00077989">
              <w:rPr>
                <w:rFonts w:ascii="Times New Roman" w:hAnsi="Times New Roman"/>
                <w:b/>
                <w:bCs/>
                <w:color w:val="auto"/>
                <w:sz w:val="22"/>
                <w:szCs w:val="22"/>
              </w:rPr>
              <w:t>Annual Target Achievement 2020/21</w:t>
            </w:r>
          </w:p>
        </w:tc>
        <w:tc>
          <w:tcPr>
            <w:tcW w:w="1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DB2478" w14:textId="77777777" w:rsidR="00077989" w:rsidRPr="00077989" w:rsidRDefault="00077989" w:rsidP="00077989">
            <w:pPr>
              <w:spacing w:line="276" w:lineRule="auto"/>
              <w:ind w:right="142"/>
              <w:jc w:val="both"/>
              <w:rPr>
                <w:rFonts w:ascii="Times New Roman" w:hAnsi="Times New Roman"/>
                <w:b/>
                <w:bCs/>
                <w:color w:val="auto"/>
                <w:sz w:val="22"/>
                <w:szCs w:val="22"/>
              </w:rPr>
            </w:pPr>
            <w:r w:rsidRPr="00077989">
              <w:rPr>
                <w:rFonts w:ascii="Times New Roman" w:hAnsi="Times New Roman"/>
                <w:b/>
                <w:bCs/>
                <w:color w:val="auto"/>
                <w:sz w:val="22"/>
                <w:szCs w:val="22"/>
              </w:rPr>
              <w:t xml:space="preserve">Estimated Target Achievement for 2021/22 </w:t>
            </w:r>
          </w:p>
        </w:tc>
        <w:tc>
          <w:tcPr>
            <w:tcW w:w="1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12F499" w14:textId="77777777" w:rsidR="00077989" w:rsidRPr="00077989" w:rsidRDefault="00077989" w:rsidP="00077989">
            <w:pPr>
              <w:spacing w:line="276" w:lineRule="auto"/>
              <w:ind w:right="142"/>
              <w:jc w:val="both"/>
              <w:rPr>
                <w:rFonts w:ascii="Times New Roman" w:hAnsi="Times New Roman"/>
                <w:b/>
                <w:bCs/>
                <w:color w:val="auto"/>
                <w:sz w:val="22"/>
                <w:szCs w:val="22"/>
              </w:rPr>
            </w:pPr>
            <w:r w:rsidRPr="00077989">
              <w:rPr>
                <w:rFonts w:ascii="Times New Roman" w:hAnsi="Times New Roman"/>
                <w:b/>
                <w:bCs/>
                <w:color w:val="auto"/>
                <w:sz w:val="22"/>
                <w:szCs w:val="22"/>
              </w:rPr>
              <w:t>Annual Target 2022/23</w:t>
            </w:r>
          </w:p>
        </w:tc>
      </w:tr>
      <w:tr w:rsidR="00077989" w:rsidRPr="00077989" w14:paraId="745B44FD" w14:textId="77777777" w:rsidTr="00FE42B6">
        <w:trPr>
          <w:trHeight w:val="291"/>
        </w:trPr>
        <w:tc>
          <w:tcPr>
            <w:tcW w:w="5035" w:type="dxa"/>
            <w:tcBorders>
              <w:top w:val="single" w:sz="4" w:space="0" w:color="auto"/>
              <w:left w:val="single" w:sz="4" w:space="0" w:color="auto"/>
              <w:bottom w:val="single" w:sz="4" w:space="0" w:color="auto"/>
              <w:right w:val="single" w:sz="4" w:space="0" w:color="auto"/>
            </w:tcBorders>
            <w:hideMark/>
          </w:tcPr>
          <w:p w14:paraId="6BD169BC"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Number of birth registered within 30 days</w:t>
            </w:r>
          </w:p>
        </w:tc>
        <w:tc>
          <w:tcPr>
            <w:tcW w:w="1711" w:type="dxa"/>
            <w:tcBorders>
              <w:top w:val="single" w:sz="4" w:space="0" w:color="auto"/>
              <w:left w:val="single" w:sz="4" w:space="0" w:color="auto"/>
              <w:bottom w:val="single" w:sz="4" w:space="0" w:color="auto"/>
              <w:right w:val="single" w:sz="4" w:space="0" w:color="auto"/>
            </w:tcBorders>
            <w:hideMark/>
          </w:tcPr>
          <w:p w14:paraId="5BD230FB"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 xml:space="preserve">845 253 </w:t>
            </w:r>
          </w:p>
        </w:tc>
        <w:tc>
          <w:tcPr>
            <w:tcW w:w="1704" w:type="dxa"/>
            <w:tcBorders>
              <w:top w:val="single" w:sz="4" w:space="0" w:color="auto"/>
              <w:left w:val="single" w:sz="4" w:space="0" w:color="auto"/>
              <w:bottom w:val="single" w:sz="4" w:space="0" w:color="auto"/>
              <w:right w:val="single" w:sz="4" w:space="0" w:color="auto"/>
            </w:tcBorders>
            <w:hideMark/>
          </w:tcPr>
          <w:p w14:paraId="29ADE560"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700 000</w:t>
            </w:r>
          </w:p>
        </w:tc>
        <w:tc>
          <w:tcPr>
            <w:tcW w:w="1815" w:type="dxa"/>
            <w:tcBorders>
              <w:top w:val="single" w:sz="4" w:space="0" w:color="auto"/>
              <w:left w:val="single" w:sz="4" w:space="0" w:color="auto"/>
              <w:bottom w:val="single" w:sz="4" w:space="0" w:color="auto"/>
              <w:right w:val="single" w:sz="4" w:space="0" w:color="auto"/>
            </w:tcBorders>
            <w:hideMark/>
          </w:tcPr>
          <w:p w14:paraId="0F4565B3"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750 000</w:t>
            </w:r>
          </w:p>
        </w:tc>
      </w:tr>
      <w:tr w:rsidR="00077989" w:rsidRPr="00077989" w14:paraId="64B90AAB" w14:textId="77777777" w:rsidTr="00FE42B6">
        <w:trPr>
          <w:trHeight w:val="875"/>
        </w:trPr>
        <w:tc>
          <w:tcPr>
            <w:tcW w:w="5035" w:type="dxa"/>
            <w:tcBorders>
              <w:top w:val="single" w:sz="4" w:space="0" w:color="auto"/>
              <w:left w:val="single" w:sz="4" w:space="0" w:color="auto"/>
              <w:bottom w:val="single" w:sz="4" w:space="0" w:color="auto"/>
              <w:right w:val="single" w:sz="4" w:space="0" w:color="auto"/>
            </w:tcBorders>
            <w:hideMark/>
          </w:tcPr>
          <w:p w14:paraId="6C728A41"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Number of smart ID cards issued to citizens (including naturalised and holders of permanent residence permits) 16 years of age and above</w:t>
            </w:r>
          </w:p>
        </w:tc>
        <w:tc>
          <w:tcPr>
            <w:tcW w:w="1711" w:type="dxa"/>
            <w:tcBorders>
              <w:top w:val="single" w:sz="4" w:space="0" w:color="auto"/>
              <w:left w:val="single" w:sz="4" w:space="0" w:color="auto"/>
              <w:bottom w:val="single" w:sz="4" w:space="0" w:color="auto"/>
              <w:right w:val="single" w:sz="4" w:space="0" w:color="auto"/>
            </w:tcBorders>
          </w:tcPr>
          <w:p w14:paraId="012ED2A2"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1 233 683</w:t>
            </w:r>
          </w:p>
          <w:p w14:paraId="7C533D6E" w14:textId="77777777" w:rsidR="00077989" w:rsidRPr="00077989" w:rsidRDefault="00077989" w:rsidP="00077989">
            <w:pPr>
              <w:spacing w:line="276" w:lineRule="auto"/>
              <w:ind w:right="142"/>
              <w:jc w:val="both"/>
              <w:rPr>
                <w:rFonts w:ascii="Times New Roman" w:hAnsi="Times New Roman"/>
                <w:bCs/>
                <w:color w:val="auto"/>
                <w:sz w:val="22"/>
                <w:szCs w:val="22"/>
              </w:rPr>
            </w:pPr>
          </w:p>
        </w:tc>
        <w:tc>
          <w:tcPr>
            <w:tcW w:w="1704" w:type="dxa"/>
            <w:tcBorders>
              <w:top w:val="single" w:sz="4" w:space="0" w:color="auto"/>
              <w:left w:val="single" w:sz="4" w:space="0" w:color="auto"/>
              <w:bottom w:val="single" w:sz="4" w:space="0" w:color="auto"/>
              <w:right w:val="single" w:sz="4" w:space="0" w:color="auto"/>
            </w:tcBorders>
            <w:hideMark/>
          </w:tcPr>
          <w:p w14:paraId="2068A817"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1 600 000</w:t>
            </w:r>
          </w:p>
        </w:tc>
        <w:tc>
          <w:tcPr>
            <w:tcW w:w="1815" w:type="dxa"/>
            <w:tcBorders>
              <w:top w:val="single" w:sz="4" w:space="0" w:color="auto"/>
              <w:left w:val="single" w:sz="4" w:space="0" w:color="auto"/>
              <w:bottom w:val="single" w:sz="4" w:space="0" w:color="auto"/>
              <w:right w:val="single" w:sz="4" w:space="0" w:color="auto"/>
            </w:tcBorders>
            <w:hideMark/>
          </w:tcPr>
          <w:p w14:paraId="6A05346C"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2 200 000</w:t>
            </w:r>
          </w:p>
        </w:tc>
      </w:tr>
      <w:tr w:rsidR="00077989" w:rsidRPr="00077989" w14:paraId="165C9FA4" w14:textId="77777777" w:rsidTr="00FE42B6">
        <w:trPr>
          <w:trHeight w:val="1472"/>
        </w:trPr>
        <w:tc>
          <w:tcPr>
            <w:tcW w:w="5035" w:type="dxa"/>
            <w:tcBorders>
              <w:top w:val="single" w:sz="4" w:space="0" w:color="auto"/>
              <w:left w:val="single" w:sz="4" w:space="0" w:color="auto"/>
              <w:bottom w:val="single" w:sz="4" w:space="0" w:color="auto"/>
              <w:right w:val="single" w:sz="4" w:space="0" w:color="auto"/>
            </w:tcBorders>
            <w:hideMark/>
          </w:tcPr>
          <w:p w14:paraId="29DB307E"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Percentage (%) of machine-readable adult passports (new live capture) issued within 13 working days (from date of receipt of the application until the passport is scanned at the office of application)</w:t>
            </w:r>
          </w:p>
        </w:tc>
        <w:tc>
          <w:tcPr>
            <w:tcW w:w="1711" w:type="dxa"/>
            <w:tcBorders>
              <w:top w:val="single" w:sz="4" w:space="0" w:color="auto"/>
              <w:left w:val="single" w:sz="4" w:space="0" w:color="auto"/>
              <w:bottom w:val="single" w:sz="4" w:space="0" w:color="auto"/>
              <w:right w:val="single" w:sz="4" w:space="0" w:color="auto"/>
            </w:tcBorders>
            <w:hideMark/>
          </w:tcPr>
          <w:p w14:paraId="58E01A9A"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91.79%</w:t>
            </w:r>
          </w:p>
        </w:tc>
        <w:tc>
          <w:tcPr>
            <w:tcW w:w="1704" w:type="dxa"/>
            <w:tcBorders>
              <w:top w:val="single" w:sz="4" w:space="0" w:color="auto"/>
              <w:left w:val="single" w:sz="4" w:space="0" w:color="auto"/>
              <w:bottom w:val="single" w:sz="4" w:space="0" w:color="auto"/>
              <w:right w:val="single" w:sz="4" w:space="0" w:color="auto"/>
            </w:tcBorders>
            <w:hideMark/>
          </w:tcPr>
          <w:p w14:paraId="28697511"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90%</w:t>
            </w:r>
          </w:p>
        </w:tc>
        <w:tc>
          <w:tcPr>
            <w:tcW w:w="1815" w:type="dxa"/>
            <w:tcBorders>
              <w:top w:val="single" w:sz="4" w:space="0" w:color="auto"/>
              <w:left w:val="single" w:sz="4" w:space="0" w:color="auto"/>
              <w:bottom w:val="single" w:sz="4" w:space="0" w:color="auto"/>
              <w:right w:val="single" w:sz="4" w:space="0" w:color="auto"/>
            </w:tcBorders>
            <w:hideMark/>
          </w:tcPr>
          <w:p w14:paraId="70BCCEF6"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90%</w:t>
            </w:r>
          </w:p>
        </w:tc>
      </w:tr>
      <w:tr w:rsidR="00077989" w:rsidRPr="00077989" w14:paraId="3477CB53" w14:textId="77777777" w:rsidTr="00FE42B6">
        <w:trPr>
          <w:trHeight w:val="1671"/>
        </w:trPr>
        <w:tc>
          <w:tcPr>
            <w:tcW w:w="5035" w:type="dxa"/>
            <w:tcBorders>
              <w:top w:val="single" w:sz="4" w:space="0" w:color="auto"/>
              <w:left w:val="single" w:sz="4" w:space="0" w:color="auto"/>
              <w:bottom w:val="single" w:sz="4" w:space="0" w:color="auto"/>
              <w:right w:val="single" w:sz="4" w:space="0" w:color="auto"/>
            </w:tcBorders>
          </w:tcPr>
          <w:p w14:paraId="13F72D77" w14:textId="14025218" w:rsidR="00077989" w:rsidRPr="00077989" w:rsidRDefault="00077989" w:rsidP="00E660A4">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Percentage (%) of machine-readable passports for children (new live capture system) issued within 18 working days per year for applications collected and processed within the RSA (from date of receipt of application until the passport is scanned at the office of application)</w:t>
            </w:r>
          </w:p>
        </w:tc>
        <w:tc>
          <w:tcPr>
            <w:tcW w:w="1711" w:type="dxa"/>
            <w:tcBorders>
              <w:top w:val="single" w:sz="4" w:space="0" w:color="auto"/>
              <w:left w:val="single" w:sz="4" w:space="0" w:color="auto"/>
              <w:bottom w:val="single" w:sz="4" w:space="0" w:color="auto"/>
              <w:right w:val="single" w:sz="4" w:space="0" w:color="auto"/>
            </w:tcBorders>
            <w:hideMark/>
          </w:tcPr>
          <w:p w14:paraId="0C97E169"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N/A</w:t>
            </w:r>
          </w:p>
        </w:tc>
        <w:tc>
          <w:tcPr>
            <w:tcW w:w="1704" w:type="dxa"/>
            <w:tcBorders>
              <w:top w:val="single" w:sz="4" w:space="0" w:color="auto"/>
              <w:left w:val="single" w:sz="4" w:space="0" w:color="auto"/>
              <w:bottom w:val="single" w:sz="4" w:space="0" w:color="auto"/>
              <w:right w:val="single" w:sz="4" w:space="0" w:color="auto"/>
            </w:tcBorders>
            <w:hideMark/>
          </w:tcPr>
          <w:p w14:paraId="39AF2EF2" w14:textId="77777777" w:rsidR="00077989" w:rsidRPr="00077989" w:rsidRDefault="00077989" w:rsidP="00077989">
            <w:pPr>
              <w:spacing w:line="276" w:lineRule="auto"/>
              <w:ind w:right="142"/>
              <w:jc w:val="both"/>
              <w:rPr>
                <w:rFonts w:ascii="Times New Roman" w:hAnsi="Times New Roman"/>
                <w:b/>
                <w:bCs/>
                <w:color w:val="auto"/>
                <w:sz w:val="22"/>
                <w:szCs w:val="22"/>
              </w:rPr>
            </w:pPr>
            <w:r w:rsidRPr="00077989">
              <w:rPr>
                <w:rFonts w:ascii="Times New Roman" w:hAnsi="Times New Roman"/>
                <w:b/>
                <w:bCs/>
                <w:color w:val="auto"/>
                <w:sz w:val="22"/>
                <w:szCs w:val="22"/>
              </w:rPr>
              <w:t>New Performance Indicator</w:t>
            </w:r>
          </w:p>
        </w:tc>
        <w:tc>
          <w:tcPr>
            <w:tcW w:w="1815" w:type="dxa"/>
            <w:tcBorders>
              <w:top w:val="single" w:sz="4" w:space="0" w:color="auto"/>
              <w:left w:val="single" w:sz="4" w:space="0" w:color="auto"/>
              <w:bottom w:val="single" w:sz="4" w:space="0" w:color="auto"/>
              <w:right w:val="single" w:sz="4" w:space="0" w:color="auto"/>
            </w:tcBorders>
            <w:hideMark/>
          </w:tcPr>
          <w:p w14:paraId="10A8BD6D" w14:textId="77777777"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90%</w:t>
            </w:r>
          </w:p>
        </w:tc>
      </w:tr>
    </w:tbl>
    <w:p w14:paraId="72C008FD" w14:textId="77777777" w:rsidR="00077989" w:rsidRPr="00E660A4" w:rsidRDefault="00077989" w:rsidP="00077989">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Source: DHA APP (2022)</w:t>
      </w:r>
    </w:p>
    <w:p w14:paraId="4C25C9F2" w14:textId="77777777" w:rsidR="00077989" w:rsidRPr="00077989" w:rsidRDefault="00077989" w:rsidP="00077989">
      <w:pPr>
        <w:spacing w:line="276" w:lineRule="auto"/>
        <w:ind w:right="142"/>
        <w:jc w:val="both"/>
        <w:rPr>
          <w:rFonts w:ascii="Times New Roman" w:hAnsi="Times New Roman"/>
          <w:bCs/>
          <w:color w:val="auto"/>
          <w:sz w:val="22"/>
          <w:szCs w:val="22"/>
        </w:rPr>
      </w:pPr>
    </w:p>
    <w:p w14:paraId="60C12274" w14:textId="308DDD05"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For the 2022/23 financial year, the programme has revised up its annual targets from registering 700 000 to 750 000 births within 30 calendar days. This lower target in the previous financial year was due to COVID-19, but it has accordingly been revised upwards as lockdown restrictions have been suspended. As a result, the DHA estimates that it would comfortably achieve and exceed the last financial year's annual target by at least 51 000 birth registration; hence the target was increased.</w:t>
      </w:r>
    </w:p>
    <w:p w14:paraId="6C53984D" w14:textId="77777777" w:rsidR="00077989" w:rsidRPr="00077989" w:rsidRDefault="00077989" w:rsidP="00077989">
      <w:pPr>
        <w:spacing w:line="276" w:lineRule="auto"/>
        <w:ind w:right="142"/>
        <w:jc w:val="both"/>
        <w:rPr>
          <w:rFonts w:ascii="Times New Roman" w:hAnsi="Times New Roman"/>
          <w:bCs/>
          <w:color w:val="auto"/>
          <w:sz w:val="22"/>
          <w:szCs w:val="22"/>
        </w:rPr>
      </w:pPr>
    </w:p>
    <w:p w14:paraId="5E06ABD8" w14:textId="2C73DA7A" w:rsidR="00077989" w:rsidRDefault="00077989" w:rsidP="00077989">
      <w:pPr>
        <w:spacing w:line="276" w:lineRule="auto"/>
        <w:ind w:right="142"/>
        <w:jc w:val="both"/>
        <w:rPr>
          <w:rFonts w:ascii="Times New Roman" w:hAnsi="Times New Roman"/>
          <w:bCs/>
          <w:color w:val="auto"/>
          <w:sz w:val="22"/>
          <w:szCs w:val="22"/>
          <w:vertAlign w:val="superscript"/>
        </w:rPr>
      </w:pPr>
      <w:r w:rsidRPr="00077989">
        <w:rPr>
          <w:rFonts w:ascii="Times New Roman" w:hAnsi="Times New Roman"/>
          <w:bCs/>
          <w:color w:val="auto"/>
          <w:sz w:val="22"/>
          <w:szCs w:val="22"/>
        </w:rPr>
        <w:t>Before COVID-19 in 2018/19 financial year, Programme 2 usually planned to issue 3 million smart identity documents. However, this target was revised downwards in the 2020/21 financial year to issuing only 700 000 smart IDs and 1.6 million in 2020/21 as the department was navigating through different levels of lockdown restrictions. For the 2022/23 financial year, the DHA annual target is to issue 2 200 000 (2.2 million) Smart ID’s.</w:t>
      </w:r>
    </w:p>
    <w:p w14:paraId="73914865" w14:textId="77777777" w:rsidR="00E660A4" w:rsidRPr="00077989" w:rsidRDefault="00E660A4" w:rsidP="00077989">
      <w:pPr>
        <w:spacing w:line="276" w:lineRule="auto"/>
        <w:ind w:right="142"/>
        <w:jc w:val="both"/>
        <w:rPr>
          <w:rFonts w:ascii="Times New Roman" w:hAnsi="Times New Roman"/>
          <w:bCs/>
          <w:color w:val="auto"/>
          <w:sz w:val="22"/>
          <w:szCs w:val="22"/>
        </w:rPr>
      </w:pPr>
    </w:p>
    <w:p w14:paraId="40FB70A2" w14:textId="5CCE09CF" w:rsidR="00077989" w:rsidRP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Programme 2 had also planned 90% of machine-readable adult passports to be issued within 13 working days in the pre-COVID-19 era, but this annual target was revised downward to 70% due to the aforementioned pandemic. For the current financial year, the DHA has accordingly returned to the annual target of producing 90% of machine-readable adult passports within 13 working days.</w:t>
      </w:r>
    </w:p>
    <w:p w14:paraId="091CD7AA" w14:textId="77777777" w:rsidR="00077989" w:rsidRPr="00077989" w:rsidRDefault="00077989" w:rsidP="00077989">
      <w:pPr>
        <w:spacing w:line="276" w:lineRule="auto"/>
        <w:ind w:right="142"/>
        <w:jc w:val="both"/>
        <w:rPr>
          <w:rFonts w:ascii="Times New Roman" w:hAnsi="Times New Roman"/>
          <w:bCs/>
          <w:color w:val="auto"/>
          <w:sz w:val="22"/>
          <w:szCs w:val="22"/>
        </w:rPr>
      </w:pPr>
    </w:p>
    <w:p w14:paraId="328A3BF2" w14:textId="6FE825A1" w:rsidR="00077989" w:rsidRDefault="00077989" w:rsidP="00077989">
      <w:pPr>
        <w:spacing w:line="276" w:lineRule="auto"/>
        <w:ind w:right="142"/>
        <w:jc w:val="both"/>
        <w:rPr>
          <w:rFonts w:ascii="Times New Roman" w:hAnsi="Times New Roman"/>
          <w:bCs/>
          <w:color w:val="auto"/>
          <w:sz w:val="22"/>
          <w:szCs w:val="22"/>
        </w:rPr>
      </w:pPr>
      <w:r w:rsidRPr="00077989">
        <w:rPr>
          <w:rFonts w:ascii="Times New Roman" w:hAnsi="Times New Roman"/>
          <w:bCs/>
          <w:color w:val="auto"/>
          <w:sz w:val="22"/>
          <w:szCs w:val="22"/>
        </w:rPr>
        <w:t>The new performance indicator for this Programme is the issuance of 90% machine-readable passports for children (a new live capture system) issued within 18 working days per year for applications collected and processed within the RSA (from the date of receipt of the application until the passport is scanned at the office of application).</w:t>
      </w:r>
    </w:p>
    <w:p w14:paraId="37F8943D" w14:textId="4EC97D4A" w:rsidR="00E660A4" w:rsidRDefault="00E660A4" w:rsidP="00077989">
      <w:pPr>
        <w:spacing w:line="276" w:lineRule="auto"/>
        <w:ind w:right="142"/>
        <w:jc w:val="both"/>
        <w:rPr>
          <w:rFonts w:ascii="Times New Roman" w:hAnsi="Times New Roman"/>
          <w:bCs/>
          <w:color w:val="auto"/>
          <w:sz w:val="22"/>
          <w:szCs w:val="22"/>
        </w:rPr>
      </w:pPr>
    </w:p>
    <w:p w14:paraId="348B1503" w14:textId="123008D5" w:rsid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Programme 3</w:t>
      </w:r>
      <w:r>
        <w:rPr>
          <w:rFonts w:ascii="Times New Roman" w:hAnsi="Times New Roman"/>
          <w:b/>
          <w:bCs/>
          <w:color w:val="auto"/>
          <w:sz w:val="22"/>
          <w:szCs w:val="22"/>
        </w:rPr>
        <w:t xml:space="preserve"> Immigration Affairs</w:t>
      </w:r>
    </w:p>
    <w:p w14:paraId="76631D89" w14:textId="2E938F0F" w:rsidR="00E660A4" w:rsidRPr="00E660A4" w:rsidRDefault="00E660A4" w:rsidP="00E660A4">
      <w:pPr>
        <w:spacing w:line="276" w:lineRule="auto"/>
        <w:ind w:right="142"/>
        <w:jc w:val="both"/>
        <w:rPr>
          <w:rFonts w:ascii="Times New Roman" w:hAnsi="Times New Roman"/>
          <w:bCs/>
          <w:color w:val="auto"/>
          <w:sz w:val="22"/>
          <w:szCs w:val="22"/>
        </w:rPr>
      </w:pPr>
      <w:r>
        <w:rPr>
          <w:rFonts w:ascii="Times New Roman" w:hAnsi="Times New Roman"/>
          <w:bCs/>
          <w:color w:val="auto"/>
          <w:sz w:val="22"/>
          <w:szCs w:val="22"/>
        </w:rPr>
        <w:t>S</w:t>
      </w:r>
      <w:r w:rsidRPr="00E660A4">
        <w:rPr>
          <w:rFonts w:ascii="Times New Roman" w:hAnsi="Times New Roman"/>
          <w:bCs/>
          <w:color w:val="auto"/>
          <w:sz w:val="22"/>
          <w:szCs w:val="22"/>
        </w:rPr>
        <w:t>trategic outcome is to secure and efficient management of international migration resulting in South Africa’s interests being served and fulfilling international commitments. Unlike in 2021/22, when the programme had five output indicators, it has four output indicators for the 2022/23 financial year (see table 13 below).</w:t>
      </w:r>
    </w:p>
    <w:p w14:paraId="537111DF" w14:textId="77777777" w:rsidR="00E660A4" w:rsidRPr="00E660A4" w:rsidRDefault="00E660A4" w:rsidP="00E660A4">
      <w:pPr>
        <w:spacing w:line="276" w:lineRule="auto"/>
        <w:ind w:right="142"/>
        <w:jc w:val="both"/>
        <w:rPr>
          <w:rFonts w:ascii="Times New Roman" w:hAnsi="Times New Roman"/>
          <w:bCs/>
          <w:color w:val="auto"/>
          <w:sz w:val="22"/>
          <w:szCs w:val="22"/>
        </w:rPr>
      </w:pPr>
    </w:p>
    <w:p w14:paraId="33C770A7" w14:textId="77777777" w:rsidR="00E660A4" w:rsidRPr="00E660A4" w:rsidRDefault="00E660A4" w:rsidP="00E660A4">
      <w:pPr>
        <w:spacing w:line="276" w:lineRule="auto"/>
        <w:ind w:right="142"/>
        <w:jc w:val="both"/>
        <w:rPr>
          <w:rFonts w:ascii="Times New Roman" w:hAnsi="Times New Roman"/>
          <w:bCs/>
          <w:color w:val="auto"/>
          <w:sz w:val="22"/>
          <w:szCs w:val="22"/>
          <w:lang w:val="en-GB"/>
        </w:rPr>
      </w:pPr>
      <w:r w:rsidRPr="00E660A4">
        <w:rPr>
          <w:rFonts w:ascii="Times New Roman" w:hAnsi="Times New Roman"/>
          <w:bCs/>
          <w:color w:val="auto"/>
          <w:sz w:val="22"/>
          <w:szCs w:val="22"/>
        </w:rPr>
        <w:lastRenderedPageBreak/>
        <w:t>As reported in the Department Annual Report for 2020/21, the Immigration Affairs programme was the least performing branch. It planned ten (10) annual performance targets for 2020/21, achieving only five (5) targets. This translates to 50% target achievement. Compared to the three previous years, the Immigration Affairs branch achieved 100% during 2019/20, 90% in 2018/19 and 78% in 2017/18.</w:t>
      </w:r>
    </w:p>
    <w:p w14:paraId="7A644552" w14:textId="5E3D72A8" w:rsidR="00E660A4" w:rsidRPr="00E660A4" w:rsidRDefault="00E660A4" w:rsidP="00E660A4">
      <w:pPr>
        <w:spacing w:line="276" w:lineRule="auto"/>
        <w:ind w:right="142"/>
        <w:jc w:val="both"/>
        <w:rPr>
          <w:rFonts w:ascii="Times New Roman" w:hAnsi="Times New Roman"/>
          <w:bCs/>
          <w:color w:val="auto"/>
          <w:sz w:val="22"/>
          <w:szCs w:val="22"/>
          <w:lang w:val="en-GB"/>
        </w:rPr>
      </w:pPr>
    </w:p>
    <w:p w14:paraId="73C4440F"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Table 13: Programme 3 Immigration: Strategic Outcomes and Annual Targets</w:t>
      </w:r>
    </w:p>
    <w:tbl>
      <w:tblPr>
        <w:tblStyle w:val="TableGrid"/>
        <w:tblW w:w="10120" w:type="dxa"/>
        <w:tblLayout w:type="fixed"/>
        <w:tblLook w:val="04A0" w:firstRow="1" w:lastRow="0" w:firstColumn="1" w:lastColumn="0" w:noHBand="0" w:noVBand="1"/>
      </w:tblPr>
      <w:tblGrid>
        <w:gridCol w:w="2229"/>
        <w:gridCol w:w="5361"/>
        <w:gridCol w:w="1488"/>
        <w:gridCol w:w="1042"/>
      </w:tblGrid>
      <w:tr w:rsidR="00E660A4" w:rsidRPr="00E660A4" w14:paraId="134BE85B" w14:textId="77777777" w:rsidTr="00E660A4">
        <w:trPr>
          <w:trHeight w:val="784"/>
        </w:trPr>
        <w:tc>
          <w:tcPr>
            <w:tcW w:w="2229" w:type="dxa"/>
            <w:shd w:val="clear" w:color="auto" w:fill="A6A6A6" w:themeFill="background1" w:themeFillShade="A6"/>
          </w:tcPr>
          <w:p w14:paraId="4B73FB98"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Output</w:t>
            </w:r>
          </w:p>
        </w:tc>
        <w:tc>
          <w:tcPr>
            <w:tcW w:w="5361" w:type="dxa"/>
            <w:shd w:val="clear" w:color="auto" w:fill="A6A6A6" w:themeFill="background1" w:themeFillShade="A6"/>
          </w:tcPr>
          <w:p w14:paraId="3B87D1B5" w14:textId="77777777" w:rsidR="00E660A4" w:rsidRPr="00E660A4" w:rsidRDefault="00E660A4" w:rsidP="00E660A4">
            <w:pPr>
              <w:spacing w:line="276" w:lineRule="auto"/>
              <w:ind w:right="142"/>
              <w:jc w:val="both"/>
              <w:rPr>
                <w:rFonts w:ascii="Times New Roman" w:hAnsi="Times New Roman"/>
                <w:b/>
                <w:bCs/>
                <w:color w:val="auto"/>
              </w:rPr>
            </w:pPr>
            <w:r w:rsidRPr="00E660A4">
              <w:rPr>
                <w:rFonts w:ascii="Times New Roman" w:hAnsi="Times New Roman"/>
                <w:b/>
                <w:bCs/>
                <w:color w:val="auto"/>
              </w:rPr>
              <w:t>Output Indicator</w:t>
            </w:r>
          </w:p>
        </w:tc>
        <w:tc>
          <w:tcPr>
            <w:tcW w:w="1488" w:type="dxa"/>
            <w:shd w:val="clear" w:color="auto" w:fill="A6A6A6" w:themeFill="background1" w:themeFillShade="A6"/>
          </w:tcPr>
          <w:p w14:paraId="6484DE46" w14:textId="77777777" w:rsidR="00E660A4" w:rsidRPr="00E660A4" w:rsidRDefault="00E660A4" w:rsidP="00E660A4">
            <w:pPr>
              <w:spacing w:line="276" w:lineRule="auto"/>
              <w:ind w:right="142"/>
              <w:jc w:val="both"/>
              <w:rPr>
                <w:rFonts w:ascii="Times New Roman" w:hAnsi="Times New Roman"/>
                <w:b/>
                <w:bCs/>
                <w:color w:val="auto"/>
              </w:rPr>
            </w:pPr>
            <w:r w:rsidRPr="00E660A4">
              <w:rPr>
                <w:rFonts w:ascii="Times New Roman" w:hAnsi="Times New Roman"/>
                <w:b/>
                <w:bCs/>
                <w:color w:val="auto"/>
              </w:rPr>
              <w:t>Estimated Performance  2021/22</w:t>
            </w:r>
          </w:p>
        </w:tc>
        <w:tc>
          <w:tcPr>
            <w:tcW w:w="1042" w:type="dxa"/>
            <w:shd w:val="clear" w:color="auto" w:fill="A6A6A6" w:themeFill="background1" w:themeFillShade="A6"/>
          </w:tcPr>
          <w:p w14:paraId="5850153F" w14:textId="77777777" w:rsidR="00E660A4" w:rsidRPr="00E660A4" w:rsidRDefault="00E660A4" w:rsidP="00E660A4">
            <w:pPr>
              <w:spacing w:line="276" w:lineRule="auto"/>
              <w:ind w:right="142"/>
              <w:jc w:val="both"/>
              <w:rPr>
                <w:rFonts w:ascii="Times New Roman" w:hAnsi="Times New Roman"/>
                <w:b/>
                <w:bCs/>
                <w:color w:val="auto"/>
              </w:rPr>
            </w:pPr>
            <w:r w:rsidRPr="00E660A4">
              <w:rPr>
                <w:rFonts w:ascii="Times New Roman" w:hAnsi="Times New Roman"/>
                <w:b/>
                <w:bCs/>
                <w:color w:val="auto"/>
              </w:rPr>
              <w:t>Annual Target 2022/23</w:t>
            </w:r>
          </w:p>
        </w:tc>
      </w:tr>
      <w:tr w:rsidR="00E660A4" w:rsidRPr="00E660A4" w14:paraId="34340590" w14:textId="77777777" w:rsidTr="00E660A4">
        <w:trPr>
          <w:trHeight w:val="2056"/>
        </w:trPr>
        <w:tc>
          <w:tcPr>
            <w:tcW w:w="2229" w:type="dxa"/>
          </w:tcPr>
          <w:p w14:paraId="621DB60F"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Enforcement of compliance of departmental legislation through law enforcement operations/inspection</w:t>
            </w:r>
          </w:p>
        </w:tc>
        <w:tc>
          <w:tcPr>
            <w:tcW w:w="5361" w:type="dxa"/>
          </w:tcPr>
          <w:p w14:paraId="28DE56D6"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Number of law enforcement operations/inspections conducted to secure compliance with immigration legislation</w:t>
            </w:r>
          </w:p>
        </w:tc>
        <w:tc>
          <w:tcPr>
            <w:tcW w:w="1488" w:type="dxa"/>
          </w:tcPr>
          <w:p w14:paraId="74B60D1B"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220</w:t>
            </w:r>
          </w:p>
        </w:tc>
        <w:tc>
          <w:tcPr>
            <w:tcW w:w="1042" w:type="dxa"/>
          </w:tcPr>
          <w:p w14:paraId="0721BBF3"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540</w:t>
            </w:r>
          </w:p>
        </w:tc>
      </w:tr>
      <w:tr w:rsidR="00E660A4" w:rsidRPr="00E660A4" w14:paraId="70BE68A9" w14:textId="77777777" w:rsidTr="00E660A4">
        <w:trPr>
          <w:trHeight w:val="1464"/>
        </w:trPr>
        <w:tc>
          <w:tcPr>
            <w:tcW w:w="2229" w:type="dxa"/>
          </w:tcPr>
          <w:p w14:paraId="4AC62633"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Permanent residence permits are adjudicated according to set standards</w:t>
            </w:r>
          </w:p>
        </w:tc>
        <w:tc>
          <w:tcPr>
            <w:tcW w:w="5361" w:type="dxa"/>
          </w:tcPr>
          <w:p w14:paraId="2EB457E8"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Percentage (%) of permanent residence applications adjudicated within 8 months for applications collected within the RSA(from date of receipt of the application until outcomes is in  scan at VFS Centre-office of application)</w:t>
            </w:r>
          </w:p>
        </w:tc>
        <w:tc>
          <w:tcPr>
            <w:tcW w:w="1488" w:type="dxa"/>
          </w:tcPr>
          <w:p w14:paraId="579D2FE7"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85%</w:t>
            </w:r>
          </w:p>
        </w:tc>
        <w:tc>
          <w:tcPr>
            <w:tcW w:w="1042" w:type="dxa"/>
          </w:tcPr>
          <w:p w14:paraId="44439BD7"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85%</w:t>
            </w:r>
          </w:p>
        </w:tc>
      </w:tr>
      <w:tr w:rsidR="00E660A4" w:rsidRPr="00E660A4" w14:paraId="07BAA89D" w14:textId="77777777" w:rsidTr="00E660A4">
        <w:trPr>
          <w:trHeight w:val="876"/>
        </w:trPr>
        <w:tc>
          <w:tcPr>
            <w:tcW w:w="2229" w:type="dxa"/>
            <w:vMerge w:val="restart"/>
          </w:tcPr>
          <w:p w14:paraId="53C20844"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Temporary residence visas adjudicated according to set standards</w:t>
            </w:r>
          </w:p>
        </w:tc>
        <w:tc>
          <w:tcPr>
            <w:tcW w:w="5361" w:type="dxa"/>
          </w:tcPr>
          <w:p w14:paraId="55C3EFB2"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Percentage (%) of critical skills visas adjudicated within 4 weeks for application processed within the RSA (from date of receipt of application until outcomes is in scan at VFS Centre-office of application)</w:t>
            </w:r>
          </w:p>
        </w:tc>
        <w:tc>
          <w:tcPr>
            <w:tcW w:w="1488" w:type="dxa"/>
          </w:tcPr>
          <w:p w14:paraId="58CF5515"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85%</w:t>
            </w:r>
          </w:p>
        </w:tc>
        <w:tc>
          <w:tcPr>
            <w:tcW w:w="1042" w:type="dxa"/>
          </w:tcPr>
          <w:p w14:paraId="24FFE32B"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95%</w:t>
            </w:r>
          </w:p>
        </w:tc>
      </w:tr>
      <w:tr w:rsidR="00E660A4" w:rsidRPr="00E660A4" w14:paraId="3C747986" w14:textId="77777777" w:rsidTr="00E660A4">
        <w:trPr>
          <w:trHeight w:val="876"/>
        </w:trPr>
        <w:tc>
          <w:tcPr>
            <w:tcW w:w="2229" w:type="dxa"/>
            <w:vMerge/>
          </w:tcPr>
          <w:p w14:paraId="1EE34729" w14:textId="77777777" w:rsidR="00E660A4" w:rsidRPr="00E660A4" w:rsidRDefault="00E660A4" w:rsidP="00E660A4">
            <w:pPr>
              <w:spacing w:line="276" w:lineRule="auto"/>
              <w:ind w:right="142"/>
              <w:jc w:val="both"/>
              <w:rPr>
                <w:rFonts w:ascii="Times New Roman" w:hAnsi="Times New Roman"/>
                <w:b/>
                <w:bCs/>
                <w:color w:val="auto"/>
                <w:sz w:val="22"/>
                <w:szCs w:val="22"/>
              </w:rPr>
            </w:pPr>
          </w:p>
        </w:tc>
        <w:tc>
          <w:tcPr>
            <w:tcW w:w="5361" w:type="dxa"/>
          </w:tcPr>
          <w:p w14:paraId="102DA53F"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Percentage (%) of business and general work visas adjudicated within 8 weeks for application process within the RSA (from date of receipt of application until an outcome is in scan at VFS Centre-office of application)</w:t>
            </w:r>
          </w:p>
        </w:tc>
        <w:tc>
          <w:tcPr>
            <w:tcW w:w="1488" w:type="dxa"/>
          </w:tcPr>
          <w:p w14:paraId="422921F3"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90%</w:t>
            </w:r>
          </w:p>
        </w:tc>
        <w:tc>
          <w:tcPr>
            <w:tcW w:w="1042" w:type="dxa"/>
          </w:tcPr>
          <w:p w14:paraId="3F084CBB"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90%</w:t>
            </w:r>
          </w:p>
        </w:tc>
      </w:tr>
    </w:tbl>
    <w:p w14:paraId="5B66F07B"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Source: DHA APP (2022)</w:t>
      </w:r>
    </w:p>
    <w:p w14:paraId="1724809E" w14:textId="77777777" w:rsidR="00E660A4" w:rsidRPr="00E660A4" w:rsidRDefault="00E660A4" w:rsidP="00E660A4">
      <w:pPr>
        <w:spacing w:line="276" w:lineRule="auto"/>
        <w:ind w:right="142"/>
        <w:jc w:val="both"/>
        <w:rPr>
          <w:rFonts w:ascii="Times New Roman" w:hAnsi="Times New Roman"/>
          <w:bCs/>
          <w:color w:val="auto"/>
          <w:sz w:val="22"/>
          <w:szCs w:val="22"/>
        </w:rPr>
      </w:pPr>
    </w:p>
    <w:p w14:paraId="2D654BE6" w14:textId="33C97011" w:rsidR="00FE42B6"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lang w:val="en-GB"/>
        </w:rPr>
        <w:t xml:space="preserve">For 2021/22, the Department set an annual target of 220 law enforcement operations/inspections. However, this target has been revised and increased to 540 law enforcement operations for the current financial year. </w:t>
      </w:r>
      <w:r w:rsidRPr="00E660A4">
        <w:rPr>
          <w:rFonts w:ascii="Times New Roman" w:hAnsi="Times New Roman"/>
          <w:bCs/>
          <w:color w:val="auto"/>
          <w:sz w:val="22"/>
          <w:szCs w:val="22"/>
        </w:rPr>
        <w:t>The purpose of the indicator is to ensure that undocumented persons are detected (that South Africans or businesses do not illegally employ foreign nationals and that all persons in South Africa are here on a lawful basis as per departmental legislation). The indicator is intended to ensure that those who work illegally (with no correct visas or immigration permits to do so) or employ such persons in violation of legislation or are here illegally are either charged or deported. The target also aims to ensure that other persons encountered, for example, during inspections or roadblocks, are here lawfully. In short, the target seeks to locate or trace illegal foreign nationals in South Africa and ensure that the resulting enforcement, be it prosecution or deportation, is undertaken</w:t>
      </w:r>
      <w:r w:rsidR="00FE42B6">
        <w:rPr>
          <w:rFonts w:ascii="Times New Roman" w:hAnsi="Times New Roman"/>
          <w:bCs/>
          <w:color w:val="auto"/>
          <w:sz w:val="22"/>
          <w:szCs w:val="22"/>
        </w:rPr>
        <w:t>.</w:t>
      </w:r>
    </w:p>
    <w:p w14:paraId="51DCFC9D" w14:textId="77777777" w:rsidR="00FE42B6" w:rsidRPr="00FE42B6" w:rsidRDefault="00FE42B6" w:rsidP="00E660A4">
      <w:pPr>
        <w:spacing w:line="276" w:lineRule="auto"/>
        <w:ind w:right="142"/>
        <w:jc w:val="both"/>
        <w:rPr>
          <w:rFonts w:ascii="Times New Roman" w:hAnsi="Times New Roman"/>
          <w:bCs/>
          <w:color w:val="auto"/>
          <w:sz w:val="22"/>
          <w:szCs w:val="22"/>
        </w:rPr>
      </w:pPr>
    </w:p>
    <w:p w14:paraId="7E20C846" w14:textId="7DB20672"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The Department plans to have 85% of permanent residence visas adjudicated within eight months for applications collected within South Africa. This is from the date of receipt of application until the outcome is in scan at VFS Centre – office of application). The permanent residence visas referred to here are the Critical Skills (s27b); General Work (s26a), and Business Visas (s26c).</w:t>
      </w:r>
    </w:p>
    <w:p w14:paraId="4AB01C31" w14:textId="77777777" w:rsidR="00E660A4" w:rsidRPr="00E660A4" w:rsidRDefault="00E660A4" w:rsidP="00E660A4">
      <w:pPr>
        <w:spacing w:line="276" w:lineRule="auto"/>
        <w:ind w:right="142"/>
        <w:jc w:val="both"/>
        <w:rPr>
          <w:rFonts w:ascii="Times New Roman" w:hAnsi="Times New Roman"/>
          <w:bCs/>
          <w:color w:val="auto"/>
          <w:sz w:val="22"/>
          <w:szCs w:val="22"/>
        </w:rPr>
      </w:pPr>
    </w:p>
    <w:p w14:paraId="3F9AE10A" w14:textId="77777777" w:rsidR="00E660A4" w:rsidRPr="00E660A4" w:rsidRDefault="00E660A4" w:rsidP="00E660A4">
      <w:pPr>
        <w:spacing w:line="276" w:lineRule="auto"/>
        <w:ind w:right="142"/>
        <w:jc w:val="both"/>
        <w:rPr>
          <w:rFonts w:ascii="Times New Roman" w:hAnsi="Times New Roman"/>
          <w:b/>
          <w:bCs/>
          <w:color w:val="auto"/>
          <w:sz w:val="22"/>
          <w:szCs w:val="22"/>
          <w:lang w:val="en-GB"/>
        </w:rPr>
      </w:pPr>
      <w:r w:rsidRPr="00E660A4">
        <w:rPr>
          <w:rFonts w:ascii="Times New Roman" w:hAnsi="Times New Roman"/>
          <w:bCs/>
          <w:color w:val="auto"/>
          <w:sz w:val="22"/>
          <w:szCs w:val="22"/>
          <w:lang w:val="en-GB"/>
        </w:rPr>
        <w:t>In addition, the Department also targeted 85% and 90% of critical skills and business visas adjudicated within four weeks and eight weeks of application. These visas should have been applied within the country, and the application process is facilitated through the VFS. All the performance indicators comply with the SMART principles and are measurable</w:t>
      </w:r>
      <w:r w:rsidRPr="00E660A4">
        <w:rPr>
          <w:rFonts w:ascii="Times New Roman" w:hAnsi="Times New Roman"/>
          <w:b/>
          <w:bCs/>
          <w:color w:val="auto"/>
          <w:sz w:val="22"/>
          <w:szCs w:val="22"/>
          <w:lang w:val="en-GB"/>
        </w:rPr>
        <w:t>.</w:t>
      </w:r>
      <w:bookmarkStart w:id="17" w:name="_Toc101771918"/>
    </w:p>
    <w:p w14:paraId="1B1C5DC0" w14:textId="77777777" w:rsidR="00E660A4" w:rsidRPr="00E660A4" w:rsidRDefault="00E660A4" w:rsidP="00E660A4">
      <w:pPr>
        <w:spacing w:line="276" w:lineRule="auto"/>
        <w:ind w:right="142"/>
        <w:jc w:val="both"/>
        <w:rPr>
          <w:rFonts w:ascii="Times New Roman" w:hAnsi="Times New Roman"/>
          <w:b/>
          <w:bCs/>
          <w:color w:val="auto"/>
          <w:sz w:val="22"/>
          <w:szCs w:val="22"/>
          <w:lang w:val="en-GB"/>
        </w:rPr>
      </w:pPr>
    </w:p>
    <w:p w14:paraId="5441781B" w14:textId="2D2E0D37" w:rsidR="00E660A4" w:rsidRPr="00E660A4" w:rsidRDefault="00E660A4" w:rsidP="00E660A4">
      <w:pPr>
        <w:spacing w:line="276" w:lineRule="auto"/>
        <w:ind w:right="142"/>
        <w:jc w:val="both"/>
        <w:rPr>
          <w:rFonts w:ascii="Times New Roman" w:hAnsi="Times New Roman"/>
          <w:bCs/>
          <w:color w:val="auto"/>
          <w:sz w:val="22"/>
          <w:szCs w:val="22"/>
          <w:lang w:val="en-GB"/>
        </w:rPr>
      </w:pPr>
      <w:r w:rsidRPr="00E660A4">
        <w:rPr>
          <w:rFonts w:ascii="Times New Roman" w:hAnsi="Times New Roman"/>
          <w:b/>
          <w:bCs/>
          <w:color w:val="auto"/>
          <w:sz w:val="22"/>
          <w:szCs w:val="22"/>
          <w:lang w:val="en-GB"/>
        </w:rPr>
        <w:lastRenderedPageBreak/>
        <w:t xml:space="preserve">Programme 4: </w:t>
      </w:r>
      <w:r w:rsidRPr="00E660A4">
        <w:rPr>
          <w:rFonts w:ascii="Times New Roman" w:hAnsi="Times New Roman"/>
          <w:b/>
          <w:bCs/>
          <w:color w:val="auto"/>
          <w:sz w:val="22"/>
          <w:szCs w:val="22"/>
        </w:rPr>
        <w:t>Institutional Support and Transfers</w:t>
      </w:r>
      <w:bookmarkEnd w:id="17"/>
    </w:p>
    <w:p w14:paraId="6EA985BD" w14:textId="42AABA8F" w:rsid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 xml:space="preserve">The Institutional Support and Transfers appears for the first time as a stand-alone programme. Funding of the BMA was budgeted for in Programme 1, while the Electoral Commission and Represented Political Parties fund was previously planned and budgeted for in Programme 2, the </w:t>
      </w:r>
      <w:r w:rsidRPr="00E660A4">
        <w:rPr>
          <w:rFonts w:ascii="Times New Roman" w:hAnsi="Times New Roman"/>
          <w:bCs/>
          <w:i/>
          <w:color w:val="auto"/>
          <w:sz w:val="22"/>
          <w:szCs w:val="22"/>
        </w:rPr>
        <w:t>Institutional Support</w:t>
      </w:r>
      <w:r w:rsidRPr="00E660A4">
        <w:rPr>
          <w:rFonts w:ascii="Times New Roman" w:hAnsi="Times New Roman"/>
          <w:bCs/>
          <w:color w:val="auto"/>
          <w:sz w:val="22"/>
          <w:szCs w:val="22"/>
        </w:rPr>
        <w:t xml:space="preserve"> sub-programme. The purpose of this new programme is to transfer funds to the Electoral Commission and Represented Political Parties Fund, which manages national, provincial and local government elections to ensure those elections are free and fair. The programme will also transfer funds to the BMA to ensure South Africa’s borders are effectively defended, protected, secured, and well-managed.</w:t>
      </w:r>
    </w:p>
    <w:p w14:paraId="2AC3E88D" w14:textId="77777777" w:rsidR="00FE42B6" w:rsidRPr="00E660A4" w:rsidRDefault="00FE42B6" w:rsidP="00E660A4">
      <w:pPr>
        <w:spacing w:line="276" w:lineRule="auto"/>
        <w:ind w:right="142"/>
        <w:jc w:val="both"/>
        <w:rPr>
          <w:rFonts w:ascii="Times New Roman" w:hAnsi="Times New Roman"/>
          <w:bCs/>
          <w:color w:val="auto"/>
          <w:sz w:val="22"/>
          <w:szCs w:val="22"/>
        </w:rPr>
      </w:pPr>
    </w:p>
    <w:p w14:paraId="787C8D02"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Table 15: Programme 4 Immigration: Strategic Outcomes and Annual Targets</w:t>
      </w:r>
    </w:p>
    <w:tbl>
      <w:tblPr>
        <w:tblStyle w:val="TableGrid"/>
        <w:tblW w:w="10201" w:type="dxa"/>
        <w:tblLayout w:type="fixed"/>
        <w:tblLook w:val="04A0" w:firstRow="1" w:lastRow="0" w:firstColumn="1" w:lastColumn="0" w:noHBand="0" w:noVBand="1"/>
      </w:tblPr>
      <w:tblGrid>
        <w:gridCol w:w="2405"/>
        <w:gridCol w:w="2268"/>
        <w:gridCol w:w="2977"/>
        <w:gridCol w:w="2551"/>
      </w:tblGrid>
      <w:tr w:rsidR="00E660A4" w:rsidRPr="00E660A4" w14:paraId="3D043D14" w14:textId="77777777" w:rsidTr="0052326C">
        <w:tc>
          <w:tcPr>
            <w:tcW w:w="2405" w:type="dxa"/>
            <w:shd w:val="clear" w:color="auto" w:fill="A6A6A6" w:themeFill="background1" w:themeFillShade="A6"/>
          </w:tcPr>
          <w:p w14:paraId="5D3A6E8D"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Output</w:t>
            </w:r>
          </w:p>
        </w:tc>
        <w:tc>
          <w:tcPr>
            <w:tcW w:w="2268" w:type="dxa"/>
            <w:shd w:val="clear" w:color="auto" w:fill="A6A6A6" w:themeFill="background1" w:themeFillShade="A6"/>
          </w:tcPr>
          <w:p w14:paraId="25AFF58F"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Output Indicator</w:t>
            </w:r>
          </w:p>
        </w:tc>
        <w:tc>
          <w:tcPr>
            <w:tcW w:w="2977" w:type="dxa"/>
            <w:shd w:val="clear" w:color="auto" w:fill="A6A6A6" w:themeFill="background1" w:themeFillShade="A6"/>
          </w:tcPr>
          <w:p w14:paraId="6A6C3CB9"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Estimated Target Performance for 2021/22</w:t>
            </w:r>
          </w:p>
        </w:tc>
        <w:tc>
          <w:tcPr>
            <w:tcW w:w="2551" w:type="dxa"/>
            <w:shd w:val="clear" w:color="auto" w:fill="A6A6A6" w:themeFill="background1" w:themeFillShade="A6"/>
          </w:tcPr>
          <w:p w14:paraId="556273E0"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Annual Target 2022/23</w:t>
            </w:r>
          </w:p>
        </w:tc>
      </w:tr>
      <w:tr w:rsidR="00E660A4" w:rsidRPr="00E660A4" w14:paraId="3B6459A8" w14:textId="77777777" w:rsidTr="00FE42B6">
        <w:trPr>
          <w:trHeight w:val="2593"/>
        </w:trPr>
        <w:tc>
          <w:tcPr>
            <w:tcW w:w="2405" w:type="dxa"/>
          </w:tcPr>
          <w:p w14:paraId="66A806E6"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Border Management Authority (BMA) established as a Schedule 3A National Public Entity.</w:t>
            </w:r>
          </w:p>
          <w:p w14:paraId="571D8F34" w14:textId="77777777" w:rsidR="00E660A4" w:rsidRPr="00E660A4" w:rsidRDefault="00E660A4" w:rsidP="00E660A4">
            <w:pPr>
              <w:spacing w:line="276" w:lineRule="auto"/>
              <w:ind w:right="142"/>
              <w:jc w:val="both"/>
              <w:rPr>
                <w:rFonts w:ascii="Times New Roman" w:hAnsi="Times New Roman"/>
                <w:bCs/>
                <w:color w:val="auto"/>
                <w:sz w:val="22"/>
                <w:szCs w:val="22"/>
              </w:rPr>
            </w:pPr>
          </w:p>
        </w:tc>
        <w:tc>
          <w:tcPr>
            <w:tcW w:w="2268" w:type="dxa"/>
          </w:tcPr>
          <w:p w14:paraId="240B9C14"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BMA fully established</w:t>
            </w:r>
          </w:p>
          <w:p w14:paraId="6C6F6B1A"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by 2023/24.</w:t>
            </w:r>
          </w:p>
        </w:tc>
        <w:tc>
          <w:tcPr>
            <w:tcW w:w="2977" w:type="dxa"/>
          </w:tcPr>
          <w:p w14:paraId="096CBB5C"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BMA Commissioner and Deputy Commissioners.</w:t>
            </w:r>
          </w:p>
          <w:p w14:paraId="152B16A4" w14:textId="5FB2FE46" w:rsidR="00E660A4" w:rsidRPr="00E660A4" w:rsidRDefault="00E660A4" w:rsidP="00FE42B6">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Appointed BMA incubated as a Branch within DHA Implementation protocol between BMA and SARS signed Implementation Protocol between BMA and Defence signed.</w:t>
            </w:r>
          </w:p>
        </w:tc>
        <w:tc>
          <w:tcPr>
            <w:tcW w:w="2551" w:type="dxa"/>
          </w:tcPr>
          <w:p w14:paraId="31105397"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BMA incrementally established through the submission of pre-listing documents to National Treasury.</w:t>
            </w:r>
          </w:p>
          <w:p w14:paraId="5A63A2AB" w14:textId="77777777" w:rsidR="00E660A4" w:rsidRPr="00E660A4" w:rsidRDefault="00E660A4" w:rsidP="00E660A4">
            <w:pPr>
              <w:spacing w:line="276" w:lineRule="auto"/>
              <w:ind w:right="142"/>
              <w:jc w:val="both"/>
              <w:rPr>
                <w:rFonts w:ascii="Times New Roman" w:hAnsi="Times New Roman"/>
                <w:bCs/>
                <w:color w:val="auto"/>
                <w:sz w:val="22"/>
                <w:szCs w:val="22"/>
              </w:rPr>
            </w:pPr>
          </w:p>
        </w:tc>
      </w:tr>
      <w:tr w:rsidR="00E660A4" w:rsidRPr="00E660A4" w14:paraId="45E0B854" w14:textId="77777777" w:rsidTr="0052326C">
        <w:trPr>
          <w:trHeight w:val="515"/>
        </w:trPr>
        <w:tc>
          <w:tcPr>
            <w:tcW w:w="2405" w:type="dxa"/>
            <w:vMerge w:val="restart"/>
          </w:tcPr>
          <w:p w14:paraId="13D04C37"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BMA rolled out at selected ports of entry, designated segments of the land border law enforcement area and community crossing points.</w:t>
            </w:r>
          </w:p>
        </w:tc>
        <w:tc>
          <w:tcPr>
            <w:tcW w:w="2268" w:type="dxa"/>
          </w:tcPr>
          <w:p w14:paraId="390886B7"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Number of ports of entry with BMA rollout per year.</w:t>
            </w:r>
          </w:p>
        </w:tc>
        <w:tc>
          <w:tcPr>
            <w:tcW w:w="2977" w:type="dxa"/>
            <w:vMerge w:val="restart"/>
          </w:tcPr>
          <w:p w14:paraId="1724DED1"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BMA rolled out in phases along 5</w:t>
            </w:r>
          </w:p>
          <w:p w14:paraId="7C84C493"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segments of the land border law enforcement area: (RSA/ Zimbabwe; eManguzi; Skukuza;</w:t>
            </w:r>
          </w:p>
          <w:p w14:paraId="0C7634A4"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KZN/ eSwatini; and Mpumalanga/</w:t>
            </w:r>
          </w:p>
          <w:p w14:paraId="2DCE2729"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eSwatini) BMA rolled out to 1 community crossing point (Tshidilamolomo).</w:t>
            </w:r>
          </w:p>
        </w:tc>
        <w:tc>
          <w:tcPr>
            <w:tcW w:w="2551" w:type="dxa"/>
          </w:tcPr>
          <w:p w14:paraId="58C1107B"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BMA rolled out at 46 ports of entry by incorporating frontline Immigration, Port</w:t>
            </w:r>
          </w:p>
          <w:p w14:paraId="01A22E8E"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Health, Agriculture and Access Control functions into the BMA.</w:t>
            </w:r>
          </w:p>
        </w:tc>
      </w:tr>
      <w:tr w:rsidR="00E660A4" w:rsidRPr="00E660A4" w14:paraId="3A1125F2" w14:textId="77777777" w:rsidTr="0052326C">
        <w:trPr>
          <w:trHeight w:val="515"/>
        </w:trPr>
        <w:tc>
          <w:tcPr>
            <w:tcW w:w="2405" w:type="dxa"/>
            <w:vMerge/>
          </w:tcPr>
          <w:p w14:paraId="590C57F1" w14:textId="77777777" w:rsidR="00E660A4" w:rsidRPr="00E660A4" w:rsidRDefault="00E660A4" w:rsidP="00E660A4">
            <w:pPr>
              <w:spacing w:line="276" w:lineRule="auto"/>
              <w:ind w:right="142"/>
              <w:jc w:val="both"/>
              <w:rPr>
                <w:rFonts w:ascii="Times New Roman" w:hAnsi="Times New Roman"/>
                <w:bCs/>
                <w:color w:val="auto"/>
                <w:sz w:val="22"/>
                <w:szCs w:val="22"/>
              </w:rPr>
            </w:pPr>
          </w:p>
        </w:tc>
        <w:tc>
          <w:tcPr>
            <w:tcW w:w="2268" w:type="dxa"/>
          </w:tcPr>
          <w:p w14:paraId="49968D4B"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Number of land border law enforcement area segments with Border Guard per year.</w:t>
            </w:r>
          </w:p>
        </w:tc>
        <w:tc>
          <w:tcPr>
            <w:tcW w:w="2977" w:type="dxa"/>
            <w:vMerge/>
          </w:tcPr>
          <w:p w14:paraId="2FB760CC" w14:textId="77777777" w:rsidR="00E660A4" w:rsidRPr="00E660A4" w:rsidRDefault="00E660A4" w:rsidP="00E660A4">
            <w:pPr>
              <w:spacing w:line="276" w:lineRule="auto"/>
              <w:ind w:right="142"/>
              <w:jc w:val="both"/>
              <w:rPr>
                <w:rFonts w:ascii="Times New Roman" w:hAnsi="Times New Roman"/>
                <w:bCs/>
                <w:color w:val="auto"/>
                <w:sz w:val="22"/>
                <w:szCs w:val="22"/>
              </w:rPr>
            </w:pPr>
          </w:p>
        </w:tc>
        <w:tc>
          <w:tcPr>
            <w:tcW w:w="2551" w:type="dxa"/>
          </w:tcPr>
          <w:p w14:paraId="290930D3"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BMA rolled out in phases along 3 segments of the land</w:t>
            </w:r>
          </w:p>
          <w:p w14:paraId="60A2E9C3"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border law enforcement area</w:t>
            </w:r>
          </w:p>
          <w:p w14:paraId="64EED93F"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(Border Guard).</w:t>
            </w:r>
          </w:p>
        </w:tc>
      </w:tr>
      <w:tr w:rsidR="00E660A4" w:rsidRPr="00E660A4" w14:paraId="76169D6E" w14:textId="77777777" w:rsidTr="0052326C">
        <w:trPr>
          <w:trHeight w:val="515"/>
        </w:trPr>
        <w:tc>
          <w:tcPr>
            <w:tcW w:w="2405" w:type="dxa"/>
            <w:vMerge/>
          </w:tcPr>
          <w:p w14:paraId="3EE98982" w14:textId="77777777" w:rsidR="00E660A4" w:rsidRPr="00E660A4" w:rsidRDefault="00E660A4" w:rsidP="00E660A4">
            <w:pPr>
              <w:spacing w:line="276" w:lineRule="auto"/>
              <w:ind w:right="142"/>
              <w:jc w:val="both"/>
              <w:rPr>
                <w:rFonts w:ascii="Times New Roman" w:hAnsi="Times New Roman"/>
                <w:bCs/>
                <w:color w:val="auto"/>
                <w:sz w:val="22"/>
                <w:szCs w:val="22"/>
              </w:rPr>
            </w:pPr>
          </w:p>
        </w:tc>
        <w:tc>
          <w:tcPr>
            <w:tcW w:w="2268" w:type="dxa"/>
          </w:tcPr>
          <w:p w14:paraId="204D1CD7"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Number of community crossing points with BMA rollout per year.</w:t>
            </w:r>
          </w:p>
        </w:tc>
        <w:tc>
          <w:tcPr>
            <w:tcW w:w="2977" w:type="dxa"/>
            <w:vMerge/>
          </w:tcPr>
          <w:p w14:paraId="49582B10" w14:textId="77777777" w:rsidR="00E660A4" w:rsidRPr="00E660A4" w:rsidRDefault="00E660A4" w:rsidP="00E660A4">
            <w:pPr>
              <w:spacing w:line="276" w:lineRule="auto"/>
              <w:ind w:right="142"/>
              <w:jc w:val="both"/>
              <w:rPr>
                <w:rFonts w:ascii="Times New Roman" w:hAnsi="Times New Roman"/>
                <w:bCs/>
                <w:color w:val="auto"/>
                <w:sz w:val="22"/>
                <w:szCs w:val="22"/>
              </w:rPr>
            </w:pPr>
          </w:p>
        </w:tc>
        <w:tc>
          <w:tcPr>
            <w:tcW w:w="2551" w:type="dxa"/>
          </w:tcPr>
          <w:p w14:paraId="5678DF2D"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N/A</w:t>
            </w:r>
          </w:p>
        </w:tc>
      </w:tr>
      <w:tr w:rsidR="00E660A4" w:rsidRPr="00E660A4" w14:paraId="70DCB7A2" w14:textId="77777777" w:rsidTr="0052326C">
        <w:trPr>
          <w:trHeight w:val="515"/>
        </w:trPr>
        <w:tc>
          <w:tcPr>
            <w:tcW w:w="2405" w:type="dxa"/>
            <w:vMerge/>
          </w:tcPr>
          <w:p w14:paraId="5CA28E3A" w14:textId="77777777" w:rsidR="00E660A4" w:rsidRPr="00E660A4" w:rsidRDefault="00E660A4" w:rsidP="00E660A4">
            <w:pPr>
              <w:spacing w:line="276" w:lineRule="auto"/>
              <w:ind w:right="142"/>
              <w:jc w:val="both"/>
              <w:rPr>
                <w:rFonts w:ascii="Times New Roman" w:hAnsi="Times New Roman"/>
                <w:bCs/>
                <w:color w:val="auto"/>
                <w:sz w:val="22"/>
                <w:szCs w:val="22"/>
              </w:rPr>
            </w:pPr>
          </w:p>
        </w:tc>
        <w:tc>
          <w:tcPr>
            <w:tcW w:w="2268" w:type="dxa"/>
          </w:tcPr>
          <w:p w14:paraId="63373E48"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Responsibility for facilities management at land ports of entry transferred to BMA.</w:t>
            </w:r>
          </w:p>
        </w:tc>
        <w:tc>
          <w:tcPr>
            <w:tcW w:w="2977" w:type="dxa"/>
            <w:vMerge/>
          </w:tcPr>
          <w:p w14:paraId="595D299F" w14:textId="77777777" w:rsidR="00E660A4" w:rsidRPr="00E660A4" w:rsidRDefault="00E660A4" w:rsidP="00E660A4">
            <w:pPr>
              <w:spacing w:line="276" w:lineRule="auto"/>
              <w:ind w:right="142"/>
              <w:jc w:val="both"/>
              <w:rPr>
                <w:rFonts w:ascii="Times New Roman" w:hAnsi="Times New Roman"/>
                <w:bCs/>
                <w:color w:val="auto"/>
                <w:sz w:val="22"/>
                <w:szCs w:val="22"/>
              </w:rPr>
            </w:pPr>
          </w:p>
        </w:tc>
        <w:tc>
          <w:tcPr>
            <w:tcW w:w="2551" w:type="dxa"/>
          </w:tcPr>
          <w:p w14:paraId="66128DF4"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BMA assumes responsibility for facilities management at 31 identified land ports of entry.</w:t>
            </w:r>
          </w:p>
        </w:tc>
      </w:tr>
      <w:tr w:rsidR="00E660A4" w:rsidRPr="00E660A4" w14:paraId="51083FE9" w14:textId="77777777" w:rsidTr="0052326C">
        <w:tc>
          <w:tcPr>
            <w:tcW w:w="2405" w:type="dxa"/>
            <w:shd w:val="clear" w:color="auto" w:fill="A6A6A6" w:themeFill="background1" w:themeFillShade="A6"/>
          </w:tcPr>
          <w:p w14:paraId="5E7DB491"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Output</w:t>
            </w:r>
          </w:p>
        </w:tc>
        <w:tc>
          <w:tcPr>
            <w:tcW w:w="2268" w:type="dxa"/>
            <w:shd w:val="clear" w:color="auto" w:fill="A6A6A6" w:themeFill="background1" w:themeFillShade="A6"/>
          </w:tcPr>
          <w:p w14:paraId="1784FC1D"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Output Indicator</w:t>
            </w:r>
          </w:p>
        </w:tc>
        <w:tc>
          <w:tcPr>
            <w:tcW w:w="2977" w:type="dxa"/>
            <w:shd w:val="clear" w:color="auto" w:fill="A6A6A6" w:themeFill="background1" w:themeFillShade="A6"/>
          </w:tcPr>
          <w:p w14:paraId="63C8AB6A"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Estimated Target Performance for 2021/22</w:t>
            </w:r>
          </w:p>
        </w:tc>
        <w:tc>
          <w:tcPr>
            <w:tcW w:w="2551" w:type="dxa"/>
            <w:shd w:val="clear" w:color="auto" w:fill="A6A6A6" w:themeFill="background1" w:themeFillShade="A6"/>
          </w:tcPr>
          <w:p w14:paraId="2464FB45" w14:textId="77777777" w:rsidR="00E660A4" w:rsidRPr="00E660A4" w:rsidRDefault="00E660A4" w:rsidP="00E660A4">
            <w:pPr>
              <w:spacing w:line="276" w:lineRule="auto"/>
              <w:ind w:right="142"/>
              <w:jc w:val="both"/>
              <w:rPr>
                <w:rFonts w:ascii="Times New Roman" w:hAnsi="Times New Roman"/>
                <w:b/>
                <w:bCs/>
                <w:color w:val="auto"/>
                <w:sz w:val="22"/>
                <w:szCs w:val="22"/>
              </w:rPr>
            </w:pPr>
            <w:r w:rsidRPr="00E660A4">
              <w:rPr>
                <w:rFonts w:ascii="Times New Roman" w:hAnsi="Times New Roman"/>
                <w:b/>
                <w:bCs/>
                <w:color w:val="auto"/>
                <w:sz w:val="22"/>
                <w:szCs w:val="22"/>
              </w:rPr>
              <w:t>Annual Target 2022/23</w:t>
            </w:r>
          </w:p>
        </w:tc>
      </w:tr>
      <w:tr w:rsidR="00E660A4" w:rsidRPr="00E660A4" w14:paraId="5DA985BC" w14:textId="77777777" w:rsidTr="0052326C">
        <w:tc>
          <w:tcPr>
            <w:tcW w:w="2405" w:type="dxa"/>
          </w:tcPr>
          <w:p w14:paraId="4488B02D"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Six priority land ports of entry redeveloped as part of a public-private partnership (PPP).</w:t>
            </w:r>
          </w:p>
        </w:tc>
        <w:tc>
          <w:tcPr>
            <w:tcW w:w="2268" w:type="dxa"/>
          </w:tcPr>
          <w:p w14:paraId="4ADB82B7"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Status of construction for the redevelopment of the six (6) land ports of entry.</w:t>
            </w:r>
          </w:p>
        </w:tc>
        <w:tc>
          <w:tcPr>
            <w:tcW w:w="2977" w:type="dxa"/>
          </w:tcPr>
          <w:p w14:paraId="6232948C"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Request for Proposal (RfP) for the six land ports of entry issued to the market.</w:t>
            </w:r>
          </w:p>
        </w:tc>
        <w:tc>
          <w:tcPr>
            <w:tcW w:w="2551" w:type="dxa"/>
          </w:tcPr>
          <w:p w14:paraId="4979B88B"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Financial and contractual closure reached with bidders in respect of land development of 6 priority land ports of entry.</w:t>
            </w:r>
          </w:p>
        </w:tc>
      </w:tr>
    </w:tbl>
    <w:p w14:paraId="4B7C63F3"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lastRenderedPageBreak/>
        <w:t>Source: DHA APP (2022)</w:t>
      </w:r>
    </w:p>
    <w:p w14:paraId="7E133545" w14:textId="77777777" w:rsidR="00E660A4" w:rsidRPr="00E660A4" w:rsidRDefault="00E660A4" w:rsidP="00E660A4">
      <w:pPr>
        <w:spacing w:line="276" w:lineRule="auto"/>
        <w:ind w:right="142"/>
        <w:jc w:val="both"/>
        <w:rPr>
          <w:rFonts w:ascii="Times New Roman" w:hAnsi="Times New Roman"/>
          <w:bCs/>
          <w:color w:val="auto"/>
          <w:sz w:val="22"/>
          <w:szCs w:val="22"/>
        </w:rPr>
      </w:pPr>
    </w:p>
    <w:p w14:paraId="41EF89A8" w14:textId="78684FA9" w:rsid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The BMA Act (No 2 of 2020) has finally assented into law, and it was effected as of 1 January 2021. The annual target for the 2021/22 financial year was to incrementally roll out BMA to 11 land ports of entry by integrating frontline immigration personnel, port health, etc. The Department envisages that the BMA will be fully implemented and operational by the end of the 2023/24 financial year. However, for the 2022/23 financial year, the main annual target is incrementally established by submitting pre listing documents to the National Treasury.</w:t>
      </w:r>
    </w:p>
    <w:p w14:paraId="54C511C3" w14:textId="77777777" w:rsidR="00E660A4" w:rsidRPr="00E660A4" w:rsidRDefault="00E660A4" w:rsidP="00E660A4">
      <w:pPr>
        <w:spacing w:line="276" w:lineRule="auto"/>
        <w:ind w:right="142"/>
        <w:jc w:val="both"/>
        <w:rPr>
          <w:rFonts w:ascii="Times New Roman" w:hAnsi="Times New Roman"/>
          <w:bCs/>
          <w:color w:val="auto"/>
          <w:sz w:val="22"/>
          <w:szCs w:val="22"/>
        </w:rPr>
      </w:pPr>
    </w:p>
    <w:p w14:paraId="1D80D9F6"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 xml:space="preserve">In line with the BMA roll-out and the African Continental Free Trade Agreement (ACFTA), the Department is planning to develop and upgrade six of the six land borders in a project known as the One-Stop Border Post (OSBP). The annual target in terms of the OSBP in the previous financial year was to issue a OSBP Policy for public comments and finalise the contractual agreements with the contracted bidders. For the 2022/23 financial year, the annual target is to ensure that financial and contractual agreements are concluded with the appointed </w:t>
      </w:r>
    </w:p>
    <w:p w14:paraId="7336635E" w14:textId="77777777" w:rsidR="00E660A4" w:rsidRPr="00E660A4" w:rsidRDefault="00E660A4" w:rsidP="00E660A4">
      <w:pPr>
        <w:spacing w:line="276" w:lineRule="auto"/>
        <w:ind w:right="142"/>
        <w:jc w:val="both"/>
        <w:rPr>
          <w:rFonts w:ascii="Times New Roman" w:hAnsi="Times New Roman"/>
          <w:bCs/>
          <w:color w:val="auto"/>
          <w:sz w:val="22"/>
          <w:szCs w:val="22"/>
        </w:rPr>
      </w:pPr>
      <w:r w:rsidRPr="00E660A4">
        <w:rPr>
          <w:rFonts w:ascii="Times New Roman" w:hAnsi="Times New Roman"/>
          <w:bCs/>
          <w:color w:val="auto"/>
          <w:sz w:val="22"/>
          <w:szCs w:val="22"/>
        </w:rPr>
        <w:t>bidders.</w:t>
      </w:r>
    </w:p>
    <w:p w14:paraId="098C711B" w14:textId="435960ED" w:rsidR="00C95C23" w:rsidRPr="0035165B" w:rsidRDefault="006563EC" w:rsidP="0098397E">
      <w:pPr>
        <w:pStyle w:val="Heading1"/>
        <w:spacing w:line="276" w:lineRule="auto"/>
        <w:ind w:right="142"/>
        <w:rPr>
          <w:rFonts w:cs="Times New Roman"/>
          <w:sz w:val="22"/>
          <w:szCs w:val="22"/>
        </w:rPr>
      </w:pPr>
      <w:bookmarkStart w:id="18" w:name="_Toc71542447"/>
      <w:r w:rsidRPr="0035165B">
        <w:rPr>
          <w:rFonts w:cs="Times New Roman"/>
          <w:sz w:val="22"/>
          <w:szCs w:val="22"/>
        </w:rPr>
        <w:t>2. THE ELECTORAL COMMISSION</w:t>
      </w:r>
      <w:bookmarkEnd w:id="18"/>
      <w:r w:rsidRPr="0035165B">
        <w:rPr>
          <w:rFonts w:cs="Times New Roman"/>
          <w:sz w:val="22"/>
          <w:szCs w:val="22"/>
        </w:rPr>
        <w:t xml:space="preserve"> </w:t>
      </w:r>
    </w:p>
    <w:p w14:paraId="6C5EE6CB" w14:textId="6520087D"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0FC8E439" w14:textId="03C028EE"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The Electoral Commission of South Africa (also known as the Independent Electoral Commission (IEC)) is South Africa’s electoral management body. The IEC is an independent organisation established under Chapter 9 of the Constitution of South Africa. The IEC is underwritten by the Electoral Commissions Act (No 51 of 1996). In terms of Section 190 (1) of the Constitution, the IEC must manage elections at national, provincial and municipal legislative bodies in accordance with the national legislation, ensure that those elections are free and fair, and declare the results of those elections within a period that must be prescribed by national legislation and that is as short as reasonably possible.</w:t>
      </w:r>
    </w:p>
    <w:p w14:paraId="28E81688"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p>
    <w:p w14:paraId="6AB51F3E" w14:textId="6AE653EE"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Section 5 of the Electoral Commission Act (No 51 of 1996) outlines the duties and functions of the IEC. This includes managing elections; ensuring that elections are free and fair, promoting conditions conducive to free and fair elections, promoting knowledge of sound and democratic elections processes and compiling; maintaining a register of parties; compile and maintaining a voters roll to mention but a few examples.</w:t>
      </w:r>
    </w:p>
    <w:p w14:paraId="417C846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p>
    <w:p w14:paraId="60F17A4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This brief aims to provide a summary and analysis of the budget and Annual Performance Plan (APP) of the IEC for the 2022/23 financial year. In order to provide context to this analysis, the paper commences by outlining the IEC’s strategic objectives and then provides a brief analytical overview of the 2020/21 performance.</w:t>
      </w:r>
    </w:p>
    <w:p w14:paraId="2AECDB7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p>
    <w:p w14:paraId="026187CC" w14:textId="5A76E986" w:rsidR="0052326C" w:rsidRPr="0052326C" w:rsidRDefault="0052326C" w:rsidP="00CB4303">
      <w:pPr>
        <w:pStyle w:val="ListParagraph"/>
        <w:widowControl w:val="0"/>
        <w:numPr>
          <w:ilvl w:val="1"/>
          <w:numId w:val="27"/>
        </w:numPr>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19" w:name="_Toc102217652"/>
      <w:r w:rsidRPr="0052326C">
        <w:rPr>
          <w:rFonts w:ascii="Times New Roman" w:eastAsia="Arial" w:hAnsi="Times New Roman"/>
          <w:b/>
          <w:color w:val="auto"/>
          <w:spacing w:val="0"/>
          <w:sz w:val="22"/>
          <w:szCs w:val="22"/>
          <w:lang w:eastAsia="en-US"/>
        </w:rPr>
        <w:t>Policy priorities for the Electoral Commission for 2022/2023</w:t>
      </w:r>
      <w:bookmarkEnd w:id="19"/>
    </w:p>
    <w:p w14:paraId="72A359CC"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7FB8EC41" w14:textId="3E543642"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For the 2020 to 2025 Medium Term Strategic Framework (MTSF), the IEC focuses on the following key policy priorities:</w:t>
      </w:r>
    </w:p>
    <w:p w14:paraId="744C883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3711FFD8" w14:textId="77777777" w:rsidR="0052326C" w:rsidRPr="0052326C" w:rsidRDefault="0052326C" w:rsidP="00CB4303">
      <w:pPr>
        <w:widowControl w:val="0"/>
        <w:numPr>
          <w:ilvl w:val="0"/>
          <w:numId w:val="9"/>
        </w:numPr>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Strengthen the regulatory space in relation to the requirements for electoral participation;</w:t>
      </w:r>
    </w:p>
    <w:p w14:paraId="4890C9ED" w14:textId="77777777" w:rsidR="0052326C" w:rsidRPr="0052326C" w:rsidRDefault="0052326C" w:rsidP="00CB4303">
      <w:pPr>
        <w:widowControl w:val="0"/>
        <w:numPr>
          <w:ilvl w:val="0"/>
          <w:numId w:val="9"/>
        </w:numPr>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Place South Africa’s electoral democracy on the cutting edge of digital innovation with a view to increase voter convenience;</w:t>
      </w:r>
    </w:p>
    <w:p w14:paraId="759F555F" w14:textId="77777777" w:rsidR="0052326C" w:rsidRPr="0052326C" w:rsidRDefault="0052326C" w:rsidP="00CB4303">
      <w:pPr>
        <w:widowControl w:val="0"/>
        <w:numPr>
          <w:ilvl w:val="0"/>
          <w:numId w:val="9"/>
        </w:numPr>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 xml:space="preserve">Increase public confidence in electoral outcomes; </w:t>
      </w:r>
    </w:p>
    <w:p w14:paraId="7C9B1A44" w14:textId="77777777" w:rsidR="0052326C" w:rsidRPr="0052326C" w:rsidRDefault="0052326C" w:rsidP="00CB4303">
      <w:pPr>
        <w:widowControl w:val="0"/>
        <w:numPr>
          <w:ilvl w:val="0"/>
          <w:numId w:val="9"/>
        </w:numPr>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Work with partners in electoral democracy to increase voter participation, especially among the youth;</w:t>
      </w:r>
    </w:p>
    <w:p w14:paraId="654B8D2D" w14:textId="77777777" w:rsidR="0052326C" w:rsidRPr="0052326C" w:rsidRDefault="0052326C" w:rsidP="00CB4303">
      <w:pPr>
        <w:widowControl w:val="0"/>
        <w:numPr>
          <w:ilvl w:val="0"/>
          <w:numId w:val="9"/>
        </w:numPr>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Assess the viability of composite elections in the Republic; and</w:t>
      </w:r>
    </w:p>
    <w:p w14:paraId="1E73D589" w14:textId="77777777" w:rsidR="0052326C" w:rsidRPr="0052326C" w:rsidRDefault="0052326C" w:rsidP="00CB4303">
      <w:pPr>
        <w:widowControl w:val="0"/>
        <w:numPr>
          <w:ilvl w:val="0"/>
          <w:numId w:val="9"/>
        </w:numPr>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 xml:space="preserve">Anticipate and provide advice in relation to the national policy debate on the electoral system. </w:t>
      </w:r>
    </w:p>
    <w:p w14:paraId="5CD3A89B"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3EF83938" w14:textId="1E3363EC" w:rsid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In line with the constitution, legislation and the MTSF priority areas, the IEC has developed several strategic outcome-oriented goals in order to ensure delivery in terms of these priority areas. The following are the entity’s four strategic outcomes:</w:t>
      </w:r>
    </w:p>
    <w:p w14:paraId="348D04B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p>
    <w:p w14:paraId="4FF316EC" w14:textId="77777777" w:rsidR="0052326C" w:rsidRPr="0052326C" w:rsidRDefault="0052326C" w:rsidP="00CB4303">
      <w:pPr>
        <w:pStyle w:val="ListParagraph"/>
        <w:widowControl w:val="0"/>
        <w:numPr>
          <w:ilvl w:val="0"/>
          <w:numId w:val="9"/>
        </w:numPr>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lastRenderedPageBreak/>
        <w:t>Strengthened institutional effectiveness;</w:t>
      </w:r>
    </w:p>
    <w:p w14:paraId="3BC34E9A" w14:textId="77777777" w:rsidR="0052326C" w:rsidRPr="0052326C" w:rsidRDefault="0052326C" w:rsidP="00CB4303">
      <w:pPr>
        <w:pStyle w:val="ListParagraph"/>
        <w:widowControl w:val="0"/>
        <w:numPr>
          <w:ilvl w:val="0"/>
          <w:numId w:val="9"/>
        </w:numPr>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Free and fair elections of representatives delivered;</w:t>
      </w:r>
    </w:p>
    <w:p w14:paraId="327A36EB" w14:textId="77777777" w:rsidR="0052326C" w:rsidRDefault="0052326C" w:rsidP="00CB4303">
      <w:pPr>
        <w:pStyle w:val="ListParagraph"/>
        <w:widowControl w:val="0"/>
        <w:numPr>
          <w:ilvl w:val="0"/>
          <w:numId w:val="9"/>
        </w:numPr>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Informed and engaged citizens and stakeholders in electoral democracy; and</w:t>
      </w:r>
    </w:p>
    <w:p w14:paraId="53B7FD4C" w14:textId="2236FC4F" w:rsidR="0052326C" w:rsidRPr="0052326C" w:rsidRDefault="0052326C" w:rsidP="00CB4303">
      <w:pPr>
        <w:pStyle w:val="ListParagraph"/>
        <w:widowControl w:val="0"/>
        <w:numPr>
          <w:ilvl w:val="0"/>
          <w:numId w:val="9"/>
        </w:numPr>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Contributed to the enhancement of the transparency in elections and party funding.</w:t>
      </w:r>
    </w:p>
    <w:p w14:paraId="01BC4CB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F3E8BB1" w14:textId="1EEE1E9F" w:rsidR="0052326C" w:rsidRPr="0052326C" w:rsidRDefault="0052326C" w:rsidP="00CB4303">
      <w:pPr>
        <w:pStyle w:val="ListParagraph"/>
        <w:widowControl w:val="0"/>
        <w:numPr>
          <w:ilvl w:val="1"/>
          <w:numId w:val="27"/>
        </w:numPr>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0" w:name="_Toc102217653"/>
      <w:r w:rsidRPr="0052326C">
        <w:rPr>
          <w:rFonts w:ascii="Times New Roman" w:eastAsia="Arial" w:hAnsi="Times New Roman"/>
          <w:b/>
          <w:color w:val="auto"/>
          <w:spacing w:val="0"/>
          <w:sz w:val="22"/>
          <w:szCs w:val="22"/>
          <w:lang w:eastAsia="en-US"/>
        </w:rPr>
        <w:t>Overview of the Electoral Commission performance during 2020/21</w:t>
      </w:r>
      <w:bookmarkEnd w:id="20"/>
    </w:p>
    <w:p w14:paraId="7D81E5C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7B5A0E3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Cs/>
          <w:color w:val="auto"/>
          <w:spacing w:val="0"/>
          <w:sz w:val="22"/>
          <w:szCs w:val="22"/>
          <w:lang w:eastAsia="en-US"/>
        </w:rPr>
      </w:pPr>
      <w:r w:rsidRPr="0052326C">
        <w:rPr>
          <w:rFonts w:ascii="Times New Roman" w:eastAsia="Arial" w:hAnsi="Times New Roman"/>
          <w:bCs/>
          <w:color w:val="auto"/>
          <w:spacing w:val="0"/>
          <w:sz w:val="22"/>
          <w:szCs w:val="22"/>
          <w:lang w:eastAsia="en-US"/>
        </w:rPr>
        <w:t>The IEC’s performance for the 2021/2022 financial year will be contained in its Annual Report, which is expected to be tabled in Parliament in September 2022. Therefore, a brief overview of the performance of the IEC for 2020/21 is provided below.</w:t>
      </w:r>
    </w:p>
    <w:p w14:paraId="48E1247C"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Cs/>
          <w:color w:val="auto"/>
          <w:spacing w:val="0"/>
          <w:sz w:val="22"/>
          <w:szCs w:val="22"/>
          <w:lang w:eastAsia="en-US"/>
        </w:rPr>
      </w:pPr>
    </w:p>
    <w:p w14:paraId="0041794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Cs/>
          <w:color w:val="auto"/>
          <w:spacing w:val="0"/>
          <w:sz w:val="22"/>
          <w:szCs w:val="22"/>
          <w:lang w:eastAsia="en-US"/>
        </w:rPr>
      </w:pPr>
      <w:r w:rsidRPr="0052326C">
        <w:rPr>
          <w:rFonts w:ascii="Times New Roman" w:eastAsia="Arial" w:hAnsi="Times New Roman"/>
          <w:bCs/>
          <w:color w:val="auto"/>
          <w:spacing w:val="0"/>
          <w:sz w:val="22"/>
          <w:szCs w:val="22"/>
          <w:lang w:eastAsia="en-US"/>
        </w:rPr>
        <w:t>Tracking the progress on set targets and strategic goals (outputs) of the entity is essential to determine how well it functions in attaining constitutional and legislative mandates for the benefit of society. Providing this snapshot overview assists Parliament with information to hold the Electoral Commission executives accountable, where omissions or underperformance are identified.</w:t>
      </w:r>
    </w:p>
    <w:p w14:paraId="5A0DF61A" w14:textId="5180A8C6"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Cs/>
          <w:color w:val="auto"/>
          <w:spacing w:val="0"/>
          <w:sz w:val="22"/>
          <w:szCs w:val="22"/>
          <w:lang w:eastAsia="en-US"/>
        </w:rPr>
      </w:pPr>
    </w:p>
    <w:p w14:paraId="64A7168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1" w:name="_Toc102217654"/>
      <w:r w:rsidRPr="0052326C">
        <w:rPr>
          <w:rFonts w:ascii="Times New Roman" w:eastAsia="Arial" w:hAnsi="Times New Roman"/>
          <w:b/>
          <w:color w:val="auto"/>
          <w:spacing w:val="0"/>
          <w:sz w:val="22"/>
          <w:szCs w:val="22"/>
          <w:lang w:eastAsia="en-US"/>
        </w:rPr>
        <w:t>The Electoral Commission 2020/21 Performance</w:t>
      </w:r>
      <w:bookmarkEnd w:id="21"/>
    </w:p>
    <w:p w14:paraId="791896D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3F5F3608"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The table below provides an overview of the IEC performance during 2020/21. This section should indicate the IEC’s capacity and ability to achieve its set targets for the financial year.</w:t>
      </w:r>
    </w:p>
    <w:p w14:paraId="42A8A3D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AA2BEF5" w14:textId="7BF5F648"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r w:rsidRPr="0052326C">
        <w:rPr>
          <w:rFonts w:ascii="Times New Roman" w:eastAsia="Arial" w:hAnsi="Times New Roman"/>
          <w:b/>
          <w:color w:val="auto"/>
          <w:spacing w:val="0"/>
          <w:sz w:val="22"/>
          <w:szCs w:val="22"/>
          <w:lang w:eastAsia="en-US"/>
        </w:rPr>
        <w:t>Table 1: The IEC Annual Target Performance for 2020/21</w:t>
      </w:r>
    </w:p>
    <w:tbl>
      <w:tblPr>
        <w:tblpPr w:leftFromText="180" w:rightFromText="180" w:vertAnchor="text" w:horzAnchor="margin" w:tblpY="54"/>
        <w:tblW w:w="10071" w:type="dxa"/>
        <w:tblLook w:val="04A0" w:firstRow="1" w:lastRow="0" w:firstColumn="1" w:lastColumn="0" w:noHBand="0" w:noVBand="1"/>
      </w:tblPr>
      <w:tblGrid>
        <w:gridCol w:w="1770"/>
        <w:gridCol w:w="3508"/>
        <w:gridCol w:w="1111"/>
        <w:gridCol w:w="1279"/>
        <w:gridCol w:w="1177"/>
        <w:gridCol w:w="1226"/>
      </w:tblGrid>
      <w:tr w:rsidR="0052326C" w:rsidRPr="0052326C" w14:paraId="66369904" w14:textId="77777777" w:rsidTr="0052326C">
        <w:trPr>
          <w:trHeight w:val="702"/>
        </w:trPr>
        <w:tc>
          <w:tcPr>
            <w:tcW w:w="177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08491E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Programme</w:t>
            </w:r>
          </w:p>
        </w:tc>
        <w:tc>
          <w:tcPr>
            <w:tcW w:w="35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8DDF6A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Strategic Outcome-oriented Goal</w:t>
            </w:r>
          </w:p>
        </w:tc>
        <w:tc>
          <w:tcPr>
            <w:tcW w:w="111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752C2F4" w14:textId="44960B33" w:rsid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bCs/>
                <w:color w:val="auto"/>
                <w:spacing w:val="0"/>
                <w:sz w:val="22"/>
                <w:szCs w:val="22"/>
                <w:lang w:eastAsia="en-US"/>
              </w:rPr>
            </w:pPr>
            <w:r>
              <w:rPr>
                <w:rFonts w:ascii="Times New Roman" w:eastAsia="Arial" w:hAnsi="Times New Roman"/>
                <w:b/>
                <w:bCs/>
                <w:color w:val="auto"/>
                <w:spacing w:val="0"/>
                <w:sz w:val="22"/>
                <w:szCs w:val="22"/>
                <w:lang w:eastAsia="en-US"/>
              </w:rPr>
              <w:t>Target</w:t>
            </w:r>
          </w:p>
          <w:p w14:paraId="264D27B0" w14:textId="2F684CFE"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Pr>
                <w:rFonts w:ascii="Times New Roman" w:eastAsia="Arial" w:hAnsi="Times New Roman"/>
                <w:b/>
                <w:bCs/>
                <w:color w:val="auto"/>
                <w:spacing w:val="0"/>
                <w:sz w:val="22"/>
                <w:szCs w:val="22"/>
                <w:lang w:eastAsia="en-US"/>
              </w:rPr>
              <w:t>number</w:t>
            </w:r>
          </w:p>
        </w:tc>
        <w:tc>
          <w:tcPr>
            <w:tcW w:w="128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8F8406F" w14:textId="244CC162"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 xml:space="preserve"> target</w:t>
            </w:r>
            <w:r>
              <w:rPr>
                <w:rFonts w:ascii="Times New Roman" w:eastAsia="Arial" w:hAnsi="Times New Roman"/>
                <w:b/>
                <w:bCs/>
                <w:color w:val="auto"/>
                <w:spacing w:val="0"/>
                <w:sz w:val="22"/>
                <w:szCs w:val="22"/>
                <w:lang w:eastAsia="en-US"/>
              </w:rPr>
              <w:t>s</w:t>
            </w:r>
            <w:r w:rsidRPr="0052326C">
              <w:rPr>
                <w:rFonts w:ascii="Times New Roman" w:eastAsia="Arial" w:hAnsi="Times New Roman"/>
                <w:b/>
                <w:bCs/>
                <w:color w:val="auto"/>
                <w:spacing w:val="0"/>
                <w:sz w:val="22"/>
                <w:szCs w:val="22"/>
                <w:lang w:eastAsia="en-US"/>
              </w:rPr>
              <w:t xml:space="preserve"> achieved </w:t>
            </w:r>
          </w:p>
        </w:tc>
        <w:tc>
          <w:tcPr>
            <w:tcW w:w="11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6CCD6B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not achieved</w:t>
            </w:r>
          </w:p>
        </w:tc>
        <w:tc>
          <w:tcPr>
            <w:tcW w:w="11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B54FB3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Achieved</w:t>
            </w:r>
          </w:p>
        </w:tc>
      </w:tr>
      <w:tr w:rsidR="0052326C" w:rsidRPr="0052326C" w14:paraId="750536B6" w14:textId="77777777" w:rsidTr="0052326C">
        <w:trPr>
          <w:trHeight w:val="1039"/>
        </w:trPr>
        <w:tc>
          <w:tcPr>
            <w:tcW w:w="177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7990A1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Programme 1:</w:t>
            </w:r>
          </w:p>
          <w:p w14:paraId="2524F3D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Administration</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A5C2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Goal 1: Strengthening governance, institutional excellence, professionalism and enabling business processes at all levels of the organisation</w:t>
            </w:r>
          </w:p>
        </w:tc>
        <w:tc>
          <w:tcPr>
            <w:tcW w:w="1115" w:type="dxa"/>
            <w:tcBorders>
              <w:top w:val="single" w:sz="4" w:space="0" w:color="auto"/>
              <w:left w:val="single" w:sz="4" w:space="0" w:color="auto"/>
              <w:bottom w:val="single" w:sz="4" w:space="0" w:color="auto"/>
              <w:right w:val="single" w:sz="4" w:space="0" w:color="auto"/>
            </w:tcBorders>
            <w:hideMark/>
          </w:tcPr>
          <w:p w14:paraId="439D81E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4</w:t>
            </w:r>
          </w:p>
        </w:tc>
        <w:tc>
          <w:tcPr>
            <w:tcW w:w="1281" w:type="dxa"/>
            <w:tcBorders>
              <w:top w:val="single" w:sz="4" w:space="0" w:color="auto"/>
              <w:left w:val="single" w:sz="4" w:space="0" w:color="auto"/>
              <w:bottom w:val="single" w:sz="4" w:space="0" w:color="auto"/>
              <w:right w:val="single" w:sz="4" w:space="0" w:color="auto"/>
            </w:tcBorders>
            <w:hideMark/>
          </w:tcPr>
          <w:p w14:paraId="0C8E71C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val="en-US" w:eastAsia="en-US"/>
              </w:rPr>
              <w:t>3</w:t>
            </w:r>
          </w:p>
        </w:tc>
        <w:tc>
          <w:tcPr>
            <w:tcW w:w="1158" w:type="dxa"/>
            <w:tcBorders>
              <w:top w:val="single" w:sz="4" w:space="0" w:color="auto"/>
              <w:left w:val="single" w:sz="4" w:space="0" w:color="auto"/>
              <w:bottom w:val="single" w:sz="4" w:space="0" w:color="auto"/>
              <w:right w:val="single" w:sz="4" w:space="0" w:color="auto"/>
            </w:tcBorders>
            <w:hideMark/>
          </w:tcPr>
          <w:p w14:paraId="4FAFFC3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val="en-US" w:eastAsia="en-US"/>
              </w:rPr>
              <w:t>1</w:t>
            </w:r>
          </w:p>
        </w:tc>
        <w:tc>
          <w:tcPr>
            <w:tcW w:w="1195" w:type="dxa"/>
            <w:tcBorders>
              <w:top w:val="single" w:sz="4" w:space="0" w:color="auto"/>
              <w:left w:val="single" w:sz="4" w:space="0" w:color="auto"/>
              <w:bottom w:val="single" w:sz="4" w:space="0" w:color="auto"/>
              <w:right w:val="single" w:sz="4" w:space="0" w:color="auto"/>
            </w:tcBorders>
            <w:hideMark/>
          </w:tcPr>
          <w:p w14:paraId="2D6ACB4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75%</w:t>
            </w:r>
          </w:p>
        </w:tc>
      </w:tr>
      <w:tr w:rsidR="0052326C" w:rsidRPr="0052326C" w14:paraId="277C1B2C" w14:textId="77777777" w:rsidTr="0052326C">
        <w:trPr>
          <w:trHeight w:val="1345"/>
        </w:trPr>
        <w:tc>
          <w:tcPr>
            <w:tcW w:w="177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410CEB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Programme 2:</w:t>
            </w:r>
          </w:p>
          <w:p w14:paraId="73D814C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Electoral Operations</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21A9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 xml:space="preserve">Goal 2: Achieving pre-eminence in the area of managing elections and referenda, including the strengthening of a cooperative relationship with political parties. </w:t>
            </w:r>
          </w:p>
        </w:tc>
        <w:tc>
          <w:tcPr>
            <w:tcW w:w="1115" w:type="dxa"/>
            <w:tcBorders>
              <w:top w:val="single" w:sz="4" w:space="0" w:color="auto"/>
              <w:left w:val="single" w:sz="4" w:space="0" w:color="auto"/>
              <w:bottom w:val="single" w:sz="4" w:space="0" w:color="auto"/>
              <w:right w:val="single" w:sz="4" w:space="0" w:color="auto"/>
            </w:tcBorders>
            <w:hideMark/>
          </w:tcPr>
          <w:p w14:paraId="3CE3F0D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3</w:t>
            </w:r>
          </w:p>
        </w:tc>
        <w:tc>
          <w:tcPr>
            <w:tcW w:w="1281" w:type="dxa"/>
            <w:tcBorders>
              <w:top w:val="single" w:sz="4" w:space="0" w:color="auto"/>
              <w:left w:val="single" w:sz="4" w:space="0" w:color="auto"/>
              <w:bottom w:val="single" w:sz="4" w:space="0" w:color="auto"/>
              <w:right w:val="single" w:sz="4" w:space="0" w:color="auto"/>
            </w:tcBorders>
            <w:hideMark/>
          </w:tcPr>
          <w:p w14:paraId="0F9B7952"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val="en-US" w:eastAsia="en-US"/>
              </w:rPr>
              <w:t>1</w:t>
            </w:r>
          </w:p>
        </w:tc>
        <w:tc>
          <w:tcPr>
            <w:tcW w:w="1158" w:type="dxa"/>
            <w:tcBorders>
              <w:top w:val="single" w:sz="4" w:space="0" w:color="auto"/>
              <w:left w:val="single" w:sz="4" w:space="0" w:color="auto"/>
              <w:bottom w:val="single" w:sz="4" w:space="0" w:color="auto"/>
              <w:right w:val="single" w:sz="4" w:space="0" w:color="auto"/>
            </w:tcBorders>
            <w:hideMark/>
          </w:tcPr>
          <w:p w14:paraId="5A89F30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val="en-US" w:eastAsia="en-US"/>
              </w:rPr>
              <w:t>2</w:t>
            </w:r>
          </w:p>
        </w:tc>
        <w:tc>
          <w:tcPr>
            <w:tcW w:w="1195" w:type="dxa"/>
            <w:tcBorders>
              <w:top w:val="single" w:sz="4" w:space="0" w:color="auto"/>
              <w:left w:val="single" w:sz="4" w:space="0" w:color="auto"/>
              <w:bottom w:val="single" w:sz="4" w:space="0" w:color="auto"/>
              <w:right w:val="single" w:sz="4" w:space="0" w:color="auto"/>
            </w:tcBorders>
            <w:hideMark/>
          </w:tcPr>
          <w:p w14:paraId="793CAB1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33%</w:t>
            </w:r>
          </w:p>
        </w:tc>
      </w:tr>
      <w:tr w:rsidR="0052326C" w:rsidRPr="0052326C" w14:paraId="25E5C5C1" w14:textId="77777777" w:rsidTr="0052326C">
        <w:trPr>
          <w:trHeight w:val="35"/>
        </w:trPr>
        <w:tc>
          <w:tcPr>
            <w:tcW w:w="177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F2B390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Programme 3:</w:t>
            </w:r>
          </w:p>
          <w:p w14:paraId="1837BDC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Outreach</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834E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Goal 3: Strengthening electoral democracy</w:t>
            </w:r>
          </w:p>
        </w:tc>
        <w:tc>
          <w:tcPr>
            <w:tcW w:w="1115" w:type="dxa"/>
            <w:tcBorders>
              <w:top w:val="single" w:sz="4" w:space="0" w:color="auto"/>
              <w:left w:val="single" w:sz="4" w:space="0" w:color="auto"/>
              <w:bottom w:val="single" w:sz="4" w:space="0" w:color="auto"/>
              <w:right w:val="single" w:sz="4" w:space="0" w:color="auto"/>
            </w:tcBorders>
            <w:hideMark/>
          </w:tcPr>
          <w:p w14:paraId="7792C2A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val="en-US" w:eastAsia="en-US"/>
              </w:rPr>
              <w:t>5</w:t>
            </w:r>
          </w:p>
        </w:tc>
        <w:tc>
          <w:tcPr>
            <w:tcW w:w="1281" w:type="dxa"/>
            <w:tcBorders>
              <w:top w:val="single" w:sz="4" w:space="0" w:color="auto"/>
              <w:left w:val="single" w:sz="4" w:space="0" w:color="auto"/>
              <w:bottom w:val="single" w:sz="4" w:space="0" w:color="auto"/>
              <w:right w:val="single" w:sz="4" w:space="0" w:color="auto"/>
            </w:tcBorders>
            <w:hideMark/>
          </w:tcPr>
          <w:p w14:paraId="5441A19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val="en-US" w:eastAsia="en-US"/>
              </w:rPr>
              <w:t>3</w:t>
            </w:r>
          </w:p>
        </w:tc>
        <w:tc>
          <w:tcPr>
            <w:tcW w:w="1158" w:type="dxa"/>
            <w:tcBorders>
              <w:top w:val="single" w:sz="4" w:space="0" w:color="auto"/>
              <w:left w:val="single" w:sz="4" w:space="0" w:color="auto"/>
              <w:bottom w:val="single" w:sz="4" w:space="0" w:color="auto"/>
              <w:right w:val="single" w:sz="4" w:space="0" w:color="auto"/>
            </w:tcBorders>
            <w:hideMark/>
          </w:tcPr>
          <w:p w14:paraId="74E0BE2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val="en-US" w:eastAsia="en-US"/>
              </w:rPr>
              <w:t>2</w:t>
            </w:r>
          </w:p>
        </w:tc>
        <w:tc>
          <w:tcPr>
            <w:tcW w:w="1195" w:type="dxa"/>
            <w:tcBorders>
              <w:top w:val="single" w:sz="4" w:space="0" w:color="auto"/>
              <w:left w:val="single" w:sz="4" w:space="0" w:color="auto"/>
              <w:bottom w:val="single" w:sz="4" w:space="0" w:color="auto"/>
              <w:right w:val="single" w:sz="4" w:space="0" w:color="auto"/>
            </w:tcBorders>
            <w:hideMark/>
          </w:tcPr>
          <w:p w14:paraId="6CEB9CA8"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70%</w:t>
            </w:r>
          </w:p>
        </w:tc>
      </w:tr>
      <w:tr w:rsidR="0052326C" w:rsidRPr="0052326C" w14:paraId="1A41D276" w14:textId="77777777" w:rsidTr="0052326C">
        <w:trPr>
          <w:trHeight w:val="35"/>
        </w:trPr>
        <w:tc>
          <w:tcPr>
            <w:tcW w:w="177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E0462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Programme 4:</w:t>
            </w:r>
          </w:p>
          <w:p w14:paraId="08F0BD4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bCs/>
                <w:color w:val="auto"/>
                <w:spacing w:val="0"/>
                <w:sz w:val="22"/>
                <w:szCs w:val="22"/>
                <w:lang w:eastAsia="en-US"/>
              </w:rPr>
            </w:pPr>
            <w:r w:rsidRPr="0052326C">
              <w:rPr>
                <w:rFonts w:ascii="Times New Roman" w:eastAsia="Arial" w:hAnsi="Times New Roman"/>
                <w:b/>
                <w:bCs/>
                <w:color w:val="auto"/>
                <w:spacing w:val="0"/>
                <w:sz w:val="22"/>
                <w:szCs w:val="22"/>
                <w:lang w:eastAsia="en-US"/>
              </w:rPr>
              <w:t>Party Funding</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69A4F1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Cs/>
                <w:color w:val="auto"/>
                <w:spacing w:val="0"/>
                <w:sz w:val="22"/>
                <w:szCs w:val="22"/>
                <w:lang w:eastAsia="en-US"/>
              </w:rPr>
              <w:t>Goal 4: Contribute to the enhancement of transparency in elections and party funding</w:t>
            </w:r>
            <w:r w:rsidRPr="0052326C">
              <w:rPr>
                <w:rFonts w:ascii="Times New Roman" w:eastAsia="Arial" w:hAnsi="Times New Roman"/>
                <w:color w:val="auto"/>
                <w:spacing w:val="0"/>
                <w:sz w:val="22"/>
                <w:szCs w:val="22"/>
                <w:lang w:eastAsia="en-US"/>
              </w:rPr>
              <w:t xml:space="preserve"> democracy</w:t>
            </w:r>
          </w:p>
        </w:tc>
        <w:tc>
          <w:tcPr>
            <w:tcW w:w="1115" w:type="dxa"/>
            <w:tcBorders>
              <w:top w:val="single" w:sz="4" w:space="0" w:color="auto"/>
              <w:left w:val="single" w:sz="4" w:space="0" w:color="auto"/>
              <w:bottom w:val="single" w:sz="4" w:space="0" w:color="auto"/>
              <w:right w:val="single" w:sz="4" w:space="0" w:color="auto"/>
            </w:tcBorders>
          </w:tcPr>
          <w:p w14:paraId="38D920B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US" w:eastAsia="en-US"/>
              </w:rPr>
            </w:pPr>
            <w:r w:rsidRPr="0052326C">
              <w:rPr>
                <w:rFonts w:ascii="Times New Roman" w:eastAsia="Arial" w:hAnsi="Times New Roman"/>
                <w:color w:val="auto"/>
                <w:spacing w:val="0"/>
                <w:sz w:val="22"/>
                <w:szCs w:val="22"/>
                <w:lang w:val="en-US" w:eastAsia="en-US"/>
              </w:rPr>
              <w:t>2</w:t>
            </w:r>
          </w:p>
        </w:tc>
        <w:tc>
          <w:tcPr>
            <w:tcW w:w="1281" w:type="dxa"/>
            <w:tcBorders>
              <w:top w:val="single" w:sz="4" w:space="0" w:color="auto"/>
              <w:left w:val="single" w:sz="4" w:space="0" w:color="auto"/>
              <w:bottom w:val="single" w:sz="4" w:space="0" w:color="auto"/>
              <w:right w:val="single" w:sz="4" w:space="0" w:color="auto"/>
            </w:tcBorders>
          </w:tcPr>
          <w:p w14:paraId="7CC7D90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US" w:eastAsia="en-US"/>
              </w:rPr>
            </w:pPr>
            <w:r w:rsidRPr="0052326C">
              <w:rPr>
                <w:rFonts w:ascii="Times New Roman" w:eastAsia="Arial" w:hAnsi="Times New Roman"/>
                <w:color w:val="auto"/>
                <w:spacing w:val="0"/>
                <w:sz w:val="22"/>
                <w:szCs w:val="22"/>
                <w:lang w:val="en-US" w:eastAsia="en-US"/>
              </w:rPr>
              <w:t>2</w:t>
            </w:r>
          </w:p>
        </w:tc>
        <w:tc>
          <w:tcPr>
            <w:tcW w:w="1158" w:type="dxa"/>
            <w:tcBorders>
              <w:top w:val="single" w:sz="4" w:space="0" w:color="auto"/>
              <w:left w:val="single" w:sz="4" w:space="0" w:color="auto"/>
              <w:bottom w:val="single" w:sz="4" w:space="0" w:color="auto"/>
              <w:right w:val="single" w:sz="4" w:space="0" w:color="auto"/>
            </w:tcBorders>
          </w:tcPr>
          <w:p w14:paraId="19DDBA4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US" w:eastAsia="en-US"/>
              </w:rPr>
            </w:pPr>
            <w:r w:rsidRPr="0052326C">
              <w:rPr>
                <w:rFonts w:ascii="Times New Roman" w:eastAsia="Arial" w:hAnsi="Times New Roman"/>
                <w:color w:val="auto"/>
                <w:spacing w:val="0"/>
                <w:sz w:val="22"/>
                <w:szCs w:val="22"/>
                <w:lang w:val="en-US" w:eastAsia="en-US"/>
              </w:rPr>
              <w:t>0</w:t>
            </w:r>
          </w:p>
        </w:tc>
        <w:tc>
          <w:tcPr>
            <w:tcW w:w="1195" w:type="dxa"/>
            <w:tcBorders>
              <w:top w:val="single" w:sz="4" w:space="0" w:color="auto"/>
              <w:left w:val="single" w:sz="4" w:space="0" w:color="auto"/>
              <w:bottom w:val="single" w:sz="4" w:space="0" w:color="auto"/>
              <w:right w:val="single" w:sz="4" w:space="0" w:color="auto"/>
            </w:tcBorders>
          </w:tcPr>
          <w:p w14:paraId="6A3F523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100%</w:t>
            </w:r>
          </w:p>
        </w:tc>
      </w:tr>
      <w:tr w:rsidR="0052326C" w:rsidRPr="0052326C" w14:paraId="5E38D617" w14:textId="77777777" w:rsidTr="0052326C">
        <w:trPr>
          <w:trHeight w:val="561"/>
        </w:trPr>
        <w:tc>
          <w:tcPr>
            <w:tcW w:w="532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A33C178"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Total</w:t>
            </w:r>
          </w:p>
        </w:tc>
        <w:tc>
          <w:tcPr>
            <w:tcW w:w="1115" w:type="dxa"/>
            <w:tcBorders>
              <w:top w:val="single" w:sz="4" w:space="0" w:color="auto"/>
              <w:left w:val="single" w:sz="4" w:space="0" w:color="auto"/>
              <w:bottom w:val="single" w:sz="4" w:space="0" w:color="auto"/>
              <w:right w:val="single" w:sz="4" w:space="0" w:color="auto"/>
            </w:tcBorders>
            <w:hideMark/>
          </w:tcPr>
          <w:p w14:paraId="5E92192B"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val="en-US" w:eastAsia="en-US"/>
              </w:rPr>
              <w:t>13</w:t>
            </w:r>
          </w:p>
        </w:tc>
        <w:tc>
          <w:tcPr>
            <w:tcW w:w="1281" w:type="dxa"/>
            <w:tcBorders>
              <w:top w:val="single" w:sz="4" w:space="0" w:color="auto"/>
              <w:left w:val="single" w:sz="4" w:space="0" w:color="auto"/>
              <w:bottom w:val="single" w:sz="4" w:space="0" w:color="auto"/>
              <w:right w:val="single" w:sz="4" w:space="0" w:color="auto"/>
            </w:tcBorders>
            <w:hideMark/>
          </w:tcPr>
          <w:p w14:paraId="25DC7B2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9</w:t>
            </w:r>
          </w:p>
        </w:tc>
        <w:tc>
          <w:tcPr>
            <w:tcW w:w="1158" w:type="dxa"/>
            <w:tcBorders>
              <w:top w:val="single" w:sz="4" w:space="0" w:color="auto"/>
              <w:left w:val="single" w:sz="4" w:space="0" w:color="auto"/>
              <w:bottom w:val="single" w:sz="4" w:space="0" w:color="auto"/>
              <w:right w:val="single" w:sz="4" w:space="0" w:color="auto"/>
            </w:tcBorders>
            <w:hideMark/>
          </w:tcPr>
          <w:p w14:paraId="166CB28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val="en-US" w:eastAsia="en-US"/>
              </w:rPr>
              <w:t>5</w:t>
            </w:r>
          </w:p>
        </w:tc>
        <w:tc>
          <w:tcPr>
            <w:tcW w:w="1195" w:type="dxa"/>
            <w:tcBorders>
              <w:top w:val="single" w:sz="4" w:space="0" w:color="auto"/>
              <w:left w:val="single" w:sz="4" w:space="0" w:color="auto"/>
              <w:bottom w:val="single" w:sz="4" w:space="0" w:color="auto"/>
              <w:right w:val="single" w:sz="4" w:space="0" w:color="auto"/>
            </w:tcBorders>
            <w:hideMark/>
          </w:tcPr>
          <w:p w14:paraId="6308A89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bCs/>
                <w:color w:val="auto"/>
                <w:spacing w:val="0"/>
                <w:sz w:val="22"/>
                <w:szCs w:val="22"/>
                <w:lang w:eastAsia="en-US"/>
              </w:rPr>
              <w:t>69%</w:t>
            </w:r>
          </w:p>
        </w:tc>
      </w:tr>
    </w:tbl>
    <w:p w14:paraId="457A086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75A0F4F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3AE18AC2"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 xml:space="preserve">The table above provides an overview of the IEC performance during 2020/21. During the year under review, the IEC set 13 annual performance targets over its four programmes. Of these total targets, it managed to achieve nine (9) annual targets, translating into an achievement rate of 69%. However, the IEC was not successful in delivering five (5) or 21% of its targets. The best performing programme was the Party Funding Programme, which achieved 100% of its targets. Programmes 1 and 3 achieved 75% and 60%, respectively. In contrast, Programme 2 (Electoral Operations) achieved only 1 (one) of its three targets, translating into 33% annual performance target achievement. </w:t>
      </w:r>
      <w:r w:rsidRPr="0052326C">
        <w:rPr>
          <w:rFonts w:ascii="Times New Roman" w:eastAsia="Arial" w:hAnsi="Times New Roman"/>
          <w:i/>
          <w:color w:val="auto"/>
          <w:spacing w:val="0"/>
          <w:sz w:val="22"/>
          <w:szCs w:val="22"/>
          <w:lang w:eastAsia="en-US"/>
        </w:rPr>
        <w:t>It should also be noted that the Severe Acute Respiratory Syndrome Coronavirus 2 (SARS-COV-2) commonly known as COVID-19 had significantly affected the year under review (2020/21), but in the main, the IEC annual target performance has been stagnant in the past five years as illustrated in figure 1.</w:t>
      </w:r>
    </w:p>
    <w:p w14:paraId="297FC96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r w:rsidRPr="0052326C">
        <w:rPr>
          <w:rFonts w:ascii="Times New Roman" w:eastAsia="Arial" w:hAnsi="Times New Roman"/>
          <w:b/>
          <w:color w:val="auto"/>
          <w:spacing w:val="0"/>
          <w:sz w:val="22"/>
          <w:szCs w:val="22"/>
          <w:lang w:eastAsia="en-US"/>
        </w:rPr>
        <w:lastRenderedPageBreak/>
        <w:t>Figure 1: Electoral Commission’s Annual Target performance (2016/17 to 2020/21)</w:t>
      </w:r>
    </w:p>
    <w:p w14:paraId="265D4F2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noProof/>
          <w:color w:val="auto"/>
          <w:spacing w:val="0"/>
          <w:sz w:val="22"/>
          <w:szCs w:val="22"/>
          <w:lang w:val="en-US" w:eastAsia="en-US"/>
        </w:rPr>
        <w:drawing>
          <wp:inline distT="0" distB="0" distL="0" distR="0" wp14:anchorId="046C8169" wp14:editId="51AD43B4">
            <wp:extent cx="6010275" cy="2304473"/>
            <wp:effectExtent l="0" t="0" r="9525"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B1640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Source, Adapted by Research Unit</w:t>
      </w:r>
    </w:p>
    <w:p w14:paraId="04564AF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7D87907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The figure above illustrates that the IEC’s overall performance has stagnated over the past five years, averaging 71.4 %. In the past five years, the entity’s best performance was in 2017/18 when it achieved 80%, and its lowest performance was during 2020/21 when it only achieved 69% of its set annual targets. The 2020/21 annual target performance shows a 5% decline compared to the previous financial year (2019/20).</w:t>
      </w:r>
    </w:p>
    <w:p w14:paraId="1ED6F7D4" w14:textId="4C962D89"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4F4FCEBB" w14:textId="7764EA2E" w:rsidR="0052326C" w:rsidRPr="0052326C" w:rsidRDefault="0052326C" w:rsidP="00CB4303">
      <w:pPr>
        <w:pStyle w:val="ListParagraph"/>
        <w:widowControl w:val="0"/>
        <w:numPr>
          <w:ilvl w:val="1"/>
          <w:numId w:val="27"/>
        </w:numPr>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2" w:name="_Toc102217655"/>
      <w:r w:rsidRPr="0052326C">
        <w:rPr>
          <w:rFonts w:ascii="Times New Roman" w:eastAsia="Arial" w:hAnsi="Times New Roman"/>
          <w:b/>
          <w:color w:val="auto"/>
          <w:spacing w:val="0"/>
          <w:sz w:val="22"/>
          <w:szCs w:val="22"/>
          <w:lang w:eastAsia="en-US"/>
        </w:rPr>
        <w:t xml:space="preserve">Summary and analysis of the </w:t>
      </w:r>
      <w:r>
        <w:rPr>
          <w:rFonts w:ascii="Times New Roman" w:eastAsia="Arial" w:hAnsi="Times New Roman"/>
          <w:b/>
          <w:color w:val="auto"/>
          <w:spacing w:val="0"/>
          <w:sz w:val="22"/>
          <w:szCs w:val="22"/>
          <w:lang w:eastAsia="en-US"/>
        </w:rPr>
        <w:t xml:space="preserve">IEC </w:t>
      </w:r>
      <w:r w:rsidRPr="0052326C">
        <w:rPr>
          <w:rFonts w:ascii="Times New Roman" w:eastAsia="Arial" w:hAnsi="Times New Roman"/>
          <w:b/>
          <w:color w:val="auto"/>
          <w:spacing w:val="0"/>
          <w:sz w:val="22"/>
          <w:szCs w:val="22"/>
          <w:lang w:eastAsia="en-US"/>
        </w:rPr>
        <w:t>2022/23 budget allocation per programme</w:t>
      </w:r>
      <w:bookmarkEnd w:id="22"/>
    </w:p>
    <w:p w14:paraId="43BABAD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6D9FB5CE" w14:textId="76CD18C6"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r w:rsidRPr="0052326C">
        <w:rPr>
          <w:rFonts w:ascii="Times New Roman" w:eastAsia="Arial" w:hAnsi="Times New Roman"/>
          <w:b/>
          <w:color w:val="auto"/>
          <w:spacing w:val="0"/>
          <w:sz w:val="22"/>
          <w:szCs w:val="22"/>
          <w:lang w:eastAsia="en-US"/>
        </w:rPr>
        <w:t>Table 2: IEC Budget Allocation 2022/23</w:t>
      </w:r>
    </w:p>
    <w:tbl>
      <w:tblPr>
        <w:tblStyle w:val="GridTable4-Accent3"/>
        <w:tblW w:w="0" w:type="auto"/>
        <w:tblLook w:val="04A0" w:firstRow="1" w:lastRow="0" w:firstColumn="1" w:lastColumn="0" w:noHBand="0" w:noVBand="1"/>
      </w:tblPr>
      <w:tblGrid>
        <w:gridCol w:w="2502"/>
        <w:gridCol w:w="617"/>
        <w:gridCol w:w="567"/>
        <w:gridCol w:w="1142"/>
        <w:gridCol w:w="1266"/>
        <w:gridCol w:w="1288"/>
        <w:gridCol w:w="131"/>
        <w:gridCol w:w="1104"/>
        <w:gridCol w:w="1080"/>
      </w:tblGrid>
      <w:tr w:rsidR="0052326C" w:rsidRPr="0052326C" w14:paraId="0E688296" w14:textId="77777777" w:rsidTr="0052326C">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502" w:type="dxa"/>
            <w:noWrap/>
            <w:hideMark/>
          </w:tcPr>
          <w:p w14:paraId="230E93E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Programme</w:t>
            </w:r>
          </w:p>
        </w:tc>
        <w:tc>
          <w:tcPr>
            <w:tcW w:w="2326" w:type="dxa"/>
            <w:gridSpan w:val="3"/>
            <w:hideMark/>
          </w:tcPr>
          <w:p w14:paraId="014CC656"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Budget</w:t>
            </w:r>
          </w:p>
        </w:tc>
        <w:tc>
          <w:tcPr>
            <w:tcW w:w="1266" w:type="dxa"/>
            <w:vMerge w:val="restart"/>
            <w:hideMark/>
          </w:tcPr>
          <w:p w14:paraId="7961744E"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Nominal Increase/ Decrease in 2022/23</w:t>
            </w:r>
          </w:p>
          <w:p w14:paraId="2AB7D4D7"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Rand)</w:t>
            </w:r>
          </w:p>
        </w:tc>
        <w:tc>
          <w:tcPr>
            <w:tcW w:w="1288" w:type="dxa"/>
            <w:vMerge w:val="restart"/>
            <w:hideMark/>
          </w:tcPr>
          <w:p w14:paraId="696D0EE6"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Real Increase/ Decrease in 2022/21</w:t>
            </w:r>
          </w:p>
          <w:p w14:paraId="17E182BF"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(Rand)</w:t>
            </w:r>
          </w:p>
        </w:tc>
        <w:tc>
          <w:tcPr>
            <w:tcW w:w="1235" w:type="dxa"/>
            <w:gridSpan w:val="2"/>
            <w:vMerge w:val="restart"/>
            <w:hideMark/>
          </w:tcPr>
          <w:p w14:paraId="41619029"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Nominal Percent change in 2022/23</w:t>
            </w:r>
          </w:p>
        </w:tc>
        <w:tc>
          <w:tcPr>
            <w:tcW w:w="1080" w:type="dxa"/>
            <w:vMerge w:val="restart"/>
            <w:hideMark/>
          </w:tcPr>
          <w:p w14:paraId="56E44644"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Real Percent change in 2022/23</w:t>
            </w:r>
          </w:p>
        </w:tc>
      </w:tr>
      <w:tr w:rsidR="0052326C" w:rsidRPr="0052326C" w14:paraId="216724C1" w14:textId="77777777" w:rsidTr="0052326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5A666CD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 xml:space="preserve">(R’000) </w:t>
            </w:r>
          </w:p>
        </w:tc>
        <w:tc>
          <w:tcPr>
            <w:tcW w:w="1184" w:type="dxa"/>
            <w:gridSpan w:val="2"/>
            <w:noWrap/>
            <w:hideMark/>
          </w:tcPr>
          <w:p w14:paraId="266A3E5C"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2021/22</w:t>
            </w:r>
          </w:p>
        </w:tc>
        <w:tc>
          <w:tcPr>
            <w:tcW w:w="1142" w:type="dxa"/>
            <w:noWrap/>
            <w:hideMark/>
          </w:tcPr>
          <w:p w14:paraId="54E7297C"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2022/23</w:t>
            </w:r>
          </w:p>
        </w:tc>
        <w:tc>
          <w:tcPr>
            <w:tcW w:w="1266" w:type="dxa"/>
            <w:vMerge/>
            <w:hideMark/>
          </w:tcPr>
          <w:p w14:paraId="432F60A0"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88" w:type="dxa"/>
            <w:vMerge/>
            <w:hideMark/>
          </w:tcPr>
          <w:p w14:paraId="0B9AA728"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35" w:type="dxa"/>
            <w:gridSpan w:val="2"/>
            <w:vMerge/>
            <w:hideMark/>
          </w:tcPr>
          <w:p w14:paraId="470B5284"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080" w:type="dxa"/>
            <w:vMerge/>
            <w:hideMark/>
          </w:tcPr>
          <w:p w14:paraId="18697982"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r>
      <w:tr w:rsidR="0052326C" w:rsidRPr="0052326C" w14:paraId="00B389BF" w14:textId="77777777" w:rsidTr="0052326C">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0CF9C04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Programme 1:Administration</w:t>
            </w:r>
          </w:p>
        </w:tc>
        <w:tc>
          <w:tcPr>
            <w:tcW w:w="1184" w:type="dxa"/>
            <w:gridSpan w:val="2"/>
            <w:noWrap/>
          </w:tcPr>
          <w:p w14:paraId="645143AB"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840,0</w:t>
            </w:r>
          </w:p>
        </w:tc>
        <w:tc>
          <w:tcPr>
            <w:tcW w:w="1142" w:type="dxa"/>
            <w:noWrap/>
          </w:tcPr>
          <w:p w14:paraId="1C9DF0F5"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838,9</w:t>
            </w:r>
          </w:p>
        </w:tc>
        <w:tc>
          <w:tcPr>
            <w:tcW w:w="1266" w:type="dxa"/>
            <w:noWrap/>
          </w:tcPr>
          <w:p w14:paraId="7231A7D0"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-1,1</w:t>
            </w:r>
          </w:p>
        </w:tc>
        <w:tc>
          <w:tcPr>
            <w:tcW w:w="1288" w:type="dxa"/>
            <w:noWrap/>
          </w:tcPr>
          <w:p w14:paraId="75FFDB55"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-37,2</w:t>
            </w:r>
          </w:p>
        </w:tc>
        <w:tc>
          <w:tcPr>
            <w:tcW w:w="1235" w:type="dxa"/>
            <w:gridSpan w:val="2"/>
            <w:noWrap/>
          </w:tcPr>
          <w:p w14:paraId="738E46FC"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-0,13%</w:t>
            </w:r>
          </w:p>
        </w:tc>
        <w:tc>
          <w:tcPr>
            <w:tcW w:w="1080" w:type="dxa"/>
            <w:noWrap/>
          </w:tcPr>
          <w:p w14:paraId="34461C2C"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-4,43 %</w:t>
            </w:r>
          </w:p>
        </w:tc>
      </w:tr>
      <w:tr w:rsidR="0052326C" w:rsidRPr="0052326C" w14:paraId="56A59737" w14:textId="77777777" w:rsidTr="0052326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02B81BF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Programme 2: Electoral Operations</w:t>
            </w:r>
          </w:p>
        </w:tc>
        <w:tc>
          <w:tcPr>
            <w:tcW w:w="1184" w:type="dxa"/>
            <w:gridSpan w:val="2"/>
            <w:noWrap/>
          </w:tcPr>
          <w:p w14:paraId="6C1663D8"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1 905,0</w:t>
            </w:r>
          </w:p>
        </w:tc>
        <w:tc>
          <w:tcPr>
            <w:tcW w:w="1142" w:type="dxa"/>
            <w:noWrap/>
          </w:tcPr>
          <w:p w14:paraId="32013DE1"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781,3</w:t>
            </w:r>
          </w:p>
        </w:tc>
        <w:tc>
          <w:tcPr>
            <w:tcW w:w="1266" w:type="dxa"/>
            <w:noWrap/>
          </w:tcPr>
          <w:p w14:paraId="74AFBB53"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-1 123,7</w:t>
            </w:r>
          </w:p>
        </w:tc>
        <w:tc>
          <w:tcPr>
            <w:tcW w:w="1288" w:type="dxa"/>
            <w:noWrap/>
          </w:tcPr>
          <w:p w14:paraId="14B25026"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-1 157,3</w:t>
            </w:r>
          </w:p>
        </w:tc>
        <w:tc>
          <w:tcPr>
            <w:tcW w:w="1235" w:type="dxa"/>
            <w:gridSpan w:val="2"/>
            <w:noWrap/>
          </w:tcPr>
          <w:p w14:paraId="17B971FD"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-58,99 %</w:t>
            </w:r>
          </w:p>
        </w:tc>
        <w:tc>
          <w:tcPr>
            <w:tcW w:w="1080" w:type="dxa"/>
            <w:noWrap/>
          </w:tcPr>
          <w:p w14:paraId="4056A28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-60,75%</w:t>
            </w:r>
          </w:p>
        </w:tc>
      </w:tr>
      <w:tr w:rsidR="0052326C" w:rsidRPr="0052326C" w14:paraId="7FF47118" w14:textId="77777777" w:rsidTr="0052326C">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29A6FD1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Programme 3: Outreach</w:t>
            </w:r>
          </w:p>
        </w:tc>
        <w:tc>
          <w:tcPr>
            <w:tcW w:w="1184" w:type="dxa"/>
            <w:gridSpan w:val="2"/>
            <w:noWrap/>
          </w:tcPr>
          <w:p w14:paraId="0648023F"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327,9</w:t>
            </w:r>
          </w:p>
        </w:tc>
        <w:tc>
          <w:tcPr>
            <w:tcW w:w="1142" w:type="dxa"/>
            <w:noWrap/>
          </w:tcPr>
          <w:p w14:paraId="138AE8C8"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162,2</w:t>
            </w:r>
          </w:p>
        </w:tc>
        <w:tc>
          <w:tcPr>
            <w:tcW w:w="1266" w:type="dxa"/>
            <w:noWrap/>
          </w:tcPr>
          <w:p w14:paraId="5310F57B"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-165,7</w:t>
            </w:r>
          </w:p>
        </w:tc>
        <w:tc>
          <w:tcPr>
            <w:tcW w:w="1288" w:type="dxa"/>
            <w:noWrap/>
          </w:tcPr>
          <w:p w14:paraId="4CA64BB2"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-172,7</w:t>
            </w:r>
          </w:p>
        </w:tc>
        <w:tc>
          <w:tcPr>
            <w:tcW w:w="1235" w:type="dxa"/>
            <w:gridSpan w:val="2"/>
            <w:noWrap/>
          </w:tcPr>
          <w:p w14:paraId="22B2C79A"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-50,54 %</w:t>
            </w:r>
          </w:p>
        </w:tc>
        <w:tc>
          <w:tcPr>
            <w:tcW w:w="1080" w:type="dxa"/>
            <w:noWrap/>
          </w:tcPr>
          <w:p w14:paraId="3FA033EA"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-52,67 %</w:t>
            </w:r>
          </w:p>
        </w:tc>
      </w:tr>
      <w:tr w:rsidR="0052326C" w:rsidRPr="0052326C" w14:paraId="0EA85BCB" w14:textId="77777777" w:rsidTr="0052326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5FA3A4CC"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Programme 4: Party Funding and Liaison</w:t>
            </w:r>
          </w:p>
        </w:tc>
        <w:tc>
          <w:tcPr>
            <w:tcW w:w="1184" w:type="dxa"/>
            <w:gridSpan w:val="2"/>
            <w:noWrap/>
          </w:tcPr>
          <w:p w14:paraId="23F60259"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 xml:space="preserve">  51,7</w:t>
            </w:r>
          </w:p>
        </w:tc>
        <w:tc>
          <w:tcPr>
            <w:tcW w:w="1142" w:type="dxa"/>
            <w:noWrap/>
          </w:tcPr>
          <w:p w14:paraId="2FC4DAD0"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 xml:space="preserve">  25,0</w:t>
            </w:r>
          </w:p>
        </w:tc>
        <w:tc>
          <w:tcPr>
            <w:tcW w:w="1266" w:type="dxa"/>
            <w:noWrap/>
          </w:tcPr>
          <w:p w14:paraId="2E0B262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  26,7</w:t>
            </w:r>
          </w:p>
        </w:tc>
        <w:tc>
          <w:tcPr>
            <w:tcW w:w="1288" w:type="dxa"/>
            <w:noWrap/>
          </w:tcPr>
          <w:p w14:paraId="7CC419D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  27,8</w:t>
            </w:r>
          </w:p>
        </w:tc>
        <w:tc>
          <w:tcPr>
            <w:tcW w:w="1235" w:type="dxa"/>
            <w:gridSpan w:val="2"/>
            <w:noWrap/>
          </w:tcPr>
          <w:p w14:paraId="0A1FF4E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-51,64 %</w:t>
            </w:r>
          </w:p>
        </w:tc>
        <w:tc>
          <w:tcPr>
            <w:tcW w:w="1080" w:type="dxa"/>
            <w:noWrap/>
          </w:tcPr>
          <w:p w14:paraId="0702BA0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-53,73%</w:t>
            </w:r>
          </w:p>
        </w:tc>
      </w:tr>
      <w:tr w:rsidR="0052326C" w:rsidRPr="0052326C" w14:paraId="6EA3D04D" w14:textId="77777777" w:rsidTr="0052326C">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6BD630C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TOTAL</w:t>
            </w:r>
          </w:p>
        </w:tc>
        <w:tc>
          <w:tcPr>
            <w:tcW w:w="1184" w:type="dxa"/>
            <w:gridSpan w:val="2"/>
            <w:noWrap/>
          </w:tcPr>
          <w:p w14:paraId="1319CDFC"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3 126,1</w:t>
            </w:r>
          </w:p>
        </w:tc>
        <w:tc>
          <w:tcPr>
            <w:tcW w:w="1142" w:type="dxa"/>
            <w:noWrap/>
          </w:tcPr>
          <w:p w14:paraId="5FFFFCE9"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1 807,9</w:t>
            </w:r>
          </w:p>
        </w:tc>
        <w:tc>
          <w:tcPr>
            <w:tcW w:w="1266" w:type="dxa"/>
            <w:noWrap/>
          </w:tcPr>
          <w:p w14:paraId="7A96519B"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-1 318,2</w:t>
            </w:r>
          </w:p>
        </w:tc>
        <w:tc>
          <w:tcPr>
            <w:tcW w:w="1288" w:type="dxa"/>
            <w:noWrap/>
          </w:tcPr>
          <w:p w14:paraId="73C594C7"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-1 396,1</w:t>
            </w:r>
          </w:p>
        </w:tc>
        <w:tc>
          <w:tcPr>
            <w:tcW w:w="1235" w:type="dxa"/>
            <w:gridSpan w:val="2"/>
            <w:noWrap/>
          </w:tcPr>
          <w:p w14:paraId="7DE97EAA"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-42,2%</w:t>
            </w:r>
          </w:p>
        </w:tc>
        <w:tc>
          <w:tcPr>
            <w:tcW w:w="1080" w:type="dxa"/>
            <w:noWrap/>
          </w:tcPr>
          <w:p w14:paraId="01AD4103"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-44,66%</w:t>
            </w:r>
          </w:p>
        </w:tc>
      </w:tr>
      <w:tr w:rsidR="0052326C" w:rsidRPr="0052326C" w14:paraId="20CEF013" w14:textId="77777777" w:rsidTr="0052326C">
        <w:trPr>
          <w:gridAfter w:val="2"/>
          <w:cnfStyle w:val="000000100000" w:firstRow="0" w:lastRow="0" w:firstColumn="0" w:lastColumn="0" w:oddVBand="0" w:evenVBand="0" w:oddHBand="1" w:evenHBand="0" w:firstRowFirstColumn="0" w:firstRowLastColumn="0" w:lastRowFirstColumn="0" w:lastRowLastColumn="0"/>
          <w:wAfter w:w="2184" w:type="dxa"/>
        </w:trPr>
        <w:tc>
          <w:tcPr>
            <w:cnfStyle w:val="001000000000" w:firstRow="0" w:lastRow="0" w:firstColumn="1" w:lastColumn="0" w:oddVBand="0" w:evenVBand="0" w:oddHBand="0" w:evenHBand="0" w:firstRowFirstColumn="0" w:firstRowLastColumn="0" w:lastRowFirstColumn="0" w:lastRowLastColumn="0"/>
            <w:tcW w:w="3119" w:type="dxa"/>
            <w:gridSpan w:val="2"/>
          </w:tcPr>
          <w:p w14:paraId="1D7B0D5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i/>
                <w:color w:val="auto"/>
                <w:spacing w:val="0"/>
                <w:sz w:val="22"/>
                <w:szCs w:val="22"/>
                <w:lang w:eastAsia="en-US"/>
              </w:rPr>
            </w:pPr>
            <w:r w:rsidRPr="0052326C">
              <w:rPr>
                <w:rFonts w:ascii="Times New Roman" w:eastAsia="Arial" w:hAnsi="Times New Roman"/>
                <w:i/>
                <w:color w:val="auto"/>
                <w:spacing w:val="0"/>
                <w:sz w:val="22"/>
                <w:szCs w:val="22"/>
                <w:lang w:eastAsia="en-US"/>
              </w:rPr>
              <w:t>Nominal Increase/Decrease</w:t>
            </w:r>
          </w:p>
        </w:tc>
        <w:tc>
          <w:tcPr>
            <w:tcW w:w="4394" w:type="dxa"/>
            <w:gridSpan w:val="5"/>
          </w:tcPr>
          <w:p w14:paraId="14BC8F37"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i/>
                <w:color w:val="auto"/>
                <w:spacing w:val="0"/>
                <w:sz w:val="22"/>
                <w:szCs w:val="22"/>
                <w:lang w:eastAsia="en-US"/>
              </w:rPr>
            </w:pPr>
            <w:r w:rsidRPr="0052326C">
              <w:rPr>
                <w:rFonts w:ascii="Times New Roman" w:eastAsia="Arial" w:hAnsi="Times New Roman"/>
                <w:b/>
                <w:i/>
                <w:color w:val="auto"/>
                <w:spacing w:val="0"/>
                <w:sz w:val="22"/>
                <w:szCs w:val="22"/>
                <w:lang w:eastAsia="en-US"/>
              </w:rPr>
              <w:t>Is when inflation is not taken into account</w:t>
            </w:r>
          </w:p>
        </w:tc>
      </w:tr>
      <w:tr w:rsidR="0052326C" w:rsidRPr="0052326C" w14:paraId="6456A950" w14:textId="77777777" w:rsidTr="0052326C">
        <w:trPr>
          <w:gridAfter w:val="2"/>
          <w:wAfter w:w="2184" w:type="dxa"/>
        </w:trPr>
        <w:tc>
          <w:tcPr>
            <w:cnfStyle w:val="001000000000" w:firstRow="0" w:lastRow="0" w:firstColumn="1" w:lastColumn="0" w:oddVBand="0" w:evenVBand="0" w:oddHBand="0" w:evenHBand="0" w:firstRowFirstColumn="0" w:firstRowLastColumn="0" w:lastRowFirstColumn="0" w:lastRowLastColumn="0"/>
            <w:tcW w:w="3119" w:type="dxa"/>
            <w:gridSpan w:val="2"/>
          </w:tcPr>
          <w:p w14:paraId="3DDCBA2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i/>
                <w:color w:val="auto"/>
                <w:spacing w:val="0"/>
                <w:sz w:val="22"/>
                <w:szCs w:val="22"/>
                <w:lang w:eastAsia="en-US"/>
              </w:rPr>
            </w:pPr>
            <w:r w:rsidRPr="0052326C">
              <w:rPr>
                <w:rFonts w:ascii="Times New Roman" w:eastAsia="Arial" w:hAnsi="Times New Roman"/>
                <w:i/>
                <w:color w:val="auto"/>
                <w:spacing w:val="0"/>
                <w:sz w:val="22"/>
                <w:szCs w:val="22"/>
                <w:lang w:eastAsia="en-US"/>
              </w:rPr>
              <w:t xml:space="preserve">Real Increase/Decrease </w:t>
            </w:r>
          </w:p>
        </w:tc>
        <w:tc>
          <w:tcPr>
            <w:tcW w:w="4394" w:type="dxa"/>
            <w:gridSpan w:val="5"/>
          </w:tcPr>
          <w:p w14:paraId="57DD6ACA"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i/>
                <w:color w:val="auto"/>
                <w:spacing w:val="0"/>
                <w:sz w:val="22"/>
                <w:szCs w:val="22"/>
                <w:lang w:eastAsia="en-US"/>
              </w:rPr>
            </w:pPr>
            <w:r w:rsidRPr="0052326C">
              <w:rPr>
                <w:rFonts w:ascii="Times New Roman" w:eastAsia="Arial" w:hAnsi="Times New Roman"/>
                <w:b/>
                <w:i/>
                <w:color w:val="auto"/>
                <w:spacing w:val="0"/>
                <w:sz w:val="22"/>
                <w:szCs w:val="22"/>
                <w:lang w:eastAsia="en-US"/>
              </w:rPr>
              <w:t xml:space="preserve">Is when inflation is taken into account </w:t>
            </w:r>
          </w:p>
        </w:tc>
      </w:tr>
    </w:tbl>
    <w:p w14:paraId="6BAA4B69" w14:textId="5963A815" w:rsid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Source: National Treasury (2022)</w:t>
      </w:r>
    </w:p>
    <w:p w14:paraId="5F34219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p>
    <w:p w14:paraId="7F1BE3D1" w14:textId="351D94C1"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For the 2022/23 financial year, the Electoral Commission is allocated a budget of R1.8 billion shared amongst its four programmes. This allocation significantly decreases by R1,3 billion (42,2) in nominal terms and R1.4 billion (44,66%) in real terms. It should be noted that the previous financial year budget was significantly higher due to the Local Government Elections held during November 2021.</w:t>
      </w:r>
    </w:p>
    <w:p w14:paraId="6BFFBFA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4D699908"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color w:val="auto"/>
          <w:spacing w:val="0"/>
          <w:sz w:val="22"/>
          <w:szCs w:val="22"/>
          <w:lang w:eastAsia="en-US"/>
        </w:rPr>
        <w:t>Programme 1: Administration’s</w:t>
      </w:r>
      <w:r w:rsidRPr="0052326C">
        <w:rPr>
          <w:rFonts w:ascii="Times New Roman" w:eastAsia="Arial" w:hAnsi="Times New Roman"/>
          <w:color w:val="auto"/>
          <w:spacing w:val="0"/>
          <w:sz w:val="22"/>
          <w:szCs w:val="22"/>
          <w:lang w:eastAsia="en-US"/>
        </w:rPr>
        <w:t xml:space="preserve"> budget has decreased from R 840 million in the previous financial year (2021/22) to R 838 million in the current financial year (2022/23). In real terms, when inflation is considered, the budget of this programme has decreased by R 37. million (or 4.2%). </w:t>
      </w:r>
      <w:r w:rsidRPr="0052326C">
        <w:rPr>
          <w:rFonts w:ascii="Times New Roman" w:eastAsia="Arial" w:hAnsi="Times New Roman"/>
          <w:b/>
          <w:color w:val="auto"/>
          <w:spacing w:val="0"/>
          <w:sz w:val="22"/>
          <w:szCs w:val="22"/>
          <w:lang w:eastAsia="en-US"/>
        </w:rPr>
        <w:t>Programme 2: Electoral Operations</w:t>
      </w:r>
      <w:r w:rsidRPr="0052326C">
        <w:rPr>
          <w:rFonts w:ascii="Times New Roman" w:eastAsia="Arial" w:hAnsi="Times New Roman"/>
          <w:color w:val="auto"/>
          <w:spacing w:val="0"/>
          <w:sz w:val="22"/>
          <w:szCs w:val="22"/>
          <w:lang w:eastAsia="en-US"/>
        </w:rPr>
        <w:t xml:space="preserve"> also receive a budget cut from R1.9 billion in the previous financial year to R781,3 million in the current financial year. This budget </w:t>
      </w:r>
      <w:r w:rsidRPr="0052326C">
        <w:rPr>
          <w:rFonts w:ascii="Times New Roman" w:eastAsia="Arial" w:hAnsi="Times New Roman"/>
          <w:color w:val="auto"/>
          <w:spacing w:val="0"/>
          <w:sz w:val="22"/>
          <w:szCs w:val="22"/>
          <w:lang w:eastAsia="en-US"/>
        </w:rPr>
        <w:lastRenderedPageBreak/>
        <w:t>decrease translates to 60.7% (R1.15 billion) in real terms. As indicated, the significant budget decreases compared to the previous financial year were due to the Local Government Elections.</w:t>
      </w:r>
    </w:p>
    <w:p w14:paraId="6720968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683AC17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 xml:space="preserve">Both </w:t>
      </w:r>
      <w:r w:rsidRPr="0052326C">
        <w:rPr>
          <w:rFonts w:ascii="Times New Roman" w:eastAsia="Arial" w:hAnsi="Times New Roman"/>
          <w:b/>
          <w:color w:val="auto"/>
          <w:spacing w:val="0"/>
          <w:sz w:val="22"/>
          <w:szCs w:val="22"/>
          <w:lang w:eastAsia="en-US"/>
        </w:rPr>
        <w:t>Programme 3 and 4</w:t>
      </w:r>
      <w:r w:rsidRPr="0052326C">
        <w:rPr>
          <w:rFonts w:ascii="Times New Roman" w:eastAsia="Arial" w:hAnsi="Times New Roman"/>
          <w:color w:val="auto"/>
          <w:spacing w:val="0"/>
          <w:sz w:val="22"/>
          <w:szCs w:val="22"/>
          <w:lang w:eastAsia="en-US"/>
        </w:rPr>
        <w:t xml:space="preserve"> receive decreased allocation for 2022/23. Programme 3 budget declines from the previous financial year allocation of R 327.9 million to R 162.2 million in the current financial year. In real terms, Programme 3 budget receives the most reduced budget in percentage terms by R172,2 million (52,6%). Programme 4’s budget is reduced by 53.7%, from R51.7 million in the previous financial year to R25 million in the current financial year.</w:t>
      </w:r>
    </w:p>
    <w:p w14:paraId="311C833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102E0349" w14:textId="5778EBE0"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3" w:name="_Toc102217657"/>
      <w:r w:rsidRPr="0052326C">
        <w:rPr>
          <w:rFonts w:ascii="Times New Roman" w:eastAsia="Arial" w:hAnsi="Times New Roman"/>
          <w:b/>
          <w:color w:val="auto"/>
          <w:spacing w:val="0"/>
          <w:sz w:val="22"/>
          <w:szCs w:val="22"/>
          <w:lang w:eastAsia="en-US"/>
        </w:rPr>
        <w:t>Programme 1: Administration Budget Analysis</w:t>
      </w:r>
      <w:bookmarkEnd w:id="23"/>
    </w:p>
    <w:p w14:paraId="5040C2DD" w14:textId="1ACA9164"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The Administration programme’s primary purpose is to achieve the strategic outcomes of strengthening institutional effectiveness at all levels of the organisation. This programme is comprised of three sub-programmes, namely, Management, Corporate Services and Financial Management.</w:t>
      </w:r>
    </w:p>
    <w:p w14:paraId="5F806CB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CD8109B"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Budget allocation under this programme is directed at supporting the IEC's strategic management and core business. As alluded, Programme 1: Administration’s budget has decreased from R 840 million in the previous financial year (2021/22) to R 838 million in the current financial year (2022/23). In real terms, when inflation is considered, the budget of this programme has decreased by R 37. million (or 4.2%).</w:t>
      </w:r>
    </w:p>
    <w:p w14:paraId="6801FFD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2FC1E7A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r w:rsidRPr="0052326C">
        <w:rPr>
          <w:rFonts w:ascii="Times New Roman" w:eastAsia="Arial" w:hAnsi="Times New Roman"/>
          <w:b/>
          <w:color w:val="auto"/>
          <w:spacing w:val="0"/>
          <w:sz w:val="22"/>
          <w:szCs w:val="22"/>
          <w:lang w:eastAsia="en-US"/>
        </w:rPr>
        <w:t xml:space="preserve">Table 3: Programme 1 Budget </w:t>
      </w:r>
    </w:p>
    <w:tbl>
      <w:tblPr>
        <w:tblStyle w:val="GridTable5Dark-Accent3"/>
        <w:tblW w:w="0" w:type="auto"/>
        <w:tblLook w:val="04A0" w:firstRow="1" w:lastRow="0" w:firstColumn="1" w:lastColumn="0" w:noHBand="0" w:noVBand="1"/>
      </w:tblPr>
      <w:tblGrid>
        <w:gridCol w:w="2502"/>
        <w:gridCol w:w="1184"/>
        <w:gridCol w:w="1142"/>
        <w:gridCol w:w="1266"/>
        <w:gridCol w:w="1288"/>
        <w:gridCol w:w="1235"/>
        <w:gridCol w:w="1080"/>
      </w:tblGrid>
      <w:tr w:rsidR="0052326C" w:rsidRPr="0052326C" w14:paraId="6226D799" w14:textId="77777777" w:rsidTr="0052326C">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502" w:type="dxa"/>
            <w:noWrap/>
            <w:hideMark/>
          </w:tcPr>
          <w:p w14:paraId="3CDFC84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Programme</w:t>
            </w:r>
          </w:p>
        </w:tc>
        <w:tc>
          <w:tcPr>
            <w:tcW w:w="2326" w:type="dxa"/>
            <w:gridSpan w:val="2"/>
            <w:hideMark/>
          </w:tcPr>
          <w:p w14:paraId="70124B5D"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Budget</w:t>
            </w:r>
          </w:p>
        </w:tc>
        <w:tc>
          <w:tcPr>
            <w:tcW w:w="1266" w:type="dxa"/>
            <w:vMerge w:val="restart"/>
            <w:hideMark/>
          </w:tcPr>
          <w:p w14:paraId="08E22241"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Nominal Increase/ Decrease in 2022/23</w:t>
            </w:r>
          </w:p>
          <w:p w14:paraId="6648C7A4"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Rand)</w:t>
            </w:r>
          </w:p>
        </w:tc>
        <w:tc>
          <w:tcPr>
            <w:tcW w:w="1288" w:type="dxa"/>
            <w:vMerge w:val="restart"/>
            <w:hideMark/>
          </w:tcPr>
          <w:p w14:paraId="111FC8FB"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Real Increase/ Decrease in 2022/23</w:t>
            </w:r>
          </w:p>
          <w:p w14:paraId="0B6DF5F7"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(Rand)</w:t>
            </w:r>
          </w:p>
        </w:tc>
        <w:tc>
          <w:tcPr>
            <w:tcW w:w="1235" w:type="dxa"/>
            <w:vMerge w:val="restart"/>
            <w:hideMark/>
          </w:tcPr>
          <w:p w14:paraId="1481C1BA"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Nominal Percent change in 2022/23</w:t>
            </w:r>
          </w:p>
        </w:tc>
        <w:tc>
          <w:tcPr>
            <w:tcW w:w="1006" w:type="dxa"/>
            <w:vMerge w:val="restart"/>
            <w:hideMark/>
          </w:tcPr>
          <w:p w14:paraId="50F1AA80"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Real Percent change in 2022/23</w:t>
            </w:r>
          </w:p>
        </w:tc>
      </w:tr>
      <w:tr w:rsidR="0052326C" w:rsidRPr="0052326C" w14:paraId="234426BA" w14:textId="77777777" w:rsidTr="0052326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072A066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 xml:space="preserve">(R’000) </w:t>
            </w:r>
          </w:p>
        </w:tc>
        <w:tc>
          <w:tcPr>
            <w:tcW w:w="1184" w:type="dxa"/>
            <w:noWrap/>
            <w:hideMark/>
          </w:tcPr>
          <w:p w14:paraId="7243DCD4"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2021/22</w:t>
            </w:r>
          </w:p>
        </w:tc>
        <w:tc>
          <w:tcPr>
            <w:tcW w:w="1142" w:type="dxa"/>
            <w:noWrap/>
            <w:hideMark/>
          </w:tcPr>
          <w:p w14:paraId="307B9B31"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2022/23</w:t>
            </w:r>
          </w:p>
        </w:tc>
        <w:tc>
          <w:tcPr>
            <w:tcW w:w="1266" w:type="dxa"/>
            <w:vMerge/>
            <w:hideMark/>
          </w:tcPr>
          <w:p w14:paraId="10FD691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88" w:type="dxa"/>
            <w:vMerge/>
            <w:hideMark/>
          </w:tcPr>
          <w:p w14:paraId="64B64DD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35" w:type="dxa"/>
            <w:vMerge/>
            <w:hideMark/>
          </w:tcPr>
          <w:p w14:paraId="40D5BFF9"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006" w:type="dxa"/>
            <w:vMerge/>
            <w:hideMark/>
          </w:tcPr>
          <w:p w14:paraId="63327F22"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r>
      <w:tr w:rsidR="0052326C" w:rsidRPr="0052326C" w14:paraId="22FCCD36" w14:textId="77777777" w:rsidTr="0052326C">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088E6C3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Compensation of Employees</w:t>
            </w:r>
          </w:p>
        </w:tc>
        <w:tc>
          <w:tcPr>
            <w:tcW w:w="1184" w:type="dxa"/>
            <w:noWrap/>
          </w:tcPr>
          <w:p w14:paraId="5ADA27C3"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214,8</w:t>
            </w:r>
          </w:p>
        </w:tc>
        <w:tc>
          <w:tcPr>
            <w:tcW w:w="1142" w:type="dxa"/>
            <w:noWrap/>
          </w:tcPr>
          <w:p w14:paraId="7E343D00"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230,4</w:t>
            </w:r>
          </w:p>
        </w:tc>
        <w:tc>
          <w:tcPr>
            <w:tcW w:w="1266" w:type="dxa"/>
            <w:noWrap/>
          </w:tcPr>
          <w:p w14:paraId="35152F0C"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15,6</w:t>
            </w:r>
          </w:p>
        </w:tc>
        <w:tc>
          <w:tcPr>
            <w:tcW w:w="1288" w:type="dxa"/>
            <w:noWrap/>
          </w:tcPr>
          <w:p w14:paraId="08BAB78E"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5,7</w:t>
            </w:r>
          </w:p>
        </w:tc>
        <w:tc>
          <w:tcPr>
            <w:tcW w:w="1235" w:type="dxa"/>
            <w:noWrap/>
          </w:tcPr>
          <w:p w14:paraId="7E206E0A"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7,26 %</w:t>
            </w:r>
          </w:p>
        </w:tc>
        <w:tc>
          <w:tcPr>
            <w:tcW w:w="1006" w:type="dxa"/>
            <w:noWrap/>
          </w:tcPr>
          <w:p w14:paraId="3D2A8353"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2,64%</w:t>
            </w:r>
          </w:p>
        </w:tc>
      </w:tr>
      <w:tr w:rsidR="0052326C" w:rsidRPr="0052326C" w14:paraId="276B998B" w14:textId="77777777" w:rsidTr="0052326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5759641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Goods and Services</w:t>
            </w:r>
          </w:p>
        </w:tc>
        <w:tc>
          <w:tcPr>
            <w:tcW w:w="1184" w:type="dxa"/>
            <w:noWrap/>
          </w:tcPr>
          <w:p w14:paraId="1B61872C"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521,0</w:t>
            </w:r>
          </w:p>
        </w:tc>
        <w:tc>
          <w:tcPr>
            <w:tcW w:w="1142" w:type="dxa"/>
            <w:noWrap/>
          </w:tcPr>
          <w:p w14:paraId="078B5B09"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560,7</w:t>
            </w:r>
          </w:p>
        </w:tc>
        <w:tc>
          <w:tcPr>
            <w:tcW w:w="1266" w:type="dxa"/>
            <w:noWrap/>
          </w:tcPr>
          <w:p w14:paraId="083016A7"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39,7</w:t>
            </w:r>
          </w:p>
        </w:tc>
        <w:tc>
          <w:tcPr>
            <w:tcW w:w="1288" w:type="dxa"/>
            <w:noWrap/>
          </w:tcPr>
          <w:p w14:paraId="37E1C8D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15,6</w:t>
            </w:r>
          </w:p>
        </w:tc>
        <w:tc>
          <w:tcPr>
            <w:tcW w:w="1235" w:type="dxa"/>
            <w:noWrap/>
          </w:tcPr>
          <w:p w14:paraId="6BE3384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7,62 %</w:t>
            </w:r>
          </w:p>
        </w:tc>
        <w:tc>
          <w:tcPr>
            <w:tcW w:w="1006" w:type="dxa"/>
            <w:noWrap/>
          </w:tcPr>
          <w:p w14:paraId="06F2B08C"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2,99%</w:t>
            </w:r>
          </w:p>
        </w:tc>
      </w:tr>
      <w:tr w:rsidR="0052326C" w:rsidRPr="0052326C" w14:paraId="418B4961" w14:textId="77777777" w:rsidTr="0052326C">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65EE233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Depreciation</w:t>
            </w:r>
          </w:p>
        </w:tc>
        <w:tc>
          <w:tcPr>
            <w:tcW w:w="1184" w:type="dxa"/>
            <w:noWrap/>
          </w:tcPr>
          <w:p w14:paraId="7BC8E364"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29,4</w:t>
            </w:r>
          </w:p>
        </w:tc>
        <w:tc>
          <w:tcPr>
            <w:tcW w:w="1142" w:type="dxa"/>
            <w:noWrap/>
          </w:tcPr>
          <w:p w14:paraId="64C8764D"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47,7</w:t>
            </w:r>
          </w:p>
        </w:tc>
        <w:tc>
          <w:tcPr>
            <w:tcW w:w="1266" w:type="dxa"/>
            <w:noWrap/>
          </w:tcPr>
          <w:p w14:paraId="796F554A"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18,3</w:t>
            </w:r>
          </w:p>
        </w:tc>
        <w:tc>
          <w:tcPr>
            <w:tcW w:w="1288" w:type="dxa"/>
            <w:noWrap/>
          </w:tcPr>
          <w:p w14:paraId="3F27F89C"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16,2</w:t>
            </w:r>
          </w:p>
        </w:tc>
        <w:tc>
          <w:tcPr>
            <w:tcW w:w="1235" w:type="dxa"/>
            <w:noWrap/>
          </w:tcPr>
          <w:p w14:paraId="7B7954E8"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62,24 %</w:t>
            </w:r>
          </w:p>
        </w:tc>
        <w:tc>
          <w:tcPr>
            <w:tcW w:w="1006" w:type="dxa"/>
            <w:noWrap/>
          </w:tcPr>
          <w:p w14:paraId="78BB391F"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55,26%</w:t>
            </w:r>
          </w:p>
        </w:tc>
      </w:tr>
      <w:tr w:rsidR="0052326C" w:rsidRPr="0052326C" w14:paraId="33278C95" w14:textId="77777777" w:rsidTr="0052326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178AF67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TOTAL</w:t>
            </w:r>
          </w:p>
        </w:tc>
        <w:tc>
          <w:tcPr>
            <w:tcW w:w="1184" w:type="dxa"/>
            <w:noWrap/>
          </w:tcPr>
          <w:p w14:paraId="491E001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756,2</w:t>
            </w:r>
          </w:p>
        </w:tc>
        <w:tc>
          <w:tcPr>
            <w:tcW w:w="1142" w:type="dxa"/>
            <w:noWrap/>
          </w:tcPr>
          <w:p w14:paraId="1EF6F396"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838,8</w:t>
            </w:r>
          </w:p>
        </w:tc>
        <w:tc>
          <w:tcPr>
            <w:tcW w:w="1266" w:type="dxa"/>
            <w:noWrap/>
          </w:tcPr>
          <w:p w14:paraId="02EB8AED"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73,6</w:t>
            </w:r>
          </w:p>
        </w:tc>
        <w:tc>
          <w:tcPr>
            <w:tcW w:w="1288" w:type="dxa"/>
            <w:noWrap/>
          </w:tcPr>
          <w:p w14:paraId="213D59E0"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37,5</w:t>
            </w:r>
          </w:p>
        </w:tc>
        <w:tc>
          <w:tcPr>
            <w:tcW w:w="1235" w:type="dxa"/>
            <w:noWrap/>
          </w:tcPr>
          <w:p w14:paraId="49ADAD8F"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9,6%</w:t>
            </w:r>
          </w:p>
        </w:tc>
        <w:tc>
          <w:tcPr>
            <w:tcW w:w="1006" w:type="dxa"/>
            <w:noWrap/>
          </w:tcPr>
          <w:p w14:paraId="26E826DC"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4,90%</w:t>
            </w:r>
          </w:p>
        </w:tc>
      </w:tr>
    </w:tbl>
    <w:p w14:paraId="0F48EE9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Source: Electoral Commission (2022)</w:t>
      </w:r>
    </w:p>
    <w:p w14:paraId="7BF70FF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02C7E8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The programme’s cost drivers are primarily made of goods and services, ensuring that ICT costs and office accommodation are catered for. The ICT is made mainly of professional services to maintain the security and integrity of the data held at the IEC. The office accommodation consists of the cost of the National IEC head office, nine provincial offices, 10 warehouses and 213 local electronic offices.</w:t>
      </w:r>
    </w:p>
    <w:p w14:paraId="55FDD36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05A5287D" w14:textId="08ED38FB"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The Goods and services’ budget item increases from R 521 million in the previous financial year 2021/22 to R 560.7 million in the 2022/23 financial year. This is a real increase of R 15.6 million (or 2.99%). Similarly, compensation of employees’ budget item under programme 1 increases by 2.64% (R 5.7 million) in real terms from the 2021/22 allocation of R 214.8 million to R 230.4 million in the current financial year. The increases in the compensation of employees is mainly due to salary increases. Costing of remuneration of employees includes salary packages, reimbursement of travel claims, cell phone allowances, overtime claims and employer contributions.</w:t>
      </w:r>
    </w:p>
    <w:p w14:paraId="2C0EEAC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350891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val="en-GB" w:eastAsia="en-US"/>
        </w:rPr>
      </w:pPr>
      <w:bookmarkStart w:id="24" w:name="_Toc102217658"/>
      <w:r w:rsidRPr="0052326C">
        <w:rPr>
          <w:rFonts w:ascii="Times New Roman" w:eastAsia="Arial" w:hAnsi="Times New Roman"/>
          <w:b/>
          <w:color w:val="auto"/>
          <w:spacing w:val="0"/>
          <w:sz w:val="22"/>
          <w:szCs w:val="22"/>
          <w:lang w:val="en-GB" w:eastAsia="en-US"/>
        </w:rPr>
        <w:t>Programme 2: Electoral Operations Budget Analysis</w:t>
      </w:r>
      <w:bookmarkEnd w:id="24"/>
    </w:p>
    <w:p w14:paraId="53A7F9D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6E27A52F" w14:textId="63CCD02C"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The purpose of this programme is to focus on the strategic outcome of managing and delivering free and fair elections. The expenditure under this programme increases significantly in an election year compared to a non-election year mainly due to the cost of voting station infrastructure, logistical arrangements, recruitment, appointment and training of staff appointed at voting stations during main registration drives and elections.</w:t>
      </w:r>
    </w:p>
    <w:p w14:paraId="01F8E94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4518E26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 xml:space="preserve">The Electoral Operations programme is allocated a budget of R 781.3 million for the 2022/23 financial year. The budget has been decreased by R 571.6 million (43.44%) in real rand value terms from the previous financial year </w:t>
      </w:r>
      <w:r w:rsidRPr="0052326C">
        <w:rPr>
          <w:rFonts w:ascii="Times New Roman" w:eastAsia="Arial" w:hAnsi="Times New Roman"/>
          <w:color w:val="auto"/>
          <w:spacing w:val="0"/>
          <w:sz w:val="22"/>
          <w:szCs w:val="22"/>
          <w:lang w:eastAsia="en-US"/>
        </w:rPr>
        <w:lastRenderedPageBreak/>
        <w:t>allocation of R 1.3 billion. The goods and services budget item on this programme decreases from R 638.7 million to R 147.1 million in the current financial year. This decrease is equivalent to R 491.6 million (or 76,7%) in nominal terms and R 497,9 (77,96%) in real terms. Similarly, the compensation of employees under programme 2 also decreases from R 609.9 million to R 571.2 million in 2022/23 financial year. The decrease translates to R 63.3 million (or 10.3%) in real terms.</w:t>
      </w:r>
    </w:p>
    <w:p w14:paraId="66B1DB4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0358E6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r w:rsidRPr="0052326C">
        <w:rPr>
          <w:rFonts w:ascii="Times New Roman" w:eastAsia="Arial" w:hAnsi="Times New Roman"/>
          <w:b/>
          <w:color w:val="auto"/>
          <w:spacing w:val="0"/>
          <w:sz w:val="22"/>
          <w:szCs w:val="22"/>
          <w:lang w:eastAsia="en-US"/>
        </w:rPr>
        <w:t>Table 4: Programme 2 Budget Allocation</w:t>
      </w:r>
    </w:p>
    <w:tbl>
      <w:tblPr>
        <w:tblStyle w:val="GridTable5Dark-Accent3"/>
        <w:tblW w:w="0" w:type="auto"/>
        <w:tblLook w:val="04A0" w:firstRow="1" w:lastRow="0" w:firstColumn="1" w:lastColumn="0" w:noHBand="0" w:noVBand="1"/>
      </w:tblPr>
      <w:tblGrid>
        <w:gridCol w:w="2490"/>
        <w:gridCol w:w="1179"/>
        <w:gridCol w:w="1138"/>
        <w:gridCol w:w="1262"/>
        <w:gridCol w:w="1284"/>
        <w:gridCol w:w="1137"/>
        <w:gridCol w:w="1118"/>
      </w:tblGrid>
      <w:tr w:rsidR="0052326C" w:rsidRPr="0052326C" w14:paraId="2C53C0C5" w14:textId="77777777" w:rsidTr="00966A72">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90" w:type="dxa"/>
            <w:noWrap/>
            <w:hideMark/>
          </w:tcPr>
          <w:p w14:paraId="31A3EE7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Programme</w:t>
            </w:r>
          </w:p>
        </w:tc>
        <w:tc>
          <w:tcPr>
            <w:tcW w:w="2317" w:type="dxa"/>
            <w:gridSpan w:val="2"/>
            <w:hideMark/>
          </w:tcPr>
          <w:p w14:paraId="78FF184C"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Budget</w:t>
            </w:r>
          </w:p>
        </w:tc>
        <w:tc>
          <w:tcPr>
            <w:tcW w:w="1262" w:type="dxa"/>
            <w:vMerge w:val="restart"/>
            <w:hideMark/>
          </w:tcPr>
          <w:p w14:paraId="6D54251A"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Nominal Increase/ Decrease in 2022/23</w:t>
            </w:r>
          </w:p>
          <w:p w14:paraId="50203C46"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Rand)</w:t>
            </w:r>
          </w:p>
        </w:tc>
        <w:tc>
          <w:tcPr>
            <w:tcW w:w="1284" w:type="dxa"/>
            <w:vMerge w:val="restart"/>
            <w:hideMark/>
          </w:tcPr>
          <w:p w14:paraId="7FB51D92"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Real Increase/ Decrease in 2022/23</w:t>
            </w:r>
          </w:p>
          <w:p w14:paraId="623C6991"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(Rand)</w:t>
            </w:r>
          </w:p>
        </w:tc>
        <w:tc>
          <w:tcPr>
            <w:tcW w:w="1137" w:type="dxa"/>
            <w:vMerge w:val="restart"/>
            <w:hideMark/>
          </w:tcPr>
          <w:p w14:paraId="42AABF82"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Nominal Percent change in 2022/23</w:t>
            </w:r>
          </w:p>
        </w:tc>
        <w:tc>
          <w:tcPr>
            <w:tcW w:w="1118" w:type="dxa"/>
            <w:vMerge w:val="restart"/>
            <w:hideMark/>
          </w:tcPr>
          <w:p w14:paraId="2B81C448"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Real Percent change in 2022/23</w:t>
            </w:r>
          </w:p>
        </w:tc>
      </w:tr>
      <w:tr w:rsidR="0052326C" w:rsidRPr="0052326C" w14:paraId="052D7E9F" w14:textId="77777777" w:rsidTr="00966A7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90" w:type="dxa"/>
            <w:noWrap/>
            <w:hideMark/>
          </w:tcPr>
          <w:p w14:paraId="24170B6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 xml:space="preserve">(R’000) </w:t>
            </w:r>
          </w:p>
        </w:tc>
        <w:tc>
          <w:tcPr>
            <w:tcW w:w="1179" w:type="dxa"/>
            <w:noWrap/>
            <w:hideMark/>
          </w:tcPr>
          <w:p w14:paraId="231D2CFC"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2021/22</w:t>
            </w:r>
          </w:p>
        </w:tc>
        <w:tc>
          <w:tcPr>
            <w:tcW w:w="1138" w:type="dxa"/>
            <w:noWrap/>
            <w:hideMark/>
          </w:tcPr>
          <w:p w14:paraId="31538CB9"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2022/23</w:t>
            </w:r>
          </w:p>
        </w:tc>
        <w:tc>
          <w:tcPr>
            <w:tcW w:w="1262" w:type="dxa"/>
            <w:vMerge/>
            <w:hideMark/>
          </w:tcPr>
          <w:p w14:paraId="6D4A727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84" w:type="dxa"/>
            <w:vMerge/>
            <w:hideMark/>
          </w:tcPr>
          <w:p w14:paraId="5C172B1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137" w:type="dxa"/>
            <w:vMerge/>
            <w:hideMark/>
          </w:tcPr>
          <w:p w14:paraId="7FDCA043"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118" w:type="dxa"/>
            <w:vMerge/>
            <w:hideMark/>
          </w:tcPr>
          <w:p w14:paraId="4DFD3029"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r>
      <w:tr w:rsidR="0052326C" w:rsidRPr="0052326C" w14:paraId="51E60973" w14:textId="77777777" w:rsidTr="00966A72">
        <w:trPr>
          <w:trHeight w:val="264"/>
        </w:trPr>
        <w:tc>
          <w:tcPr>
            <w:cnfStyle w:val="001000000000" w:firstRow="0" w:lastRow="0" w:firstColumn="1" w:lastColumn="0" w:oddVBand="0" w:evenVBand="0" w:oddHBand="0" w:evenHBand="0" w:firstRowFirstColumn="0" w:firstRowLastColumn="0" w:lastRowFirstColumn="0" w:lastRowLastColumn="0"/>
            <w:tcW w:w="2490" w:type="dxa"/>
            <w:noWrap/>
            <w:hideMark/>
          </w:tcPr>
          <w:p w14:paraId="3D5F588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Compensation of Employees</w:t>
            </w:r>
          </w:p>
        </w:tc>
        <w:tc>
          <w:tcPr>
            <w:tcW w:w="1179" w:type="dxa"/>
            <w:noWrap/>
          </w:tcPr>
          <w:p w14:paraId="0DD4FB4F"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609,9</w:t>
            </w:r>
          </w:p>
        </w:tc>
        <w:tc>
          <w:tcPr>
            <w:tcW w:w="1138" w:type="dxa"/>
            <w:noWrap/>
          </w:tcPr>
          <w:p w14:paraId="3EB9B042"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571,2</w:t>
            </w:r>
          </w:p>
        </w:tc>
        <w:tc>
          <w:tcPr>
            <w:tcW w:w="1262" w:type="dxa"/>
            <w:noWrap/>
          </w:tcPr>
          <w:p w14:paraId="74ABB468"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- 38,7</w:t>
            </w:r>
          </w:p>
        </w:tc>
        <w:tc>
          <w:tcPr>
            <w:tcW w:w="1284" w:type="dxa"/>
            <w:noWrap/>
          </w:tcPr>
          <w:p w14:paraId="7A34F137"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-63,3</w:t>
            </w:r>
          </w:p>
        </w:tc>
        <w:tc>
          <w:tcPr>
            <w:tcW w:w="1137" w:type="dxa"/>
            <w:noWrap/>
          </w:tcPr>
          <w:p w14:paraId="5C16B980"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-6,35 %</w:t>
            </w:r>
          </w:p>
        </w:tc>
        <w:tc>
          <w:tcPr>
            <w:tcW w:w="1118" w:type="dxa"/>
            <w:noWrap/>
          </w:tcPr>
          <w:p w14:paraId="6ED73A57"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-10,38 %</w:t>
            </w:r>
          </w:p>
        </w:tc>
      </w:tr>
      <w:tr w:rsidR="0052326C" w:rsidRPr="0052326C" w14:paraId="0E880E72" w14:textId="77777777" w:rsidTr="00966A7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90" w:type="dxa"/>
            <w:noWrap/>
            <w:hideMark/>
          </w:tcPr>
          <w:p w14:paraId="010565B6"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Goods and Services</w:t>
            </w:r>
          </w:p>
        </w:tc>
        <w:tc>
          <w:tcPr>
            <w:tcW w:w="1179" w:type="dxa"/>
            <w:noWrap/>
          </w:tcPr>
          <w:p w14:paraId="471B9DE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638,7</w:t>
            </w:r>
          </w:p>
        </w:tc>
        <w:tc>
          <w:tcPr>
            <w:tcW w:w="1138" w:type="dxa"/>
            <w:noWrap/>
          </w:tcPr>
          <w:p w14:paraId="098690C0"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147,1</w:t>
            </w:r>
          </w:p>
        </w:tc>
        <w:tc>
          <w:tcPr>
            <w:tcW w:w="1262" w:type="dxa"/>
            <w:noWrap/>
          </w:tcPr>
          <w:p w14:paraId="0A6BDA2A"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-491,6</w:t>
            </w:r>
          </w:p>
        </w:tc>
        <w:tc>
          <w:tcPr>
            <w:tcW w:w="1284" w:type="dxa"/>
            <w:noWrap/>
          </w:tcPr>
          <w:p w14:paraId="669D2A83"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-497,9</w:t>
            </w:r>
          </w:p>
        </w:tc>
        <w:tc>
          <w:tcPr>
            <w:tcW w:w="1137" w:type="dxa"/>
            <w:noWrap/>
          </w:tcPr>
          <w:p w14:paraId="3674D8B4"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-76,97%</w:t>
            </w:r>
          </w:p>
        </w:tc>
        <w:tc>
          <w:tcPr>
            <w:tcW w:w="1118" w:type="dxa"/>
            <w:noWrap/>
          </w:tcPr>
          <w:p w14:paraId="3BAA478F"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-77,96%</w:t>
            </w:r>
          </w:p>
        </w:tc>
      </w:tr>
      <w:tr w:rsidR="0052326C" w:rsidRPr="0052326C" w14:paraId="5AA6F556" w14:textId="77777777" w:rsidTr="00966A72">
        <w:trPr>
          <w:trHeight w:val="264"/>
        </w:trPr>
        <w:tc>
          <w:tcPr>
            <w:cnfStyle w:val="001000000000" w:firstRow="0" w:lastRow="0" w:firstColumn="1" w:lastColumn="0" w:oddVBand="0" w:evenVBand="0" w:oddHBand="0" w:evenHBand="0" w:firstRowFirstColumn="0" w:firstRowLastColumn="0" w:lastRowFirstColumn="0" w:lastRowLastColumn="0"/>
            <w:tcW w:w="2490" w:type="dxa"/>
            <w:noWrap/>
            <w:hideMark/>
          </w:tcPr>
          <w:p w14:paraId="149EE88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Depreciation</w:t>
            </w:r>
          </w:p>
        </w:tc>
        <w:tc>
          <w:tcPr>
            <w:tcW w:w="1179" w:type="dxa"/>
            <w:noWrap/>
          </w:tcPr>
          <w:p w14:paraId="2F4C71D1"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70,7</w:t>
            </w:r>
          </w:p>
        </w:tc>
        <w:tc>
          <w:tcPr>
            <w:tcW w:w="1138" w:type="dxa"/>
            <w:noWrap/>
          </w:tcPr>
          <w:p w14:paraId="22B73DCA"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63,0</w:t>
            </w:r>
          </w:p>
        </w:tc>
        <w:tc>
          <w:tcPr>
            <w:tcW w:w="1262" w:type="dxa"/>
            <w:noWrap/>
          </w:tcPr>
          <w:p w14:paraId="6ACA2035"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-7,7</w:t>
            </w:r>
          </w:p>
        </w:tc>
        <w:tc>
          <w:tcPr>
            <w:tcW w:w="1284" w:type="dxa"/>
            <w:noWrap/>
          </w:tcPr>
          <w:p w14:paraId="67428970"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-10,4</w:t>
            </w:r>
          </w:p>
        </w:tc>
        <w:tc>
          <w:tcPr>
            <w:tcW w:w="1137" w:type="dxa"/>
            <w:noWrap/>
          </w:tcPr>
          <w:p w14:paraId="7E9F7503"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-10,85%</w:t>
            </w:r>
          </w:p>
        </w:tc>
        <w:tc>
          <w:tcPr>
            <w:tcW w:w="1118" w:type="dxa"/>
            <w:noWrap/>
          </w:tcPr>
          <w:p w14:paraId="4658E070"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-14,69%</w:t>
            </w:r>
          </w:p>
        </w:tc>
      </w:tr>
      <w:tr w:rsidR="0052326C" w:rsidRPr="0052326C" w14:paraId="58B8BF48" w14:textId="77777777" w:rsidTr="00966A7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90" w:type="dxa"/>
            <w:noWrap/>
            <w:hideMark/>
          </w:tcPr>
          <w:p w14:paraId="521EDD7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TOTAL</w:t>
            </w:r>
          </w:p>
        </w:tc>
        <w:tc>
          <w:tcPr>
            <w:tcW w:w="1179" w:type="dxa"/>
            <w:noWrap/>
          </w:tcPr>
          <w:p w14:paraId="0523671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1 319,3</w:t>
            </w:r>
          </w:p>
        </w:tc>
        <w:tc>
          <w:tcPr>
            <w:tcW w:w="1138" w:type="dxa"/>
            <w:noWrap/>
          </w:tcPr>
          <w:p w14:paraId="3A379C8D"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781,3</w:t>
            </w:r>
          </w:p>
        </w:tc>
        <w:tc>
          <w:tcPr>
            <w:tcW w:w="1262" w:type="dxa"/>
            <w:noWrap/>
          </w:tcPr>
          <w:p w14:paraId="027D9EF9"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-583,0</w:t>
            </w:r>
          </w:p>
        </w:tc>
        <w:tc>
          <w:tcPr>
            <w:tcW w:w="1284" w:type="dxa"/>
            <w:noWrap/>
          </w:tcPr>
          <w:p w14:paraId="28487074"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-571,6</w:t>
            </w:r>
          </w:p>
        </w:tc>
        <w:tc>
          <w:tcPr>
            <w:tcW w:w="1137" w:type="dxa"/>
            <w:noWrap/>
          </w:tcPr>
          <w:p w14:paraId="7E0EDC3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-40,8</w:t>
            </w:r>
          </w:p>
        </w:tc>
        <w:tc>
          <w:tcPr>
            <w:tcW w:w="1118" w:type="dxa"/>
            <w:noWrap/>
          </w:tcPr>
          <w:p w14:paraId="1B24400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-43,33</w:t>
            </w:r>
          </w:p>
        </w:tc>
      </w:tr>
    </w:tbl>
    <w:p w14:paraId="428F013A" w14:textId="77777777" w:rsidR="0052326C" w:rsidRPr="00966A72"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966A72">
        <w:rPr>
          <w:rFonts w:ascii="Times New Roman" w:eastAsia="Arial" w:hAnsi="Times New Roman"/>
          <w:color w:val="auto"/>
          <w:spacing w:val="0"/>
          <w:sz w:val="22"/>
          <w:szCs w:val="22"/>
          <w:lang w:val="en-GB" w:eastAsia="en-US"/>
        </w:rPr>
        <w:t>Source: Electoral Commission (2022)</w:t>
      </w:r>
    </w:p>
    <w:p w14:paraId="032EE04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76DCA29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5" w:name="_Toc102217659"/>
      <w:r w:rsidRPr="0052326C">
        <w:rPr>
          <w:rFonts w:ascii="Times New Roman" w:eastAsia="Arial" w:hAnsi="Times New Roman"/>
          <w:b/>
          <w:color w:val="auto"/>
          <w:spacing w:val="0"/>
          <w:sz w:val="22"/>
          <w:szCs w:val="22"/>
          <w:lang w:eastAsia="en-US"/>
        </w:rPr>
        <w:t>Programme 3: Outreach Budget Analysis</w:t>
      </w:r>
      <w:bookmarkEnd w:id="25"/>
    </w:p>
    <w:p w14:paraId="0956B428"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E4A1DA6" w14:textId="57001413"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Budget allocation under this programme is directed at informing and educating civil society on democracy and electoral processes. Expenditure normally peaks during the registration and election period, when the Civic and Democracy Education and communication peak. The IEC intends to conduct serious voter education campaign ahead of the 2024 National General Elections, starting from the current financial year.</w:t>
      </w:r>
    </w:p>
    <w:p w14:paraId="5C604F3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75CB7F4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color w:val="auto"/>
          <w:spacing w:val="0"/>
          <w:sz w:val="22"/>
          <w:szCs w:val="22"/>
          <w:lang w:eastAsia="en-US"/>
        </w:rPr>
        <w:t>Table 5: Programme 3 Budget Allocation</w:t>
      </w:r>
    </w:p>
    <w:tbl>
      <w:tblPr>
        <w:tblStyle w:val="GridTable4-Accent3"/>
        <w:tblW w:w="0" w:type="auto"/>
        <w:tblLook w:val="04A0" w:firstRow="1" w:lastRow="0" w:firstColumn="1" w:lastColumn="0" w:noHBand="0" w:noVBand="1"/>
      </w:tblPr>
      <w:tblGrid>
        <w:gridCol w:w="2502"/>
        <w:gridCol w:w="1184"/>
        <w:gridCol w:w="1142"/>
        <w:gridCol w:w="1266"/>
        <w:gridCol w:w="1288"/>
        <w:gridCol w:w="1235"/>
        <w:gridCol w:w="1080"/>
      </w:tblGrid>
      <w:tr w:rsidR="0052326C" w:rsidRPr="0052326C" w14:paraId="5E40DC17" w14:textId="77777777" w:rsidTr="00966A72">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502" w:type="dxa"/>
            <w:noWrap/>
            <w:hideMark/>
          </w:tcPr>
          <w:p w14:paraId="1ADF2E5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Programme</w:t>
            </w:r>
          </w:p>
        </w:tc>
        <w:tc>
          <w:tcPr>
            <w:tcW w:w="2326" w:type="dxa"/>
            <w:gridSpan w:val="2"/>
            <w:hideMark/>
          </w:tcPr>
          <w:p w14:paraId="7F00E41D"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Budget</w:t>
            </w:r>
          </w:p>
        </w:tc>
        <w:tc>
          <w:tcPr>
            <w:tcW w:w="1266" w:type="dxa"/>
            <w:vMerge w:val="restart"/>
            <w:hideMark/>
          </w:tcPr>
          <w:p w14:paraId="603C350E"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Nominal Increase/ Decrease in 2022/23</w:t>
            </w:r>
          </w:p>
          <w:p w14:paraId="00CC3222"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Rand)</w:t>
            </w:r>
          </w:p>
        </w:tc>
        <w:tc>
          <w:tcPr>
            <w:tcW w:w="1288" w:type="dxa"/>
            <w:vMerge w:val="restart"/>
            <w:hideMark/>
          </w:tcPr>
          <w:p w14:paraId="34ABDFE0"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Real Increase/ Decrease in 2022/23</w:t>
            </w:r>
          </w:p>
          <w:p w14:paraId="40B85D95"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(Rand)</w:t>
            </w:r>
          </w:p>
        </w:tc>
        <w:tc>
          <w:tcPr>
            <w:tcW w:w="1235" w:type="dxa"/>
            <w:vMerge w:val="restart"/>
            <w:hideMark/>
          </w:tcPr>
          <w:p w14:paraId="7BEAEDDC"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Nominal Percent change in 2022/23</w:t>
            </w:r>
          </w:p>
        </w:tc>
        <w:tc>
          <w:tcPr>
            <w:tcW w:w="1006" w:type="dxa"/>
            <w:vMerge w:val="restart"/>
            <w:hideMark/>
          </w:tcPr>
          <w:p w14:paraId="7EB41970"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Real Percent change in 2022/23</w:t>
            </w:r>
          </w:p>
        </w:tc>
      </w:tr>
      <w:tr w:rsidR="0052326C" w:rsidRPr="0052326C" w14:paraId="43795867" w14:textId="77777777" w:rsidTr="00966A7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794848A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 xml:space="preserve">(R’000) </w:t>
            </w:r>
          </w:p>
        </w:tc>
        <w:tc>
          <w:tcPr>
            <w:tcW w:w="1184" w:type="dxa"/>
            <w:noWrap/>
            <w:hideMark/>
          </w:tcPr>
          <w:p w14:paraId="65190B62"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2021/22</w:t>
            </w:r>
          </w:p>
        </w:tc>
        <w:tc>
          <w:tcPr>
            <w:tcW w:w="1142" w:type="dxa"/>
            <w:noWrap/>
            <w:hideMark/>
          </w:tcPr>
          <w:p w14:paraId="0CD6963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2022/23</w:t>
            </w:r>
          </w:p>
        </w:tc>
        <w:tc>
          <w:tcPr>
            <w:tcW w:w="1266" w:type="dxa"/>
            <w:vMerge/>
            <w:hideMark/>
          </w:tcPr>
          <w:p w14:paraId="1F4E10E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88" w:type="dxa"/>
            <w:vMerge/>
            <w:hideMark/>
          </w:tcPr>
          <w:p w14:paraId="10EC367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35" w:type="dxa"/>
            <w:vMerge/>
            <w:hideMark/>
          </w:tcPr>
          <w:p w14:paraId="50F2D31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006" w:type="dxa"/>
            <w:vMerge/>
            <w:hideMark/>
          </w:tcPr>
          <w:p w14:paraId="0E99F5DA"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r>
      <w:tr w:rsidR="0052326C" w:rsidRPr="0052326C" w14:paraId="0FF8671A" w14:textId="77777777" w:rsidTr="00966A72">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214147B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Compensation of Employees</w:t>
            </w:r>
          </w:p>
        </w:tc>
        <w:tc>
          <w:tcPr>
            <w:tcW w:w="1184" w:type="dxa"/>
            <w:noWrap/>
          </w:tcPr>
          <w:p w14:paraId="60688786"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108,4</w:t>
            </w:r>
          </w:p>
        </w:tc>
        <w:tc>
          <w:tcPr>
            <w:tcW w:w="1142" w:type="dxa"/>
            <w:noWrap/>
          </w:tcPr>
          <w:p w14:paraId="2524164B"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82,6</w:t>
            </w:r>
          </w:p>
        </w:tc>
        <w:tc>
          <w:tcPr>
            <w:tcW w:w="1266" w:type="dxa"/>
            <w:noWrap/>
          </w:tcPr>
          <w:p w14:paraId="74780353"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-25,8</w:t>
            </w:r>
          </w:p>
        </w:tc>
        <w:tc>
          <w:tcPr>
            <w:tcW w:w="1288" w:type="dxa"/>
            <w:noWrap/>
          </w:tcPr>
          <w:p w14:paraId="3B247D51"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-29,3</w:t>
            </w:r>
          </w:p>
        </w:tc>
        <w:tc>
          <w:tcPr>
            <w:tcW w:w="1235" w:type="dxa"/>
            <w:noWrap/>
          </w:tcPr>
          <w:p w14:paraId="01E85124"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-23,76%</w:t>
            </w:r>
          </w:p>
        </w:tc>
        <w:tc>
          <w:tcPr>
            <w:tcW w:w="1006" w:type="dxa"/>
            <w:noWrap/>
          </w:tcPr>
          <w:p w14:paraId="487D74D8"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-27,05%</w:t>
            </w:r>
          </w:p>
        </w:tc>
      </w:tr>
      <w:tr w:rsidR="0052326C" w:rsidRPr="0052326C" w14:paraId="67A43364" w14:textId="77777777" w:rsidTr="00966A7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479818C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Goods and Services</w:t>
            </w:r>
          </w:p>
        </w:tc>
        <w:tc>
          <w:tcPr>
            <w:tcW w:w="1184" w:type="dxa"/>
            <w:noWrap/>
          </w:tcPr>
          <w:p w14:paraId="30FA6274"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93,5</w:t>
            </w:r>
          </w:p>
        </w:tc>
        <w:tc>
          <w:tcPr>
            <w:tcW w:w="1142" w:type="dxa"/>
            <w:noWrap/>
          </w:tcPr>
          <w:p w14:paraId="109FDAC7"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79,5</w:t>
            </w:r>
          </w:p>
        </w:tc>
        <w:tc>
          <w:tcPr>
            <w:tcW w:w="1266" w:type="dxa"/>
            <w:noWrap/>
          </w:tcPr>
          <w:p w14:paraId="5F98C794"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-14,0</w:t>
            </w:r>
          </w:p>
        </w:tc>
        <w:tc>
          <w:tcPr>
            <w:tcW w:w="1288" w:type="dxa"/>
            <w:noWrap/>
          </w:tcPr>
          <w:p w14:paraId="032D56F4"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-17,4</w:t>
            </w:r>
          </w:p>
        </w:tc>
        <w:tc>
          <w:tcPr>
            <w:tcW w:w="1235" w:type="dxa"/>
            <w:noWrap/>
          </w:tcPr>
          <w:p w14:paraId="7D6D8E7A"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-14,94%</w:t>
            </w:r>
          </w:p>
        </w:tc>
        <w:tc>
          <w:tcPr>
            <w:tcW w:w="1006" w:type="dxa"/>
            <w:noWrap/>
          </w:tcPr>
          <w:p w14:paraId="6EFFD53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-18,60%</w:t>
            </w:r>
          </w:p>
        </w:tc>
      </w:tr>
      <w:tr w:rsidR="0052326C" w:rsidRPr="0052326C" w14:paraId="79E0BE71" w14:textId="77777777" w:rsidTr="00966A72">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2154600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TOTAL</w:t>
            </w:r>
          </w:p>
        </w:tc>
        <w:tc>
          <w:tcPr>
            <w:tcW w:w="1184" w:type="dxa"/>
            <w:noWrap/>
          </w:tcPr>
          <w:p w14:paraId="3CF44761"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201,9</w:t>
            </w:r>
          </w:p>
        </w:tc>
        <w:tc>
          <w:tcPr>
            <w:tcW w:w="1142" w:type="dxa"/>
            <w:noWrap/>
          </w:tcPr>
          <w:p w14:paraId="02632A7C"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162,2</w:t>
            </w:r>
          </w:p>
        </w:tc>
        <w:tc>
          <w:tcPr>
            <w:tcW w:w="1266" w:type="dxa"/>
            <w:noWrap/>
          </w:tcPr>
          <w:p w14:paraId="31618D25"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-39,7</w:t>
            </w:r>
          </w:p>
        </w:tc>
        <w:tc>
          <w:tcPr>
            <w:tcW w:w="1288" w:type="dxa"/>
            <w:noWrap/>
          </w:tcPr>
          <w:p w14:paraId="0670A3D5"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-46,7</w:t>
            </w:r>
          </w:p>
        </w:tc>
        <w:tc>
          <w:tcPr>
            <w:tcW w:w="1235" w:type="dxa"/>
            <w:noWrap/>
          </w:tcPr>
          <w:p w14:paraId="2A49CF43"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-19,7%</w:t>
            </w:r>
          </w:p>
        </w:tc>
        <w:tc>
          <w:tcPr>
            <w:tcW w:w="1006" w:type="dxa"/>
            <w:noWrap/>
          </w:tcPr>
          <w:p w14:paraId="6CA10F9C"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-23,12%</w:t>
            </w:r>
          </w:p>
        </w:tc>
      </w:tr>
    </w:tbl>
    <w:p w14:paraId="3DF6EF1C" w14:textId="77777777" w:rsidR="0052326C" w:rsidRPr="00966A72"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966A72">
        <w:rPr>
          <w:rFonts w:ascii="Times New Roman" w:eastAsia="Arial" w:hAnsi="Times New Roman"/>
          <w:color w:val="auto"/>
          <w:spacing w:val="0"/>
          <w:sz w:val="22"/>
          <w:szCs w:val="22"/>
          <w:lang w:val="en-GB" w:eastAsia="en-US"/>
        </w:rPr>
        <w:t>Source: Electoral Commission (2022)</w:t>
      </w:r>
    </w:p>
    <w:p w14:paraId="453FDAF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3DC00EB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The budget for the outreach programme decreases in both nominal and in real value terms from R 201.9 million in 2021/22 to R 162.2 million in 2022/23. This translates to a budget decrease of R46.7 million (23.1%) in real terms. Under programme 3, the compensation of employees significantly decreases from R 108.4 million to R 82.6 million in the current financial year. These budget cuts translate to R 29.3 million (27.05%) in real terms. The goods and services under programme 3 decreases from R 93.5 million in the previous financial year to R 79.5 million in the current financial year, thus translating to R17.4 million (18.6%) budget decrease in real terms.</w:t>
      </w:r>
    </w:p>
    <w:p w14:paraId="0C02872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p>
    <w:p w14:paraId="20262739" w14:textId="24C7024A" w:rsidR="0052326C" w:rsidRPr="00966A72"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6" w:name="_Toc102217660"/>
      <w:r w:rsidRPr="0052326C">
        <w:rPr>
          <w:rFonts w:ascii="Times New Roman" w:eastAsia="Arial" w:hAnsi="Times New Roman"/>
          <w:b/>
          <w:color w:val="auto"/>
          <w:spacing w:val="0"/>
          <w:sz w:val="22"/>
          <w:szCs w:val="22"/>
          <w:lang w:eastAsia="en-US"/>
        </w:rPr>
        <w:t>Programme 4: Party funding</w:t>
      </w:r>
      <w:bookmarkEnd w:id="26"/>
    </w:p>
    <w:p w14:paraId="72BB81D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 xml:space="preserve">Programme 4 is a new additional branch to the IEC 2020-25 Strategic Plan. The programme is intended to focus on the strategic outcome of contributing to the enhancement of transparency in elections and party funding. For 2021/22, this programme was allocated R 21.9 million, but its budget increased to R 25 million in the current financial year. </w:t>
      </w:r>
      <w:r w:rsidRPr="0052326C">
        <w:rPr>
          <w:rFonts w:ascii="Times New Roman" w:eastAsia="Arial" w:hAnsi="Times New Roman"/>
          <w:color w:val="auto"/>
          <w:spacing w:val="0"/>
          <w:sz w:val="22"/>
          <w:szCs w:val="22"/>
          <w:lang w:eastAsia="en-US"/>
        </w:rPr>
        <w:lastRenderedPageBreak/>
        <w:t>The biggest cost driver in this programme is goods and services line item that has been allocated R 16.3 million in the current financial year from the R 13.7 million allocation in the previous financial year. This translates into a budget increase of R 2.6 million (18.61%) if inflation is not considered but R1.9 million (13.51%), when inflation is taken into consideration. Compensation of employees’ budget item under this programme has increased in real terms by R 0.2 million from the previous year allocation of R 8.2 million.</w:t>
      </w:r>
    </w:p>
    <w:p w14:paraId="1E70B73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p>
    <w:p w14:paraId="6530EBE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color w:val="auto"/>
          <w:spacing w:val="0"/>
          <w:sz w:val="22"/>
          <w:szCs w:val="22"/>
          <w:lang w:eastAsia="en-US"/>
        </w:rPr>
        <w:t>Table 6: Programme 3 Budget Allocation</w:t>
      </w:r>
    </w:p>
    <w:tbl>
      <w:tblPr>
        <w:tblStyle w:val="GridTable5Dark-Accent3"/>
        <w:tblW w:w="0" w:type="auto"/>
        <w:tblLook w:val="04A0" w:firstRow="1" w:lastRow="0" w:firstColumn="1" w:lastColumn="0" w:noHBand="0" w:noVBand="1"/>
      </w:tblPr>
      <w:tblGrid>
        <w:gridCol w:w="2502"/>
        <w:gridCol w:w="1184"/>
        <w:gridCol w:w="1142"/>
        <w:gridCol w:w="1266"/>
        <w:gridCol w:w="1288"/>
        <w:gridCol w:w="1235"/>
        <w:gridCol w:w="1080"/>
      </w:tblGrid>
      <w:tr w:rsidR="0052326C" w:rsidRPr="0052326C" w14:paraId="14F52C4D" w14:textId="77777777" w:rsidTr="00966A72">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502" w:type="dxa"/>
            <w:noWrap/>
            <w:hideMark/>
          </w:tcPr>
          <w:p w14:paraId="20D5F41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Programme</w:t>
            </w:r>
          </w:p>
        </w:tc>
        <w:tc>
          <w:tcPr>
            <w:tcW w:w="2326" w:type="dxa"/>
            <w:gridSpan w:val="2"/>
            <w:hideMark/>
          </w:tcPr>
          <w:p w14:paraId="4B02495C"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Budget</w:t>
            </w:r>
          </w:p>
        </w:tc>
        <w:tc>
          <w:tcPr>
            <w:tcW w:w="1266" w:type="dxa"/>
            <w:vMerge w:val="restart"/>
            <w:hideMark/>
          </w:tcPr>
          <w:p w14:paraId="31C525F0"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Nominal Increase/ Decrease in 2022/23</w:t>
            </w:r>
          </w:p>
          <w:p w14:paraId="734D4805"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Rand)</w:t>
            </w:r>
          </w:p>
        </w:tc>
        <w:tc>
          <w:tcPr>
            <w:tcW w:w="1288" w:type="dxa"/>
            <w:vMerge w:val="restart"/>
            <w:hideMark/>
          </w:tcPr>
          <w:p w14:paraId="76D0CDDE"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Real Increase/ Decrease in 2022/23</w:t>
            </w:r>
          </w:p>
          <w:p w14:paraId="4376A6C6"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(Rand)</w:t>
            </w:r>
          </w:p>
        </w:tc>
        <w:tc>
          <w:tcPr>
            <w:tcW w:w="1235" w:type="dxa"/>
            <w:vMerge w:val="restart"/>
            <w:hideMark/>
          </w:tcPr>
          <w:p w14:paraId="39E8CDC6"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Nominal Percent change in 2022/23</w:t>
            </w:r>
          </w:p>
        </w:tc>
        <w:tc>
          <w:tcPr>
            <w:tcW w:w="1006" w:type="dxa"/>
            <w:vMerge w:val="restart"/>
            <w:hideMark/>
          </w:tcPr>
          <w:p w14:paraId="332B0896"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Real Percent change in 2022/23</w:t>
            </w:r>
          </w:p>
        </w:tc>
      </w:tr>
      <w:tr w:rsidR="0052326C" w:rsidRPr="0052326C" w14:paraId="6E153504" w14:textId="77777777" w:rsidTr="00966A7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1CB1363B"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 xml:space="preserve">(R’000) </w:t>
            </w:r>
          </w:p>
        </w:tc>
        <w:tc>
          <w:tcPr>
            <w:tcW w:w="1184" w:type="dxa"/>
            <w:noWrap/>
            <w:hideMark/>
          </w:tcPr>
          <w:p w14:paraId="557A2802"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2021/22</w:t>
            </w:r>
          </w:p>
        </w:tc>
        <w:tc>
          <w:tcPr>
            <w:tcW w:w="1142" w:type="dxa"/>
            <w:noWrap/>
            <w:hideMark/>
          </w:tcPr>
          <w:p w14:paraId="4A5DC5D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2022/23</w:t>
            </w:r>
          </w:p>
        </w:tc>
        <w:tc>
          <w:tcPr>
            <w:tcW w:w="1266" w:type="dxa"/>
            <w:vMerge/>
            <w:hideMark/>
          </w:tcPr>
          <w:p w14:paraId="0A7CBA22"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88" w:type="dxa"/>
            <w:vMerge/>
            <w:hideMark/>
          </w:tcPr>
          <w:p w14:paraId="6DFD4DB7"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235" w:type="dxa"/>
            <w:vMerge/>
            <w:hideMark/>
          </w:tcPr>
          <w:p w14:paraId="299B5B7F"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c>
          <w:tcPr>
            <w:tcW w:w="1006" w:type="dxa"/>
            <w:vMerge/>
            <w:hideMark/>
          </w:tcPr>
          <w:p w14:paraId="4811CDE9"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bCs/>
                <w:color w:val="auto"/>
                <w:spacing w:val="0"/>
                <w:sz w:val="22"/>
                <w:szCs w:val="22"/>
                <w:lang w:val="en-GB" w:eastAsia="en-US"/>
              </w:rPr>
            </w:pPr>
          </w:p>
        </w:tc>
      </w:tr>
      <w:tr w:rsidR="0052326C" w:rsidRPr="0052326C" w14:paraId="33766069" w14:textId="77777777" w:rsidTr="00966A72">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3E9FBE5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Compensation of Employees</w:t>
            </w:r>
          </w:p>
        </w:tc>
        <w:tc>
          <w:tcPr>
            <w:tcW w:w="1184" w:type="dxa"/>
            <w:noWrap/>
          </w:tcPr>
          <w:p w14:paraId="1155A1AB"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8,2</w:t>
            </w:r>
          </w:p>
        </w:tc>
        <w:tc>
          <w:tcPr>
            <w:tcW w:w="1142" w:type="dxa"/>
            <w:noWrap/>
          </w:tcPr>
          <w:p w14:paraId="1D27C7FC"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8,7</w:t>
            </w:r>
          </w:p>
        </w:tc>
        <w:tc>
          <w:tcPr>
            <w:tcW w:w="1266" w:type="dxa"/>
            <w:noWrap/>
          </w:tcPr>
          <w:p w14:paraId="1A2FBE21"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0,5</w:t>
            </w:r>
          </w:p>
        </w:tc>
        <w:tc>
          <w:tcPr>
            <w:tcW w:w="1288" w:type="dxa"/>
            <w:noWrap/>
          </w:tcPr>
          <w:p w14:paraId="349DB894"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0,2</w:t>
            </w:r>
          </w:p>
        </w:tc>
        <w:tc>
          <w:tcPr>
            <w:tcW w:w="1235" w:type="dxa"/>
            <w:noWrap/>
          </w:tcPr>
          <w:p w14:paraId="21BECF46"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6,59 %</w:t>
            </w:r>
          </w:p>
        </w:tc>
        <w:tc>
          <w:tcPr>
            <w:tcW w:w="1006" w:type="dxa"/>
            <w:noWrap/>
          </w:tcPr>
          <w:p w14:paraId="30226B2D"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2,00%</w:t>
            </w:r>
          </w:p>
        </w:tc>
      </w:tr>
      <w:tr w:rsidR="0052326C" w:rsidRPr="0052326C" w14:paraId="030E1152" w14:textId="77777777" w:rsidTr="00966A7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5F5D656C"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Goods and Services</w:t>
            </w:r>
          </w:p>
        </w:tc>
        <w:tc>
          <w:tcPr>
            <w:tcW w:w="1184" w:type="dxa"/>
            <w:noWrap/>
          </w:tcPr>
          <w:p w14:paraId="1D08D2CD"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13,7</w:t>
            </w:r>
          </w:p>
        </w:tc>
        <w:tc>
          <w:tcPr>
            <w:tcW w:w="1142" w:type="dxa"/>
            <w:noWrap/>
          </w:tcPr>
          <w:p w14:paraId="768BD1E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16,3</w:t>
            </w:r>
          </w:p>
        </w:tc>
        <w:tc>
          <w:tcPr>
            <w:tcW w:w="1266" w:type="dxa"/>
            <w:noWrap/>
          </w:tcPr>
          <w:p w14:paraId="6D002CB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2,6</w:t>
            </w:r>
          </w:p>
        </w:tc>
        <w:tc>
          <w:tcPr>
            <w:tcW w:w="1288" w:type="dxa"/>
            <w:noWrap/>
          </w:tcPr>
          <w:p w14:paraId="3AC018F6"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1,9</w:t>
            </w:r>
          </w:p>
        </w:tc>
        <w:tc>
          <w:tcPr>
            <w:tcW w:w="1235" w:type="dxa"/>
            <w:noWrap/>
          </w:tcPr>
          <w:p w14:paraId="768A5CEC"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18,61 %</w:t>
            </w:r>
          </w:p>
        </w:tc>
        <w:tc>
          <w:tcPr>
            <w:tcW w:w="1006" w:type="dxa"/>
            <w:noWrap/>
          </w:tcPr>
          <w:p w14:paraId="351BB57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13,51%</w:t>
            </w:r>
          </w:p>
        </w:tc>
      </w:tr>
      <w:tr w:rsidR="0052326C" w:rsidRPr="0052326C" w14:paraId="6223D2D7" w14:textId="77777777" w:rsidTr="00966A72">
        <w:trPr>
          <w:trHeight w:val="264"/>
        </w:trPr>
        <w:tc>
          <w:tcPr>
            <w:cnfStyle w:val="001000000000" w:firstRow="0" w:lastRow="0" w:firstColumn="1" w:lastColumn="0" w:oddVBand="0" w:evenVBand="0" w:oddHBand="0" w:evenHBand="0" w:firstRowFirstColumn="0" w:firstRowLastColumn="0" w:lastRowFirstColumn="0" w:lastRowLastColumn="0"/>
            <w:tcW w:w="2502" w:type="dxa"/>
            <w:noWrap/>
            <w:hideMark/>
          </w:tcPr>
          <w:p w14:paraId="4DBB1DE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val="0"/>
                <w:bCs w:val="0"/>
                <w:color w:val="auto"/>
                <w:spacing w:val="0"/>
                <w:sz w:val="22"/>
                <w:szCs w:val="22"/>
                <w:lang w:val="en-GB" w:eastAsia="en-US"/>
              </w:rPr>
            </w:pPr>
            <w:r w:rsidRPr="0052326C">
              <w:rPr>
                <w:rFonts w:ascii="Times New Roman" w:eastAsia="Arial" w:hAnsi="Times New Roman"/>
                <w:b w:val="0"/>
                <w:bCs w:val="0"/>
                <w:color w:val="auto"/>
                <w:spacing w:val="0"/>
                <w:sz w:val="22"/>
                <w:szCs w:val="22"/>
                <w:lang w:val="en-GB" w:eastAsia="en-US"/>
              </w:rPr>
              <w:t>TOTAL</w:t>
            </w:r>
          </w:p>
        </w:tc>
        <w:tc>
          <w:tcPr>
            <w:tcW w:w="1184" w:type="dxa"/>
            <w:noWrap/>
          </w:tcPr>
          <w:p w14:paraId="1E76F9B8"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21,9</w:t>
            </w:r>
          </w:p>
        </w:tc>
        <w:tc>
          <w:tcPr>
            <w:tcW w:w="1142" w:type="dxa"/>
            <w:noWrap/>
          </w:tcPr>
          <w:p w14:paraId="5556C74F"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25,0</w:t>
            </w:r>
          </w:p>
        </w:tc>
        <w:tc>
          <w:tcPr>
            <w:tcW w:w="1266" w:type="dxa"/>
            <w:noWrap/>
          </w:tcPr>
          <w:p w14:paraId="7D28F5C4"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3,1</w:t>
            </w:r>
          </w:p>
        </w:tc>
        <w:tc>
          <w:tcPr>
            <w:tcW w:w="1288" w:type="dxa"/>
            <w:noWrap/>
          </w:tcPr>
          <w:p w14:paraId="276958C4"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2,0</w:t>
            </w:r>
          </w:p>
        </w:tc>
        <w:tc>
          <w:tcPr>
            <w:tcW w:w="1235" w:type="dxa"/>
            <w:noWrap/>
          </w:tcPr>
          <w:p w14:paraId="0F7F14B9"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14,2%</w:t>
            </w:r>
          </w:p>
        </w:tc>
        <w:tc>
          <w:tcPr>
            <w:tcW w:w="1006" w:type="dxa"/>
            <w:noWrap/>
          </w:tcPr>
          <w:p w14:paraId="194AB58E"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auto"/>
                <w:spacing w:val="0"/>
                <w:sz w:val="22"/>
                <w:szCs w:val="22"/>
                <w:lang w:val="en-GB" w:eastAsia="en-US"/>
              </w:rPr>
            </w:pPr>
            <w:r w:rsidRPr="0052326C">
              <w:rPr>
                <w:rFonts w:ascii="Times New Roman" w:eastAsia="Arial" w:hAnsi="Times New Roman"/>
                <w:b/>
                <w:bCs/>
                <w:color w:val="auto"/>
                <w:spacing w:val="0"/>
                <w:sz w:val="22"/>
                <w:szCs w:val="22"/>
                <w:lang w:val="en-GB" w:eastAsia="en-US"/>
              </w:rPr>
              <w:t>9,24%</w:t>
            </w:r>
          </w:p>
        </w:tc>
      </w:tr>
    </w:tbl>
    <w:p w14:paraId="135C5C2C" w14:textId="77777777" w:rsidR="0052326C" w:rsidRPr="00966A72"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966A72">
        <w:rPr>
          <w:rFonts w:ascii="Times New Roman" w:eastAsia="Arial" w:hAnsi="Times New Roman"/>
          <w:color w:val="auto"/>
          <w:spacing w:val="0"/>
          <w:sz w:val="22"/>
          <w:szCs w:val="22"/>
          <w:lang w:val="en-GB" w:eastAsia="en-US"/>
        </w:rPr>
        <w:t>Source: Electoral Commission Presentation (2022)</w:t>
      </w:r>
    </w:p>
    <w:p w14:paraId="5948C432"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79BA58D" w14:textId="2F6D26BF" w:rsidR="0052326C" w:rsidRPr="00966A72" w:rsidRDefault="0052326C" w:rsidP="00CB4303">
      <w:pPr>
        <w:pStyle w:val="ListParagraph"/>
        <w:widowControl w:val="0"/>
        <w:numPr>
          <w:ilvl w:val="1"/>
          <w:numId w:val="28"/>
        </w:numPr>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7" w:name="_Toc102217661"/>
      <w:r w:rsidRPr="00966A72">
        <w:rPr>
          <w:rFonts w:ascii="Times New Roman" w:eastAsia="Arial" w:hAnsi="Times New Roman"/>
          <w:b/>
          <w:color w:val="auto"/>
          <w:spacing w:val="0"/>
          <w:sz w:val="22"/>
          <w:szCs w:val="22"/>
          <w:lang w:eastAsia="en-US"/>
        </w:rPr>
        <w:t xml:space="preserve">Analysis of the </w:t>
      </w:r>
      <w:r w:rsidR="00966A72">
        <w:rPr>
          <w:rFonts w:ascii="Times New Roman" w:eastAsia="Arial" w:hAnsi="Times New Roman"/>
          <w:b/>
          <w:color w:val="auto"/>
          <w:spacing w:val="0"/>
          <w:sz w:val="22"/>
          <w:szCs w:val="22"/>
          <w:lang w:eastAsia="en-US"/>
        </w:rPr>
        <w:t xml:space="preserve">IEC </w:t>
      </w:r>
      <w:r w:rsidRPr="00966A72">
        <w:rPr>
          <w:rFonts w:ascii="Times New Roman" w:eastAsia="Arial" w:hAnsi="Times New Roman"/>
          <w:b/>
          <w:color w:val="auto"/>
          <w:spacing w:val="0"/>
          <w:sz w:val="22"/>
          <w:szCs w:val="22"/>
          <w:lang w:eastAsia="en-US"/>
        </w:rPr>
        <w:t>annual performance plan per programme</w:t>
      </w:r>
      <w:bookmarkEnd w:id="27"/>
    </w:p>
    <w:p w14:paraId="092B07F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2DC436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The IEC has set out several strategic priorities in the Strategic Plan for 2020-2025, as well as a set of planned annual targets contained in the APP for 2022/23. This section provides an analysis of the annual targets for the 2022/2023 financial year as per IEC’s APP.</w:t>
      </w:r>
    </w:p>
    <w:p w14:paraId="671194C3"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0D126D08" w14:textId="29F61739"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8" w:name="_Toc102217662"/>
      <w:r w:rsidRPr="0052326C">
        <w:rPr>
          <w:rFonts w:ascii="Times New Roman" w:eastAsia="Arial" w:hAnsi="Times New Roman"/>
          <w:b/>
          <w:color w:val="auto"/>
          <w:spacing w:val="0"/>
          <w:sz w:val="22"/>
          <w:szCs w:val="22"/>
          <w:lang w:eastAsia="en-US"/>
        </w:rPr>
        <w:t>Programme 1: Administration</w:t>
      </w:r>
      <w:bookmarkEnd w:id="28"/>
    </w:p>
    <w:p w14:paraId="16ED790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 xml:space="preserve">While programme 1 strategic outcome remains the same, the number of targets decreases remains the same as in the 2021/22 financial year. </w:t>
      </w:r>
    </w:p>
    <w:p w14:paraId="2F484F4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0415C21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color w:val="auto"/>
          <w:spacing w:val="0"/>
          <w:sz w:val="22"/>
          <w:szCs w:val="22"/>
          <w:lang w:eastAsia="en-US"/>
        </w:rPr>
        <w:t>Table 7: Programme 1 annual targets performance indicators</w:t>
      </w:r>
    </w:p>
    <w:tbl>
      <w:tblPr>
        <w:tblStyle w:val="GridTable4-Accent3"/>
        <w:tblW w:w="0" w:type="auto"/>
        <w:tblLook w:val="04A0" w:firstRow="1" w:lastRow="0" w:firstColumn="1" w:lastColumn="0" w:noHBand="0" w:noVBand="1"/>
      </w:tblPr>
      <w:tblGrid>
        <w:gridCol w:w="1639"/>
        <w:gridCol w:w="3034"/>
        <w:gridCol w:w="2693"/>
        <w:gridCol w:w="2786"/>
      </w:tblGrid>
      <w:tr w:rsidR="0052326C" w:rsidRPr="0052326C" w14:paraId="7C86825D" w14:textId="77777777" w:rsidTr="00966A72">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39" w:type="dxa"/>
          </w:tcPr>
          <w:p w14:paraId="51C4A74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Strategic Outcome:</w:t>
            </w:r>
          </w:p>
        </w:tc>
        <w:tc>
          <w:tcPr>
            <w:tcW w:w="3034" w:type="dxa"/>
          </w:tcPr>
          <w:p w14:paraId="00523958"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outputs</w:t>
            </w:r>
          </w:p>
        </w:tc>
        <w:tc>
          <w:tcPr>
            <w:tcW w:w="2693" w:type="dxa"/>
          </w:tcPr>
          <w:p w14:paraId="6D6EA3AE"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Output Indicator</w:t>
            </w:r>
          </w:p>
        </w:tc>
        <w:tc>
          <w:tcPr>
            <w:tcW w:w="2786" w:type="dxa"/>
          </w:tcPr>
          <w:p w14:paraId="488A4BB0"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Annual target</w:t>
            </w:r>
          </w:p>
        </w:tc>
      </w:tr>
      <w:tr w:rsidR="0052326C" w:rsidRPr="0052326C" w14:paraId="3E87FDAA" w14:textId="77777777" w:rsidTr="00966A72">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639" w:type="dxa"/>
            <w:vMerge w:val="restart"/>
          </w:tcPr>
          <w:p w14:paraId="4F442B6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Strengthened institutional effectiveness</w:t>
            </w:r>
          </w:p>
        </w:tc>
        <w:tc>
          <w:tcPr>
            <w:tcW w:w="3034" w:type="dxa"/>
          </w:tcPr>
          <w:p w14:paraId="05423E47"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Exercise leadership and governance, monitoring and evaluation to ensure the effective implementation of IEC’s core mandate, strategic outcomes and outputs, aligned with the corresponding budget allocations and risks compliance</w:t>
            </w:r>
          </w:p>
        </w:tc>
        <w:tc>
          <w:tcPr>
            <w:tcW w:w="2693" w:type="dxa"/>
          </w:tcPr>
          <w:p w14:paraId="595BE92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Number of quarterly reviews of the strategic risk register by the Executive Risk Management Committee within 30 days after the start of the next quarter.</w:t>
            </w:r>
          </w:p>
        </w:tc>
        <w:tc>
          <w:tcPr>
            <w:tcW w:w="2786" w:type="dxa"/>
          </w:tcPr>
          <w:p w14:paraId="360D7D2D"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4</w:t>
            </w:r>
          </w:p>
        </w:tc>
      </w:tr>
      <w:tr w:rsidR="0052326C" w:rsidRPr="0052326C" w14:paraId="59707E36" w14:textId="77777777" w:rsidTr="00966A72">
        <w:trPr>
          <w:trHeight w:val="964"/>
        </w:trPr>
        <w:tc>
          <w:tcPr>
            <w:cnfStyle w:val="001000000000" w:firstRow="0" w:lastRow="0" w:firstColumn="1" w:lastColumn="0" w:oddVBand="0" w:evenVBand="0" w:oddHBand="0" w:evenHBand="0" w:firstRowFirstColumn="0" w:firstRowLastColumn="0" w:lastRowFirstColumn="0" w:lastRowLastColumn="0"/>
            <w:tcW w:w="1639" w:type="dxa"/>
            <w:vMerge/>
          </w:tcPr>
          <w:p w14:paraId="021B463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3034" w:type="dxa"/>
          </w:tcPr>
          <w:p w14:paraId="6B607AB3"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Provide a cutting-edge, stable, secure ICT environment that meets all functional needs of the Electoral Commission and supports innovative business processes.</w:t>
            </w:r>
          </w:p>
        </w:tc>
        <w:tc>
          <w:tcPr>
            <w:tcW w:w="2693" w:type="dxa"/>
          </w:tcPr>
          <w:p w14:paraId="6F500802"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Minimum annual percentage network and application systems availability measured in hours system-generated report available.</w:t>
            </w:r>
          </w:p>
        </w:tc>
        <w:tc>
          <w:tcPr>
            <w:tcW w:w="2786" w:type="dxa"/>
          </w:tcPr>
          <w:p w14:paraId="6C50238B"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97% of 2 214 hours’ achievement</w:t>
            </w:r>
          </w:p>
        </w:tc>
      </w:tr>
      <w:tr w:rsidR="0052326C" w:rsidRPr="0052326C" w14:paraId="568889EE" w14:textId="77777777" w:rsidTr="00966A7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639" w:type="dxa"/>
            <w:vMerge/>
          </w:tcPr>
          <w:p w14:paraId="4BA6BB0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3034" w:type="dxa"/>
          </w:tcPr>
          <w:p w14:paraId="5662CEF8"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p>
        </w:tc>
        <w:tc>
          <w:tcPr>
            <w:tcW w:w="2693" w:type="dxa"/>
          </w:tcPr>
          <w:p w14:paraId="27AAD37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Number of funded positions filled per annum</w:t>
            </w:r>
          </w:p>
        </w:tc>
        <w:tc>
          <w:tcPr>
            <w:tcW w:w="2786" w:type="dxa"/>
          </w:tcPr>
          <w:p w14:paraId="5F80429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95% of 938 posts calculated pro-rata over the year</w:t>
            </w:r>
          </w:p>
        </w:tc>
      </w:tr>
      <w:tr w:rsidR="0052326C" w:rsidRPr="0052326C" w14:paraId="5B70B7A0" w14:textId="77777777" w:rsidTr="00966A72">
        <w:trPr>
          <w:trHeight w:val="280"/>
        </w:trPr>
        <w:tc>
          <w:tcPr>
            <w:cnfStyle w:val="001000000000" w:firstRow="0" w:lastRow="0" w:firstColumn="1" w:lastColumn="0" w:oddVBand="0" w:evenVBand="0" w:oddHBand="0" w:evenHBand="0" w:firstRowFirstColumn="0" w:firstRowLastColumn="0" w:lastRowFirstColumn="0" w:lastRowLastColumn="0"/>
            <w:tcW w:w="1639" w:type="dxa"/>
            <w:vMerge/>
          </w:tcPr>
          <w:p w14:paraId="4F2043D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3034" w:type="dxa"/>
          </w:tcPr>
          <w:p w14:paraId="23D70A16"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Effectively manage financial resources in compliance with legislation</w:t>
            </w:r>
          </w:p>
        </w:tc>
        <w:tc>
          <w:tcPr>
            <w:tcW w:w="2693" w:type="dxa"/>
          </w:tcPr>
          <w:p w14:paraId="0BAAC151"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Obtain a clean audit outcome from the annual external audit process </w:t>
            </w:r>
            <w:r w:rsidRPr="0052326C">
              <w:rPr>
                <w:rFonts w:ascii="Times New Roman" w:hAnsi="Times New Roman"/>
                <w:b/>
                <w:color w:val="auto"/>
                <w:spacing w:val="0"/>
                <w:sz w:val="22"/>
                <w:szCs w:val="22"/>
                <w:lang w:eastAsia="en-US"/>
              </w:rPr>
              <w:t>(New indicator)</w:t>
            </w:r>
          </w:p>
        </w:tc>
        <w:tc>
          <w:tcPr>
            <w:tcW w:w="2786" w:type="dxa"/>
          </w:tcPr>
          <w:p w14:paraId="30C6F34E"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Obtain a clean audit </w:t>
            </w:r>
          </w:p>
        </w:tc>
      </w:tr>
    </w:tbl>
    <w:p w14:paraId="0E41491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Source: IEC Presentation (2022)</w:t>
      </w:r>
    </w:p>
    <w:p w14:paraId="799EF57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623CA45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Programme 1 has a standard annual target of producing 4 quarterly reports as required by National Treasury regulations for all government departments and entities. In order to keep the IEC operations at an optimal level, the IEC annual target is to ensure that at least 97% of the 2 214 working hours are accounted for in terms of network and system availability. The Human Resource Unit also intends to ensure that at least 95% of the total 1 113 positions at the IEC are filled at all times. The IEC also intends to obtain a clean audit outcome from the external auditors.</w:t>
      </w:r>
    </w:p>
    <w:p w14:paraId="4B794EA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47CF7ADC" w14:textId="63FFE9DB"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29" w:name="_Toc102217663"/>
      <w:r w:rsidRPr="0052326C">
        <w:rPr>
          <w:rFonts w:ascii="Times New Roman" w:eastAsia="Arial" w:hAnsi="Times New Roman"/>
          <w:b/>
          <w:color w:val="auto"/>
          <w:spacing w:val="0"/>
          <w:sz w:val="22"/>
          <w:szCs w:val="22"/>
          <w:lang w:eastAsia="en-US"/>
        </w:rPr>
        <w:t>Programme 2: Electoral Operations</w:t>
      </w:r>
      <w:bookmarkEnd w:id="29"/>
    </w:p>
    <w:p w14:paraId="7DA93285"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b/>
          <w:color w:val="auto"/>
          <w:spacing w:val="0"/>
          <w:sz w:val="22"/>
          <w:szCs w:val="22"/>
          <w:lang w:eastAsia="en-US"/>
        </w:rPr>
        <w:t xml:space="preserve">Strategic objective: </w:t>
      </w:r>
      <w:r w:rsidRPr="0052326C">
        <w:rPr>
          <w:rFonts w:ascii="Times New Roman" w:eastAsia="Arial" w:hAnsi="Times New Roman"/>
          <w:color w:val="auto"/>
          <w:spacing w:val="0"/>
          <w:sz w:val="22"/>
          <w:szCs w:val="22"/>
          <w:lang w:eastAsia="en-US"/>
        </w:rPr>
        <w:t>Manage free and</w:t>
      </w:r>
      <w:r w:rsidRPr="0052326C">
        <w:rPr>
          <w:rFonts w:ascii="Times New Roman" w:eastAsia="Arial" w:hAnsi="Times New Roman"/>
          <w:b/>
          <w:color w:val="auto"/>
          <w:spacing w:val="0"/>
          <w:sz w:val="22"/>
          <w:szCs w:val="22"/>
          <w:lang w:eastAsia="en-US"/>
        </w:rPr>
        <w:t xml:space="preserve"> </w:t>
      </w:r>
      <w:r w:rsidRPr="0052326C">
        <w:rPr>
          <w:rFonts w:ascii="Times New Roman" w:eastAsia="Arial" w:hAnsi="Times New Roman"/>
          <w:color w:val="auto"/>
          <w:spacing w:val="0"/>
          <w:sz w:val="22"/>
          <w:szCs w:val="22"/>
          <w:lang w:eastAsia="en-US"/>
        </w:rPr>
        <w:t>fair elections striving for excellence at voting station level; ensuring accessibility and suitability of voting facilities and processes; managing results; maximising electoral justice for all stakeholders in the electoral process; enhancing the credibility of the voters roll; ensuring compliance with legal prescripts; and continuously improve the legislative framework.</w:t>
      </w:r>
    </w:p>
    <w:p w14:paraId="5F040808"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p>
    <w:p w14:paraId="38B5148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color w:val="auto"/>
          <w:spacing w:val="0"/>
          <w:sz w:val="22"/>
          <w:szCs w:val="22"/>
          <w:lang w:eastAsia="en-US"/>
        </w:rPr>
        <w:t>Table 8: Programme 2 annual targets performance indicators</w:t>
      </w:r>
    </w:p>
    <w:tbl>
      <w:tblPr>
        <w:tblStyle w:val="GridTable4-Accent3"/>
        <w:tblW w:w="0" w:type="auto"/>
        <w:tblLook w:val="04A0" w:firstRow="1" w:lastRow="0" w:firstColumn="1" w:lastColumn="0" w:noHBand="0" w:noVBand="1"/>
      </w:tblPr>
      <w:tblGrid>
        <w:gridCol w:w="1654"/>
        <w:gridCol w:w="2713"/>
        <w:gridCol w:w="3467"/>
        <w:gridCol w:w="2406"/>
      </w:tblGrid>
      <w:tr w:rsidR="0052326C" w:rsidRPr="0052326C" w14:paraId="02CF9E3D" w14:textId="77777777" w:rsidTr="00966A72">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654" w:type="dxa"/>
          </w:tcPr>
          <w:p w14:paraId="15E0DE3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Strategic Outcome:</w:t>
            </w:r>
          </w:p>
        </w:tc>
        <w:tc>
          <w:tcPr>
            <w:tcW w:w="2713" w:type="dxa"/>
          </w:tcPr>
          <w:p w14:paraId="6EBA1B7A"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outputs</w:t>
            </w:r>
          </w:p>
        </w:tc>
        <w:tc>
          <w:tcPr>
            <w:tcW w:w="3467" w:type="dxa"/>
          </w:tcPr>
          <w:p w14:paraId="74BD114D"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Output Indicator</w:t>
            </w:r>
          </w:p>
        </w:tc>
        <w:tc>
          <w:tcPr>
            <w:tcW w:w="2406" w:type="dxa"/>
          </w:tcPr>
          <w:p w14:paraId="144DAC17"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Annual target</w:t>
            </w:r>
          </w:p>
        </w:tc>
      </w:tr>
      <w:tr w:rsidR="0052326C" w:rsidRPr="0052326C" w14:paraId="3177A41F" w14:textId="77777777" w:rsidTr="00966A72">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654" w:type="dxa"/>
            <w:vMerge w:val="restart"/>
          </w:tcPr>
          <w:p w14:paraId="71F6404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Free and Fair Elections Delivered</w:t>
            </w:r>
          </w:p>
        </w:tc>
        <w:tc>
          <w:tcPr>
            <w:tcW w:w="2713" w:type="dxa"/>
          </w:tcPr>
          <w:p w14:paraId="0F0C035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Manage free and fair elections in accordance with the applicable electoral timetables to ensure the efficient and credible execution of the mandate of the Electoral Commission</w:t>
            </w:r>
          </w:p>
        </w:tc>
        <w:tc>
          <w:tcPr>
            <w:tcW w:w="3467" w:type="dxa"/>
          </w:tcPr>
          <w:p w14:paraId="5AE9DA07"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Number of elections set aside</w:t>
            </w:r>
          </w:p>
        </w:tc>
        <w:tc>
          <w:tcPr>
            <w:tcW w:w="2406" w:type="dxa"/>
          </w:tcPr>
          <w:p w14:paraId="585E372D"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0 (none)</w:t>
            </w:r>
          </w:p>
        </w:tc>
      </w:tr>
      <w:tr w:rsidR="0052326C" w:rsidRPr="0052326C" w14:paraId="08590AD8" w14:textId="77777777" w:rsidTr="00966A72">
        <w:trPr>
          <w:trHeight w:val="996"/>
        </w:trPr>
        <w:tc>
          <w:tcPr>
            <w:cnfStyle w:val="001000000000" w:firstRow="0" w:lastRow="0" w:firstColumn="1" w:lastColumn="0" w:oddVBand="0" w:evenVBand="0" w:oddHBand="0" w:evenHBand="0" w:firstRowFirstColumn="0" w:firstRowLastColumn="0" w:lastRowFirstColumn="0" w:lastRowLastColumn="0"/>
            <w:tcW w:w="1654" w:type="dxa"/>
            <w:vMerge/>
          </w:tcPr>
          <w:p w14:paraId="55E00CE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2713" w:type="dxa"/>
          </w:tcPr>
          <w:p w14:paraId="0F5B08DB"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Maintain a credible national common voters’ roll that is enabled by cutting-edge technology</w:t>
            </w:r>
          </w:p>
        </w:tc>
        <w:tc>
          <w:tcPr>
            <w:tcW w:w="3467" w:type="dxa"/>
          </w:tcPr>
          <w:p w14:paraId="326F695D"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Number of registered voters as of 31 March of each year</w:t>
            </w:r>
          </w:p>
        </w:tc>
        <w:tc>
          <w:tcPr>
            <w:tcW w:w="2406" w:type="dxa"/>
          </w:tcPr>
          <w:p w14:paraId="7729EA46"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p>
          <w:p w14:paraId="1E0D894D"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26 180 000</w:t>
            </w:r>
          </w:p>
        </w:tc>
      </w:tr>
    </w:tbl>
    <w:p w14:paraId="5B01B8F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Source: IEC APP (2021)</w:t>
      </w:r>
    </w:p>
    <w:p w14:paraId="6C21B3EB"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p>
    <w:p w14:paraId="6400368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Programme 2: Electoral Operations is the branch that ensures that the IEC’s constitutional mandate of managing free and fair elections is achieved. As a result, one of the programme’s output indicators and the annual target is to ensure that none of the elections it organises is set aside. In addition, the IEC has a responsibility to ensure that all adult citizens that are eligible to participate in the elections in all spheres of government do. Consequently, the IEC’s annual target for 2022/23 is to ensure that at least 26.1 million adult citizens are registered on the voters' roll. The target of the number of registered voters has been revised down by 360 000.</w:t>
      </w:r>
    </w:p>
    <w:p w14:paraId="7739CCE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p>
    <w:p w14:paraId="146A1337" w14:textId="189F3DB2"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30" w:name="_Toc102217664"/>
      <w:r w:rsidRPr="0052326C">
        <w:rPr>
          <w:rFonts w:ascii="Times New Roman" w:eastAsia="Arial" w:hAnsi="Times New Roman"/>
          <w:b/>
          <w:color w:val="auto"/>
          <w:spacing w:val="0"/>
          <w:sz w:val="22"/>
          <w:szCs w:val="22"/>
          <w:lang w:eastAsia="en-US"/>
        </w:rPr>
        <w:t>Programme 3: Outreach</w:t>
      </w:r>
      <w:bookmarkEnd w:id="30"/>
      <w:r w:rsidRPr="0052326C">
        <w:rPr>
          <w:rFonts w:ascii="Times New Roman" w:eastAsia="Arial" w:hAnsi="Times New Roman"/>
          <w:b/>
          <w:color w:val="auto"/>
          <w:spacing w:val="0"/>
          <w:sz w:val="22"/>
          <w:szCs w:val="22"/>
          <w:lang w:eastAsia="en-US"/>
        </w:rPr>
        <w:t xml:space="preserve"> </w:t>
      </w:r>
    </w:p>
    <w:p w14:paraId="446FD8FB" w14:textId="329379F0" w:rsid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eastAsia="en-US"/>
        </w:rPr>
        <w:t>The primary purpose of the Outreach is to focus on the strategic outcome of informing and engaging citizens and stakeholders in electoral democracy. This programme has 5 output indicators and 5 annual targets for the 2022/23 financial year.</w:t>
      </w:r>
      <w:r w:rsidRPr="0052326C">
        <w:rPr>
          <w:rFonts w:ascii="Times New Roman" w:eastAsia="Arial" w:hAnsi="Times New Roman"/>
          <w:color w:val="auto"/>
          <w:spacing w:val="0"/>
          <w:sz w:val="22"/>
          <w:szCs w:val="22"/>
          <w:lang w:val="en-GB" w:eastAsia="en-US"/>
        </w:rPr>
        <w:t xml:space="preserve"> The programmes strategic outcomes and annual targets are summarised below:</w:t>
      </w:r>
    </w:p>
    <w:p w14:paraId="11E3F146" w14:textId="59A326D5"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p>
    <w:p w14:paraId="70ABC6F8"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b/>
          <w:color w:val="auto"/>
          <w:spacing w:val="0"/>
          <w:sz w:val="22"/>
          <w:szCs w:val="22"/>
          <w:lang w:eastAsia="en-US"/>
        </w:rPr>
        <w:t>Table 9: Programme 3 annual targets performance indicators</w:t>
      </w:r>
    </w:p>
    <w:tbl>
      <w:tblPr>
        <w:tblStyle w:val="GridTable4-Accent3"/>
        <w:tblW w:w="0" w:type="auto"/>
        <w:tblLook w:val="04A0" w:firstRow="1" w:lastRow="0" w:firstColumn="1" w:lastColumn="0" w:noHBand="0" w:noVBand="1"/>
      </w:tblPr>
      <w:tblGrid>
        <w:gridCol w:w="1555"/>
        <w:gridCol w:w="2551"/>
        <w:gridCol w:w="2693"/>
        <w:gridCol w:w="3402"/>
      </w:tblGrid>
      <w:tr w:rsidR="0052326C" w:rsidRPr="0052326C" w14:paraId="0328D46A" w14:textId="77777777" w:rsidTr="00966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FD0F4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Strategic Outcome:</w:t>
            </w:r>
          </w:p>
        </w:tc>
        <w:tc>
          <w:tcPr>
            <w:tcW w:w="2551" w:type="dxa"/>
          </w:tcPr>
          <w:p w14:paraId="6F40FCDF"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outputs</w:t>
            </w:r>
          </w:p>
        </w:tc>
        <w:tc>
          <w:tcPr>
            <w:tcW w:w="2693" w:type="dxa"/>
          </w:tcPr>
          <w:p w14:paraId="2B31F98A"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Output Indicator</w:t>
            </w:r>
          </w:p>
        </w:tc>
        <w:tc>
          <w:tcPr>
            <w:tcW w:w="3402" w:type="dxa"/>
          </w:tcPr>
          <w:p w14:paraId="373EE6CB"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Annual target</w:t>
            </w:r>
          </w:p>
        </w:tc>
      </w:tr>
      <w:tr w:rsidR="0052326C" w:rsidRPr="0052326C" w14:paraId="06599B05" w14:textId="77777777" w:rsidTr="00966A7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06991B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Informed and engaged citizens and stakeholders in electoral democracy</w:t>
            </w:r>
          </w:p>
        </w:tc>
        <w:tc>
          <w:tcPr>
            <w:tcW w:w="2551" w:type="dxa"/>
            <w:vMerge w:val="restart"/>
          </w:tcPr>
          <w:p w14:paraId="7D08F872"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Provide impactful and research and thought leadership to strengthen electoral democracy</w:t>
            </w:r>
          </w:p>
        </w:tc>
        <w:tc>
          <w:tcPr>
            <w:tcW w:w="2693" w:type="dxa"/>
          </w:tcPr>
          <w:p w14:paraId="5C3016C3"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The number of research initiatives achieved per annum</w:t>
            </w:r>
          </w:p>
        </w:tc>
        <w:tc>
          <w:tcPr>
            <w:tcW w:w="3402" w:type="dxa"/>
          </w:tcPr>
          <w:p w14:paraId="3BE61FAA"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3</w:t>
            </w:r>
          </w:p>
        </w:tc>
      </w:tr>
      <w:tr w:rsidR="0052326C" w:rsidRPr="0052326C" w14:paraId="6D742821" w14:textId="77777777" w:rsidTr="00966A72">
        <w:trPr>
          <w:trHeight w:val="727"/>
        </w:trPr>
        <w:tc>
          <w:tcPr>
            <w:cnfStyle w:val="001000000000" w:firstRow="0" w:lastRow="0" w:firstColumn="1" w:lastColumn="0" w:oddVBand="0" w:evenVBand="0" w:oddHBand="0" w:evenHBand="0" w:firstRowFirstColumn="0" w:firstRowLastColumn="0" w:lastRowFirstColumn="0" w:lastRowLastColumn="0"/>
            <w:tcW w:w="1555" w:type="dxa"/>
            <w:vMerge/>
          </w:tcPr>
          <w:p w14:paraId="369CD5A0"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2551" w:type="dxa"/>
            <w:vMerge/>
          </w:tcPr>
          <w:p w14:paraId="39BC278D"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p>
        </w:tc>
        <w:tc>
          <w:tcPr>
            <w:tcW w:w="2693" w:type="dxa"/>
          </w:tcPr>
          <w:p w14:paraId="0246308E"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The number of thought leadership interactions achieved per annum (new indicator)</w:t>
            </w:r>
          </w:p>
        </w:tc>
        <w:tc>
          <w:tcPr>
            <w:tcW w:w="3402" w:type="dxa"/>
          </w:tcPr>
          <w:p w14:paraId="59C17361"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10</w:t>
            </w:r>
          </w:p>
        </w:tc>
      </w:tr>
      <w:tr w:rsidR="0052326C" w:rsidRPr="0052326C" w14:paraId="4A316470" w14:textId="77777777" w:rsidTr="00966A7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55" w:type="dxa"/>
            <w:vMerge/>
          </w:tcPr>
          <w:p w14:paraId="1C346D4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2551" w:type="dxa"/>
          </w:tcPr>
          <w:p w14:paraId="225211CB"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Actively promote and foster awareness and </w:t>
            </w:r>
            <w:r w:rsidRPr="0052326C">
              <w:rPr>
                <w:rFonts w:ascii="Times New Roman" w:hAnsi="Times New Roman"/>
                <w:color w:val="auto"/>
                <w:spacing w:val="0"/>
                <w:sz w:val="22"/>
                <w:szCs w:val="22"/>
                <w:lang w:eastAsia="en-US"/>
              </w:rPr>
              <w:lastRenderedPageBreak/>
              <w:t>participation in the electoral process through civic and democracy education programmes</w:t>
            </w:r>
          </w:p>
        </w:tc>
        <w:tc>
          <w:tcPr>
            <w:tcW w:w="2693" w:type="dxa"/>
          </w:tcPr>
          <w:p w14:paraId="41816506"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lastRenderedPageBreak/>
              <w:t>The number of CDE events held per annum</w:t>
            </w:r>
          </w:p>
        </w:tc>
        <w:tc>
          <w:tcPr>
            <w:tcW w:w="3402" w:type="dxa"/>
          </w:tcPr>
          <w:p w14:paraId="1C0D6D93"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24 000</w:t>
            </w:r>
          </w:p>
        </w:tc>
      </w:tr>
      <w:tr w:rsidR="0052326C" w:rsidRPr="0052326C" w14:paraId="6AD59AA0" w14:textId="77777777" w:rsidTr="00966A72">
        <w:trPr>
          <w:trHeight w:val="485"/>
        </w:trPr>
        <w:tc>
          <w:tcPr>
            <w:cnfStyle w:val="001000000000" w:firstRow="0" w:lastRow="0" w:firstColumn="1" w:lastColumn="0" w:oddVBand="0" w:evenVBand="0" w:oddHBand="0" w:evenHBand="0" w:firstRowFirstColumn="0" w:firstRowLastColumn="0" w:lastRowFirstColumn="0" w:lastRowLastColumn="0"/>
            <w:tcW w:w="1555" w:type="dxa"/>
            <w:vMerge/>
          </w:tcPr>
          <w:p w14:paraId="63E6F3D4"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2551" w:type="dxa"/>
          </w:tcPr>
          <w:p w14:paraId="2E24EF5F"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Interact with domestic, regional and international stakeholders to build an understanding of the Electoral Commission’s role in delivering credible elections</w:t>
            </w:r>
          </w:p>
        </w:tc>
        <w:tc>
          <w:tcPr>
            <w:tcW w:w="2693" w:type="dxa"/>
          </w:tcPr>
          <w:p w14:paraId="59FFE3CE"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Number of meetings Electoral Commission hold with key stakeholders per annum </w:t>
            </w:r>
            <w:r w:rsidRPr="0052326C">
              <w:rPr>
                <w:rFonts w:ascii="Times New Roman" w:hAnsi="Times New Roman"/>
                <w:b/>
                <w:color w:val="auto"/>
                <w:spacing w:val="0"/>
                <w:sz w:val="22"/>
                <w:szCs w:val="22"/>
                <w:lang w:eastAsia="en-US"/>
              </w:rPr>
              <w:t>(New Indicator)</w:t>
            </w:r>
          </w:p>
        </w:tc>
        <w:tc>
          <w:tcPr>
            <w:tcW w:w="3402" w:type="dxa"/>
          </w:tcPr>
          <w:p w14:paraId="48D33CF0"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10</w:t>
            </w:r>
          </w:p>
        </w:tc>
      </w:tr>
      <w:tr w:rsidR="0052326C" w:rsidRPr="0052326C" w14:paraId="2C346315" w14:textId="77777777" w:rsidTr="00966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99EB5B"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Informed and engaged citizens and stakeholders in electoral democracy</w:t>
            </w:r>
          </w:p>
        </w:tc>
        <w:tc>
          <w:tcPr>
            <w:tcW w:w="2551" w:type="dxa"/>
          </w:tcPr>
          <w:p w14:paraId="6EE6C604"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Advance and promote electoral processes through communication campaigns on diverse platforms to sustain visibility across the electoral cycle.</w:t>
            </w:r>
          </w:p>
        </w:tc>
        <w:tc>
          <w:tcPr>
            <w:tcW w:w="2693" w:type="dxa"/>
          </w:tcPr>
          <w:p w14:paraId="26477DF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Recorded reach across multimedia communications platforms (digital, television, print, radio and out-of-home)</w:t>
            </w:r>
          </w:p>
        </w:tc>
        <w:tc>
          <w:tcPr>
            <w:tcW w:w="3402" w:type="dxa"/>
          </w:tcPr>
          <w:p w14:paraId="1FB93A8A"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Digital (all social media and online content: Facebook ad to reach – 35 million impressions </w:t>
            </w:r>
          </w:p>
          <w:p w14:paraId="20077BA1"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Twitter ad to reach – 2 million. YouTube ad views – 2 million WhatsApp – New </w:t>
            </w:r>
          </w:p>
          <w:p w14:paraId="5A1E8B81"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Google Ad words – 2 million impressions </w:t>
            </w:r>
          </w:p>
          <w:p w14:paraId="60DAC0A8"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SMSs sent – 2 million Please Call Me – 150 million) Television: 6 million viewers Radio: 5 000 000 listeners Print: 6 million readers </w:t>
            </w:r>
          </w:p>
          <w:p w14:paraId="431DE358"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Out of home (150 billboards, 180 000 street pole posters, </w:t>
            </w:r>
          </w:p>
          <w:p w14:paraId="6CA7798A"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2 000 transit TV screens, commuter </w:t>
            </w:r>
          </w:p>
          <w:p w14:paraId="6FEE836A"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transport – 20 long-distance buses </w:t>
            </w:r>
          </w:p>
        </w:tc>
      </w:tr>
    </w:tbl>
    <w:p w14:paraId="5B01020F" w14:textId="77777777" w:rsid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p>
    <w:p w14:paraId="158B98D0" w14:textId="4B10B51D"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val="en-GB" w:eastAsia="en-US"/>
        </w:rPr>
      </w:pPr>
      <w:r w:rsidRPr="0052326C">
        <w:rPr>
          <w:rFonts w:ascii="Times New Roman" w:eastAsia="Arial" w:hAnsi="Times New Roman"/>
          <w:color w:val="auto"/>
          <w:spacing w:val="0"/>
          <w:sz w:val="22"/>
          <w:szCs w:val="22"/>
          <w:lang w:val="en-GB" w:eastAsia="en-US"/>
        </w:rPr>
        <w:t>The IEC has sets itself a target of producing 3 research initiatives per annum, up from the target of 2 research initiatives in the previous financial year. This annual target has been reduced from the 4 annual research initiatives during 2016/18 until 2019/20. In addition, the programme plans to conduct 10 thought leadership initiatives in the current financial year, this target is the same as the previous financial year.</w:t>
      </w:r>
    </w:p>
    <w:p w14:paraId="51F9DBBA" w14:textId="77777777" w:rsid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bookmarkStart w:id="31" w:name="_Toc102217665"/>
    </w:p>
    <w:p w14:paraId="0B326548" w14:textId="17A85535"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r w:rsidRPr="0052326C">
        <w:rPr>
          <w:rFonts w:ascii="Times New Roman" w:eastAsia="Arial" w:hAnsi="Times New Roman"/>
          <w:b/>
          <w:color w:val="auto"/>
          <w:spacing w:val="0"/>
          <w:sz w:val="22"/>
          <w:szCs w:val="22"/>
          <w:lang w:eastAsia="en-US"/>
        </w:rPr>
        <w:t>Programme 4: Party Funding</w:t>
      </w:r>
      <w:bookmarkEnd w:id="31"/>
    </w:p>
    <w:p w14:paraId="2764245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Programme 4 is a new programme that is responsible for managing the political party funding. This programme focuses on the strategic outcome of contributing to the enhancement of transparency in the elections. The programme manages party funding and donations in compliance with legislation and strengthens cooperative relationship by providing consultative and liaison platforms between the IEC and political parties and candidates, using systems, people and sustainable processes.</w:t>
      </w:r>
    </w:p>
    <w:p w14:paraId="47D4003E"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2B1A190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Programme 4 also provides effective management of the registration of political parties and processing of the nomination of candidates for various electoral events. The programme’s annual targets are summarised below:</w:t>
      </w:r>
    </w:p>
    <w:p w14:paraId="233FC8FD"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b/>
          <w:color w:val="auto"/>
          <w:spacing w:val="0"/>
          <w:sz w:val="22"/>
          <w:szCs w:val="22"/>
          <w:lang w:eastAsia="en-US"/>
        </w:rPr>
      </w:pPr>
    </w:p>
    <w:p w14:paraId="610E4D67"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b/>
          <w:color w:val="auto"/>
          <w:spacing w:val="0"/>
          <w:sz w:val="22"/>
          <w:szCs w:val="22"/>
          <w:lang w:eastAsia="en-US"/>
        </w:rPr>
        <w:t>Table 10: Programme 4 annual targets performance indicators</w:t>
      </w:r>
    </w:p>
    <w:tbl>
      <w:tblPr>
        <w:tblStyle w:val="GridTable4-Accent3"/>
        <w:tblW w:w="0" w:type="auto"/>
        <w:tblLook w:val="04A0" w:firstRow="1" w:lastRow="0" w:firstColumn="1" w:lastColumn="0" w:noHBand="0" w:noVBand="1"/>
      </w:tblPr>
      <w:tblGrid>
        <w:gridCol w:w="1637"/>
        <w:gridCol w:w="2687"/>
        <w:gridCol w:w="3434"/>
        <w:gridCol w:w="2382"/>
      </w:tblGrid>
      <w:tr w:rsidR="0052326C" w:rsidRPr="0052326C" w14:paraId="418EDCA5" w14:textId="77777777" w:rsidTr="00966A72">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637" w:type="dxa"/>
          </w:tcPr>
          <w:p w14:paraId="7CBC4ACC"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Strategic Outcome:</w:t>
            </w:r>
          </w:p>
        </w:tc>
        <w:tc>
          <w:tcPr>
            <w:tcW w:w="2687" w:type="dxa"/>
          </w:tcPr>
          <w:p w14:paraId="5E8E60E7"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outputs</w:t>
            </w:r>
          </w:p>
        </w:tc>
        <w:tc>
          <w:tcPr>
            <w:tcW w:w="3434" w:type="dxa"/>
          </w:tcPr>
          <w:p w14:paraId="1728743C"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Output Indicator</w:t>
            </w:r>
          </w:p>
        </w:tc>
        <w:tc>
          <w:tcPr>
            <w:tcW w:w="2382" w:type="dxa"/>
          </w:tcPr>
          <w:p w14:paraId="05FFCE02" w14:textId="77777777" w:rsidR="0052326C" w:rsidRPr="0052326C" w:rsidRDefault="0052326C" w:rsidP="0052326C">
            <w:pPr>
              <w:widowControl w:val="0"/>
              <w:suppressAutoHyphens w:val="0"/>
              <w:autoSpaceDN/>
              <w:spacing w:before="7" w:line="276" w:lineRule="auto"/>
              <w:ind w:right="142"/>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pacing w:val="0"/>
                <w:sz w:val="22"/>
                <w:szCs w:val="22"/>
                <w:lang w:eastAsia="en-US"/>
              </w:rPr>
            </w:pPr>
            <w:r w:rsidRPr="0052326C">
              <w:rPr>
                <w:rFonts w:ascii="Times New Roman" w:hAnsi="Times New Roman"/>
                <w:b w:val="0"/>
                <w:color w:val="auto"/>
                <w:spacing w:val="0"/>
                <w:sz w:val="22"/>
                <w:szCs w:val="22"/>
                <w:lang w:eastAsia="en-US"/>
              </w:rPr>
              <w:t>Annual target</w:t>
            </w:r>
          </w:p>
        </w:tc>
      </w:tr>
      <w:tr w:rsidR="0052326C" w:rsidRPr="0052326C" w14:paraId="1198ED1A" w14:textId="77777777" w:rsidTr="00966A7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637" w:type="dxa"/>
            <w:vMerge w:val="restart"/>
          </w:tcPr>
          <w:p w14:paraId="20B38F71"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 xml:space="preserve">Contributed to the enhancement of </w:t>
            </w:r>
            <w:r w:rsidRPr="0052326C">
              <w:rPr>
                <w:rFonts w:ascii="Times New Roman" w:hAnsi="Times New Roman"/>
                <w:color w:val="auto"/>
                <w:spacing w:val="0"/>
                <w:sz w:val="22"/>
                <w:szCs w:val="22"/>
                <w:lang w:eastAsia="en-US"/>
              </w:rPr>
              <w:lastRenderedPageBreak/>
              <w:t>transparency in elections and party funding</w:t>
            </w:r>
          </w:p>
        </w:tc>
        <w:tc>
          <w:tcPr>
            <w:tcW w:w="2687" w:type="dxa"/>
          </w:tcPr>
          <w:p w14:paraId="2392B24D"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lastRenderedPageBreak/>
              <w:t>Manage party funding in compliance with relevant legislation</w:t>
            </w:r>
          </w:p>
        </w:tc>
        <w:tc>
          <w:tcPr>
            <w:tcW w:w="3434" w:type="dxa"/>
          </w:tcPr>
          <w:p w14:paraId="4DCEFC0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Number of disbursements to represented parties per annum</w:t>
            </w:r>
          </w:p>
        </w:tc>
        <w:tc>
          <w:tcPr>
            <w:tcW w:w="2382" w:type="dxa"/>
          </w:tcPr>
          <w:p w14:paraId="18A874E3"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At least 4 (one per quarter)</w:t>
            </w:r>
          </w:p>
        </w:tc>
      </w:tr>
      <w:tr w:rsidR="0052326C" w:rsidRPr="0052326C" w14:paraId="5BAF4890" w14:textId="77777777" w:rsidTr="00966A72">
        <w:trPr>
          <w:trHeight w:val="974"/>
        </w:trPr>
        <w:tc>
          <w:tcPr>
            <w:cnfStyle w:val="001000000000" w:firstRow="0" w:lastRow="0" w:firstColumn="1" w:lastColumn="0" w:oddVBand="0" w:evenVBand="0" w:oddHBand="0" w:evenHBand="0" w:firstRowFirstColumn="0" w:firstRowLastColumn="0" w:lastRowFirstColumn="0" w:lastRowLastColumn="0"/>
            <w:tcW w:w="1637" w:type="dxa"/>
            <w:vMerge/>
          </w:tcPr>
          <w:p w14:paraId="32CCC09C"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2687" w:type="dxa"/>
          </w:tcPr>
          <w:p w14:paraId="7405E30E"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Manage Party Funding in compliance with relevant legislation</w:t>
            </w:r>
          </w:p>
        </w:tc>
        <w:tc>
          <w:tcPr>
            <w:tcW w:w="3434" w:type="dxa"/>
          </w:tcPr>
          <w:p w14:paraId="20E48DBE"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Number of publications of declarations by political parties and private donors</w:t>
            </w:r>
          </w:p>
        </w:tc>
        <w:tc>
          <w:tcPr>
            <w:tcW w:w="2382" w:type="dxa"/>
          </w:tcPr>
          <w:p w14:paraId="7B1E7D06" w14:textId="77777777" w:rsidR="0052326C" w:rsidRPr="0052326C" w:rsidRDefault="0052326C" w:rsidP="0052326C">
            <w:pPr>
              <w:widowControl w:val="0"/>
              <w:suppressAutoHyphens w:val="0"/>
              <w:autoSpaceDN/>
              <w:spacing w:before="7" w:line="276" w:lineRule="auto"/>
              <w:ind w:right="142"/>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4</w:t>
            </w:r>
          </w:p>
        </w:tc>
      </w:tr>
      <w:tr w:rsidR="0052326C" w:rsidRPr="0052326C" w14:paraId="73C3762C" w14:textId="77777777" w:rsidTr="00966A72">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637" w:type="dxa"/>
            <w:vMerge/>
          </w:tcPr>
          <w:p w14:paraId="6E7FA00A"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hAnsi="Times New Roman"/>
                <w:color w:val="auto"/>
                <w:spacing w:val="0"/>
                <w:sz w:val="22"/>
                <w:szCs w:val="22"/>
                <w:lang w:eastAsia="en-US"/>
              </w:rPr>
            </w:pPr>
          </w:p>
        </w:tc>
        <w:tc>
          <w:tcPr>
            <w:tcW w:w="2687" w:type="dxa"/>
          </w:tcPr>
          <w:p w14:paraId="312B96C5"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Provide consultative and cooperative liaison platforms between the Electoral Commission and stakeholders and potential contributors to promote funding of multi-party democracy.</w:t>
            </w:r>
          </w:p>
        </w:tc>
        <w:tc>
          <w:tcPr>
            <w:tcW w:w="3434" w:type="dxa"/>
          </w:tcPr>
          <w:p w14:paraId="7043D636"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Number of liaison sessions held with stakeholders and potential contributors to multi-Party Democracy Fund</w:t>
            </w:r>
          </w:p>
        </w:tc>
        <w:tc>
          <w:tcPr>
            <w:tcW w:w="2382" w:type="dxa"/>
          </w:tcPr>
          <w:p w14:paraId="757DBCDE" w14:textId="77777777" w:rsidR="0052326C" w:rsidRPr="0052326C" w:rsidRDefault="0052326C" w:rsidP="0052326C">
            <w:pPr>
              <w:widowControl w:val="0"/>
              <w:suppressAutoHyphens w:val="0"/>
              <w:autoSpaceDN/>
              <w:spacing w:before="7" w:line="276" w:lineRule="auto"/>
              <w:ind w:right="142"/>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pacing w:val="0"/>
                <w:sz w:val="22"/>
                <w:szCs w:val="22"/>
                <w:lang w:eastAsia="en-US"/>
              </w:rPr>
            </w:pPr>
            <w:r w:rsidRPr="0052326C">
              <w:rPr>
                <w:rFonts w:ascii="Times New Roman" w:hAnsi="Times New Roman"/>
                <w:color w:val="auto"/>
                <w:spacing w:val="0"/>
                <w:sz w:val="22"/>
                <w:szCs w:val="22"/>
                <w:lang w:eastAsia="en-US"/>
              </w:rPr>
              <w:t>10</w:t>
            </w:r>
          </w:p>
        </w:tc>
      </w:tr>
    </w:tbl>
    <w:p w14:paraId="2C997AFC"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Source: IEC APP (2022)</w:t>
      </w:r>
    </w:p>
    <w:p w14:paraId="170FD8E9"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5601216F" w14:textId="77777777" w:rsidR="0052326C" w:rsidRPr="0052326C" w:rsidRDefault="0052326C" w:rsidP="0052326C">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r w:rsidRPr="0052326C">
        <w:rPr>
          <w:rFonts w:ascii="Times New Roman" w:eastAsia="Arial" w:hAnsi="Times New Roman"/>
          <w:color w:val="auto"/>
          <w:spacing w:val="0"/>
          <w:sz w:val="22"/>
          <w:szCs w:val="22"/>
          <w:lang w:eastAsia="en-US"/>
        </w:rPr>
        <w:t>The outputs and indicators covered under this programme support Outcome 4, which aims to achieve enhanced transparency in elections and party funding and its associated indicator, which aims to monitor and report progress made over the planning period. All these outputs and associated indicators will not only assist in achieving Outcome 4 but also the impact statement of ensuring free and fair elections.</w:t>
      </w:r>
    </w:p>
    <w:p w14:paraId="3A0C1C66" w14:textId="77777777" w:rsidR="00257D6B" w:rsidRPr="0035165B" w:rsidRDefault="00257D6B" w:rsidP="0098397E">
      <w:pPr>
        <w:widowControl w:val="0"/>
        <w:suppressAutoHyphens w:val="0"/>
        <w:autoSpaceDN/>
        <w:spacing w:before="7" w:line="276" w:lineRule="auto"/>
        <w:ind w:right="142"/>
        <w:jc w:val="both"/>
        <w:textAlignment w:val="auto"/>
        <w:rPr>
          <w:rFonts w:ascii="Times New Roman" w:eastAsia="Arial" w:hAnsi="Times New Roman"/>
          <w:color w:val="auto"/>
          <w:spacing w:val="0"/>
          <w:sz w:val="22"/>
          <w:szCs w:val="22"/>
          <w:lang w:eastAsia="en-US"/>
        </w:rPr>
      </w:pPr>
    </w:p>
    <w:p w14:paraId="7F6B5778" w14:textId="77777777" w:rsidR="00B24D57" w:rsidRPr="0035165B" w:rsidRDefault="00876A93" w:rsidP="0098397E">
      <w:pPr>
        <w:pStyle w:val="Heading1"/>
        <w:spacing w:line="276" w:lineRule="auto"/>
        <w:ind w:right="142"/>
        <w:rPr>
          <w:rFonts w:cs="Times New Roman"/>
          <w:sz w:val="22"/>
          <w:szCs w:val="22"/>
        </w:rPr>
      </w:pPr>
      <w:bookmarkStart w:id="32" w:name="_Toc71542448"/>
      <w:r w:rsidRPr="0035165B">
        <w:rPr>
          <w:rFonts w:cs="Times New Roman"/>
          <w:sz w:val="22"/>
          <w:szCs w:val="22"/>
        </w:rPr>
        <w:t xml:space="preserve">3. </w:t>
      </w:r>
      <w:r w:rsidR="009A6662" w:rsidRPr="0035165B">
        <w:rPr>
          <w:rFonts w:cs="Times New Roman"/>
          <w:sz w:val="22"/>
          <w:szCs w:val="22"/>
        </w:rPr>
        <w:tab/>
      </w:r>
      <w:r w:rsidRPr="0035165B">
        <w:rPr>
          <w:rFonts w:cs="Times New Roman"/>
          <w:sz w:val="22"/>
          <w:szCs w:val="22"/>
        </w:rPr>
        <w:t>THE GOVERNMENT PRINTING WORKS (GPW)</w:t>
      </w:r>
      <w:bookmarkEnd w:id="32"/>
    </w:p>
    <w:p w14:paraId="5407893C" w14:textId="77777777" w:rsidR="00876A93" w:rsidRPr="0035165B" w:rsidRDefault="00876A93" w:rsidP="0098397E">
      <w:pPr>
        <w:spacing w:line="276" w:lineRule="auto"/>
        <w:ind w:right="142"/>
        <w:jc w:val="both"/>
        <w:rPr>
          <w:rFonts w:ascii="Times New Roman" w:hAnsi="Times New Roman"/>
          <w:b/>
          <w:bCs/>
          <w:color w:val="auto"/>
          <w:sz w:val="22"/>
          <w:szCs w:val="22"/>
        </w:rPr>
      </w:pPr>
    </w:p>
    <w:p w14:paraId="40289957" w14:textId="77777777" w:rsidR="00B24D57" w:rsidRPr="0035165B" w:rsidRDefault="00B24D57" w:rsidP="0098397E">
      <w:pPr>
        <w:spacing w:line="276" w:lineRule="auto"/>
        <w:jc w:val="both"/>
        <w:rPr>
          <w:rFonts w:ascii="Times New Roman" w:hAnsi="Times New Roman"/>
          <w:sz w:val="22"/>
          <w:szCs w:val="22"/>
        </w:rPr>
      </w:pPr>
      <w:r w:rsidRPr="0035165B">
        <w:rPr>
          <w:rFonts w:ascii="Times New Roman" w:hAnsi="Times New Roman"/>
          <w:sz w:val="22"/>
          <w:szCs w:val="22"/>
        </w:rPr>
        <w:t xml:space="preserve">Government Printing Works facilitates implementation of the legislation that governs the production and management of identification, citizenship and travel, which are developed by the Department of Home Affairs. </w:t>
      </w:r>
    </w:p>
    <w:p w14:paraId="708F7093" w14:textId="77777777" w:rsidR="00B24D57" w:rsidRPr="0035165B" w:rsidRDefault="00B24D57" w:rsidP="0098397E">
      <w:pPr>
        <w:spacing w:line="276" w:lineRule="auto"/>
        <w:jc w:val="both"/>
        <w:rPr>
          <w:rFonts w:ascii="Times New Roman" w:hAnsi="Times New Roman"/>
          <w:sz w:val="22"/>
          <w:szCs w:val="22"/>
        </w:rPr>
      </w:pPr>
    </w:p>
    <w:p w14:paraId="49DEACAA" w14:textId="77777777" w:rsidR="00B24D57" w:rsidRPr="0035165B" w:rsidRDefault="00B24D57" w:rsidP="0098397E">
      <w:pPr>
        <w:spacing w:line="276" w:lineRule="auto"/>
        <w:jc w:val="both"/>
        <w:rPr>
          <w:rFonts w:ascii="Times New Roman" w:hAnsi="Times New Roman"/>
          <w:sz w:val="22"/>
          <w:szCs w:val="22"/>
        </w:rPr>
      </w:pPr>
      <w:r w:rsidRPr="0035165B">
        <w:rPr>
          <w:rFonts w:ascii="Times New Roman" w:hAnsi="Times New Roman"/>
          <w:sz w:val="22"/>
          <w:szCs w:val="22"/>
        </w:rPr>
        <w:t xml:space="preserve">GPW contributes towards achievement of the objectives of the National Development Plan (NDP, Vision 2030) and strives to make a significant contribution to the national outcomes of government including the following: </w:t>
      </w:r>
    </w:p>
    <w:p w14:paraId="7E92D9EF"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Outcome 03: All people in SA are and feel safe </w:t>
      </w:r>
    </w:p>
    <w:p w14:paraId="62BFA068"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Outcome 11: Create a better South Africa, contribute to a better and safer Africa and a better world. </w:t>
      </w:r>
    </w:p>
    <w:p w14:paraId="6C7995E9"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Outcome 12: An efficient, effective and development oriented public service. </w:t>
      </w:r>
    </w:p>
    <w:p w14:paraId="0F790D93"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Outcome 04: Decent employment through inclusive economic growth. </w:t>
      </w:r>
    </w:p>
    <w:p w14:paraId="320A72AE"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Outcome 05: A skilled and capable workforce to support an inclusive growth path. </w:t>
      </w:r>
    </w:p>
    <w:p w14:paraId="55DE527A" w14:textId="77777777" w:rsidR="00B24D57" w:rsidRPr="0035165B" w:rsidRDefault="00B24D57" w:rsidP="0098397E">
      <w:pPr>
        <w:spacing w:line="276" w:lineRule="auto"/>
        <w:jc w:val="both"/>
        <w:rPr>
          <w:rFonts w:ascii="Times New Roman" w:hAnsi="Times New Roman"/>
          <w:sz w:val="22"/>
          <w:szCs w:val="22"/>
        </w:rPr>
      </w:pPr>
    </w:p>
    <w:p w14:paraId="4D0F0748" w14:textId="77777777" w:rsidR="00B24D57" w:rsidRPr="0035165B" w:rsidRDefault="00B24D57" w:rsidP="0098397E">
      <w:pPr>
        <w:spacing w:line="276" w:lineRule="auto"/>
        <w:jc w:val="both"/>
        <w:rPr>
          <w:rFonts w:ascii="Times New Roman" w:hAnsi="Times New Roman"/>
          <w:sz w:val="22"/>
          <w:szCs w:val="22"/>
        </w:rPr>
      </w:pPr>
      <w:r w:rsidRPr="0035165B">
        <w:rPr>
          <w:rFonts w:ascii="Times New Roman" w:hAnsi="Times New Roman"/>
          <w:sz w:val="22"/>
          <w:szCs w:val="22"/>
        </w:rPr>
        <w:t xml:space="preserve">GPW aligns its work to the majority of apex Government priorities particularly the four that DHA directly contributes to, as highlighted below: </w:t>
      </w:r>
    </w:p>
    <w:p w14:paraId="549743C0"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Economic transformation and job creation (Outcome 4) </w:t>
      </w:r>
    </w:p>
    <w:p w14:paraId="4A0EFA7C"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Education, skills and health </w:t>
      </w:r>
    </w:p>
    <w:p w14:paraId="3BAC49CE"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Consolidating the social wage through reliable and quality basic services </w:t>
      </w:r>
    </w:p>
    <w:p w14:paraId="5B9826BF"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Spatial integration, human settlements and local government </w:t>
      </w:r>
    </w:p>
    <w:p w14:paraId="77134F17"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Social cohesion and safe communities (Outcome 3) </w:t>
      </w:r>
    </w:p>
    <w:p w14:paraId="3ACE202A" w14:textId="77777777" w:rsidR="00B24D57"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 xml:space="preserve">Building a capable, ethical and developmental State (Outcome 12) </w:t>
      </w:r>
    </w:p>
    <w:p w14:paraId="10B4BA03" w14:textId="467E8EB0" w:rsidR="00876A93" w:rsidRPr="0035165B" w:rsidRDefault="00B24D57" w:rsidP="00CB4303">
      <w:pPr>
        <w:pStyle w:val="ListParagraph"/>
        <w:numPr>
          <w:ilvl w:val="0"/>
          <w:numId w:val="14"/>
        </w:numPr>
        <w:spacing w:line="276" w:lineRule="auto"/>
        <w:ind w:left="284" w:hanging="284"/>
        <w:jc w:val="both"/>
        <w:rPr>
          <w:rFonts w:ascii="Times New Roman" w:hAnsi="Times New Roman"/>
          <w:sz w:val="22"/>
          <w:szCs w:val="22"/>
        </w:rPr>
      </w:pPr>
      <w:r w:rsidRPr="0035165B">
        <w:rPr>
          <w:rFonts w:ascii="Times New Roman" w:hAnsi="Times New Roman"/>
          <w:sz w:val="22"/>
          <w:szCs w:val="22"/>
        </w:rPr>
        <w:t>A better Africa and world (Outcome11)</w:t>
      </w:r>
    </w:p>
    <w:p w14:paraId="0034D8B2" w14:textId="4BF03E7B" w:rsidR="00257D6B" w:rsidRPr="0035165B" w:rsidRDefault="00257D6B" w:rsidP="0098397E">
      <w:pPr>
        <w:spacing w:line="276" w:lineRule="auto"/>
        <w:ind w:right="142"/>
        <w:jc w:val="both"/>
        <w:rPr>
          <w:rFonts w:ascii="Times New Roman" w:hAnsi="Times New Roman"/>
          <w:bCs/>
          <w:color w:val="auto"/>
          <w:sz w:val="22"/>
          <w:szCs w:val="22"/>
        </w:rPr>
      </w:pPr>
    </w:p>
    <w:p w14:paraId="6AF92452" w14:textId="55E87039" w:rsidR="00E7201F" w:rsidRPr="0035165B" w:rsidRDefault="00257D6B" w:rsidP="0098397E">
      <w:pPr>
        <w:spacing w:line="276" w:lineRule="auto"/>
        <w:ind w:right="142"/>
        <w:jc w:val="both"/>
        <w:rPr>
          <w:rFonts w:ascii="Times New Roman" w:hAnsi="Times New Roman"/>
          <w:b/>
          <w:color w:val="auto"/>
          <w:sz w:val="22"/>
          <w:szCs w:val="22"/>
        </w:rPr>
      </w:pPr>
      <w:r w:rsidRPr="0035165B">
        <w:rPr>
          <w:rFonts w:ascii="Times New Roman" w:hAnsi="Times New Roman"/>
          <w:b/>
          <w:color w:val="auto"/>
          <w:sz w:val="22"/>
          <w:szCs w:val="22"/>
        </w:rPr>
        <w:t>3.1</w:t>
      </w:r>
      <w:r w:rsidR="0079616D" w:rsidRPr="0035165B">
        <w:rPr>
          <w:rFonts w:ascii="Times New Roman" w:hAnsi="Times New Roman"/>
          <w:b/>
          <w:color w:val="auto"/>
          <w:sz w:val="22"/>
          <w:szCs w:val="22"/>
        </w:rPr>
        <w:t xml:space="preserve"> </w:t>
      </w:r>
      <w:r w:rsidR="00E7201F" w:rsidRPr="0035165B">
        <w:rPr>
          <w:rFonts w:ascii="Times New Roman" w:hAnsi="Times New Roman"/>
          <w:b/>
          <w:color w:val="auto"/>
          <w:sz w:val="22"/>
          <w:szCs w:val="22"/>
        </w:rPr>
        <w:t>GPW 2022/23 Budget</w:t>
      </w:r>
    </w:p>
    <w:p w14:paraId="72AD7803" w14:textId="77777777" w:rsidR="00E7201F" w:rsidRPr="0035165B" w:rsidRDefault="00E7201F" w:rsidP="00E7201F">
      <w:pPr>
        <w:jc w:val="both"/>
        <w:rPr>
          <w:rFonts w:ascii="Times New Roman" w:hAnsi="Times New Roman"/>
          <w:sz w:val="22"/>
          <w:szCs w:val="22"/>
        </w:rPr>
      </w:pPr>
      <w:r w:rsidRPr="0035165B">
        <w:rPr>
          <w:rFonts w:ascii="Times New Roman" w:hAnsi="Times New Roman"/>
          <w:sz w:val="22"/>
          <w:szCs w:val="22"/>
        </w:rPr>
        <w:t>Over the medium term, the entity will focus on completing the refurbishment of its head offices and completing its master plan project, which involves building a new precinct to accommodate all its machinery. The completion of the master plan project is estimated to cost R1.2 billion over the medium term, while refurbishment of the head offices is estimated to cost R49 million over the same period. Accordingly, expenditure is expected to increase at an average annual rate of 7.2 per cent, from R1.4 billion in 2021/22 to R1.7 billion in 2024/25. The entity is set to generate 97.1 per cent (R4.8 billion) of its revenue over the MTEF period through its business operations, increasing at an average annual rate of 7.2 per cent, from R1.5 billion in 2021/22 to R1.8 billion in 2024/25.</w:t>
      </w:r>
    </w:p>
    <w:p w14:paraId="14FEE8A1" w14:textId="16CA8719" w:rsidR="00E7201F" w:rsidRPr="0035165B" w:rsidRDefault="00E7201F" w:rsidP="00E7201F">
      <w:pPr>
        <w:jc w:val="both"/>
        <w:rPr>
          <w:rFonts w:ascii="Times New Roman" w:eastAsiaTheme="minorHAnsi" w:hAnsi="Times New Roman"/>
          <w:color w:val="auto"/>
          <w:sz w:val="22"/>
          <w:szCs w:val="22"/>
        </w:rPr>
      </w:pPr>
      <w:r w:rsidRPr="0035165B">
        <w:rPr>
          <w:rFonts w:ascii="Times New Roman" w:hAnsi="Times New Roman"/>
          <w:sz w:val="22"/>
          <w:szCs w:val="22"/>
        </w:rPr>
        <w:t xml:space="preserve">  </w:t>
      </w:r>
    </w:p>
    <w:p w14:paraId="122F17EC" w14:textId="74F302FD" w:rsidR="00E7201F" w:rsidRPr="0035165B" w:rsidRDefault="00E7201F" w:rsidP="00E7201F">
      <w:pPr>
        <w:jc w:val="both"/>
        <w:rPr>
          <w:rFonts w:ascii="Times New Roman" w:hAnsi="Times New Roman"/>
          <w:sz w:val="22"/>
          <w:szCs w:val="22"/>
        </w:rPr>
      </w:pPr>
      <w:r w:rsidRPr="0035165B">
        <w:rPr>
          <w:rFonts w:ascii="Times New Roman" w:hAnsi="Times New Roman"/>
          <w:sz w:val="22"/>
          <w:szCs w:val="22"/>
        </w:rPr>
        <w:lastRenderedPageBreak/>
        <w:t>Unlike in previous years, the GPW included only one slide on the budget (compared to 4 in 2021) and again does not provide an overview in the presentation of budget by branch/programme but rather only divided into Administration versus Operations/Production. This makes comparative analysis specific performance almost impossible.</w:t>
      </w:r>
    </w:p>
    <w:p w14:paraId="29C69940" w14:textId="77777777" w:rsidR="00E7201F" w:rsidRPr="0035165B" w:rsidRDefault="00E7201F" w:rsidP="00E7201F">
      <w:pPr>
        <w:jc w:val="both"/>
        <w:rPr>
          <w:rFonts w:ascii="Times New Roman" w:hAnsi="Times New Roman"/>
          <w:sz w:val="22"/>
          <w:szCs w:val="22"/>
        </w:rPr>
      </w:pPr>
    </w:p>
    <w:p w14:paraId="33B56B63" w14:textId="77777777" w:rsidR="00E7201F" w:rsidRPr="0035165B" w:rsidRDefault="00E7201F" w:rsidP="00E7201F">
      <w:pPr>
        <w:spacing w:line="276" w:lineRule="auto"/>
        <w:jc w:val="both"/>
        <w:rPr>
          <w:rStyle w:val="FootnoteReference"/>
          <w:rFonts w:ascii="Times New Roman" w:hAnsi="Times New Roman"/>
          <w:b/>
          <w:sz w:val="22"/>
          <w:szCs w:val="22"/>
        </w:rPr>
      </w:pPr>
      <w:r w:rsidRPr="0035165B">
        <w:rPr>
          <w:rFonts w:ascii="Times New Roman" w:hAnsi="Times New Roman"/>
          <w:b/>
          <w:sz w:val="22"/>
          <w:szCs w:val="22"/>
        </w:rPr>
        <w:t>Table 2: GPW Budget Allocation 2021/22</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522"/>
        <w:gridCol w:w="472"/>
        <w:gridCol w:w="1069"/>
        <w:gridCol w:w="1184"/>
        <w:gridCol w:w="1204"/>
        <w:gridCol w:w="1155"/>
        <w:gridCol w:w="980"/>
      </w:tblGrid>
      <w:tr w:rsidR="00E7201F" w:rsidRPr="0035165B" w14:paraId="38BAB4B8" w14:textId="77777777" w:rsidTr="00E7201F">
        <w:trPr>
          <w:trHeight w:val="765"/>
        </w:trPr>
        <w:tc>
          <w:tcPr>
            <w:tcW w:w="2455" w:type="dxa"/>
            <w:tcBorders>
              <w:top w:val="single" w:sz="12" w:space="0" w:color="auto"/>
              <w:left w:val="single" w:sz="12" w:space="0" w:color="auto"/>
              <w:bottom w:val="double" w:sz="4" w:space="0" w:color="auto"/>
              <w:right w:val="single" w:sz="12" w:space="0" w:color="auto"/>
            </w:tcBorders>
            <w:shd w:val="pct15" w:color="auto" w:fill="auto"/>
            <w:noWrap/>
            <w:hideMark/>
          </w:tcPr>
          <w:p w14:paraId="51E586B6" w14:textId="77777777" w:rsidR="00E7201F" w:rsidRPr="0035165B" w:rsidRDefault="00E7201F">
            <w:pPr>
              <w:spacing w:after="60" w:line="276" w:lineRule="auto"/>
              <w:jc w:val="both"/>
              <w:rPr>
                <w:rFonts w:ascii="Times New Roman" w:eastAsia="Calibri" w:hAnsi="Times New Roman"/>
                <w:bCs/>
                <w:sz w:val="22"/>
                <w:szCs w:val="22"/>
                <w:lang w:val="en-GB"/>
              </w:rPr>
            </w:pPr>
            <w:r w:rsidRPr="0035165B">
              <w:rPr>
                <w:rFonts w:ascii="Times New Roman" w:eastAsia="Calibri" w:hAnsi="Times New Roman"/>
                <w:b/>
                <w:bCs/>
                <w:sz w:val="22"/>
                <w:szCs w:val="22"/>
                <w:lang w:val="en-GB"/>
              </w:rPr>
              <w:t>Programme</w:t>
            </w:r>
          </w:p>
        </w:tc>
        <w:tc>
          <w:tcPr>
            <w:tcW w:w="2063" w:type="dxa"/>
            <w:gridSpan w:val="3"/>
            <w:tcBorders>
              <w:top w:val="single" w:sz="12" w:space="0" w:color="auto"/>
              <w:left w:val="single" w:sz="12" w:space="0" w:color="auto"/>
              <w:bottom w:val="double" w:sz="4" w:space="0" w:color="auto"/>
              <w:right w:val="single" w:sz="12" w:space="0" w:color="auto"/>
            </w:tcBorders>
            <w:shd w:val="pct15" w:color="auto" w:fill="auto"/>
            <w:hideMark/>
          </w:tcPr>
          <w:p w14:paraId="6D6DD479"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Budget</w:t>
            </w:r>
          </w:p>
        </w:tc>
        <w:tc>
          <w:tcPr>
            <w:tcW w:w="1184"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297D166D"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Nominal Increase/ Decrease in 2021/22</w:t>
            </w:r>
          </w:p>
          <w:p w14:paraId="3ED21FCD"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Rand)</w:t>
            </w:r>
          </w:p>
        </w:tc>
        <w:tc>
          <w:tcPr>
            <w:tcW w:w="1204"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1E1ACAE6"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Real Increase/ Decrease in 2021/22</w:t>
            </w:r>
          </w:p>
          <w:p w14:paraId="04E6A1B7"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(Rand)</w:t>
            </w:r>
          </w:p>
        </w:tc>
        <w:tc>
          <w:tcPr>
            <w:tcW w:w="1155"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1ED699E3"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Nominal Percent change in 2021/22</w:t>
            </w:r>
          </w:p>
        </w:tc>
        <w:tc>
          <w:tcPr>
            <w:tcW w:w="950" w:type="dxa"/>
            <w:vMerge w:val="restart"/>
            <w:tcBorders>
              <w:top w:val="single" w:sz="12" w:space="0" w:color="auto"/>
              <w:left w:val="single" w:sz="12" w:space="0" w:color="auto"/>
              <w:bottom w:val="single" w:sz="12" w:space="0" w:color="auto"/>
              <w:right w:val="single" w:sz="12" w:space="0" w:color="auto"/>
            </w:tcBorders>
            <w:shd w:val="pct15" w:color="auto" w:fill="auto"/>
            <w:hideMark/>
          </w:tcPr>
          <w:p w14:paraId="29DA59FB"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Real Percent change in 2021/22</w:t>
            </w:r>
          </w:p>
        </w:tc>
      </w:tr>
      <w:tr w:rsidR="00E7201F" w:rsidRPr="0035165B" w14:paraId="4F5D9C36" w14:textId="77777777" w:rsidTr="00E7201F">
        <w:trPr>
          <w:trHeight w:val="264"/>
        </w:trPr>
        <w:tc>
          <w:tcPr>
            <w:tcW w:w="2455" w:type="dxa"/>
            <w:tcBorders>
              <w:top w:val="single" w:sz="12" w:space="0" w:color="auto"/>
              <w:left w:val="single" w:sz="12" w:space="0" w:color="auto"/>
              <w:bottom w:val="single" w:sz="12" w:space="0" w:color="auto"/>
              <w:right w:val="single" w:sz="12" w:space="0" w:color="auto"/>
            </w:tcBorders>
            <w:shd w:val="pct15" w:color="auto" w:fill="auto"/>
            <w:noWrap/>
            <w:hideMark/>
          </w:tcPr>
          <w:p w14:paraId="6DB3DC12"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 xml:space="preserve">(R000’000) </w:t>
            </w:r>
          </w:p>
        </w:tc>
        <w:tc>
          <w:tcPr>
            <w:tcW w:w="994" w:type="dxa"/>
            <w:gridSpan w:val="2"/>
            <w:tcBorders>
              <w:top w:val="single" w:sz="12" w:space="0" w:color="auto"/>
              <w:left w:val="single" w:sz="12" w:space="0" w:color="auto"/>
              <w:bottom w:val="single" w:sz="12" w:space="0" w:color="auto"/>
              <w:right w:val="single" w:sz="12" w:space="0" w:color="auto"/>
            </w:tcBorders>
            <w:shd w:val="pct15" w:color="auto" w:fill="auto"/>
            <w:noWrap/>
            <w:hideMark/>
          </w:tcPr>
          <w:p w14:paraId="280E8797"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Revised</w:t>
            </w:r>
          </w:p>
          <w:p w14:paraId="507478CE"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2021/22</w:t>
            </w:r>
          </w:p>
        </w:tc>
        <w:tc>
          <w:tcPr>
            <w:tcW w:w="1069" w:type="dxa"/>
            <w:tcBorders>
              <w:top w:val="single" w:sz="12" w:space="0" w:color="auto"/>
              <w:left w:val="single" w:sz="12" w:space="0" w:color="auto"/>
              <w:bottom w:val="single" w:sz="12" w:space="0" w:color="auto"/>
              <w:right w:val="single" w:sz="12" w:space="0" w:color="auto"/>
            </w:tcBorders>
            <w:shd w:val="pct15" w:color="auto" w:fill="auto"/>
            <w:noWrap/>
            <w:hideMark/>
          </w:tcPr>
          <w:p w14:paraId="1F4B6595"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2022/23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A84CA70" w14:textId="77777777" w:rsidR="00E7201F" w:rsidRPr="0035165B" w:rsidRDefault="00E7201F">
            <w:pPr>
              <w:rPr>
                <w:rFonts w:ascii="Times New Roman" w:eastAsia="Calibri" w:hAnsi="Times New Roman"/>
                <w:b/>
                <w:bCs/>
                <w:sz w:val="22"/>
                <w:szCs w:val="22"/>
                <w:lang w:val="en-GB"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3570533" w14:textId="77777777" w:rsidR="00E7201F" w:rsidRPr="0035165B" w:rsidRDefault="00E7201F">
            <w:pPr>
              <w:rPr>
                <w:rFonts w:ascii="Times New Roman" w:eastAsia="Calibri" w:hAnsi="Times New Roman"/>
                <w:b/>
                <w:bCs/>
                <w:sz w:val="22"/>
                <w:szCs w:val="22"/>
                <w:lang w:val="en-GB"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C6F5F8C" w14:textId="77777777" w:rsidR="00E7201F" w:rsidRPr="0035165B" w:rsidRDefault="00E7201F">
            <w:pPr>
              <w:rPr>
                <w:rFonts w:ascii="Times New Roman" w:eastAsia="Calibri" w:hAnsi="Times New Roman"/>
                <w:b/>
                <w:bCs/>
                <w:sz w:val="22"/>
                <w:szCs w:val="22"/>
                <w:lang w:val="en-GB"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7B17EE3" w14:textId="77777777" w:rsidR="00E7201F" w:rsidRPr="0035165B" w:rsidRDefault="00E7201F">
            <w:pPr>
              <w:rPr>
                <w:rFonts w:ascii="Times New Roman" w:eastAsia="Calibri" w:hAnsi="Times New Roman"/>
                <w:b/>
                <w:bCs/>
                <w:sz w:val="22"/>
                <w:szCs w:val="22"/>
                <w:lang w:val="en-GB" w:eastAsia="en-US"/>
              </w:rPr>
            </w:pPr>
          </w:p>
        </w:tc>
      </w:tr>
      <w:tr w:rsidR="00E7201F" w:rsidRPr="0035165B" w14:paraId="247DF751" w14:textId="77777777" w:rsidTr="00E7201F">
        <w:trPr>
          <w:trHeight w:val="264"/>
        </w:trPr>
        <w:tc>
          <w:tcPr>
            <w:tcW w:w="2455" w:type="dxa"/>
            <w:tcBorders>
              <w:top w:val="single" w:sz="12" w:space="0" w:color="auto"/>
              <w:left w:val="single" w:sz="4" w:space="0" w:color="auto"/>
              <w:bottom w:val="single" w:sz="4" w:space="0" w:color="auto"/>
              <w:right w:val="single" w:sz="4" w:space="0" w:color="auto"/>
            </w:tcBorders>
            <w:noWrap/>
            <w:hideMark/>
          </w:tcPr>
          <w:p w14:paraId="553EA3F9" w14:textId="77777777" w:rsidR="00E7201F" w:rsidRPr="0035165B" w:rsidRDefault="00E7201F">
            <w:pPr>
              <w:spacing w:after="60" w:line="276" w:lineRule="auto"/>
              <w:jc w:val="both"/>
              <w:rPr>
                <w:rFonts w:ascii="Times New Roman" w:eastAsia="Calibri" w:hAnsi="Times New Roman"/>
                <w:sz w:val="22"/>
                <w:szCs w:val="22"/>
                <w:lang w:val="en-GB"/>
              </w:rPr>
            </w:pPr>
            <w:r w:rsidRPr="0035165B">
              <w:rPr>
                <w:rFonts w:ascii="Times New Roman" w:eastAsia="Calibri" w:hAnsi="Times New Roman"/>
                <w:sz w:val="22"/>
                <w:szCs w:val="22"/>
                <w:lang w:val="en-GB"/>
              </w:rPr>
              <w:t>Administration</w:t>
            </w:r>
          </w:p>
        </w:tc>
        <w:tc>
          <w:tcPr>
            <w:tcW w:w="994" w:type="dxa"/>
            <w:gridSpan w:val="2"/>
            <w:tcBorders>
              <w:top w:val="single" w:sz="12" w:space="0" w:color="auto"/>
              <w:left w:val="single" w:sz="4" w:space="0" w:color="auto"/>
              <w:bottom w:val="single" w:sz="4" w:space="0" w:color="auto"/>
              <w:right w:val="single" w:sz="4" w:space="0" w:color="auto"/>
            </w:tcBorders>
            <w:noWrap/>
            <w:hideMark/>
          </w:tcPr>
          <w:p w14:paraId="5F2577EC" w14:textId="77777777" w:rsidR="00E7201F" w:rsidRPr="0035165B" w:rsidRDefault="00E7201F">
            <w:pPr>
              <w:spacing w:after="60" w:line="276" w:lineRule="auto"/>
              <w:jc w:val="both"/>
              <w:rPr>
                <w:rFonts w:ascii="Times New Roman" w:eastAsia="Calibri" w:hAnsi="Times New Roman"/>
                <w:sz w:val="22"/>
                <w:szCs w:val="22"/>
                <w:lang w:val="en-GB"/>
              </w:rPr>
            </w:pPr>
            <w:r w:rsidRPr="0035165B">
              <w:rPr>
                <w:rFonts w:ascii="Times New Roman" w:eastAsia="Calibri" w:hAnsi="Times New Roman"/>
                <w:sz w:val="22"/>
                <w:szCs w:val="22"/>
                <w:lang w:val="en-GB"/>
              </w:rPr>
              <w:t>437</w:t>
            </w:r>
          </w:p>
        </w:tc>
        <w:tc>
          <w:tcPr>
            <w:tcW w:w="1069" w:type="dxa"/>
            <w:tcBorders>
              <w:top w:val="single" w:sz="12" w:space="0" w:color="auto"/>
              <w:left w:val="single" w:sz="4" w:space="0" w:color="auto"/>
              <w:bottom w:val="single" w:sz="4" w:space="0" w:color="auto"/>
              <w:right w:val="single" w:sz="4" w:space="0" w:color="auto"/>
            </w:tcBorders>
            <w:noWrap/>
            <w:hideMark/>
          </w:tcPr>
          <w:p w14:paraId="3B768B3A" w14:textId="77777777" w:rsidR="00E7201F" w:rsidRPr="0035165B" w:rsidRDefault="00E7201F">
            <w:pPr>
              <w:spacing w:after="60" w:line="276" w:lineRule="auto"/>
              <w:jc w:val="both"/>
              <w:rPr>
                <w:rFonts w:ascii="Times New Roman" w:eastAsia="Calibri" w:hAnsi="Times New Roman"/>
                <w:sz w:val="22"/>
                <w:szCs w:val="22"/>
                <w:lang w:val="en-GB"/>
              </w:rPr>
            </w:pPr>
            <w:r w:rsidRPr="0035165B">
              <w:rPr>
                <w:rFonts w:ascii="Times New Roman" w:eastAsia="Calibri" w:hAnsi="Times New Roman"/>
                <w:sz w:val="22"/>
                <w:szCs w:val="22"/>
                <w:lang w:val="en-GB"/>
              </w:rPr>
              <w:t>413.5</w:t>
            </w:r>
          </w:p>
        </w:tc>
        <w:tc>
          <w:tcPr>
            <w:tcW w:w="1184" w:type="dxa"/>
            <w:tcBorders>
              <w:top w:val="single" w:sz="12" w:space="0" w:color="auto"/>
              <w:left w:val="single" w:sz="4" w:space="0" w:color="auto"/>
              <w:bottom w:val="single" w:sz="4" w:space="0" w:color="auto"/>
              <w:right w:val="single" w:sz="4" w:space="0" w:color="auto"/>
            </w:tcBorders>
            <w:noWrap/>
            <w:hideMark/>
          </w:tcPr>
          <w:p w14:paraId="4DC7F887" w14:textId="77777777" w:rsidR="00E7201F" w:rsidRPr="0035165B" w:rsidRDefault="00E7201F">
            <w:pPr>
              <w:spacing w:after="60" w:line="276" w:lineRule="auto"/>
              <w:jc w:val="both"/>
              <w:rPr>
                <w:rFonts w:ascii="Times New Roman" w:eastAsia="Calibri" w:hAnsi="Times New Roman"/>
                <w:color w:val="FF0000"/>
                <w:sz w:val="22"/>
                <w:szCs w:val="22"/>
                <w:lang w:val="en-GB"/>
              </w:rPr>
            </w:pPr>
            <w:r w:rsidRPr="0035165B">
              <w:rPr>
                <w:rFonts w:ascii="Times New Roman" w:eastAsia="Calibri" w:hAnsi="Times New Roman"/>
                <w:color w:val="FF0000"/>
                <w:sz w:val="22"/>
                <w:szCs w:val="22"/>
                <w:lang w:val="en-GB"/>
              </w:rPr>
              <w:t>-23.5</w:t>
            </w:r>
          </w:p>
        </w:tc>
        <w:tc>
          <w:tcPr>
            <w:tcW w:w="1204" w:type="dxa"/>
            <w:tcBorders>
              <w:top w:val="single" w:sz="12" w:space="0" w:color="auto"/>
              <w:left w:val="single" w:sz="4" w:space="0" w:color="auto"/>
              <w:bottom w:val="single" w:sz="4" w:space="0" w:color="auto"/>
              <w:right w:val="single" w:sz="4" w:space="0" w:color="auto"/>
            </w:tcBorders>
            <w:noWrap/>
            <w:hideMark/>
          </w:tcPr>
          <w:p w14:paraId="0B961F53" w14:textId="77777777" w:rsidR="00E7201F" w:rsidRPr="0035165B" w:rsidRDefault="00E7201F">
            <w:pPr>
              <w:spacing w:after="60" w:line="276" w:lineRule="auto"/>
              <w:jc w:val="both"/>
              <w:rPr>
                <w:rFonts w:ascii="Times New Roman" w:eastAsia="Calibri" w:hAnsi="Times New Roman"/>
                <w:color w:val="FF0000"/>
                <w:sz w:val="22"/>
                <w:szCs w:val="22"/>
                <w:lang w:val="en-GB"/>
              </w:rPr>
            </w:pPr>
            <w:r w:rsidRPr="0035165B">
              <w:rPr>
                <w:rFonts w:ascii="Times New Roman" w:eastAsia="Calibri" w:hAnsi="Times New Roman"/>
                <w:color w:val="FF0000"/>
                <w:sz w:val="22"/>
                <w:szCs w:val="22"/>
                <w:lang w:val="en-GB"/>
              </w:rPr>
              <w:t>-47</w:t>
            </w:r>
          </w:p>
        </w:tc>
        <w:tc>
          <w:tcPr>
            <w:tcW w:w="1155" w:type="dxa"/>
            <w:tcBorders>
              <w:top w:val="single" w:sz="12" w:space="0" w:color="auto"/>
              <w:left w:val="single" w:sz="4" w:space="0" w:color="auto"/>
              <w:bottom w:val="single" w:sz="4" w:space="0" w:color="auto"/>
              <w:right w:val="single" w:sz="4" w:space="0" w:color="auto"/>
            </w:tcBorders>
            <w:noWrap/>
            <w:hideMark/>
          </w:tcPr>
          <w:p w14:paraId="193C632F" w14:textId="77777777" w:rsidR="00E7201F" w:rsidRPr="0035165B" w:rsidRDefault="00E7201F">
            <w:pPr>
              <w:spacing w:after="60" w:line="276" w:lineRule="auto"/>
              <w:jc w:val="both"/>
              <w:rPr>
                <w:rFonts w:ascii="Times New Roman" w:eastAsia="Calibri" w:hAnsi="Times New Roman"/>
                <w:color w:val="FF0000"/>
                <w:sz w:val="22"/>
                <w:szCs w:val="22"/>
                <w:lang w:val="en-GB"/>
              </w:rPr>
            </w:pPr>
            <w:r w:rsidRPr="0035165B">
              <w:rPr>
                <w:rFonts w:ascii="Times New Roman" w:eastAsia="Calibri" w:hAnsi="Times New Roman"/>
                <w:color w:val="FF0000"/>
                <w:sz w:val="22"/>
                <w:szCs w:val="22"/>
                <w:lang w:val="en-GB"/>
              </w:rPr>
              <w:t>-5.5%</w:t>
            </w:r>
          </w:p>
        </w:tc>
        <w:tc>
          <w:tcPr>
            <w:tcW w:w="950" w:type="dxa"/>
            <w:tcBorders>
              <w:top w:val="single" w:sz="12" w:space="0" w:color="auto"/>
              <w:left w:val="single" w:sz="4" w:space="0" w:color="auto"/>
              <w:bottom w:val="single" w:sz="4" w:space="0" w:color="auto"/>
              <w:right w:val="single" w:sz="4" w:space="0" w:color="auto"/>
            </w:tcBorders>
            <w:noWrap/>
            <w:hideMark/>
          </w:tcPr>
          <w:p w14:paraId="3CB5C61C" w14:textId="77777777" w:rsidR="00E7201F" w:rsidRPr="0035165B" w:rsidRDefault="00E7201F">
            <w:pPr>
              <w:spacing w:after="60" w:line="276" w:lineRule="auto"/>
              <w:jc w:val="both"/>
              <w:rPr>
                <w:rFonts w:ascii="Times New Roman" w:eastAsia="Calibri" w:hAnsi="Times New Roman"/>
                <w:color w:val="FF0000"/>
                <w:sz w:val="22"/>
                <w:szCs w:val="22"/>
                <w:lang w:val="en-GB"/>
              </w:rPr>
            </w:pPr>
            <w:r w:rsidRPr="0035165B">
              <w:rPr>
                <w:rFonts w:ascii="Times New Roman" w:eastAsia="Calibri" w:hAnsi="Times New Roman"/>
                <w:color w:val="FF0000"/>
                <w:sz w:val="22"/>
                <w:szCs w:val="22"/>
                <w:lang w:val="en-GB"/>
              </w:rPr>
              <w:t>-10.7%</w:t>
            </w:r>
          </w:p>
        </w:tc>
      </w:tr>
      <w:tr w:rsidR="00E7201F" w:rsidRPr="0035165B" w14:paraId="07323798" w14:textId="77777777" w:rsidTr="00E7201F">
        <w:trPr>
          <w:trHeight w:val="264"/>
        </w:trPr>
        <w:tc>
          <w:tcPr>
            <w:tcW w:w="2455" w:type="dxa"/>
            <w:tcBorders>
              <w:top w:val="single" w:sz="4" w:space="0" w:color="auto"/>
              <w:left w:val="single" w:sz="4" w:space="0" w:color="auto"/>
              <w:bottom w:val="single" w:sz="4" w:space="0" w:color="auto"/>
              <w:right w:val="single" w:sz="4" w:space="0" w:color="auto"/>
            </w:tcBorders>
            <w:noWrap/>
            <w:hideMark/>
          </w:tcPr>
          <w:p w14:paraId="0F859B6C" w14:textId="77777777" w:rsidR="00E7201F" w:rsidRPr="0035165B" w:rsidRDefault="00E7201F">
            <w:pPr>
              <w:spacing w:after="60" w:line="276" w:lineRule="auto"/>
              <w:jc w:val="both"/>
              <w:rPr>
                <w:rFonts w:ascii="Times New Roman" w:eastAsia="Calibri" w:hAnsi="Times New Roman"/>
                <w:color w:val="auto"/>
                <w:sz w:val="22"/>
                <w:szCs w:val="22"/>
                <w:lang w:val="en-GB"/>
              </w:rPr>
            </w:pPr>
            <w:r w:rsidRPr="0035165B">
              <w:rPr>
                <w:rFonts w:ascii="Times New Roman" w:eastAsia="Calibri" w:hAnsi="Times New Roman"/>
                <w:sz w:val="22"/>
                <w:szCs w:val="22"/>
                <w:lang w:val="en-GB"/>
              </w:rPr>
              <w:t>Operations &amp; Production</w:t>
            </w:r>
          </w:p>
        </w:tc>
        <w:tc>
          <w:tcPr>
            <w:tcW w:w="994" w:type="dxa"/>
            <w:gridSpan w:val="2"/>
            <w:tcBorders>
              <w:top w:val="single" w:sz="4" w:space="0" w:color="auto"/>
              <w:left w:val="single" w:sz="4" w:space="0" w:color="auto"/>
              <w:bottom w:val="single" w:sz="4" w:space="0" w:color="auto"/>
              <w:right w:val="single" w:sz="4" w:space="0" w:color="auto"/>
            </w:tcBorders>
            <w:noWrap/>
            <w:hideMark/>
          </w:tcPr>
          <w:p w14:paraId="13A82C2B" w14:textId="77777777" w:rsidR="00E7201F" w:rsidRPr="0035165B" w:rsidRDefault="00E7201F">
            <w:pPr>
              <w:tabs>
                <w:tab w:val="left" w:pos="676"/>
              </w:tabs>
              <w:spacing w:line="276" w:lineRule="auto"/>
              <w:jc w:val="both"/>
              <w:rPr>
                <w:rFonts w:ascii="Times New Roman" w:eastAsia="Calibri" w:hAnsi="Times New Roman"/>
                <w:sz w:val="22"/>
                <w:szCs w:val="22"/>
                <w:lang w:val="en-GB"/>
              </w:rPr>
            </w:pPr>
            <w:r w:rsidRPr="0035165B">
              <w:rPr>
                <w:rFonts w:ascii="Times New Roman" w:eastAsia="Calibri" w:hAnsi="Times New Roman"/>
                <w:sz w:val="22"/>
                <w:szCs w:val="22"/>
                <w:lang w:val="en-GB"/>
              </w:rPr>
              <w:t>913.8</w:t>
            </w:r>
          </w:p>
        </w:tc>
        <w:tc>
          <w:tcPr>
            <w:tcW w:w="1069" w:type="dxa"/>
            <w:tcBorders>
              <w:top w:val="single" w:sz="4" w:space="0" w:color="auto"/>
              <w:left w:val="single" w:sz="4" w:space="0" w:color="auto"/>
              <w:bottom w:val="single" w:sz="4" w:space="0" w:color="auto"/>
              <w:right w:val="single" w:sz="4" w:space="0" w:color="auto"/>
            </w:tcBorders>
            <w:noWrap/>
            <w:hideMark/>
          </w:tcPr>
          <w:p w14:paraId="35B32E5C" w14:textId="77777777" w:rsidR="00E7201F" w:rsidRPr="0035165B" w:rsidRDefault="00E7201F">
            <w:pPr>
              <w:spacing w:after="60" w:line="276" w:lineRule="auto"/>
              <w:jc w:val="both"/>
              <w:rPr>
                <w:rFonts w:ascii="Times New Roman" w:eastAsia="Calibri" w:hAnsi="Times New Roman"/>
                <w:sz w:val="22"/>
                <w:szCs w:val="22"/>
                <w:lang w:val="en-GB"/>
              </w:rPr>
            </w:pPr>
            <w:r w:rsidRPr="0035165B">
              <w:rPr>
                <w:rFonts w:ascii="Times New Roman" w:eastAsia="Calibri" w:hAnsi="Times New Roman"/>
                <w:sz w:val="22"/>
                <w:szCs w:val="22"/>
                <w:lang w:val="en-GB"/>
              </w:rPr>
              <w:t>875.2</w:t>
            </w:r>
          </w:p>
        </w:tc>
        <w:tc>
          <w:tcPr>
            <w:tcW w:w="1184" w:type="dxa"/>
            <w:tcBorders>
              <w:top w:val="single" w:sz="4" w:space="0" w:color="auto"/>
              <w:left w:val="single" w:sz="4" w:space="0" w:color="auto"/>
              <w:bottom w:val="single" w:sz="4" w:space="0" w:color="auto"/>
              <w:right w:val="single" w:sz="4" w:space="0" w:color="auto"/>
            </w:tcBorders>
            <w:noWrap/>
            <w:hideMark/>
          </w:tcPr>
          <w:p w14:paraId="360656DD" w14:textId="77777777" w:rsidR="00E7201F" w:rsidRPr="0035165B" w:rsidRDefault="00E7201F">
            <w:pPr>
              <w:spacing w:after="60" w:line="276" w:lineRule="auto"/>
              <w:jc w:val="both"/>
              <w:rPr>
                <w:rFonts w:ascii="Times New Roman" w:eastAsia="Calibri" w:hAnsi="Times New Roman"/>
                <w:color w:val="FF0000"/>
                <w:sz w:val="22"/>
                <w:szCs w:val="22"/>
                <w:lang w:val="en-GB"/>
              </w:rPr>
            </w:pPr>
            <w:r w:rsidRPr="0035165B">
              <w:rPr>
                <w:rFonts w:ascii="Times New Roman" w:eastAsia="Calibri" w:hAnsi="Times New Roman"/>
                <w:color w:val="FF0000"/>
                <w:sz w:val="22"/>
                <w:szCs w:val="22"/>
                <w:lang w:val="en-GB"/>
              </w:rPr>
              <w:t>-38.6</w:t>
            </w:r>
          </w:p>
        </w:tc>
        <w:tc>
          <w:tcPr>
            <w:tcW w:w="1204" w:type="dxa"/>
            <w:tcBorders>
              <w:top w:val="single" w:sz="4" w:space="0" w:color="auto"/>
              <w:left w:val="single" w:sz="4" w:space="0" w:color="auto"/>
              <w:bottom w:val="single" w:sz="4" w:space="0" w:color="auto"/>
              <w:right w:val="single" w:sz="4" w:space="0" w:color="auto"/>
            </w:tcBorders>
            <w:noWrap/>
            <w:hideMark/>
          </w:tcPr>
          <w:p w14:paraId="2C3F3527" w14:textId="77777777" w:rsidR="00E7201F" w:rsidRPr="0035165B" w:rsidRDefault="00E7201F">
            <w:pPr>
              <w:spacing w:after="60" w:line="276" w:lineRule="auto"/>
              <w:jc w:val="both"/>
              <w:rPr>
                <w:rFonts w:ascii="Times New Roman" w:eastAsia="Calibri" w:hAnsi="Times New Roman"/>
                <w:color w:val="FF0000"/>
                <w:sz w:val="22"/>
                <w:szCs w:val="22"/>
                <w:lang w:val="en-GB"/>
              </w:rPr>
            </w:pPr>
            <w:r w:rsidRPr="0035165B">
              <w:rPr>
                <w:rFonts w:ascii="Times New Roman" w:eastAsia="Calibri" w:hAnsi="Times New Roman"/>
                <w:color w:val="FF0000"/>
                <w:sz w:val="22"/>
                <w:szCs w:val="22"/>
                <w:lang w:val="en-GB"/>
              </w:rPr>
              <w:t>-87</w:t>
            </w:r>
          </w:p>
        </w:tc>
        <w:tc>
          <w:tcPr>
            <w:tcW w:w="1155" w:type="dxa"/>
            <w:tcBorders>
              <w:top w:val="single" w:sz="4" w:space="0" w:color="auto"/>
              <w:left w:val="single" w:sz="4" w:space="0" w:color="auto"/>
              <w:bottom w:val="single" w:sz="4" w:space="0" w:color="auto"/>
              <w:right w:val="single" w:sz="4" w:space="0" w:color="auto"/>
            </w:tcBorders>
            <w:noWrap/>
            <w:hideMark/>
          </w:tcPr>
          <w:p w14:paraId="0FE6DCFB" w14:textId="77777777" w:rsidR="00E7201F" w:rsidRPr="0035165B" w:rsidRDefault="00E7201F">
            <w:pPr>
              <w:spacing w:after="60" w:line="276" w:lineRule="auto"/>
              <w:jc w:val="both"/>
              <w:rPr>
                <w:rFonts w:ascii="Times New Roman" w:eastAsia="Calibri" w:hAnsi="Times New Roman"/>
                <w:color w:val="FF0000"/>
                <w:sz w:val="22"/>
                <w:szCs w:val="22"/>
                <w:lang w:val="en-GB"/>
              </w:rPr>
            </w:pPr>
            <w:r w:rsidRPr="0035165B">
              <w:rPr>
                <w:rFonts w:ascii="Times New Roman" w:eastAsia="Calibri" w:hAnsi="Times New Roman"/>
                <w:color w:val="FF0000"/>
                <w:sz w:val="22"/>
                <w:szCs w:val="22"/>
                <w:lang w:val="en-GB"/>
              </w:rPr>
              <w:t>-4.2%</w:t>
            </w:r>
          </w:p>
        </w:tc>
        <w:tc>
          <w:tcPr>
            <w:tcW w:w="950" w:type="dxa"/>
            <w:tcBorders>
              <w:top w:val="single" w:sz="4" w:space="0" w:color="auto"/>
              <w:left w:val="single" w:sz="4" w:space="0" w:color="auto"/>
              <w:bottom w:val="single" w:sz="4" w:space="0" w:color="auto"/>
              <w:right w:val="single" w:sz="4" w:space="0" w:color="auto"/>
            </w:tcBorders>
            <w:noWrap/>
            <w:hideMark/>
          </w:tcPr>
          <w:p w14:paraId="26B84B6C" w14:textId="77777777" w:rsidR="00E7201F" w:rsidRPr="0035165B" w:rsidRDefault="00E7201F">
            <w:pPr>
              <w:spacing w:after="60" w:line="276" w:lineRule="auto"/>
              <w:jc w:val="both"/>
              <w:rPr>
                <w:rFonts w:ascii="Times New Roman" w:eastAsia="Calibri" w:hAnsi="Times New Roman"/>
                <w:color w:val="FF0000"/>
                <w:sz w:val="22"/>
                <w:szCs w:val="22"/>
                <w:lang w:val="en-GB"/>
              </w:rPr>
            </w:pPr>
            <w:r w:rsidRPr="0035165B">
              <w:rPr>
                <w:rFonts w:ascii="Times New Roman" w:eastAsia="Calibri" w:hAnsi="Times New Roman"/>
                <w:color w:val="FF0000"/>
                <w:sz w:val="22"/>
                <w:szCs w:val="22"/>
                <w:lang w:val="en-GB"/>
              </w:rPr>
              <w:t>-9.5%</w:t>
            </w:r>
          </w:p>
        </w:tc>
      </w:tr>
      <w:tr w:rsidR="00E7201F" w:rsidRPr="0035165B" w14:paraId="4D3FA4DA" w14:textId="77777777" w:rsidTr="00E7201F">
        <w:trPr>
          <w:trHeight w:val="264"/>
        </w:trPr>
        <w:tc>
          <w:tcPr>
            <w:tcW w:w="2455" w:type="dxa"/>
            <w:tcBorders>
              <w:top w:val="single" w:sz="12" w:space="0" w:color="auto"/>
              <w:left w:val="single" w:sz="12" w:space="0" w:color="auto"/>
              <w:bottom w:val="single" w:sz="12" w:space="0" w:color="auto"/>
              <w:right w:val="double" w:sz="4" w:space="0" w:color="auto"/>
            </w:tcBorders>
            <w:shd w:val="pct15" w:color="auto" w:fill="auto"/>
            <w:noWrap/>
            <w:hideMark/>
          </w:tcPr>
          <w:p w14:paraId="2C8B6F07" w14:textId="77777777" w:rsidR="00E7201F" w:rsidRPr="0035165B" w:rsidRDefault="00E7201F">
            <w:pPr>
              <w:spacing w:after="60" w:line="276" w:lineRule="auto"/>
              <w:jc w:val="both"/>
              <w:rPr>
                <w:rFonts w:ascii="Times New Roman" w:eastAsia="Calibri" w:hAnsi="Times New Roman"/>
                <w:b/>
                <w:bCs/>
                <w:color w:val="auto"/>
                <w:sz w:val="22"/>
                <w:szCs w:val="22"/>
                <w:lang w:val="en-GB"/>
              </w:rPr>
            </w:pPr>
            <w:r w:rsidRPr="0035165B">
              <w:rPr>
                <w:rFonts w:ascii="Times New Roman" w:eastAsia="Calibri" w:hAnsi="Times New Roman"/>
                <w:b/>
                <w:bCs/>
                <w:sz w:val="22"/>
                <w:szCs w:val="22"/>
                <w:lang w:val="en-GB"/>
              </w:rPr>
              <w:t>TOTAL</w:t>
            </w:r>
          </w:p>
        </w:tc>
        <w:tc>
          <w:tcPr>
            <w:tcW w:w="994" w:type="dxa"/>
            <w:gridSpan w:val="2"/>
            <w:tcBorders>
              <w:top w:val="single" w:sz="12" w:space="0" w:color="auto"/>
              <w:left w:val="double" w:sz="4" w:space="0" w:color="auto"/>
              <w:bottom w:val="single" w:sz="12" w:space="0" w:color="auto"/>
              <w:right w:val="double" w:sz="4" w:space="0" w:color="auto"/>
            </w:tcBorders>
            <w:shd w:val="pct15" w:color="auto" w:fill="auto"/>
            <w:noWrap/>
            <w:hideMark/>
          </w:tcPr>
          <w:p w14:paraId="7C2F2AD8"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1350.8</w:t>
            </w:r>
          </w:p>
        </w:tc>
        <w:tc>
          <w:tcPr>
            <w:tcW w:w="1069" w:type="dxa"/>
            <w:tcBorders>
              <w:top w:val="single" w:sz="12" w:space="0" w:color="auto"/>
              <w:left w:val="double" w:sz="4" w:space="0" w:color="auto"/>
              <w:bottom w:val="single" w:sz="12" w:space="0" w:color="auto"/>
              <w:right w:val="double" w:sz="4" w:space="0" w:color="auto"/>
            </w:tcBorders>
            <w:shd w:val="pct15" w:color="auto" w:fill="auto"/>
            <w:noWrap/>
            <w:hideMark/>
          </w:tcPr>
          <w:p w14:paraId="388B8F5D"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1288.7</w:t>
            </w:r>
          </w:p>
        </w:tc>
        <w:tc>
          <w:tcPr>
            <w:tcW w:w="1184" w:type="dxa"/>
            <w:tcBorders>
              <w:top w:val="single" w:sz="12" w:space="0" w:color="auto"/>
              <w:left w:val="double" w:sz="4" w:space="0" w:color="auto"/>
              <w:bottom w:val="single" w:sz="12" w:space="0" w:color="auto"/>
              <w:right w:val="double" w:sz="4" w:space="0" w:color="auto"/>
            </w:tcBorders>
            <w:shd w:val="pct15" w:color="auto" w:fill="auto"/>
            <w:noWrap/>
            <w:hideMark/>
          </w:tcPr>
          <w:p w14:paraId="5D07B607"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62.1</w:t>
            </w:r>
          </w:p>
        </w:tc>
        <w:tc>
          <w:tcPr>
            <w:tcW w:w="1204" w:type="dxa"/>
            <w:tcBorders>
              <w:top w:val="single" w:sz="12" w:space="0" w:color="auto"/>
              <w:left w:val="double" w:sz="4" w:space="0" w:color="auto"/>
              <w:bottom w:val="single" w:sz="12" w:space="0" w:color="auto"/>
              <w:right w:val="double" w:sz="4" w:space="0" w:color="auto"/>
            </w:tcBorders>
            <w:shd w:val="pct15" w:color="auto" w:fill="auto"/>
            <w:noWrap/>
            <w:hideMark/>
          </w:tcPr>
          <w:p w14:paraId="0BDF232E"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134</w:t>
            </w:r>
          </w:p>
        </w:tc>
        <w:tc>
          <w:tcPr>
            <w:tcW w:w="1155" w:type="dxa"/>
            <w:tcBorders>
              <w:top w:val="single" w:sz="12" w:space="0" w:color="auto"/>
              <w:left w:val="double" w:sz="4" w:space="0" w:color="auto"/>
              <w:bottom w:val="single" w:sz="12" w:space="0" w:color="auto"/>
              <w:right w:val="double" w:sz="4" w:space="0" w:color="auto"/>
            </w:tcBorders>
            <w:shd w:val="pct15" w:color="auto" w:fill="auto"/>
            <w:noWrap/>
            <w:hideMark/>
          </w:tcPr>
          <w:p w14:paraId="0A556020"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-4.6%</w:t>
            </w:r>
          </w:p>
        </w:tc>
        <w:tc>
          <w:tcPr>
            <w:tcW w:w="950" w:type="dxa"/>
            <w:tcBorders>
              <w:top w:val="single" w:sz="12" w:space="0" w:color="auto"/>
              <w:left w:val="double" w:sz="4" w:space="0" w:color="auto"/>
              <w:bottom w:val="single" w:sz="12" w:space="0" w:color="auto"/>
              <w:right w:val="single" w:sz="12" w:space="0" w:color="auto"/>
            </w:tcBorders>
            <w:shd w:val="pct15" w:color="auto" w:fill="auto"/>
            <w:noWrap/>
            <w:hideMark/>
          </w:tcPr>
          <w:p w14:paraId="085558E3" w14:textId="77777777" w:rsidR="00E7201F" w:rsidRPr="0035165B" w:rsidRDefault="00E7201F">
            <w:pPr>
              <w:spacing w:after="60" w:line="276" w:lineRule="auto"/>
              <w:jc w:val="both"/>
              <w:rPr>
                <w:rFonts w:ascii="Times New Roman" w:eastAsia="Calibri" w:hAnsi="Times New Roman"/>
                <w:b/>
                <w:bCs/>
                <w:sz w:val="22"/>
                <w:szCs w:val="22"/>
                <w:lang w:val="en-GB"/>
              </w:rPr>
            </w:pPr>
            <w:r w:rsidRPr="0035165B">
              <w:rPr>
                <w:rFonts w:ascii="Times New Roman" w:eastAsia="Calibri" w:hAnsi="Times New Roman"/>
                <w:b/>
                <w:bCs/>
                <w:sz w:val="22"/>
                <w:szCs w:val="22"/>
                <w:lang w:val="en-GB"/>
              </w:rPr>
              <w:t>-9.92%</w:t>
            </w:r>
          </w:p>
        </w:tc>
      </w:tr>
      <w:tr w:rsidR="00E7201F" w:rsidRPr="0035165B" w14:paraId="0164954D" w14:textId="77777777" w:rsidTr="00E7201F">
        <w:trPr>
          <w:gridAfter w:val="1"/>
          <w:wAfter w:w="950" w:type="dxa"/>
        </w:trPr>
        <w:tc>
          <w:tcPr>
            <w:tcW w:w="297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A4155E" w14:textId="77777777" w:rsidR="00E7201F" w:rsidRPr="0035165B" w:rsidRDefault="00E7201F">
            <w:pPr>
              <w:spacing w:after="60" w:line="240" w:lineRule="auto"/>
              <w:jc w:val="both"/>
              <w:rPr>
                <w:rFonts w:ascii="Times New Roman" w:eastAsia="Calibri" w:hAnsi="Times New Roman"/>
                <w:b/>
                <w:i/>
                <w:sz w:val="22"/>
                <w:szCs w:val="22"/>
              </w:rPr>
            </w:pPr>
            <w:r w:rsidRPr="0035165B">
              <w:rPr>
                <w:rFonts w:ascii="Times New Roman" w:eastAsia="Calibri" w:hAnsi="Times New Roman"/>
                <w:b/>
                <w:i/>
                <w:sz w:val="22"/>
                <w:szCs w:val="22"/>
              </w:rPr>
              <w:t>Nominal Increase/Decrease</w:t>
            </w:r>
          </w:p>
        </w:tc>
        <w:tc>
          <w:tcPr>
            <w:tcW w:w="5084" w:type="dxa"/>
            <w:gridSpan w:val="5"/>
            <w:tcBorders>
              <w:top w:val="single" w:sz="4" w:space="0" w:color="auto"/>
              <w:left w:val="single" w:sz="4" w:space="0" w:color="auto"/>
              <w:bottom w:val="single" w:sz="4" w:space="0" w:color="auto"/>
              <w:right w:val="single" w:sz="4" w:space="0" w:color="auto"/>
            </w:tcBorders>
            <w:hideMark/>
          </w:tcPr>
          <w:p w14:paraId="3AD46647" w14:textId="77777777" w:rsidR="00E7201F" w:rsidRPr="0035165B" w:rsidRDefault="00E7201F">
            <w:pPr>
              <w:spacing w:after="60" w:line="240" w:lineRule="auto"/>
              <w:jc w:val="both"/>
              <w:rPr>
                <w:rFonts w:ascii="Times New Roman" w:eastAsia="Calibri" w:hAnsi="Times New Roman"/>
                <w:b/>
                <w:i/>
                <w:sz w:val="22"/>
                <w:szCs w:val="22"/>
              </w:rPr>
            </w:pPr>
            <w:r w:rsidRPr="0035165B">
              <w:rPr>
                <w:rFonts w:ascii="Times New Roman" w:eastAsia="Calibri" w:hAnsi="Times New Roman"/>
                <w:b/>
                <w:i/>
                <w:sz w:val="22"/>
                <w:szCs w:val="22"/>
              </w:rPr>
              <w:t>Is when inflation is not taken into account</w:t>
            </w:r>
          </w:p>
        </w:tc>
      </w:tr>
      <w:tr w:rsidR="00E7201F" w:rsidRPr="0035165B" w14:paraId="4234FB6C" w14:textId="77777777" w:rsidTr="00E7201F">
        <w:trPr>
          <w:gridAfter w:val="1"/>
          <w:wAfter w:w="950" w:type="dxa"/>
        </w:trPr>
        <w:tc>
          <w:tcPr>
            <w:tcW w:w="297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C066D8" w14:textId="77777777" w:rsidR="00E7201F" w:rsidRPr="0035165B" w:rsidRDefault="00E7201F">
            <w:pPr>
              <w:spacing w:after="60" w:line="240" w:lineRule="auto"/>
              <w:jc w:val="both"/>
              <w:rPr>
                <w:rFonts w:ascii="Times New Roman" w:eastAsia="Calibri" w:hAnsi="Times New Roman"/>
                <w:b/>
                <w:i/>
                <w:sz w:val="22"/>
                <w:szCs w:val="22"/>
              </w:rPr>
            </w:pPr>
            <w:r w:rsidRPr="0035165B">
              <w:rPr>
                <w:rFonts w:ascii="Times New Roman" w:eastAsia="Calibri" w:hAnsi="Times New Roman"/>
                <w:b/>
                <w:i/>
                <w:sz w:val="22"/>
                <w:szCs w:val="22"/>
              </w:rPr>
              <w:t xml:space="preserve">Real Increase/Decrease </w:t>
            </w:r>
          </w:p>
        </w:tc>
        <w:tc>
          <w:tcPr>
            <w:tcW w:w="5084" w:type="dxa"/>
            <w:gridSpan w:val="5"/>
            <w:tcBorders>
              <w:top w:val="single" w:sz="4" w:space="0" w:color="auto"/>
              <w:left w:val="single" w:sz="4" w:space="0" w:color="auto"/>
              <w:bottom w:val="single" w:sz="4" w:space="0" w:color="auto"/>
              <w:right w:val="single" w:sz="4" w:space="0" w:color="auto"/>
            </w:tcBorders>
            <w:hideMark/>
          </w:tcPr>
          <w:p w14:paraId="123624F8" w14:textId="77777777" w:rsidR="00E7201F" w:rsidRPr="0035165B" w:rsidRDefault="00E7201F">
            <w:pPr>
              <w:spacing w:after="60" w:line="240" w:lineRule="auto"/>
              <w:jc w:val="both"/>
              <w:rPr>
                <w:rFonts w:ascii="Times New Roman" w:eastAsia="Calibri" w:hAnsi="Times New Roman"/>
                <w:b/>
                <w:i/>
                <w:sz w:val="22"/>
                <w:szCs w:val="22"/>
              </w:rPr>
            </w:pPr>
            <w:r w:rsidRPr="0035165B">
              <w:rPr>
                <w:rFonts w:ascii="Times New Roman" w:eastAsia="Calibri" w:hAnsi="Times New Roman"/>
                <w:b/>
                <w:i/>
                <w:sz w:val="22"/>
                <w:szCs w:val="22"/>
              </w:rPr>
              <w:t xml:space="preserve">Is when inflation is taken into account </w:t>
            </w:r>
          </w:p>
        </w:tc>
      </w:tr>
    </w:tbl>
    <w:p w14:paraId="059E3EB5" w14:textId="77777777" w:rsidR="00E7201F" w:rsidRPr="0035165B" w:rsidRDefault="00E7201F" w:rsidP="00E7201F">
      <w:pPr>
        <w:spacing w:line="276" w:lineRule="auto"/>
        <w:jc w:val="both"/>
        <w:rPr>
          <w:rFonts w:ascii="Times New Roman" w:hAnsi="Times New Roman"/>
          <w:b/>
          <w:sz w:val="22"/>
          <w:szCs w:val="22"/>
          <w:lang w:eastAsia="en-US"/>
        </w:rPr>
      </w:pPr>
    </w:p>
    <w:p w14:paraId="22D86718" w14:textId="77777777" w:rsidR="00E7201F" w:rsidRPr="0035165B" w:rsidRDefault="00E7201F" w:rsidP="00E7201F">
      <w:pPr>
        <w:jc w:val="both"/>
        <w:rPr>
          <w:rFonts w:ascii="Times New Roman" w:hAnsi="Times New Roman"/>
          <w:sz w:val="22"/>
          <w:szCs w:val="22"/>
          <w:lang w:val="en-US"/>
        </w:rPr>
      </w:pPr>
      <w:r w:rsidRPr="0035165B">
        <w:rPr>
          <w:rFonts w:ascii="Times New Roman" w:hAnsi="Times New Roman"/>
          <w:sz w:val="22"/>
          <w:szCs w:val="22"/>
          <w:lang w:val="en-US"/>
        </w:rPr>
        <w:t>When looking at the budget allocation for 2022 compared to 2021, the GPW receives a total of R62.1 million less this year (-4.6%). When factoring in inflation of 5.3% this equates in real terms to R134 million less (-9.92%). The administration budget item receives a slightly larger percentage cut than operations. Over the medium term (3 years) expenditure is due to grow at an average of only 2% above inflation (7.2% before inflation).</w:t>
      </w:r>
    </w:p>
    <w:p w14:paraId="62F7C62E" w14:textId="77777777" w:rsidR="00E7201F" w:rsidRPr="0035165B" w:rsidRDefault="00E7201F" w:rsidP="00E7201F">
      <w:pPr>
        <w:jc w:val="both"/>
        <w:rPr>
          <w:rFonts w:ascii="Times New Roman" w:hAnsi="Times New Roman"/>
          <w:color w:val="000000" w:themeColor="text1"/>
          <w:sz w:val="22"/>
          <w:szCs w:val="22"/>
          <w:lang w:val="en-US"/>
        </w:rPr>
      </w:pPr>
    </w:p>
    <w:p w14:paraId="567AB0F8" w14:textId="0838F0C1" w:rsidR="00E7201F" w:rsidRPr="0035165B" w:rsidRDefault="00E7201F" w:rsidP="00E7201F">
      <w:pPr>
        <w:keepNext/>
        <w:keepLines/>
        <w:suppressAutoHyphens w:val="0"/>
        <w:autoSpaceDN/>
        <w:spacing w:before="240" w:line="276" w:lineRule="auto"/>
        <w:contextualSpacing/>
        <w:jc w:val="both"/>
        <w:textAlignment w:val="auto"/>
        <w:outlineLvl w:val="0"/>
        <w:rPr>
          <w:rFonts w:ascii="Times New Roman" w:eastAsiaTheme="majorEastAsia" w:hAnsi="Times New Roman"/>
          <w:b/>
          <w:caps/>
          <w:color w:val="000000" w:themeColor="text1"/>
          <w:sz w:val="22"/>
          <w:szCs w:val="22"/>
          <w:lang w:val="en-US"/>
        </w:rPr>
      </w:pPr>
      <w:r w:rsidRPr="0035165B">
        <w:rPr>
          <w:rFonts w:ascii="Times New Roman" w:eastAsiaTheme="majorEastAsia" w:hAnsi="Times New Roman"/>
          <w:b/>
          <w:caps/>
          <w:color w:val="000000" w:themeColor="text1"/>
          <w:sz w:val="22"/>
          <w:szCs w:val="22"/>
        </w:rPr>
        <w:t xml:space="preserve">3.2 GPW 2022/23 </w:t>
      </w:r>
      <w:r w:rsidRPr="0035165B">
        <w:rPr>
          <w:rFonts w:ascii="Times New Roman" w:eastAsiaTheme="majorEastAsia" w:hAnsi="Times New Roman"/>
          <w:b/>
          <w:caps/>
          <w:color w:val="000000" w:themeColor="text1"/>
          <w:sz w:val="22"/>
          <w:szCs w:val="22"/>
          <w:lang w:val="en-US"/>
        </w:rPr>
        <w:t xml:space="preserve">Annual Performance Plan </w:t>
      </w:r>
    </w:p>
    <w:p w14:paraId="7155FF71" w14:textId="77777777" w:rsidR="0023034C" w:rsidRPr="0035165B" w:rsidRDefault="0023034C" w:rsidP="0023034C">
      <w:pPr>
        <w:spacing w:line="276" w:lineRule="auto"/>
        <w:jc w:val="both"/>
        <w:rPr>
          <w:rFonts w:ascii="Times New Roman" w:hAnsi="Times New Roman"/>
          <w:sz w:val="22"/>
          <w:szCs w:val="22"/>
        </w:rPr>
      </w:pPr>
      <w:r w:rsidRPr="0035165B">
        <w:rPr>
          <w:rFonts w:ascii="Times New Roman" w:hAnsi="Times New Roman"/>
          <w:sz w:val="22"/>
          <w:szCs w:val="22"/>
        </w:rPr>
        <w:t xml:space="preserve">GPW’s APP 2021/22 has a total of 18 performance targets, with critical targets aligned to the Strategic Plan, to ensure that all outcomes and desired impacts are achieved. It should be noted that the financial years 2018/19 and 2019/20 have had similar performance outcomes in terms of the number of targets that were set (23) and achieved (18), averaging 78%. GPW has had challenges in terms of the completion of the construction project, referred to as a masterplan project. These challenges are among other reasons attributed to dependencies of the project, the project size and level of expertise required. </w:t>
      </w:r>
    </w:p>
    <w:p w14:paraId="0B357449" w14:textId="77777777" w:rsidR="0023034C" w:rsidRPr="0035165B" w:rsidRDefault="0023034C" w:rsidP="0023034C">
      <w:pPr>
        <w:spacing w:line="276" w:lineRule="auto"/>
        <w:jc w:val="both"/>
        <w:rPr>
          <w:rFonts w:ascii="Times New Roman" w:hAnsi="Times New Roman"/>
          <w:sz w:val="22"/>
          <w:szCs w:val="22"/>
        </w:rPr>
      </w:pPr>
    </w:p>
    <w:p w14:paraId="3B56B926" w14:textId="2466CF31" w:rsidR="0023034C" w:rsidRPr="0035165B" w:rsidRDefault="0023034C" w:rsidP="0023034C">
      <w:pPr>
        <w:spacing w:line="276" w:lineRule="auto"/>
        <w:jc w:val="both"/>
        <w:rPr>
          <w:rFonts w:ascii="Times New Roman" w:hAnsi="Times New Roman"/>
          <w:sz w:val="22"/>
          <w:szCs w:val="22"/>
        </w:rPr>
      </w:pPr>
      <w:r w:rsidRPr="0035165B">
        <w:rPr>
          <w:rFonts w:ascii="Times New Roman" w:hAnsi="Times New Roman"/>
          <w:sz w:val="22"/>
          <w:szCs w:val="22"/>
        </w:rPr>
        <w:t>The other challenge relates to governance in terms of obtaining a clean audit opinion. While in pursuit of our strategic targets, GPW will continue to put measures in place to improve our internal controls environment. This will be achieved through application of good governance principles and implementation of audit recommendations. The post audit action plan and other mechanism will be developed and monitored in order to reduce occurrences of irregular expenditure and other compliance gaps that impact on GPW’s governance. The table below outlines various products that were produced in the last five years. These figures reflect that the production of security and para-security documents has increased between 2015 and 2018 (with exception of the green barcoded id). There has been a steady demand in the production of passports with an increase of 17% when comparing financial years 2015/16 and 2019/20.</w:t>
      </w:r>
    </w:p>
    <w:p w14:paraId="5D818DD2" w14:textId="17274C4A" w:rsidR="0023034C" w:rsidRPr="0035165B" w:rsidRDefault="0023034C" w:rsidP="0023034C">
      <w:pPr>
        <w:spacing w:line="276" w:lineRule="auto"/>
        <w:jc w:val="both"/>
        <w:rPr>
          <w:rFonts w:ascii="Times New Roman" w:hAnsi="Times New Roman"/>
          <w:sz w:val="22"/>
          <w:szCs w:val="22"/>
        </w:rPr>
      </w:pPr>
      <w:bookmarkStart w:id="33" w:name="_Toc71542449"/>
      <w:r w:rsidRPr="0035165B">
        <w:rPr>
          <w:rFonts w:ascii="Times New Roman" w:hAnsi="Times New Roman"/>
          <w:noProof/>
          <w:sz w:val="22"/>
          <w:szCs w:val="22"/>
          <w:lang w:val="en-US" w:eastAsia="en-US"/>
        </w:rPr>
        <w:lastRenderedPageBreak/>
        <w:drawing>
          <wp:anchor distT="0" distB="0" distL="114300" distR="114300" simplePos="0" relativeHeight="251659776" behindDoc="1" locked="0" layoutInCell="1" allowOverlap="1" wp14:anchorId="3C862C4D" wp14:editId="335382DA">
            <wp:simplePos x="0" y="0"/>
            <wp:positionH relativeFrom="margin">
              <wp:align>left</wp:align>
            </wp:positionH>
            <wp:positionV relativeFrom="paragraph">
              <wp:posOffset>181279</wp:posOffset>
            </wp:positionV>
            <wp:extent cx="5071745" cy="25730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71745" cy="2573020"/>
                    </a:xfrm>
                    <a:prstGeom prst="rect">
                      <a:avLst/>
                    </a:prstGeom>
                  </pic:spPr>
                </pic:pic>
              </a:graphicData>
            </a:graphic>
            <wp14:sizeRelH relativeFrom="margin">
              <wp14:pctWidth>0</wp14:pctWidth>
            </wp14:sizeRelH>
            <wp14:sizeRelV relativeFrom="margin">
              <wp14:pctHeight>0</wp14:pctHeight>
            </wp14:sizeRelV>
          </wp:anchor>
        </w:drawing>
      </w:r>
      <w:bookmarkEnd w:id="33"/>
    </w:p>
    <w:p w14:paraId="1CBACD18" w14:textId="016F5D22" w:rsidR="0023034C" w:rsidRPr="0035165B" w:rsidRDefault="0023034C" w:rsidP="0023034C">
      <w:pPr>
        <w:spacing w:line="276" w:lineRule="auto"/>
        <w:jc w:val="both"/>
        <w:rPr>
          <w:rFonts w:ascii="Times New Roman" w:hAnsi="Times New Roman"/>
          <w:sz w:val="22"/>
          <w:szCs w:val="22"/>
        </w:rPr>
      </w:pPr>
      <w:r w:rsidRPr="0035165B">
        <w:rPr>
          <w:rFonts w:ascii="Times New Roman" w:hAnsi="Times New Roman"/>
          <w:sz w:val="22"/>
          <w:szCs w:val="22"/>
        </w:rPr>
        <w:t xml:space="preserve"> </w:t>
      </w:r>
    </w:p>
    <w:p w14:paraId="3BE40744" w14:textId="09A2F75C" w:rsidR="00E7201F" w:rsidRPr="0035165B" w:rsidRDefault="00E7201F" w:rsidP="00E7201F">
      <w:pPr>
        <w:jc w:val="both"/>
        <w:rPr>
          <w:rFonts w:ascii="Times New Roman" w:eastAsiaTheme="minorHAnsi" w:hAnsi="Times New Roman"/>
          <w:color w:val="auto"/>
          <w:sz w:val="22"/>
          <w:szCs w:val="22"/>
          <w:lang w:val="en-US"/>
        </w:rPr>
      </w:pPr>
      <w:r w:rsidRPr="0035165B">
        <w:rPr>
          <w:rFonts w:ascii="Times New Roman" w:hAnsi="Times New Roman"/>
          <w:sz w:val="22"/>
          <w:szCs w:val="22"/>
          <w:lang w:val="en-US"/>
        </w:rPr>
        <w:t>The GPW retains the same number of targets per branch/ budget programme as in 2021/22 but these targets have shifted around as follows. An issue that pertains to all targets is that only Estimated Performance is given for the year 2021/22, unlike in previous Annual Performance Plans where the last 2 years of actual performance are given as a baseline for current targets. This is due to the late submission of the GPW annual report which is due to be tabled in May (8 Months late). The question is whether there is sense in updating the APP on the previous years achieved targets and when it is that the final annual will be available.</w:t>
      </w:r>
    </w:p>
    <w:p w14:paraId="1C8BFA73" w14:textId="77777777" w:rsidR="00E7201F" w:rsidRPr="0035165B" w:rsidRDefault="00E7201F" w:rsidP="00E7201F">
      <w:pPr>
        <w:jc w:val="both"/>
        <w:rPr>
          <w:rFonts w:ascii="Times New Roman" w:hAnsi="Times New Roman"/>
          <w:b/>
          <w:sz w:val="22"/>
          <w:szCs w:val="22"/>
          <w:lang w:val="en-US"/>
        </w:rPr>
      </w:pPr>
    </w:p>
    <w:p w14:paraId="35F78822" w14:textId="114198B4" w:rsidR="00E7201F" w:rsidRPr="0035165B" w:rsidRDefault="00E7201F" w:rsidP="00E7201F">
      <w:pPr>
        <w:jc w:val="both"/>
        <w:rPr>
          <w:rFonts w:ascii="Times New Roman" w:hAnsi="Times New Roman"/>
          <w:sz w:val="22"/>
          <w:szCs w:val="22"/>
          <w:lang w:val="en-US"/>
        </w:rPr>
      </w:pPr>
      <w:r w:rsidRPr="0035165B">
        <w:rPr>
          <w:rFonts w:ascii="Times New Roman" w:hAnsi="Times New Roman"/>
          <w:b/>
          <w:sz w:val="22"/>
          <w:szCs w:val="22"/>
          <w:lang w:val="en-US"/>
        </w:rPr>
        <w:t>Branch 1 Office of the CEO (3 performance targets)</w:t>
      </w:r>
      <w:r w:rsidRPr="0035165B">
        <w:rPr>
          <w:rFonts w:ascii="Times New Roman" w:hAnsi="Times New Roman"/>
          <w:sz w:val="22"/>
          <w:szCs w:val="22"/>
          <w:lang w:val="en-US"/>
        </w:rPr>
        <w:t xml:space="preserve">: The CEO is the Accounting Officer for GPW, responsible for strategic direction and the overall effective, efficient and compliant functioning of the organisation. Both the Information Communications Technology (ICT) as a business enabler, and Internal Audit as an independent assurance provider that assists management to achieve their strategic objectives reside within the office of the CEO. </w:t>
      </w:r>
    </w:p>
    <w:p w14:paraId="742E3E50" w14:textId="77777777" w:rsidR="00E7201F" w:rsidRPr="0035165B" w:rsidRDefault="00E7201F" w:rsidP="00CB4303">
      <w:pPr>
        <w:pStyle w:val="ListParagraph"/>
        <w:numPr>
          <w:ilvl w:val="0"/>
          <w:numId w:val="20"/>
        </w:numPr>
        <w:suppressAutoHyphens w:val="0"/>
        <w:autoSpaceDN/>
        <w:spacing w:after="160" w:line="256" w:lineRule="auto"/>
        <w:ind w:left="426"/>
        <w:contextualSpacing/>
        <w:jc w:val="both"/>
        <w:textAlignment w:val="auto"/>
        <w:rPr>
          <w:rFonts w:ascii="Times New Roman" w:hAnsi="Times New Roman"/>
          <w:sz w:val="22"/>
          <w:szCs w:val="22"/>
          <w:lang w:val="en-GB"/>
        </w:rPr>
      </w:pPr>
      <w:r w:rsidRPr="0035165B">
        <w:rPr>
          <w:rFonts w:ascii="Times New Roman" w:hAnsi="Times New Roman"/>
          <w:sz w:val="22"/>
          <w:szCs w:val="22"/>
          <w:lang w:val="en-US"/>
        </w:rPr>
        <w:t>The 2021 target of “</w:t>
      </w:r>
      <w:r w:rsidRPr="0035165B">
        <w:rPr>
          <w:rFonts w:ascii="Times New Roman" w:hAnsi="Times New Roman"/>
          <w:sz w:val="22"/>
          <w:szCs w:val="22"/>
          <w:lang w:val="en-GB"/>
        </w:rPr>
        <w:t>Effective and efficient internal corporate governance to enable organisational performance” relating to internal audit has changed its wording to “Independent and objective assurance and consulting services provided.” It is not clear how internal auditing related to consultants.</w:t>
      </w:r>
    </w:p>
    <w:p w14:paraId="2D198B95" w14:textId="5A02AB17" w:rsidR="00E7201F" w:rsidRPr="0035165B" w:rsidRDefault="00E7201F" w:rsidP="00CB4303">
      <w:pPr>
        <w:pStyle w:val="ListParagraph"/>
        <w:numPr>
          <w:ilvl w:val="0"/>
          <w:numId w:val="20"/>
        </w:numPr>
        <w:suppressAutoHyphens w:val="0"/>
        <w:autoSpaceDN/>
        <w:spacing w:after="160" w:line="256" w:lineRule="auto"/>
        <w:ind w:left="426"/>
        <w:contextualSpacing/>
        <w:jc w:val="both"/>
        <w:textAlignment w:val="auto"/>
        <w:rPr>
          <w:rFonts w:ascii="Times New Roman" w:hAnsi="Times New Roman"/>
          <w:sz w:val="22"/>
          <w:szCs w:val="22"/>
          <w:lang w:val="en-GB"/>
        </w:rPr>
      </w:pPr>
      <w:r w:rsidRPr="0035165B">
        <w:rPr>
          <w:rFonts w:ascii="Times New Roman" w:hAnsi="Times New Roman"/>
          <w:sz w:val="22"/>
          <w:szCs w:val="22"/>
          <w:lang w:val="en-GB"/>
        </w:rPr>
        <w:t>Another issue in this branch is that “ICT server uptime availability maintained” is set the target of 95.5% up time whereas achievement has been 98 and 99% in the last two years. It appears as if the target has been set too low and it not clear why.</w:t>
      </w:r>
    </w:p>
    <w:p w14:paraId="480CAB2B" w14:textId="77777777" w:rsidR="00E7201F" w:rsidRPr="0035165B" w:rsidRDefault="00E7201F" w:rsidP="00CB4303">
      <w:pPr>
        <w:pStyle w:val="ListParagraph"/>
        <w:numPr>
          <w:ilvl w:val="0"/>
          <w:numId w:val="20"/>
        </w:numPr>
        <w:suppressAutoHyphens w:val="0"/>
        <w:autoSpaceDN/>
        <w:spacing w:after="160" w:line="256" w:lineRule="auto"/>
        <w:ind w:left="426"/>
        <w:contextualSpacing/>
        <w:jc w:val="both"/>
        <w:textAlignment w:val="auto"/>
        <w:rPr>
          <w:rFonts w:ascii="Times New Roman" w:hAnsi="Times New Roman"/>
          <w:sz w:val="22"/>
          <w:szCs w:val="22"/>
          <w:lang w:val="en-GB"/>
        </w:rPr>
      </w:pPr>
      <w:r w:rsidRPr="0035165B">
        <w:rPr>
          <w:rFonts w:ascii="Times New Roman" w:hAnsi="Times New Roman"/>
          <w:sz w:val="22"/>
          <w:szCs w:val="22"/>
          <w:lang w:val="en-GB"/>
        </w:rPr>
        <w:t>The question here is also if the investigations involving the CEO have impacted on the planning, performance and monitoring of targets in the organisation.</w:t>
      </w:r>
    </w:p>
    <w:p w14:paraId="290F7ADF" w14:textId="0200014B" w:rsidR="00E7201F" w:rsidRPr="0035165B" w:rsidRDefault="00E7201F" w:rsidP="00E7201F">
      <w:pPr>
        <w:jc w:val="both"/>
        <w:rPr>
          <w:rFonts w:ascii="Times New Roman" w:hAnsi="Times New Roman"/>
          <w:sz w:val="22"/>
          <w:szCs w:val="22"/>
          <w:lang w:val="en-GB"/>
        </w:rPr>
      </w:pPr>
      <w:r w:rsidRPr="0035165B">
        <w:rPr>
          <w:rFonts w:ascii="Times New Roman" w:hAnsi="Times New Roman"/>
          <w:b/>
          <w:sz w:val="22"/>
          <w:szCs w:val="22"/>
          <w:lang w:val="en-GB"/>
        </w:rPr>
        <w:t xml:space="preserve">Branch 2 Operations and Production (5 </w:t>
      </w:r>
      <w:r w:rsidRPr="0035165B">
        <w:rPr>
          <w:rFonts w:ascii="Times New Roman" w:hAnsi="Times New Roman"/>
          <w:b/>
          <w:sz w:val="22"/>
          <w:szCs w:val="22"/>
          <w:lang w:val="en-US"/>
        </w:rPr>
        <w:t>performance</w:t>
      </w:r>
      <w:r w:rsidRPr="0035165B">
        <w:rPr>
          <w:rFonts w:ascii="Times New Roman" w:hAnsi="Times New Roman"/>
          <w:b/>
          <w:sz w:val="22"/>
          <w:szCs w:val="22"/>
          <w:lang w:val="en-GB"/>
        </w:rPr>
        <w:t xml:space="preserve"> targets): </w:t>
      </w:r>
      <w:r w:rsidRPr="0035165B">
        <w:rPr>
          <w:rFonts w:ascii="Times New Roman" w:hAnsi="Times New Roman"/>
          <w:sz w:val="22"/>
          <w:szCs w:val="22"/>
          <w:lang w:val="en-GB"/>
        </w:rPr>
        <w:t xml:space="preserve">Conducts market, production and technology research and development; the management of production operations; planning and business development; the production of high security printed matter and related services; processing and publishing of the Government eGazette, ensuring that a healthy and safe working environment is provided and to maintain the GPW’s production equipment in a state of readiness. </w:t>
      </w:r>
    </w:p>
    <w:p w14:paraId="51E98637" w14:textId="34740F55" w:rsidR="00E7201F" w:rsidRPr="0035165B" w:rsidRDefault="00E7201F" w:rsidP="00CB4303">
      <w:pPr>
        <w:pStyle w:val="ListParagraph"/>
        <w:numPr>
          <w:ilvl w:val="0"/>
          <w:numId w:val="21"/>
        </w:numPr>
        <w:suppressAutoHyphens w:val="0"/>
        <w:autoSpaceDN/>
        <w:spacing w:after="160" w:line="256" w:lineRule="auto"/>
        <w:ind w:left="426"/>
        <w:contextualSpacing/>
        <w:jc w:val="both"/>
        <w:textAlignment w:val="auto"/>
        <w:rPr>
          <w:rFonts w:ascii="Times New Roman" w:hAnsi="Times New Roman"/>
          <w:sz w:val="22"/>
          <w:szCs w:val="22"/>
        </w:rPr>
      </w:pPr>
      <w:r w:rsidRPr="0035165B">
        <w:rPr>
          <w:rFonts w:ascii="Times New Roman" w:hAnsi="Times New Roman"/>
          <w:sz w:val="22"/>
          <w:szCs w:val="22"/>
          <w:lang w:val="en-GB"/>
        </w:rPr>
        <w:t>In contrast to the second bullet above the target “</w:t>
      </w:r>
      <w:r w:rsidRPr="0035165B">
        <w:rPr>
          <w:rFonts w:ascii="Times New Roman" w:hAnsi="Times New Roman"/>
          <w:sz w:val="22"/>
          <w:szCs w:val="22"/>
          <w:lang w:val="en-US"/>
        </w:rPr>
        <w:t>99% of High Security Certificates delivered that conform to client specifications” 98.7%.</w:t>
      </w:r>
    </w:p>
    <w:p w14:paraId="06CED795" w14:textId="4F2E96C3" w:rsidR="00E7201F" w:rsidRPr="0035165B" w:rsidRDefault="00E7201F" w:rsidP="00CB4303">
      <w:pPr>
        <w:pStyle w:val="ListParagraph"/>
        <w:numPr>
          <w:ilvl w:val="0"/>
          <w:numId w:val="21"/>
        </w:numPr>
        <w:suppressAutoHyphens w:val="0"/>
        <w:autoSpaceDN/>
        <w:spacing w:after="160" w:line="256" w:lineRule="auto"/>
        <w:ind w:left="426"/>
        <w:contextualSpacing/>
        <w:jc w:val="both"/>
        <w:textAlignment w:val="auto"/>
        <w:rPr>
          <w:rFonts w:ascii="Times New Roman" w:hAnsi="Times New Roman"/>
          <w:sz w:val="22"/>
          <w:szCs w:val="22"/>
          <w:lang w:val="en-US"/>
        </w:rPr>
      </w:pPr>
      <w:r w:rsidRPr="0035165B">
        <w:rPr>
          <w:rFonts w:ascii="Times New Roman" w:hAnsi="Times New Roman"/>
          <w:sz w:val="22"/>
          <w:szCs w:val="22"/>
          <w:lang w:val="en-US"/>
        </w:rPr>
        <w:t>The APP indicates that Customer engagement sessions will be put in place to ensure continuity of business with our customers, whilst ensuring that there is requisite human resources capacity, effective processes and requisite technology in place. To what extent is this possible given the government wide ceiling on cost of employment and the historical loss of technical skills from GPW to the private sector?</w:t>
      </w:r>
    </w:p>
    <w:p w14:paraId="48311C4F" w14:textId="1C85322E" w:rsidR="00E7201F" w:rsidRPr="0035165B" w:rsidRDefault="00E7201F" w:rsidP="00E7201F">
      <w:pPr>
        <w:jc w:val="both"/>
        <w:rPr>
          <w:rFonts w:ascii="Times New Roman" w:hAnsi="Times New Roman"/>
          <w:sz w:val="22"/>
          <w:szCs w:val="22"/>
          <w:lang w:val="en-US"/>
        </w:rPr>
      </w:pPr>
      <w:r w:rsidRPr="0035165B">
        <w:rPr>
          <w:rFonts w:ascii="Times New Roman" w:hAnsi="Times New Roman"/>
          <w:b/>
          <w:sz w:val="22"/>
          <w:szCs w:val="22"/>
          <w:lang w:val="en-US"/>
        </w:rPr>
        <w:t xml:space="preserve">Branch 3 Strategic Management (4 performance targets): </w:t>
      </w:r>
      <w:r w:rsidRPr="0035165B">
        <w:rPr>
          <w:rFonts w:ascii="Times New Roman" w:hAnsi="Times New Roman"/>
          <w:sz w:val="22"/>
          <w:szCs w:val="22"/>
          <w:lang w:val="en-US"/>
        </w:rPr>
        <w:t>The branch is responsible for providing support to strategic elements of GPW, facilitating the development, alignment and implementation of the Strategic Plans, Annual Performance Plans and Annual Operational Plans in accordance with applicable frameworks and related policies and</w:t>
      </w:r>
      <w:r w:rsidRPr="0035165B">
        <w:rPr>
          <w:rFonts w:ascii="Times New Roman" w:hAnsi="Times New Roman"/>
          <w:b/>
          <w:sz w:val="22"/>
          <w:szCs w:val="22"/>
          <w:lang w:val="en-US"/>
        </w:rPr>
        <w:t xml:space="preserve"> </w:t>
      </w:r>
      <w:r w:rsidRPr="0035165B">
        <w:rPr>
          <w:rFonts w:ascii="Times New Roman" w:hAnsi="Times New Roman"/>
          <w:sz w:val="22"/>
          <w:szCs w:val="22"/>
          <w:lang w:val="en-US"/>
        </w:rPr>
        <w:t>procedures, communications and marketing of the GPW’s products and services, the rendering of legal, security, compliance and risk management</w:t>
      </w:r>
      <w:r w:rsidRPr="0035165B">
        <w:rPr>
          <w:rFonts w:ascii="Times New Roman" w:hAnsi="Times New Roman"/>
          <w:b/>
          <w:sz w:val="22"/>
          <w:szCs w:val="22"/>
          <w:lang w:val="en-US"/>
        </w:rPr>
        <w:t xml:space="preserve"> </w:t>
      </w:r>
      <w:r w:rsidRPr="0035165B">
        <w:rPr>
          <w:rFonts w:ascii="Times New Roman" w:hAnsi="Times New Roman"/>
          <w:sz w:val="22"/>
          <w:szCs w:val="22"/>
          <w:lang w:val="en-US"/>
        </w:rPr>
        <w:t>services.</w:t>
      </w:r>
    </w:p>
    <w:p w14:paraId="1F17F0D9" w14:textId="3F3E9A6A" w:rsidR="00E7201F" w:rsidRPr="0035165B" w:rsidRDefault="00E7201F" w:rsidP="00CB4303">
      <w:pPr>
        <w:pStyle w:val="ListParagraph"/>
        <w:numPr>
          <w:ilvl w:val="0"/>
          <w:numId w:val="22"/>
        </w:numPr>
        <w:suppressAutoHyphens w:val="0"/>
        <w:autoSpaceDN/>
        <w:spacing w:after="160" w:line="256" w:lineRule="auto"/>
        <w:ind w:left="426"/>
        <w:contextualSpacing/>
        <w:jc w:val="both"/>
        <w:textAlignment w:val="auto"/>
        <w:rPr>
          <w:rFonts w:ascii="Times New Roman" w:hAnsi="Times New Roman"/>
          <w:b/>
          <w:sz w:val="22"/>
          <w:szCs w:val="22"/>
          <w:lang w:val="en-US"/>
        </w:rPr>
      </w:pPr>
      <w:r w:rsidRPr="0035165B">
        <w:rPr>
          <w:rFonts w:ascii="Times New Roman" w:hAnsi="Times New Roman"/>
          <w:sz w:val="22"/>
          <w:szCs w:val="22"/>
          <w:lang w:val="en-US"/>
        </w:rPr>
        <w:t xml:space="preserve">The Outcome “SADC countries informed of GPW product and service offerings”, stipulated the same annual target in the 3 medium term years of: “follow up engagements conducted with 8 potential customers </w:t>
      </w:r>
      <w:r w:rsidRPr="0035165B">
        <w:rPr>
          <w:rFonts w:ascii="Times New Roman" w:hAnsi="Times New Roman"/>
          <w:sz w:val="22"/>
          <w:szCs w:val="22"/>
          <w:lang w:val="en-US"/>
        </w:rPr>
        <w:lastRenderedPageBreak/>
        <w:t>in the SADC region” per year and 2 countries per quarter. There are only 16 countries in SADC; so what will be done once all of them are already followed up on in the third year and are there plans for the broader continent?</w:t>
      </w:r>
    </w:p>
    <w:p w14:paraId="747F68C1" w14:textId="0E46D3FF" w:rsidR="00E7201F" w:rsidRPr="0035165B" w:rsidRDefault="00E7201F" w:rsidP="00CB4303">
      <w:pPr>
        <w:pStyle w:val="ListParagraph"/>
        <w:numPr>
          <w:ilvl w:val="0"/>
          <w:numId w:val="22"/>
        </w:numPr>
        <w:suppressAutoHyphens w:val="0"/>
        <w:autoSpaceDN/>
        <w:spacing w:after="160" w:line="256" w:lineRule="auto"/>
        <w:ind w:left="426"/>
        <w:contextualSpacing/>
        <w:jc w:val="both"/>
        <w:textAlignment w:val="auto"/>
        <w:rPr>
          <w:rFonts w:ascii="Times New Roman" w:hAnsi="Times New Roman"/>
          <w:b/>
          <w:sz w:val="22"/>
          <w:szCs w:val="22"/>
          <w:lang w:val="en-US"/>
        </w:rPr>
      </w:pPr>
      <w:r w:rsidRPr="0035165B">
        <w:rPr>
          <w:rFonts w:ascii="Times New Roman" w:hAnsi="Times New Roman"/>
          <w:sz w:val="22"/>
          <w:szCs w:val="22"/>
          <w:lang w:val="en-US"/>
        </w:rPr>
        <w:t>What is in the business continuity management plan in the event of a disaster and how has this been used during the Pandemic?</w:t>
      </w:r>
    </w:p>
    <w:p w14:paraId="56E2AF98" w14:textId="445AABF7" w:rsidR="00E7201F" w:rsidRPr="0035165B" w:rsidRDefault="00E7201F" w:rsidP="00CB4303">
      <w:pPr>
        <w:pStyle w:val="ListParagraph"/>
        <w:numPr>
          <w:ilvl w:val="0"/>
          <w:numId w:val="22"/>
        </w:numPr>
        <w:suppressAutoHyphens w:val="0"/>
        <w:autoSpaceDN/>
        <w:spacing w:after="160" w:line="256" w:lineRule="auto"/>
        <w:ind w:left="426"/>
        <w:contextualSpacing/>
        <w:jc w:val="both"/>
        <w:textAlignment w:val="auto"/>
        <w:rPr>
          <w:rFonts w:ascii="Times New Roman" w:hAnsi="Times New Roman"/>
          <w:b/>
          <w:sz w:val="22"/>
          <w:szCs w:val="22"/>
          <w:lang w:val="en-US"/>
        </w:rPr>
      </w:pPr>
      <w:r w:rsidRPr="0035165B">
        <w:rPr>
          <w:rFonts w:ascii="Times New Roman" w:hAnsi="Times New Roman"/>
          <w:sz w:val="22"/>
          <w:szCs w:val="22"/>
          <w:lang w:val="en-US"/>
        </w:rPr>
        <w:t>The reviewed security model was due to be implemented in 2021/22, how did the crash of the IT system and its backup not get picked up by the security model?</w:t>
      </w:r>
    </w:p>
    <w:p w14:paraId="5177413F" w14:textId="071EB00A" w:rsidR="00E7201F" w:rsidRPr="0035165B" w:rsidRDefault="00E7201F" w:rsidP="00E7201F">
      <w:pPr>
        <w:jc w:val="both"/>
        <w:rPr>
          <w:rFonts w:ascii="Times New Roman" w:hAnsi="Times New Roman"/>
          <w:sz w:val="22"/>
          <w:szCs w:val="22"/>
          <w:lang w:val="en-US"/>
        </w:rPr>
      </w:pPr>
      <w:r w:rsidRPr="0035165B">
        <w:rPr>
          <w:rFonts w:ascii="Times New Roman" w:hAnsi="Times New Roman"/>
          <w:b/>
          <w:sz w:val="22"/>
          <w:szCs w:val="22"/>
          <w:lang w:val="en-US"/>
        </w:rPr>
        <w:t xml:space="preserve">Branch 4 Financial Services (4 performance targets): </w:t>
      </w:r>
      <w:r w:rsidRPr="0035165B">
        <w:rPr>
          <w:rFonts w:ascii="Times New Roman" w:hAnsi="Times New Roman"/>
          <w:sz w:val="22"/>
          <w:szCs w:val="22"/>
          <w:lang w:val="en-US"/>
        </w:rPr>
        <w:t>provides financial accounting services; the administering of costing and management accounting; the administering of the supply chain management process and the rendering of logistical support services Branch 5 Human Resource.</w:t>
      </w:r>
    </w:p>
    <w:p w14:paraId="670EDE5C" w14:textId="1C9BCE76" w:rsidR="00E7201F" w:rsidRPr="0035165B" w:rsidRDefault="00E7201F" w:rsidP="00CB4303">
      <w:pPr>
        <w:pStyle w:val="ListParagraph"/>
        <w:numPr>
          <w:ilvl w:val="0"/>
          <w:numId w:val="23"/>
        </w:numPr>
        <w:suppressAutoHyphens w:val="0"/>
        <w:autoSpaceDN/>
        <w:spacing w:after="160" w:line="256" w:lineRule="auto"/>
        <w:ind w:left="426"/>
        <w:contextualSpacing/>
        <w:jc w:val="both"/>
        <w:textAlignment w:val="auto"/>
        <w:rPr>
          <w:rFonts w:ascii="Times New Roman" w:hAnsi="Times New Roman"/>
          <w:sz w:val="22"/>
          <w:szCs w:val="22"/>
          <w:lang w:val="en-US"/>
        </w:rPr>
      </w:pPr>
      <w:r w:rsidRPr="0035165B">
        <w:rPr>
          <w:rFonts w:ascii="Times New Roman" w:hAnsi="Times New Roman"/>
          <w:sz w:val="22"/>
          <w:szCs w:val="22"/>
          <w:lang w:val="en-US"/>
        </w:rPr>
        <w:t xml:space="preserve">The output of “Quality financial and supply chain management services compliant with legislation and policies” is a </w:t>
      </w:r>
      <w:r w:rsidRPr="0035165B">
        <w:rPr>
          <w:rFonts w:ascii="Times New Roman" w:hAnsi="Times New Roman"/>
          <w:i/>
          <w:sz w:val="22"/>
          <w:szCs w:val="22"/>
          <w:lang w:val="en-US"/>
        </w:rPr>
        <w:t>Clean Audit report maintained</w:t>
      </w:r>
      <w:r w:rsidRPr="0035165B">
        <w:rPr>
          <w:rFonts w:ascii="Times New Roman" w:hAnsi="Times New Roman"/>
          <w:sz w:val="22"/>
          <w:szCs w:val="22"/>
          <w:lang w:val="en-US"/>
        </w:rPr>
        <w:t xml:space="preserve"> but the past achievement and target for the coming three years is an unqualified report.</w:t>
      </w:r>
    </w:p>
    <w:p w14:paraId="40754C68" w14:textId="5E8D2774" w:rsidR="00E7201F" w:rsidRPr="0035165B" w:rsidRDefault="00E7201F" w:rsidP="00CB4303">
      <w:pPr>
        <w:pStyle w:val="ListParagraph"/>
        <w:numPr>
          <w:ilvl w:val="0"/>
          <w:numId w:val="23"/>
        </w:numPr>
        <w:suppressAutoHyphens w:val="0"/>
        <w:autoSpaceDN/>
        <w:spacing w:after="160" w:line="256" w:lineRule="auto"/>
        <w:ind w:left="426"/>
        <w:contextualSpacing/>
        <w:jc w:val="both"/>
        <w:textAlignment w:val="auto"/>
        <w:rPr>
          <w:rFonts w:ascii="Times New Roman" w:hAnsi="Times New Roman"/>
          <w:sz w:val="22"/>
          <w:szCs w:val="22"/>
          <w:lang w:val="en-US"/>
        </w:rPr>
      </w:pPr>
      <w:r w:rsidRPr="0035165B">
        <w:rPr>
          <w:rFonts w:ascii="Times New Roman" w:hAnsi="Times New Roman"/>
          <w:sz w:val="22"/>
          <w:szCs w:val="22"/>
          <w:lang w:val="en-US"/>
        </w:rPr>
        <w:t xml:space="preserve">The output of a working capital ratio of 3 is higher </w:t>
      </w:r>
      <w:r w:rsidRPr="0035165B">
        <w:rPr>
          <w:rFonts w:ascii="Times New Roman" w:hAnsi="Times New Roman"/>
          <w:sz w:val="22"/>
          <w:szCs w:val="22"/>
        </w:rPr>
        <w:t xml:space="preserve">than the often recommended ratio of two current assets for every current liability. </w:t>
      </w:r>
      <w:r w:rsidRPr="0035165B">
        <w:rPr>
          <w:rFonts w:ascii="Times New Roman" w:hAnsi="Times New Roman"/>
          <w:sz w:val="22"/>
          <w:szCs w:val="22"/>
          <w:lang w:val="en-US"/>
        </w:rPr>
        <w:t>A substantially higher ratio can indicate not employing enough assets to generate maximum possible revenue.</w:t>
      </w:r>
    </w:p>
    <w:p w14:paraId="6F011B94" w14:textId="2AAC8761" w:rsidR="00E7201F" w:rsidRPr="0035165B" w:rsidRDefault="00E7201F" w:rsidP="00CB4303">
      <w:pPr>
        <w:pStyle w:val="ListParagraph"/>
        <w:numPr>
          <w:ilvl w:val="0"/>
          <w:numId w:val="23"/>
        </w:numPr>
        <w:suppressAutoHyphens w:val="0"/>
        <w:autoSpaceDN/>
        <w:spacing w:after="160" w:line="256" w:lineRule="auto"/>
        <w:ind w:left="426"/>
        <w:contextualSpacing/>
        <w:jc w:val="both"/>
        <w:textAlignment w:val="auto"/>
        <w:rPr>
          <w:rFonts w:ascii="Times New Roman" w:hAnsi="Times New Roman"/>
          <w:sz w:val="22"/>
          <w:szCs w:val="22"/>
          <w:lang w:val="en-US"/>
        </w:rPr>
      </w:pPr>
      <w:r w:rsidRPr="0035165B">
        <w:rPr>
          <w:rFonts w:ascii="Times New Roman" w:hAnsi="Times New Roman"/>
          <w:sz w:val="22"/>
          <w:szCs w:val="22"/>
          <w:lang w:val="en-US"/>
        </w:rPr>
        <w:t>The output of “Number of annual financial statements (AFS) and in year monitoring reports (IYM) compiled per year that comply with national treasury guidelines”, indicates N/A or not applicable for the 19/20 and 20/21 baseline years, when in fact this target was not achieved and was in fact 8 months or more behind schedule.</w:t>
      </w:r>
    </w:p>
    <w:p w14:paraId="188BE8E4" w14:textId="77777777" w:rsidR="00E7201F" w:rsidRPr="0035165B" w:rsidRDefault="00E7201F" w:rsidP="00E7201F">
      <w:pPr>
        <w:pStyle w:val="ListParagraph"/>
        <w:ind w:left="426"/>
        <w:jc w:val="both"/>
        <w:rPr>
          <w:rFonts w:ascii="Times New Roman" w:hAnsi="Times New Roman"/>
          <w:sz w:val="22"/>
          <w:szCs w:val="22"/>
          <w:lang w:val="en-US"/>
        </w:rPr>
      </w:pPr>
    </w:p>
    <w:p w14:paraId="4A722A80" w14:textId="2D144A35" w:rsidR="00E7201F" w:rsidRPr="0035165B" w:rsidRDefault="00E7201F" w:rsidP="00E7201F">
      <w:pPr>
        <w:jc w:val="both"/>
        <w:rPr>
          <w:rFonts w:ascii="Times New Roman" w:hAnsi="Times New Roman"/>
          <w:sz w:val="22"/>
          <w:szCs w:val="22"/>
          <w:lang w:val="en-US"/>
        </w:rPr>
      </w:pPr>
      <w:r w:rsidRPr="0035165B">
        <w:rPr>
          <w:rFonts w:ascii="Times New Roman" w:hAnsi="Times New Roman"/>
          <w:b/>
          <w:sz w:val="22"/>
          <w:szCs w:val="22"/>
          <w:lang w:val="en-US"/>
        </w:rPr>
        <w:t>Branch 5 Human resources (2 targets)</w:t>
      </w:r>
      <w:r w:rsidRPr="0035165B">
        <w:rPr>
          <w:rFonts w:ascii="Times New Roman" w:hAnsi="Times New Roman"/>
          <w:sz w:val="22"/>
          <w:szCs w:val="22"/>
          <w:lang w:val="en-US"/>
        </w:rPr>
        <w:t>: developing of human resource strategies and to ensure that GPW’s organisational structures are aligned to its Strategic Plan; the administration of human resources provisioning and conditions of service; to promote the development and utilisation of the GPW’s human resources; to support sound employee relations and the managing of employee health and wellness programmes.</w:t>
      </w:r>
    </w:p>
    <w:p w14:paraId="71A6ABA8" w14:textId="75DD96EA" w:rsidR="009A148A" w:rsidRPr="0035165B" w:rsidRDefault="00E7201F" w:rsidP="00CB4303">
      <w:pPr>
        <w:pStyle w:val="ListParagraph"/>
        <w:numPr>
          <w:ilvl w:val="0"/>
          <w:numId w:val="24"/>
        </w:numPr>
        <w:suppressAutoHyphens w:val="0"/>
        <w:autoSpaceDN/>
        <w:spacing w:after="160" w:line="256" w:lineRule="auto"/>
        <w:ind w:left="426"/>
        <w:contextualSpacing/>
        <w:jc w:val="both"/>
        <w:textAlignment w:val="auto"/>
        <w:rPr>
          <w:rFonts w:ascii="Times New Roman" w:hAnsi="Times New Roman"/>
          <w:sz w:val="22"/>
          <w:szCs w:val="22"/>
        </w:rPr>
      </w:pPr>
      <w:r w:rsidRPr="0035165B">
        <w:rPr>
          <w:rFonts w:ascii="Times New Roman" w:hAnsi="Times New Roman"/>
          <w:sz w:val="22"/>
          <w:szCs w:val="22"/>
          <w:lang w:val="en-US"/>
        </w:rPr>
        <w:t>The output of “developing capacity for service delivery” has as its 2022 target “60% of total workforce trained as per critical WSP identified priorities”. It is not indicated in the Annual Performance what WSP stands for or what it includes.</w:t>
      </w:r>
    </w:p>
    <w:p w14:paraId="5D463568" w14:textId="10BDE112" w:rsidR="00B940B1" w:rsidRPr="0035165B" w:rsidRDefault="000268E8" w:rsidP="0098397E">
      <w:pPr>
        <w:pStyle w:val="Heading1"/>
        <w:spacing w:line="276" w:lineRule="auto"/>
        <w:ind w:right="142"/>
        <w:rPr>
          <w:rFonts w:cs="Times New Roman"/>
          <w:caps w:val="0"/>
          <w:sz w:val="22"/>
          <w:szCs w:val="22"/>
        </w:rPr>
      </w:pPr>
      <w:bookmarkStart w:id="34" w:name="_Toc71542451"/>
      <w:r w:rsidRPr="0035165B">
        <w:rPr>
          <w:rFonts w:cs="Times New Roman"/>
          <w:caps w:val="0"/>
          <w:sz w:val="22"/>
          <w:szCs w:val="22"/>
        </w:rPr>
        <w:t>3.</w:t>
      </w:r>
      <w:r w:rsidR="0023034C" w:rsidRPr="0035165B">
        <w:rPr>
          <w:rFonts w:cs="Times New Roman"/>
          <w:caps w:val="0"/>
          <w:sz w:val="22"/>
          <w:szCs w:val="22"/>
        </w:rPr>
        <w:t>3</w:t>
      </w:r>
      <w:r w:rsidRPr="0035165B">
        <w:rPr>
          <w:rFonts w:cs="Times New Roman"/>
          <w:caps w:val="0"/>
          <w:sz w:val="22"/>
          <w:szCs w:val="22"/>
        </w:rPr>
        <w:t xml:space="preserve"> Key Strategic Projects</w:t>
      </w:r>
      <w:bookmarkEnd w:id="34"/>
    </w:p>
    <w:p w14:paraId="11229B52" w14:textId="7246FCC5" w:rsidR="00D661D1" w:rsidRPr="0035165B" w:rsidRDefault="00D661D1" w:rsidP="00D661D1">
      <w:pPr>
        <w:rPr>
          <w:rFonts w:ascii="Times New Roman" w:hAnsi="Times New Roman"/>
          <w:sz w:val="22"/>
          <w:szCs w:val="22"/>
        </w:rPr>
      </w:pPr>
      <w:r w:rsidRPr="0035165B">
        <w:rPr>
          <w:rFonts w:ascii="Times New Roman" w:hAnsi="Times New Roman"/>
          <w:sz w:val="22"/>
          <w:szCs w:val="22"/>
          <w:lang w:val="en-US"/>
        </w:rPr>
        <w:t>GPW has continued to have engagements with targeted SADC countries to introduce its capabilities for security printing, and traction is being achieved in this regard.</w:t>
      </w:r>
    </w:p>
    <w:p w14:paraId="77AD419F" w14:textId="528EF2C5" w:rsidR="00D661D1" w:rsidRPr="0035165B" w:rsidRDefault="00D661D1" w:rsidP="00D661D1">
      <w:pPr>
        <w:rPr>
          <w:rFonts w:ascii="Times New Roman" w:hAnsi="Times New Roman"/>
          <w:sz w:val="22"/>
          <w:szCs w:val="22"/>
        </w:rPr>
      </w:pPr>
      <w:r w:rsidRPr="0035165B">
        <w:rPr>
          <w:rFonts w:ascii="Times New Roman" w:hAnsi="Times New Roman"/>
          <w:sz w:val="22"/>
          <w:szCs w:val="22"/>
          <w:lang w:val="en-US"/>
        </w:rPr>
        <w:t>The countries that have been engaged thus far include the following:</w:t>
      </w:r>
    </w:p>
    <w:p w14:paraId="4CBB70BD" w14:textId="77777777" w:rsidR="00F00404" w:rsidRPr="0035165B" w:rsidRDefault="00F00404" w:rsidP="00CB4303">
      <w:pPr>
        <w:numPr>
          <w:ilvl w:val="0"/>
          <w:numId w:val="17"/>
        </w:numPr>
        <w:tabs>
          <w:tab w:val="clear" w:pos="720"/>
        </w:tabs>
        <w:ind w:left="426"/>
        <w:rPr>
          <w:rFonts w:ascii="Times New Roman" w:hAnsi="Times New Roman"/>
          <w:sz w:val="22"/>
          <w:szCs w:val="22"/>
        </w:rPr>
      </w:pPr>
      <w:r w:rsidRPr="0035165B">
        <w:rPr>
          <w:rFonts w:ascii="Times New Roman" w:hAnsi="Times New Roman"/>
          <w:sz w:val="22"/>
          <w:szCs w:val="22"/>
          <w:lang w:val="en-US"/>
        </w:rPr>
        <w:t>Swaziland</w:t>
      </w:r>
    </w:p>
    <w:p w14:paraId="4DE0E5CA" w14:textId="15A4F04C" w:rsidR="00F00404" w:rsidRPr="0035165B" w:rsidRDefault="00F00404" w:rsidP="00CB4303">
      <w:pPr>
        <w:numPr>
          <w:ilvl w:val="0"/>
          <w:numId w:val="17"/>
        </w:numPr>
        <w:tabs>
          <w:tab w:val="clear" w:pos="720"/>
        </w:tabs>
        <w:ind w:left="426"/>
        <w:rPr>
          <w:rFonts w:ascii="Times New Roman" w:hAnsi="Times New Roman"/>
          <w:sz w:val="22"/>
          <w:szCs w:val="22"/>
        </w:rPr>
      </w:pPr>
      <w:r w:rsidRPr="0035165B">
        <w:rPr>
          <w:rFonts w:ascii="Times New Roman" w:hAnsi="Times New Roman"/>
          <w:sz w:val="22"/>
          <w:szCs w:val="22"/>
          <w:lang w:val="en-US"/>
        </w:rPr>
        <w:t>Botswana</w:t>
      </w:r>
    </w:p>
    <w:p w14:paraId="47DC5C23" w14:textId="77777777" w:rsidR="00F00404" w:rsidRPr="0035165B" w:rsidRDefault="00F00404" w:rsidP="00CB4303">
      <w:pPr>
        <w:numPr>
          <w:ilvl w:val="0"/>
          <w:numId w:val="17"/>
        </w:numPr>
        <w:tabs>
          <w:tab w:val="clear" w:pos="720"/>
        </w:tabs>
        <w:ind w:left="426"/>
        <w:rPr>
          <w:rFonts w:ascii="Times New Roman" w:hAnsi="Times New Roman"/>
          <w:sz w:val="22"/>
          <w:szCs w:val="22"/>
        </w:rPr>
      </w:pPr>
      <w:r w:rsidRPr="0035165B">
        <w:rPr>
          <w:rFonts w:ascii="Times New Roman" w:hAnsi="Times New Roman"/>
          <w:sz w:val="22"/>
          <w:szCs w:val="22"/>
          <w:lang w:val="en-US"/>
        </w:rPr>
        <w:t>Lesotho</w:t>
      </w:r>
    </w:p>
    <w:p w14:paraId="6BC777D0" w14:textId="77777777" w:rsidR="00F00404" w:rsidRPr="0035165B" w:rsidRDefault="00F00404" w:rsidP="00CB4303">
      <w:pPr>
        <w:numPr>
          <w:ilvl w:val="0"/>
          <w:numId w:val="17"/>
        </w:numPr>
        <w:tabs>
          <w:tab w:val="clear" w:pos="720"/>
        </w:tabs>
        <w:ind w:left="426"/>
        <w:rPr>
          <w:rFonts w:ascii="Times New Roman" w:hAnsi="Times New Roman"/>
          <w:sz w:val="22"/>
          <w:szCs w:val="22"/>
        </w:rPr>
      </w:pPr>
      <w:r w:rsidRPr="0035165B">
        <w:rPr>
          <w:rFonts w:ascii="Times New Roman" w:hAnsi="Times New Roman"/>
          <w:sz w:val="22"/>
          <w:szCs w:val="22"/>
          <w:lang w:val="en-US"/>
        </w:rPr>
        <w:t>Zambia</w:t>
      </w:r>
    </w:p>
    <w:p w14:paraId="5E4C633E" w14:textId="77777777" w:rsidR="00F00404" w:rsidRPr="0035165B" w:rsidRDefault="00F00404" w:rsidP="00CB4303">
      <w:pPr>
        <w:numPr>
          <w:ilvl w:val="0"/>
          <w:numId w:val="17"/>
        </w:numPr>
        <w:tabs>
          <w:tab w:val="clear" w:pos="720"/>
        </w:tabs>
        <w:ind w:left="426"/>
        <w:rPr>
          <w:rFonts w:ascii="Times New Roman" w:hAnsi="Times New Roman"/>
          <w:sz w:val="22"/>
          <w:szCs w:val="22"/>
        </w:rPr>
      </w:pPr>
      <w:r w:rsidRPr="0035165B">
        <w:rPr>
          <w:rFonts w:ascii="Times New Roman" w:hAnsi="Times New Roman"/>
          <w:sz w:val="22"/>
          <w:szCs w:val="22"/>
          <w:lang w:val="en-US"/>
        </w:rPr>
        <w:t>Malawi</w:t>
      </w:r>
    </w:p>
    <w:p w14:paraId="338824F4" w14:textId="5D0645B1" w:rsidR="00F00404" w:rsidRPr="0035165B" w:rsidRDefault="00F00404" w:rsidP="00CB4303">
      <w:pPr>
        <w:numPr>
          <w:ilvl w:val="0"/>
          <w:numId w:val="17"/>
        </w:numPr>
        <w:tabs>
          <w:tab w:val="clear" w:pos="720"/>
        </w:tabs>
        <w:ind w:left="426"/>
        <w:rPr>
          <w:rFonts w:ascii="Times New Roman" w:hAnsi="Times New Roman"/>
          <w:sz w:val="22"/>
          <w:szCs w:val="22"/>
        </w:rPr>
      </w:pPr>
      <w:r w:rsidRPr="0035165B">
        <w:rPr>
          <w:rFonts w:ascii="Times New Roman" w:hAnsi="Times New Roman"/>
          <w:sz w:val="22"/>
          <w:szCs w:val="22"/>
          <w:lang w:val="en-US"/>
        </w:rPr>
        <w:t>DRC</w:t>
      </w:r>
    </w:p>
    <w:p w14:paraId="08FE7FE8" w14:textId="77777777" w:rsidR="00F00404" w:rsidRPr="0035165B" w:rsidRDefault="00F00404" w:rsidP="00CB4303">
      <w:pPr>
        <w:numPr>
          <w:ilvl w:val="0"/>
          <w:numId w:val="17"/>
        </w:numPr>
        <w:tabs>
          <w:tab w:val="clear" w:pos="720"/>
        </w:tabs>
        <w:ind w:left="426"/>
        <w:rPr>
          <w:rFonts w:ascii="Times New Roman" w:hAnsi="Times New Roman"/>
          <w:sz w:val="22"/>
          <w:szCs w:val="22"/>
        </w:rPr>
      </w:pPr>
      <w:r w:rsidRPr="0035165B">
        <w:rPr>
          <w:rFonts w:ascii="Times New Roman" w:hAnsi="Times New Roman"/>
          <w:sz w:val="22"/>
          <w:szCs w:val="22"/>
          <w:lang w:val="en-US"/>
        </w:rPr>
        <w:t>Kenya</w:t>
      </w:r>
    </w:p>
    <w:p w14:paraId="267DA3E6" w14:textId="4DFA6319" w:rsidR="00F00404" w:rsidRPr="0035165B" w:rsidRDefault="00F00404" w:rsidP="00CB4303">
      <w:pPr>
        <w:numPr>
          <w:ilvl w:val="0"/>
          <w:numId w:val="17"/>
        </w:numPr>
        <w:tabs>
          <w:tab w:val="clear" w:pos="720"/>
        </w:tabs>
        <w:ind w:left="426"/>
        <w:rPr>
          <w:rFonts w:ascii="Times New Roman" w:hAnsi="Times New Roman"/>
          <w:sz w:val="22"/>
          <w:szCs w:val="22"/>
        </w:rPr>
      </w:pPr>
      <w:r w:rsidRPr="0035165B">
        <w:rPr>
          <w:rFonts w:ascii="Times New Roman" w:hAnsi="Times New Roman"/>
          <w:sz w:val="22"/>
          <w:szCs w:val="22"/>
          <w:lang w:val="en-US"/>
        </w:rPr>
        <w:t>Zimbabwe</w:t>
      </w:r>
    </w:p>
    <w:p w14:paraId="19B899E4" w14:textId="77777777" w:rsidR="00100FF8" w:rsidRPr="0035165B" w:rsidRDefault="00100FF8" w:rsidP="0023034C">
      <w:pPr>
        <w:ind w:left="66"/>
        <w:rPr>
          <w:rFonts w:ascii="Times New Roman" w:hAnsi="Times New Roman"/>
          <w:sz w:val="22"/>
          <w:szCs w:val="22"/>
        </w:rPr>
      </w:pPr>
    </w:p>
    <w:p w14:paraId="650588EB" w14:textId="77777777" w:rsidR="00F00404" w:rsidRPr="00966A72" w:rsidRDefault="00F00404" w:rsidP="00D661D1">
      <w:pPr>
        <w:rPr>
          <w:rFonts w:ascii="Times New Roman" w:hAnsi="Times New Roman"/>
          <w:sz w:val="22"/>
          <w:szCs w:val="22"/>
        </w:rPr>
      </w:pPr>
      <w:r w:rsidRPr="00966A72">
        <w:rPr>
          <w:rFonts w:ascii="Times New Roman" w:hAnsi="Times New Roman"/>
          <w:sz w:val="22"/>
          <w:szCs w:val="22"/>
          <w:lang w:val="en-US"/>
        </w:rPr>
        <w:t>GPW has been engaged in the process of reviewing its organizational structure.</w:t>
      </w:r>
    </w:p>
    <w:p w14:paraId="20629516" w14:textId="77777777" w:rsidR="00F00404" w:rsidRPr="00966A72" w:rsidRDefault="00F00404" w:rsidP="00CB4303">
      <w:pPr>
        <w:numPr>
          <w:ilvl w:val="0"/>
          <w:numId w:val="17"/>
        </w:numPr>
        <w:tabs>
          <w:tab w:val="clear" w:pos="720"/>
          <w:tab w:val="num" w:pos="426"/>
        </w:tabs>
        <w:ind w:left="426" w:hanging="426"/>
        <w:rPr>
          <w:rFonts w:ascii="Times New Roman" w:hAnsi="Times New Roman"/>
          <w:sz w:val="22"/>
          <w:szCs w:val="22"/>
        </w:rPr>
      </w:pPr>
      <w:r w:rsidRPr="00966A72">
        <w:rPr>
          <w:rFonts w:ascii="Times New Roman" w:hAnsi="Times New Roman"/>
          <w:sz w:val="22"/>
          <w:szCs w:val="22"/>
          <w:lang w:val="en-US"/>
        </w:rPr>
        <w:t>Various consultative processes were followed amongst others, with the DPSA, GPW’s management and officials as well as organized labour.</w:t>
      </w:r>
    </w:p>
    <w:p w14:paraId="00FE2E2F" w14:textId="77777777" w:rsidR="00F00404" w:rsidRPr="00966A72" w:rsidRDefault="00F00404" w:rsidP="00CB4303">
      <w:pPr>
        <w:numPr>
          <w:ilvl w:val="0"/>
          <w:numId w:val="17"/>
        </w:numPr>
        <w:tabs>
          <w:tab w:val="clear" w:pos="720"/>
          <w:tab w:val="num" w:pos="426"/>
        </w:tabs>
        <w:ind w:left="426" w:hanging="426"/>
        <w:rPr>
          <w:rFonts w:ascii="Times New Roman" w:hAnsi="Times New Roman"/>
          <w:sz w:val="22"/>
          <w:szCs w:val="22"/>
        </w:rPr>
      </w:pPr>
      <w:r w:rsidRPr="00966A72">
        <w:rPr>
          <w:rFonts w:ascii="Times New Roman" w:hAnsi="Times New Roman"/>
          <w:sz w:val="22"/>
          <w:szCs w:val="22"/>
          <w:lang w:val="en-US"/>
        </w:rPr>
        <w:t>The Minister of Home Affairs approved the structure and the Minister of DPSA concurred with the revised structure with recommendations, the latter which were incorporated by GPW.</w:t>
      </w:r>
    </w:p>
    <w:p w14:paraId="323E759A" w14:textId="2CA5751E" w:rsidR="00F00404" w:rsidRPr="00966A72" w:rsidRDefault="00F00404" w:rsidP="00CB4303">
      <w:pPr>
        <w:numPr>
          <w:ilvl w:val="0"/>
          <w:numId w:val="17"/>
        </w:numPr>
        <w:tabs>
          <w:tab w:val="clear" w:pos="720"/>
          <w:tab w:val="num" w:pos="426"/>
        </w:tabs>
        <w:ind w:left="426" w:hanging="426"/>
        <w:rPr>
          <w:rFonts w:ascii="Times New Roman" w:hAnsi="Times New Roman"/>
          <w:sz w:val="22"/>
          <w:szCs w:val="22"/>
        </w:rPr>
      </w:pPr>
      <w:r w:rsidRPr="00966A72">
        <w:rPr>
          <w:rFonts w:ascii="Times New Roman" w:hAnsi="Times New Roman"/>
          <w:sz w:val="22"/>
          <w:szCs w:val="22"/>
          <w:lang w:val="en-US"/>
        </w:rPr>
        <w:t>The new structure bolsters GPW’s capacity in all areas particularly the core services, ICT and Finance, to support growth into being on par with new trends in the printing industry and investing in research and development.</w:t>
      </w:r>
    </w:p>
    <w:p w14:paraId="1375E473" w14:textId="77777777" w:rsidR="00D661D1" w:rsidRPr="00966A72" w:rsidRDefault="00D661D1" w:rsidP="00D661D1">
      <w:pPr>
        <w:rPr>
          <w:rFonts w:ascii="Times New Roman" w:hAnsi="Times New Roman"/>
          <w:sz w:val="22"/>
          <w:szCs w:val="22"/>
        </w:rPr>
      </w:pPr>
      <w:r w:rsidRPr="00966A72">
        <w:rPr>
          <w:rFonts w:ascii="Times New Roman" w:hAnsi="Times New Roman"/>
          <w:bCs/>
          <w:sz w:val="22"/>
          <w:szCs w:val="22"/>
          <w:lang w:val="en-US"/>
        </w:rPr>
        <w:t>Masterplan project:</w:t>
      </w:r>
    </w:p>
    <w:p w14:paraId="2CC9C38E" w14:textId="77777777" w:rsidR="00D661D1" w:rsidRPr="00966A72" w:rsidRDefault="00D661D1" w:rsidP="00CB4303">
      <w:pPr>
        <w:numPr>
          <w:ilvl w:val="0"/>
          <w:numId w:val="17"/>
        </w:numPr>
        <w:rPr>
          <w:rFonts w:ascii="Times New Roman" w:hAnsi="Times New Roman"/>
          <w:sz w:val="22"/>
          <w:szCs w:val="22"/>
        </w:rPr>
      </w:pPr>
      <w:r w:rsidRPr="00966A72">
        <w:rPr>
          <w:rFonts w:ascii="Times New Roman" w:hAnsi="Times New Roman"/>
          <w:sz w:val="22"/>
          <w:szCs w:val="22"/>
          <w:lang w:val="en-US"/>
        </w:rPr>
        <w:t>Memorandum of Agreement being finalised between DPWI and DBSA</w:t>
      </w:r>
    </w:p>
    <w:p w14:paraId="535FE5C4" w14:textId="77777777" w:rsidR="00D661D1" w:rsidRPr="00966A72" w:rsidRDefault="00D661D1" w:rsidP="00CB4303">
      <w:pPr>
        <w:numPr>
          <w:ilvl w:val="0"/>
          <w:numId w:val="17"/>
        </w:numPr>
        <w:rPr>
          <w:rFonts w:ascii="Times New Roman" w:hAnsi="Times New Roman"/>
          <w:sz w:val="22"/>
          <w:szCs w:val="22"/>
        </w:rPr>
      </w:pPr>
      <w:r w:rsidRPr="00966A72">
        <w:rPr>
          <w:rFonts w:ascii="Times New Roman" w:hAnsi="Times New Roman"/>
          <w:sz w:val="22"/>
          <w:szCs w:val="22"/>
          <w:lang w:val="en-US"/>
        </w:rPr>
        <w:t>Obtained a 3-year deviation from National Treasury to implement the project through the DBSA as an implementing agent</w:t>
      </w:r>
    </w:p>
    <w:p w14:paraId="20FE7F79" w14:textId="77777777" w:rsidR="00D661D1" w:rsidRPr="00966A72" w:rsidRDefault="00D661D1" w:rsidP="00CB4303">
      <w:pPr>
        <w:numPr>
          <w:ilvl w:val="0"/>
          <w:numId w:val="17"/>
        </w:numPr>
        <w:rPr>
          <w:rFonts w:ascii="Times New Roman" w:hAnsi="Times New Roman"/>
          <w:sz w:val="22"/>
          <w:szCs w:val="22"/>
        </w:rPr>
      </w:pPr>
      <w:r w:rsidRPr="00966A72">
        <w:rPr>
          <w:rFonts w:ascii="Times New Roman" w:hAnsi="Times New Roman"/>
          <w:sz w:val="22"/>
          <w:szCs w:val="22"/>
          <w:lang w:val="en-US"/>
        </w:rPr>
        <w:t>Engagements between GPW and the DBSA  underway to develop project plans and build project management capacity</w:t>
      </w:r>
    </w:p>
    <w:p w14:paraId="5E6D14AE" w14:textId="77777777" w:rsidR="00D661D1" w:rsidRPr="00966A72" w:rsidRDefault="00D661D1" w:rsidP="00D661D1">
      <w:pPr>
        <w:rPr>
          <w:rFonts w:ascii="Times New Roman" w:hAnsi="Times New Roman"/>
          <w:sz w:val="22"/>
          <w:szCs w:val="22"/>
        </w:rPr>
      </w:pPr>
      <w:r w:rsidRPr="00966A72">
        <w:rPr>
          <w:rFonts w:ascii="Times New Roman" w:hAnsi="Times New Roman"/>
          <w:bCs/>
          <w:sz w:val="22"/>
          <w:szCs w:val="22"/>
          <w:lang w:val="en-US"/>
        </w:rPr>
        <w:lastRenderedPageBreak/>
        <w:t>New Head Office</w:t>
      </w:r>
    </w:p>
    <w:p w14:paraId="19BF3B3E" w14:textId="77777777" w:rsidR="00D661D1" w:rsidRPr="0035165B" w:rsidRDefault="00D661D1" w:rsidP="00CB4303">
      <w:pPr>
        <w:numPr>
          <w:ilvl w:val="0"/>
          <w:numId w:val="17"/>
        </w:numPr>
        <w:rPr>
          <w:rFonts w:ascii="Times New Roman" w:hAnsi="Times New Roman"/>
          <w:sz w:val="22"/>
          <w:szCs w:val="22"/>
        </w:rPr>
      </w:pPr>
      <w:r w:rsidRPr="0035165B">
        <w:rPr>
          <w:rFonts w:ascii="Times New Roman" w:hAnsi="Times New Roman"/>
          <w:sz w:val="22"/>
          <w:szCs w:val="22"/>
          <w:lang w:val="en-US"/>
        </w:rPr>
        <w:t xml:space="preserve"> ABSA building- tender process underway. Approaching National Treasury to have DBSA as implementing agent. Facilities manager assisting GPW to facilitate migration to the new Head Office</w:t>
      </w:r>
    </w:p>
    <w:p w14:paraId="4F8936A7" w14:textId="5CD6765D" w:rsidR="00D661D1" w:rsidRPr="0035165B" w:rsidRDefault="00D661D1" w:rsidP="00D661D1">
      <w:pPr>
        <w:rPr>
          <w:rFonts w:ascii="Times New Roman" w:hAnsi="Times New Roman"/>
          <w:sz w:val="22"/>
          <w:szCs w:val="22"/>
        </w:rPr>
      </w:pPr>
    </w:p>
    <w:p w14:paraId="77E223C2" w14:textId="1CD256CA" w:rsidR="00832E72" w:rsidRPr="0035165B" w:rsidRDefault="00832E72" w:rsidP="0098397E">
      <w:pPr>
        <w:spacing w:line="276" w:lineRule="auto"/>
        <w:jc w:val="both"/>
        <w:rPr>
          <w:rFonts w:ascii="Times New Roman" w:hAnsi="Times New Roman"/>
          <w:b/>
          <w:bCs/>
          <w:sz w:val="22"/>
          <w:szCs w:val="22"/>
        </w:rPr>
      </w:pPr>
      <w:r w:rsidRPr="0035165B">
        <w:rPr>
          <w:rFonts w:ascii="Times New Roman" w:hAnsi="Times New Roman"/>
          <w:b/>
          <w:bCs/>
          <w:sz w:val="22"/>
          <w:szCs w:val="22"/>
        </w:rPr>
        <w:t>3.</w:t>
      </w:r>
      <w:r w:rsidR="0023034C" w:rsidRPr="0035165B">
        <w:rPr>
          <w:rFonts w:ascii="Times New Roman" w:hAnsi="Times New Roman"/>
          <w:b/>
          <w:bCs/>
          <w:sz w:val="22"/>
          <w:szCs w:val="22"/>
        </w:rPr>
        <w:t>4</w:t>
      </w:r>
      <w:r w:rsidRPr="0035165B">
        <w:rPr>
          <w:rFonts w:ascii="Times New Roman" w:hAnsi="Times New Roman"/>
          <w:b/>
          <w:bCs/>
          <w:sz w:val="22"/>
          <w:szCs w:val="22"/>
        </w:rPr>
        <w:t xml:space="preserve"> </w:t>
      </w:r>
      <w:r w:rsidR="009A148A" w:rsidRPr="0035165B">
        <w:rPr>
          <w:rFonts w:ascii="Times New Roman" w:hAnsi="Times New Roman"/>
          <w:b/>
          <w:bCs/>
          <w:sz w:val="22"/>
          <w:szCs w:val="22"/>
        </w:rPr>
        <w:t xml:space="preserve">Management of </w:t>
      </w:r>
      <w:r w:rsidR="00100FF8" w:rsidRPr="0035165B">
        <w:rPr>
          <w:rFonts w:ascii="Times New Roman" w:hAnsi="Times New Roman"/>
          <w:b/>
          <w:bCs/>
          <w:sz w:val="22"/>
          <w:szCs w:val="22"/>
        </w:rPr>
        <w:t xml:space="preserve">Audit and </w:t>
      </w:r>
      <w:r w:rsidR="009A148A" w:rsidRPr="0035165B">
        <w:rPr>
          <w:rFonts w:ascii="Times New Roman" w:hAnsi="Times New Roman"/>
          <w:b/>
          <w:bCs/>
          <w:sz w:val="22"/>
          <w:szCs w:val="22"/>
        </w:rPr>
        <w:t>Risk processes</w:t>
      </w:r>
    </w:p>
    <w:p w14:paraId="123DF55A" w14:textId="1A1F860A" w:rsidR="00100FF8" w:rsidRPr="0035165B" w:rsidRDefault="00100FF8" w:rsidP="0098397E">
      <w:pPr>
        <w:spacing w:line="276" w:lineRule="auto"/>
        <w:jc w:val="both"/>
        <w:rPr>
          <w:rFonts w:ascii="Times New Roman" w:hAnsi="Times New Roman"/>
          <w:b/>
          <w:bCs/>
          <w:sz w:val="22"/>
          <w:szCs w:val="22"/>
        </w:rPr>
      </w:pPr>
    </w:p>
    <w:p w14:paraId="1112CDA6" w14:textId="61C5161F" w:rsidR="00F00404" w:rsidRPr="0035165B" w:rsidRDefault="00F00404" w:rsidP="00100FF8">
      <w:pPr>
        <w:spacing w:line="276" w:lineRule="auto"/>
        <w:jc w:val="both"/>
        <w:rPr>
          <w:rFonts w:ascii="Times New Roman" w:hAnsi="Times New Roman"/>
          <w:bCs/>
          <w:sz w:val="22"/>
          <w:szCs w:val="22"/>
        </w:rPr>
      </w:pPr>
      <w:r w:rsidRPr="0035165B">
        <w:rPr>
          <w:rFonts w:ascii="Times New Roman" w:hAnsi="Times New Roman"/>
          <w:bCs/>
          <w:sz w:val="22"/>
          <w:szCs w:val="22"/>
          <w:lang w:val="en-US"/>
        </w:rPr>
        <w:t xml:space="preserve">GPW </w:t>
      </w:r>
      <w:r w:rsidR="00100FF8" w:rsidRPr="0035165B">
        <w:rPr>
          <w:rFonts w:ascii="Times New Roman" w:hAnsi="Times New Roman"/>
          <w:bCs/>
          <w:sz w:val="22"/>
          <w:szCs w:val="22"/>
          <w:lang w:val="en-US"/>
        </w:rPr>
        <w:t xml:space="preserve">has continuously put a </w:t>
      </w:r>
      <w:r w:rsidRPr="0035165B">
        <w:rPr>
          <w:rFonts w:ascii="Times New Roman" w:hAnsi="Times New Roman"/>
          <w:bCs/>
          <w:sz w:val="22"/>
          <w:szCs w:val="22"/>
          <w:lang w:val="en-US"/>
        </w:rPr>
        <w:t>concerted effort to address weaknesses within the internal control environment.</w:t>
      </w:r>
      <w:r w:rsidR="00100FF8" w:rsidRPr="0035165B">
        <w:rPr>
          <w:rFonts w:ascii="Times New Roman" w:hAnsi="Times New Roman"/>
          <w:bCs/>
          <w:sz w:val="22"/>
          <w:szCs w:val="22"/>
        </w:rPr>
        <w:t xml:space="preserve"> </w:t>
      </w:r>
      <w:r w:rsidRPr="0035165B">
        <w:rPr>
          <w:rFonts w:ascii="Times New Roman" w:hAnsi="Times New Roman"/>
          <w:bCs/>
          <w:sz w:val="22"/>
          <w:szCs w:val="22"/>
          <w:lang w:val="en-US"/>
        </w:rPr>
        <w:t xml:space="preserve">This has been done through the establishment of oversight structures to provide a system of combined assurance. </w:t>
      </w:r>
      <w:r w:rsidR="00100FF8" w:rsidRPr="0035165B">
        <w:rPr>
          <w:rFonts w:ascii="Times New Roman" w:hAnsi="Times New Roman"/>
          <w:bCs/>
          <w:sz w:val="22"/>
          <w:szCs w:val="22"/>
        </w:rPr>
        <w:t xml:space="preserve"> </w:t>
      </w:r>
      <w:r w:rsidRPr="0035165B">
        <w:rPr>
          <w:rFonts w:ascii="Times New Roman" w:hAnsi="Times New Roman"/>
          <w:bCs/>
          <w:sz w:val="22"/>
          <w:szCs w:val="22"/>
          <w:lang w:val="en-US"/>
        </w:rPr>
        <w:t>The Executive Committee has prioritized the implementation of the post audit matrix, to ensure that findings are addressed whilst simultaneously improving the control environment.</w:t>
      </w:r>
    </w:p>
    <w:p w14:paraId="5E313E54" w14:textId="77777777" w:rsidR="00100FF8" w:rsidRPr="0035165B" w:rsidRDefault="00100FF8" w:rsidP="00100FF8">
      <w:pPr>
        <w:spacing w:line="276" w:lineRule="auto"/>
        <w:jc w:val="both"/>
        <w:rPr>
          <w:rFonts w:ascii="Times New Roman" w:hAnsi="Times New Roman"/>
          <w:bCs/>
          <w:sz w:val="22"/>
          <w:szCs w:val="22"/>
          <w:lang w:val="en-US"/>
        </w:rPr>
      </w:pPr>
    </w:p>
    <w:p w14:paraId="19680E82" w14:textId="12017D51" w:rsidR="00F00404" w:rsidRPr="0035165B" w:rsidRDefault="00F00404" w:rsidP="00100FF8">
      <w:pPr>
        <w:spacing w:line="276" w:lineRule="auto"/>
        <w:jc w:val="both"/>
        <w:rPr>
          <w:rFonts w:ascii="Times New Roman" w:hAnsi="Times New Roman"/>
          <w:bCs/>
          <w:sz w:val="22"/>
          <w:szCs w:val="22"/>
        </w:rPr>
      </w:pPr>
      <w:r w:rsidRPr="0035165B">
        <w:rPr>
          <w:rFonts w:ascii="Times New Roman" w:hAnsi="Times New Roman"/>
          <w:bCs/>
          <w:sz w:val="22"/>
          <w:szCs w:val="22"/>
          <w:lang w:val="en-US"/>
        </w:rPr>
        <w:t xml:space="preserve">To date, a total of 80% of the audit findings that were raised both by the Auditor General of South Africa and GPW’s Internal Audit unit have been resolved by management. The remaining 20% are also being addressed </w:t>
      </w:r>
    </w:p>
    <w:p w14:paraId="4801435A" w14:textId="77777777" w:rsidR="00F00404" w:rsidRPr="0035165B" w:rsidRDefault="00F00404" w:rsidP="00100FF8">
      <w:pPr>
        <w:spacing w:line="276" w:lineRule="auto"/>
        <w:jc w:val="both"/>
        <w:rPr>
          <w:rFonts w:ascii="Times New Roman" w:hAnsi="Times New Roman"/>
          <w:bCs/>
          <w:sz w:val="22"/>
          <w:szCs w:val="22"/>
        </w:rPr>
      </w:pPr>
      <w:r w:rsidRPr="0035165B">
        <w:rPr>
          <w:rFonts w:ascii="Times New Roman" w:hAnsi="Times New Roman"/>
          <w:bCs/>
          <w:sz w:val="22"/>
          <w:szCs w:val="22"/>
          <w:lang w:val="en-US"/>
        </w:rPr>
        <w:t>Most findings were within the ICT and the Financial Services areas but much progress had been attained in their resolution.</w:t>
      </w:r>
    </w:p>
    <w:p w14:paraId="4665EED2" w14:textId="2DF404B8" w:rsidR="00100FF8" w:rsidRPr="0035165B" w:rsidRDefault="00100FF8" w:rsidP="0098397E">
      <w:pPr>
        <w:spacing w:line="276" w:lineRule="auto"/>
        <w:jc w:val="both"/>
        <w:rPr>
          <w:rFonts w:ascii="Times New Roman" w:hAnsi="Times New Roman"/>
          <w:b/>
          <w:bCs/>
          <w:sz w:val="22"/>
          <w:szCs w:val="22"/>
        </w:rPr>
      </w:pPr>
    </w:p>
    <w:tbl>
      <w:tblPr>
        <w:tblW w:w="10265" w:type="dxa"/>
        <w:tblCellMar>
          <w:left w:w="0" w:type="dxa"/>
          <w:right w:w="0" w:type="dxa"/>
        </w:tblCellMar>
        <w:tblLook w:val="0600" w:firstRow="0" w:lastRow="0" w:firstColumn="0" w:lastColumn="0" w:noHBand="1" w:noVBand="1"/>
      </w:tblPr>
      <w:tblGrid>
        <w:gridCol w:w="1473"/>
        <w:gridCol w:w="1067"/>
        <w:gridCol w:w="1266"/>
        <w:gridCol w:w="1266"/>
        <w:gridCol w:w="1478"/>
        <w:gridCol w:w="131"/>
        <w:gridCol w:w="1696"/>
        <w:gridCol w:w="1286"/>
        <w:gridCol w:w="602"/>
      </w:tblGrid>
      <w:tr w:rsidR="00100FF8" w:rsidRPr="0035165B" w14:paraId="2B3BEE1A" w14:textId="77777777" w:rsidTr="00100FF8">
        <w:trPr>
          <w:trHeight w:val="540"/>
        </w:trPr>
        <w:tc>
          <w:tcPr>
            <w:tcW w:w="149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0D07AE27" w14:textId="77777777"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Sections</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7AB0D220" w14:textId="77777777"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Resolved</w:t>
            </w:r>
          </w:p>
        </w:tc>
        <w:tc>
          <w:tcPr>
            <w:tcW w:w="10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6C7A0C29" w14:textId="77777777"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Outstanding</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21316886" w14:textId="77777777"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In progress</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7F83983E" w14:textId="77777777"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Total audit findings</w:t>
            </w:r>
          </w:p>
        </w:tc>
        <w:tc>
          <w:tcPr>
            <w:tcW w:w="135" w:type="dxa"/>
            <w:tcBorders>
              <w:top w:val="single" w:sz="6" w:space="0" w:color="FFFFFF"/>
              <w:left w:val="single" w:sz="8" w:space="0" w:color="000000"/>
              <w:bottom w:val="single" w:sz="6" w:space="0" w:color="FFFFFF"/>
              <w:right w:val="single" w:sz="8" w:space="0" w:color="000000"/>
            </w:tcBorders>
            <w:shd w:val="clear" w:color="auto" w:fill="auto"/>
            <w:tcMar>
              <w:top w:w="13" w:type="dxa"/>
              <w:left w:w="13" w:type="dxa"/>
              <w:bottom w:w="0" w:type="dxa"/>
              <w:right w:w="13" w:type="dxa"/>
            </w:tcMar>
            <w:hideMark/>
          </w:tcPr>
          <w:p w14:paraId="7674923C" w14:textId="77777777"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711AF09E" w14:textId="77777777"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 of findings resolved</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318DE219" w14:textId="448663C3"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 xml:space="preserve">% findings outstanding </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2B27A6EF" w14:textId="77777777" w:rsidR="00100FF8" w:rsidRPr="0035165B" w:rsidRDefault="00100FF8" w:rsidP="00100FF8">
            <w:pPr>
              <w:spacing w:line="276" w:lineRule="auto"/>
              <w:rPr>
                <w:rFonts w:ascii="Times New Roman" w:hAnsi="Times New Roman"/>
                <w:b/>
                <w:bCs/>
                <w:sz w:val="22"/>
                <w:szCs w:val="22"/>
              </w:rPr>
            </w:pPr>
            <w:r w:rsidRPr="0035165B">
              <w:rPr>
                <w:rFonts w:ascii="Times New Roman" w:hAnsi="Times New Roman"/>
                <w:b/>
                <w:bCs/>
                <w:sz w:val="22"/>
                <w:szCs w:val="22"/>
                <w:lang w:val="en-US"/>
              </w:rPr>
              <w:t>Total %</w:t>
            </w:r>
          </w:p>
        </w:tc>
      </w:tr>
      <w:tr w:rsidR="00100FF8" w:rsidRPr="0035165B" w14:paraId="07340A97" w14:textId="77777777" w:rsidTr="00100FF8">
        <w:trPr>
          <w:trHeight w:val="489"/>
        </w:trPr>
        <w:tc>
          <w:tcPr>
            <w:tcW w:w="1490" w:type="dxa"/>
            <w:tcBorders>
              <w:top w:val="single" w:sz="8" w:space="0" w:color="000000"/>
              <w:left w:val="single" w:sz="12"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352A15A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xml:space="preserve">Office of the CEO </w:t>
            </w:r>
          </w:p>
        </w:tc>
        <w:tc>
          <w:tcPr>
            <w:tcW w:w="1084" w:type="dxa"/>
            <w:tcBorders>
              <w:top w:val="single" w:sz="8" w:space="0" w:color="000000"/>
              <w:left w:val="single" w:sz="8"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2A8DF9C5"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4</w:t>
            </w:r>
          </w:p>
        </w:tc>
        <w:tc>
          <w:tcPr>
            <w:tcW w:w="1010" w:type="dxa"/>
            <w:tcBorders>
              <w:top w:val="single" w:sz="8" w:space="0" w:color="000000"/>
              <w:left w:val="single" w:sz="8"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23B3BA55"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309" w:type="dxa"/>
            <w:tcBorders>
              <w:top w:val="single" w:sz="8" w:space="0" w:color="000000"/>
              <w:left w:val="single" w:sz="8"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41001875"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550" w:type="dxa"/>
            <w:tcBorders>
              <w:top w:val="single" w:sz="8" w:space="0" w:color="000000"/>
              <w:left w:val="single" w:sz="8" w:space="0" w:color="000000"/>
              <w:bottom w:val="single" w:sz="8" w:space="0" w:color="000000"/>
              <w:right w:val="single" w:sz="12" w:space="0" w:color="000000"/>
            </w:tcBorders>
            <w:shd w:val="clear" w:color="auto" w:fill="9BC2E6"/>
            <w:tcMar>
              <w:top w:w="13" w:type="dxa"/>
              <w:left w:w="13" w:type="dxa"/>
              <w:bottom w:w="0" w:type="dxa"/>
              <w:right w:w="13" w:type="dxa"/>
            </w:tcMar>
            <w:vAlign w:val="bottom"/>
            <w:hideMark/>
          </w:tcPr>
          <w:p w14:paraId="3BB72894"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4</w:t>
            </w:r>
          </w:p>
        </w:tc>
        <w:tc>
          <w:tcPr>
            <w:tcW w:w="135" w:type="dxa"/>
            <w:tcBorders>
              <w:top w:val="single" w:sz="6" w:space="0" w:color="FFFFFF"/>
              <w:left w:val="single" w:sz="12" w:space="0" w:color="000000"/>
              <w:bottom w:val="single" w:sz="6" w:space="0" w:color="FFFFFF"/>
              <w:right w:val="single" w:sz="12" w:space="0" w:color="000000"/>
            </w:tcBorders>
            <w:shd w:val="clear" w:color="auto" w:fill="9BC2E6"/>
            <w:tcMar>
              <w:top w:w="13" w:type="dxa"/>
              <w:left w:w="13" w:type="dxa"/>
              <w:bottom w:w="0" w:type="dxa"/>
              <w:right w:w="13" w:type="dxa"/>
            </w:tcMar>
            <w:vAlign w:val="bottom"/>
            <w:hideMark/>
          </w:tcPr>
          <w:p w14:paraId="7C9C9B1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1EF5CB32"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c>
          <w:tcPr>
            <w:tcW w:w="1295" w:type="dxa"/>
            <w:tcBorders>
              <w:top w:val="single" w:sz="8" w:space="0" w:color="000000"/>
              <w:left w:val="single" w:sz="8"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568105EB"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602" w:type="dxa"/>
            <w:tcBorders>
              <w:top w:val="single" w:sz="8" w:space="0" w:color="000000"/>
              <w:left w:val="single" w:sz="8" w:space="0" w:color="000000"/>
              <w:bottom w:val="single" w:sz="8" w:space="0" w:color="000000"/>
              <w:right w:val="single" w:sz="12" w:space="0" w:color="000000"/>
            </w:tcBorders>
            <w:shd w:val="clear" w:color="auto" w:fill="9BC2E6"/>
            <w:tcMar>
              <w:top w:w="13" w:type="dxa"/>
              <w:left w:w="13" w:type="dxa"/>
              <w:bottom w:w="0" w:type="dxa"/>
              <w:right w:w="13" w:type="dxa"/>
            </w:tcMar>
            <w:vAlign w:val="bottom"/>
            <w:hideMark/>
          </w:tcPr>
          <w:p w14:paraId="2ECCF08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0BA93FAE" w14:textId="77777777" w:rsidTr="00100FF8">
        <w:trPr>
          <w:trHeight w:val="264"/>
        </w:trPr>
        <w:tc>
          <w:tcPr>
            <w:tcW w:w="1490" w:type="dxa"/>
            <w:tcBorders>
              <w:top w:val="single" w:sz="8" w:space="0" w:color="000000"/>
              <w:left w:val="single" w:sz="12"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72870863"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ICT</w:t>
            </w:r>
          </w:p>
        </w:tc>
        <w:tc>
          <w:tcPr>
            <w:tcW w:w="1084" w:type="dxa"/>
            <w:tcBorders>
              <w:top w:val="single" w:sz="8" w:space="0" w:color="000000"/>
              <w:left w:val="single" w:sz="8"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4159AD62"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137</w:t>
            </w:r>
          </w:p>
        </w:tc>
        <w:tc>
          <w:tcPr>
            <w:tcW w:w="1010" w:type="dxa"/>
            <w:tcBorders>
              <w:top w:val="single" w:sz="8" w:space="0" w:color="000000"/>
              <w:left w:val="single" w:sz="8"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285D665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15</w:t>
            </w:r>
          </w:p>
        </w:tc>
        <w:tc>
          <w:tcPr>
            <w:tcW w:w="1309" w:type="dxa"/>
            <w:tcBorders>
              <w:top w:val="single" w:sz="8" w:space="0" w:color="000000"/>
              <w:left w:val="single" w:sz="8"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222BD400"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11</w:t>
            </w:r>
          </w:p>
        </w:tc>
        <w:tc>
          <w:tcPr>
            <w:tcW w:w="1550" w:type="dxa"/>
            <w:tcBorders>
              <w:top w:val="single" w:sz="8" w:space="0" w:color="000000"/>
              <w:left w:val="single" w:sz="8" w:space="0" w:color="000000"/>
              <w:bottom w:val="single" w:sz="8" w:space="0" w:color="000000"/>
              <w:right w:val="single" w:sz="12" w:space="0" w:color="000000"/>
            </w:tcBorders>
            <w:shd w:val="clear" w:color="auto" w:fill="9BC2E6"/>
            <w:tcMar>
              <w:top w:w="13" w:type="dxa"/>
              <w:left w:w="13" w:type="dxa"/>
              <w:bottom w:w="0" w:type="dxa"/>
              <w:right w:w="13" w:type="dxa"/>
            </w:tcMar>
            <w:vAlign w:val="bottom"/>
            <w:hideMark/>
          </w:tcPr>
          <w:p w14:paraId="0670C6E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163</w:t>
            </w:r>
          </w:p>
        </w:tc>
        <w:tc>
          <w:tcPr>
            <w:tcW w:w="135" w:type="dxa"/>
            <w:tcBorders>
              <w:top w:val="single" w:sz="6" w:space="0" w:color="FFFFFF"/>
              <w:left w:val="single" w:sz="12" w:space="0" w:color="000000"/>
              <w:bottom w:val="single" w:sz="6" w:space="0" w:color="FFFFFF"/>
              <w:right w:val="single" w:sz="12" w:space="0" w:color="000000"/>
            </w:tcBorders>
            <w:shd w:val="clear" w:color="auto" w:fill="9BC2E6"/>
            <w:tcMar>
              <w:top w:w="13" w:type="dxa"/>
              <w:left w:w="13" w:type="dxa"/>
              <w:bottom w:w="0" w:type="dxa"/>
              <w:right w:w="13" w:type="dxa"/>
            </w:tcMar>
            <w:vAlign w:val="bottom"/>
            <w:hideMark/>
          </w:tcPr>
          <w:p w14:paraId="2F8BBA5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1E78E324"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84%</w:t>
            </w:r>
          </w:p>
        </w:tc>
        <w:tc>
          <w:tcPr>
            <w:tcW w:w="1295" w:type="dxa"/>
            <w:tcBorders>
              <w:top w:val="single" w:sz="8" w:space="0" w:color="000000"/>
              <w:left w:val="single" w:sz="8" w:space="0" w:color="000000"/>
              <w:bottom w:val="single" w:sz="8" w:space="0" w:color="000000"/>
              <w:right w:val="single" w:sz="8" w:space="0" w:color="000000"/>
            </w:tcBorders>
            <w:shd w:val="clear" w:color="auto" w:fill="9BC2E6"/>
            <w:tcMar>
              <w:top w:w="13" w:type="dxa"/>
              <w:left w:w="13" w:type="dxa"/>
              <w:bottom w:w="0" w:type="dxa"/>
              <w:right w:w="13" w:type="dxa"/>
            </w:tcMar>
            <w:vAlign w:val="bottom"/>
            <w:hideMark/>
          </w:tcPr>
          <w:p w14:paraId="1EAEAAC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16%</w:t>
            </w:r>
          </w:p>
        </w:tc>
        <w:tc>
          <w:tcPr>
            <w:tcW w:w="602" w:type="dxa"/>
            <w:tcBorders>
              <w:top w:val="single" w:sz="8" w:space="0" w:color="000000"/>
              <w:left w:val="single" w:sz="8" w:space="0" w:color="000000"/>
              <w:bottom w:val="single" w:sz="8" w:space="0" w:color="000000"/>
              <w:right w:val="single" w:sz="12" w:space="0" w:color="000000"/>
            </w:tcBorders>
            <w:shd w:val="clear" w:color="auto" w:fill="9BC2E6"/>
            <w:tcMar>
              <w:top w:w="13" w:type="dxa"/>
              <w:left w:w="13" w:type="dxa"/>
              <w:bottom w:w="0" w:type="dxa"/>
              <w:right w:w="13" w:type="dxa"/>
            </w:tcMar>
            <w:vAlign w:val="bottom"/>
            <w:hideMark/>
          </w:tcPr>
          <w:p w14:paraId="2DD97D50"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7F641468" w14:textId="77777777" w:rsidTr="00100FF8">
        <w:trPr>
          <w:trHeight w:val="264"/>
        </w:trPr>
        <w:tc>
          <w:tcPr>
            <w:tcW w:w="1490" w:type="dxa"/>
            <w:tcBorders>
              <w:top w:val="single" w:sz="8" w:space="0" w:color="000000"/>
              <w:left w:val="single" w:sz="12" w:space="0" w:color="000000"/>
              <w:bottom w:val="single" w:sz="8" w:space="0" w:color="000000"/>
              <w:right w:val="single" w:sz="8" w:space="0" w:color="000000"/>
            </w:tcBorders>
            <w:shd w:val="clear" w:color="auto" w:fill="F4B084"/>
            <w:tcMar>
              <w:top w:w="13" w:type="dxa"/>
              <w:left w:w="13" w:type="dxa"/>
              <w:bottom w:w="0" w:type="dxa"/>
              <w:right w:w="13" w:type="dxa"/>
            </w:tcMar>
            <w:vAlign w:val="bottom"/>
            <w:hideMark/>
          </w:tcPr>
          <w:p w14:paraId="76FCB2F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Ops &amp; Prod</w:t>
            </w:r>
          </w:p>
        </w:tc>
        <w:tc>
          <w:tcPr>
            <w:tcW w:w="1084" w:type="dxa"/>
            <w:tcBorders>
              <w:top w:val="single" w:sz="8" w:space="0" w:color="000000"/>
              <w:left w:val="single" w:sz="8" w:space="0" w:color="000000"/>
              <w:bottom w:val="single" w:sz="8" w:space="0" w:color="000000"/>
              <w:right w:val="single" w:sz="8" w:space="0" w:color="000000"/>
            </w:tcBorders>
            <w:shd w:val="clear" w:color="auto" w:fill="F4B084"/>
            <w:tcMar>
              <w:top w:w="13" w:type="dxa"/>
              <w:left w:w="13" w:type="dxa"/>
              <w:bottom w:w="0" w:type="dxa"/>
              <w:right w:w="13" w:type="dxa"/>
            </w:tcMar>
            <w:vAlign w:val="bottom"/>
            <w:hideMark/>
          </w:tcPr>
          <w:p w14:paraId="576B0692"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19</w:t>
            </w:r>
          </w:p>
        </w:tc>
        <w:tc>
          <w:tcPr>
            <w:tcW w:w="1010" w:type="dxa"/>
            <w:tcBorders>
              <w:top w:val="single" w:sz="8" w:space="0" w:color="000000"/>
              <w:left w:val="single" w:sz="8" w:space="0" w:color="000000"/>
              <w:bottom w:val="single" w:sz="8" w:space="0" w:color="000000"/>
              <w:right w:val="single" w:sz="8" w:space="0" w:color="000000"/>
            </w:tcBorders>
            <w:shd w:val="clear" w:color="auto" w:fill="F4B084"/>
            <w:tcMar>
              <w:top w:w="13" w:type="dxa"/>
              <w:left w:w="13" w:type="dxa"/>
              <w:bottom w:w="0" w:type="dxa"/>
              <w:right w:w="13" w:type="dxa"/>
            </w:tcMar>
            <w:vAlign w:val="bottom"/>
            <w:hideMark/>
          </w:tcPr>
          <w:p w14:paraId="3FE802A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309" w:type="dxa"/>
            <w:tcBorders>
              <w:top w:val="single" w:sz="8" w:space="0" w:color="000000"/>
              <w:left w:val="single" w:sz="8" w:space="0" w:color="000000"/>
              <w:bottom w:val="single" w:sz="8" w:space="0" w:color="000000"/>
              <w:right w:val="single" w:sz="8" w:space="0" w:color="000000"/>
            </w:tcBorders>
            <w:shd w:val="clear" w:color="auto" w:fill="F4B084"/>
            <w:tcMar>
              <w:top w:w="13" w:type="dxa"/>
              <w:left w:w="13" w:type="dxa"/>
              <w:bottom w:w="0" w:type="dxa"/>
              <w:right w:w="13" w:type="dxa"/>
            </w:tcMar>
            <w:vAlign w:val="bottom"/>
            <w:hideMark/>
          </w:tcPr>
          <w:p w14:paraId="42BAA4EC"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w:t>
            </w:r>
          </w:p>
        </w:tc>
        <w:tc>
          <w:tcPr>
            <w:tcW w:w="1550" w:type="dxa"/>
            <w:tcBorders>
              <w:top w:val="single" w:sz="8" w:space="0" w:color="000000"/>
              <w:left w:val="single" w:sz="8" w:space="0" w:color="000000"/>
              <w:bottom w:val="single" w:sz="8" w:space="0" w:color="000000"/>
              <w:right w:val="single" w:sz="12" w:space="0" w:color="000000"/>
            </w:tcBorders>
            <w:shd w:val="clear" w:color="auto" w:fill="F4B084"/>
            <w:tcMar>
              <w:top w:w="13" w:type="dxa"/>
              <w:left w:w="13" w:type="dxa"/>
              <w:bottom w:w="0" w:type="dxa"/>
              <w:right w:w="13" w:type="dxa"/>
            </w:tcMar>
            <w:vAlign w:val="bottom"/>
            <w:hideMark/>
          </w:tcPr>
          <w:p w14:paraId="0D55CCED"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20</w:t>
            </w:r>
          </w:p>
        </w:tc>
        <w:tc>
          <w:tcPr>
            <w:tcW w:w="135" w:type="dxa"/>
            <w:tcBorders>
              <w:top w:val="single" w:sz="6" w:space="0" w:color="FFFFFF"/>
              <w:left w:val="single" w:sz="12" w:space="0" w:color="000000"/>
              <w:bottom w:val="single" w:sz="6" w:space="0" w:color="FFFFFF"/>
              <w:right w:val="single" w:sz="12" w:space="0" w:color="000000"/>
            </w:tcBorders>
            <w:shd w:val="clear" w:color="auto" w:fill="F4B084"/>
            <w:tcMar>
              <w:top w:w="13" w:type="dxa"/>
              <w:left w:w="13" w:type="dxa"/>
              <w:bottom w:w="0" w:type="dxa"/>
              <w:right w:w="13" w:type="dxa"/>
            </w:tcMar>
            <w:vAlign w:val="bottom"/>
            <w:hideMark/>
          </w:tcPr>
          <w:p w14:paraId="2FA355BF"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F4B084"/>
            <w:tcMar>
              <w:top w:w="13" w:type="dxa"/>
              <w:left w:w="13" w:type="dxa"/>
              <w:bottom w:w="0" w:type="dxa"/>
              <w:right w:w="13" w:type="dxa"/>
            </w:tcMar>
            <w:vAlign w:val="bottom"/>
            <w:hideMark/>
          </w:tcPr>
          <w:p w14:paraId="281D5C53"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95%</w:t>
            </w:r>
          </w:p>
        </w:tc>
        <w:tc>
          <w:tcPr>
            <w:tcW w:w="1295" w:type="dxa"/>
            <w:tcBorders>
              <w:top w:val="single" w:sz="8" w:space="0" w:color="000000"/>
              <w:left w:val="single" w:sz="8" w:space="0" w:color="000000"/>
              <w:bottom w:val="single" w:sz="8" w:space="0" w:color="000000"/>
              <w:right w:val="single" w:sz="8" w:space="0" w:color="000000"/>
            </w:tcBorders>
            <w:shd w:val="clear" w:color="auto" w:fill="F4B084"/>
            <w:tcMar>
              <w:top w:w="13" w:type="dxa"/>
              <w:left w:w="13" w:type="dxa"/>
              <w:bottom w:w="0" w:type="dxa"/>
              <w:right w:w="13" w:type="dxa"/>
            </w:tcMar>
            <w:vAlign w:val="bottom"/>
            <w:hideMark/>
          </w:tcPr>
          <w:p w14:paraId="096BB120"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5%</w:t>
            </w:r>
          </w:p>
        </w:tc>
        <w:tc>
          <w:tcPr>
            <w:tcW w:w="602" w:type="dxa"/>
            <w:tcBorders>
              <w:top w:val="single" w:sz="8" w:space="0" w:color="000000"/>
              <w:left w:val="single" w:sz="8" w:space="0" w:color="000000"/>
              <w:bottom w:val="single" w:sz="8" w:space="0" w:color="000000"/>
              <w:right w:val="single" w:sz="12" w:space="0" w:color="000000"/>
            </w:tcBorders>
            <w:shd w:val="clear" w:color="auto" w:fill="F4B084"/>
            <w:tcMar>
              <w:top w:w="13" w:type="dxa"/>
              <w:left w:w="13" w:type="dxa"/>
              <w:bottom w:w="0" w:type="dxa"/>
              <w:right w:w="13" w:type="dxa"/>
            </w:tcMar>
            <w:vAlign w:val="bottom"/>
            <w:hideMark/>
          </w:tcPr>
          <w:p w14:paraId="0376CB5B"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6A3A1CA3" w14:textId="77777777" w:rsidTr="00100FF8">
        <w:trPr>
          <w:trHeight w:val="264"/>
        </w:trPr>
        <w:tc>
          <w:tcPr>
            <w:tcW w:w="1490" w:type="dxa"/>
            <w:tcBorders>
              <w:top w:val="single" w:sz="8" w:space="0" w:color="000000"/>
              <w:left w:val="single" w:sz="12"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3D6FDC62"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Marketing</w:t>
            </w:r>
          </w:p>
        </w:tc>
        <w:tc>
          <w:tcPr>
            <w:tcW w:w="1084"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0766662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3</w:t>
            </w:r>
          </w:p>
        </w:tc>
        <w:tc>
          <w:tcPr>
            <w:tcW w:w="1010"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7E69DC1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309"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3E2DCDE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550" w:type="dxa"/>
            <w:tcBorders>
              <w:top w:val="single" w:sz="8" w:space="0" w:color="000000"/>
              <w:left w:val="single" w:sz="8" w:space="0" w:color="000000"/>
              <w:bottom w:val="single" w:sz="8" w:space="0" w:color="000000"/>
              <w:right w:val="single" w:sz="12" w:space="0" w:color="000000"/>
            </w:tcBorders>
            <w:shd w:val="clear" w:color="auto" w:fill="92D050"/>
            <w:tcMar>
              <w:top w:w="13" w:type="dxa"/>
              <w:left w:w="13" w:type="dxa"/>
              <w:bottom w:w="0" w:type="dxa"/>
              <w:right w:w="13" w:type="dxa"/>
            </w:tcMar>
            <w:vAlign w:val="bottom"/>
            <w:hideMark/>
          </w:tcPr>
          <w:p w14:paraId="7E40E584"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3</w:t>
            </w:r>
          </w:p>
        </w:tc>
        <w:tc>
          <w:tcPr>
            <w:tcW w:w="135" w:type="dxa"/>
            <w:tcBorders>
              <w:top w:val="single" w:sz="6" w:space="0" w:color="FFFFFF"/>
              <w:left w:val="single" w:sz="12" w:space="0" w:color="000000"/>
              <w:bottom w:val="single" w:sz="6" w:space="0" w:color="FFFFFF"/>
              <w:right w:val="single" w:sz="12" w:space="0" w:color="000000"/>
            </w:tcBorders>
            <w:shd w:val="clear" w:color="auto" w:fill="92D050"/>
            <w:tcMar>
              <w:top w:w="13" w:type="dxa"/>
              <w:left w:w="13" w:type="dxa"/>
              <w:bottom w:w="0" w:type="dxa"/>
              <w:right w:w="13" w:type="dxa"/>
            </w:tcMar>
            <w:vAlign w:val="bottom"/>
            <w:hideMark/>
          </w:tcPr>
          <w:p w14:paraId="1AB1E78D"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360CC398"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c>
          <w:tcPr>
            <w:tcW w:w="1295"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22B880F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602" w:type="dxa"/>
            <w:tcBorders>
              <w:top w:val="single" w:sz="8" w:space="0" w:color="000000"/>
              <w:left w:val="single" w:sz="8" w:space="0" w:color="000000"/>
              <w:bottom w:val="single" w:sz="8" w:space="0" w:color="000000"/>
              <w:right w:val="single" w:sz="12" w:space="0" w:color="000000"/>
            </w:tcBorders>
            <w:shd w:val="clear" w:color="auto" w:fill="92D050"/>
            <w:tcMar>
              <w:top w:w="13" w:type="dxa"/>
              <w:left w:w="13" w:type="dxa"/>
              <w:bottom w:w="0" w:type="dxa"/>
              <w:right w:w="13" w:type="dxa"/>
            </w:tcMar>
            <w:vAlign w:val="bottom"/>
            <w:hideMark/>
          </w:tcPr>
          <w:p w14:paraId="1B38B9BC"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0DBA6B44" w14:textId="77777777" w:rsidTr="00100FF8">
        <w:trPr>
          <w:trHeight w:val="489"/>
        </w:trPr>
        <w:tc>
          <w:tcPr>
            <w:tcW w:w="1490" w:type="dxa"/>
            <w:tcBorders>
              <w:top w:val="single" w:sz="8" w:space="0" w:color="000000"/>
              <w:left w:val="single" w:sz="12" w:space="0" w:color="000000"/>
              <w:bottom w:val="single" w:sz="8" w:space="0" w:color="000000"/>
              <w:right w:val="single" w:sz="8" w:space="0" w:color="000000"/>
            </w:tcBorders>
            <w:shd w:val="clear" w:color="auto" w:fill="92D050"/>
            <w:tcMar>
              <w:top w:w="13" w:type="dxa"/>
              <w:left w:w="13" w:type="dxa"/>
              <w:bottom w:w="0" w:type="dxa"/>
              <w:right w:w="13" w:type="dxa"/>
            </w:tcMar>
            <w:hideMark/>
          </w:tcPr>
          <w:p w14:paraId="5269940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Strategic Support</w:t>
            </w:r>
          </w:p>
        </w:tc>
        <w:tc>
          <w:tcPr>
            <w:tcW w:w="1084"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376078DB"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12</w:t>
            </w:r>
          </w:p>
        </w:tc>
        <w:tc>
          <w:tcPr>
            <w:tcW w:w="1010"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0B0938C3"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309"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7BD3441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550" w:type="dxa"/>
            <w:tcBorders>
              <w:top w:val="single" w:sz="8" w:space="0" w:color="000000"/>
              <w:left w:val="single" w:sz="8" w:space="0" w:color="000000"/>
              <w:bottom w:val="single" w:sz="8" w:space="0" w:color="000000"/>
              <w:right w:val="single" w:sz="12" w:space="0" w:color="000000"/>
            </w:tcBorders>
            <w:shd w:val="clear" w:color="auto" w:fill="92D050"/>
            <w:tcMar>
              <w:top w:w="13" w:type="dxa"/>
              <w:left w:w="13" w:type="dxa"/>
              <w:bottom w:w="0" w:type="dxa"/>
              <w:right w:w="13" w:type="dxa"/>
            </w:tcMar>
            <w:vAlign w:val="bottom"/>
            <w:hideMark/>
          </w:tcPr>
          <w:p w14:paraId="72E8097C"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12</w:t>
            </w:r>
          </w:p>
        </w:tc>
        <w:tc>
          <w:tcPr>
            <w:tcW w:w="135" w:type="dxa"/>
            <w:tcBorders>
              <w:top w:val="single" w:sz="6" w:space="0" w:color="FFFFFF"/>
              <w:left w:val="single" w:sz="12" w:space="0" w:color="000000"/>
              <w:bottom w:val="single" w:sz="6" w:space="0" w:color="FFFFFF"/>
              <w:right w:val="single" w:sz="12" w:space="0" w:color="000000"/>
            </w:tcBorders>
            <w:shd w:val="clear" w:color="auto" w:fill="92D050"/>
            <w:tcMar>
              <w:top w:w="13" w:type="dxa"/>
              <w:left w:w="13" w:type="dxa"/>
              <w:bottom w:w="0" w:type="dxa"/>
              <w:right w:w="13" w:type="dxa"/>
            </w:tcMar>
            <w:vAlign w:val="bottom"/>
            <w:hideMark/>
          </w:tcPr>
          <w:p w14:paraId="4AC0BFE0"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5F8DC885"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c>
          <w:tcPr>
            <w:tcW w:w="1295"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5D526F7B"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602" w:type="dxa"/>
            <w:tcBorders>
              <w:top w:val="single" w:sz="8" w:space="0" w:color="000000"/>
              <w:left w:val="single" w:sz="8" w:space="0" w:color="000000"/>
              <w:bottom w:val="single" w:sz="8" w:space="0" w:color="000000"/>
              <w:right w:val="single" w:sz="12" w:space="0" w:color="000000"/>
            </w:tcBorders>
            <w:shd w:val="clear" w:color="auto" w:fill="92D050"/>
            <w:tcMar>
              <w:top w:w="13" w:type="dxa"/>
              <w:left w:w="13" w:type="dxa"/>
              <w:bottom w:w="0" w:type="dxa"/>
              <w:right w:w="13" w:type="dxa"/>
            </w:tcMar>
            <w:vAlign w:val="bottom"/>
            <w:hideMark/>
          </w:tcPr>
          <w:p w14:paraId="3E8BA15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7F292676" w14:textId="77777777" w:rsidTr="00100FF8">
        <w:trPr>
          <w:trHeight w:val="489"/>
        </w:trPr>
        <w:tc>
          <w:tcPr>
            <w:tcW w:w="1490" w:type="dxa"/>
            <w:tcBorders>
              <w:top w:val="single" w:sz="8" w:space="0" w:color="000000"/>
              <w:left w:val="single" w:sz="12"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43B1DA8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Risk Management</w:t>
            </w:r>
          </w:p>
        </w:tc>
        <w:tc>
          <w:tcPr>
            <w:tcW w:w="1084"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191A650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w:t>
            </w:r>
          </w:p>
        </w:tc>
        <w:tc>
          <w:tcPr>
            <w:tcW w:w="1010"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24A2CFE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309"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150DBAC4"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2</w:t>
            </w:r>
          </w:p>
        </w:tc>
        <w:tc>
          <w:tcPr>
            <w:tcW w:w="1550" w:type="dxa"/>
            <w:tcBorders>
              <w:top w:val="single" w:sz="8" w:space="0" w:color="000000"/>
              <w:left w:val="single" w:sz="8" w:space="0" w:color="000000"/>
              <w:bottom w:val="single" w:sz="8" w:space="0" w:color="000000"/>
              <w:right w:val="single" w:sz="12" w:space="0" w:color="000000"/>
            </w:tcBorders>
            <w:shd w:val="clear" w:color="auto" w:fill="92D050"/>
            <w:tcMar>
              <w:top w:w="13" w:type="dxa"/>
              <w:left w:w="13" w:type="dxa"/>
              <w:bottom w:w="0" w:type="dxa"/>
              <w:right w:w="13" w:type="dxa"/>
            </w:tcMar>
            <w:vAlign w:val="bottom"/>
            <w:hideMark/>
          </w:tcPr>
          <w:p w14:paraId="4AC2A46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12</w:t>
            </w:r>
          </w:p>
        </w:tc>
        <w:tc>
          <w:tcPr>
            <w:tcW w:w="135" w:type="dxa"/>
            <w:tcBorders>
              <w:top w:val="single" w:sz="6" w:space="0" w:color="FFFFFF"/>
              <w:left w:val="single" w:sz="12" w:space="0" w:color="000000"/>
              <w:bottom w:val="single" w:sz="6" w:space="0" w:color="FFFFFF"/>
              <w:right w:val="single" w:sz="12" w:space="0" w:color="000000"/>
            </w:tcBorders>
            <w:shd w:val="clear" w:color="auto" w:fill="92D050"/>
            <w:tcMar>
              <w:top w:w="13" w:type="dxa"/>
              <w:left w:w="13" w:type="dxa"/>
              <w:bottom w:w="0" w:type="dxa"/>
              <w:right w:w="13" w:type="dxa"/>
            </w:tcMar>
            <w:vAlign w:val="bottom"/>
            <w:hideMark/>
          </w:tcPr>
          <w:p w14:paraId="2828F96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46F4A7E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83%</w:t>
            </w:r>
          </w:p>
        </w:tc>
        <w:tc>
          <w:tcPr>
            <w:tcW w:w="1295"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32DB2230"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17%</w:t>
            </w:r>
          </w:p>
        </w:tc>
        <w:tc>
          <w:tcPr>
            <w:tcW w:w="602" w:type="dxa"/>
            <w:tcBorders>
              <w:top w:val="single" w:sz="8" w:space="0" w:color="000000"/>
              <w:left w:val="single" w:sz="8" w:space="0" w:color="000000"/>
              <w:bottom w:val="single" w:sz="8" w:space="0" w:color="000000"/>
              <w:right w:val="single" w:sz="12" w:space="0" w:color="000000"/>
            </w:tcBorders>
            <w:shd w:val="clear" w:color="auto" w:fill="92D050"/>
            <w:tcMar>
              <w:top w:w="13" w:type="dxa"/>
              <w:left w:w="13" w:type="dxa"/>
              <w:bottom w:w="0" w:type="dxa"/>
              <w:right w:w="13" w:type="dxa"/>
            </w:tcMar>
            <w:vAlign w:val="bottom"/>
            <w:hideMark/>
          </w:tcPr>
          <w:p w14:paraId="1BBB654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6B49B414" w14:textId="77777777" w:rsidTr="00100FF8">
        <w:trPr>
          <w:trHeight w:val="506"/>
        </w:trPr>
        <w:tc>
          <w:tcPr>
            <w:tcW w:w="1490" w:type="dxa"/>
            <w:tcBorders>
              <w:top w:val="single" w:sz="8" w:space="0" w:color="000000"/>
              <w:left w:val="single" w:sz="12"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68B57C9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Security Management</w:t>
            </w:r>
          </w:p>
        </w:tc>
        <w:tc>
          <w:tcPr>
            <w:tcW w:w="1084"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157AAE1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23</w:t>
            </w:r>
          </w:p>
        </w:tc>
        <w:tc>
          <w:tcPr>
            <w:tcW w:w="1010"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1E746E8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0</w:t>
            </w:r>
          </w:p>
        </w:tc>
        <w:tc>
          <w:tcPr>
            <w:tcW w:w="1309"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73C1459F"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3</w:t>
            </w:r>
          </w:p>
        </w:tc>
        <w:tc>
          <w:tcPr>
            <w:tcW w:w="1550" w:type="dxa"/>
            <w:tcBorders>
              <w:top w:val="single" w:sz="8" w:space="0" w:color="000000"/>
              <w:left w:val="single" w:sz="8" w:space="0" w:color="000000"/>
              <w:bottom w:val="single" w:sz="8" w:space="0" w:color="000000"/>
              <w:right w:val="single" w:sz="12" w:space="0" w:color="000000"/>
            </w:tcBorders>
            <w:shd w:val="clear" w:color="auto" w:fill="92D050"/>
            <w:tcMar>
              <w:top w:w="13" w:type="dxa"/>
              <w:left w:w="13" w:type="dxa"/>
              <w:bottom w:w="0" w:type="dxa"/>
              <w:right w:w="13" w:type="dxa"/>
            </w:tcMar>
            <w:vAlign w:val="bottom"/>
            <w:hideMark/>
          </w:tcPr>
          <w:p w14:paraId="5898EC6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26</w:t>
            </w:r>
          </w:p>
        </w:tc>
        <w:tc>
          <w:tcPr>
            <w:tcW w:w="135" w:type="dxa"/>
            <w:tcBorders>
              <w:top w:val="single" w:sz="6" w:space="0" w:color="FFFFFF"/>
              <w:left w:val="single" w:sz="12" w:space="0" w:color="000000"/>
              <w:bottom w:val="single" w:sz="6" w:space="0" w:color="FFFFFF"/>
              <w:right w:val="single" w:sz="12" w:space="0" w:color="000000"/>
            </w:tcBorders>
            <w:shd w:val="clear" w:color="auto" w:fill="92D050"/>
            <w:tcMar>
              <w:top w:w="13" w:type="dxa"/>
              <w:left w:w="13" w:type="dxa"/>
              <w:bottom w:w="0" w:type="dxa"/>
              <w:right w:w="13" w:type="dxa"/>
            </w:tcMar>
            <w:vAlign w:val="bottom"/>
            <w:hideMark/>
          </w:tcPr>
          <w:p w14:paraId="7DB13CBF"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137460B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88%</w:t>
            </w:r>
          </w:p>
        </w:tc>
        <w:tc>
          <w:tcPr>
            <w:tcW w:w="1295" w:type="dxa"/>
            <w:tcBorders>
              <w:top w:val="single" w:sz="8" w:space="0" w:color="000000"/>
              <w:left w:val="single" w:sz="8" w:space="0" w:color="000000"/>
              <w:bottom w:val="single" w:sz="8" w:space="0" w:color="000000"/>
              <w:right w:val="single" w:sz="8" w:space="0" w:color="000000"/>
            </w:tcBorders>
            <w:shd w:val="clear" w:color="auto" w:fill="92D050"/>
            <w:tcMar>
              <w:top w:w="13" w:type="dxa"/>
              <w:left w:w="13" w:type="dxa"/>
              <w:bottom w:w="0" w:type="dxa"/>
              <w:right w:w="13" w:type="dxa"/>
            </w:tcMar>
            <w:vAlign w:val="bottom"/>
            <w:hideMark/>
          </w:tcPr>
          <w:p w14:paraId="72AF846D"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12%</w:t>
            </w:r>
          </w:p>
        </w:tc>
        <w:tc>
          <w:tcPr>
            <w:tcW w:w="602" w:type="dxa"/>
            <w:tcBorders>
              <w:top w:val="single" w:sz="8" w:space="0" w:color="000000"/>
              <w:left w:val="single" w:sz="8" w:space="0" w:color="000000"/>
              <w:bottom w:val="single" w:sz="8" w:space="0" w:color="000000"/>
              <w:right w:val="single" w:sz="12" w:space="0" w:color="000000"/>
            </w:tcBorders>
            <w:shd w:val="clear" w:color="auto" w:fill="92D050"/>
            <w:tcMar>
              <w:top w:w="13" w:type="dxa"/>
              <w:left w:w="13" w:type="dxa"/>
              <w:bottom w:w="0" w:type="dxa"/>
              <w:right w:w="13" w:type="dxa"/>
            </w:tcMar>
            <w:vAlign w:val="bottom"/>
            <w:hideMark/>
          </w:tcPr>
          <w:p w14:paraId="5278470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68ABB20D" w14:textId="77777777" w:rsidTr="00100FF8">
        <w:trPr>
          <w:trHeight w:val="489"/>
        </w:trPr>
        <w:tc>
          <w:tcPr>
            <w:tcW w:w="1490" w:type="dxa"/>
            <w:tcBorders>
              <w:top w:val="single" w:sz="8" w:space="0" w:color="000000"/>
              <w:left w:val="single" w:sz="12" w:space="0" w:color="000000"/>
              <w:bottom w:val="single" w:sz="8" w:space="0" w:color="000000"/>
              <w:right w:val="single" w:sz="8" w:space="0" w:color="000000"/>
            </w:tcBorders>
            <w:shd w:val="clear" w:color="auto" w:fill="FFC000"/>
            <w:tcMar>
              <w:top w:w="13" w:type="dxa"/>
              <w:left w:w="13" w:type="dxa"/>
              <w:bottom w:w="0" w:type="dxa"/>
              <w:right w:w="13" w:type="dxa"/>
            </w:tcMar>
            <w:vAlign w:val="bottom"/>
            <w:hideMark/>
          </w:tcPr>
          <w:p w14:paraId="058E499F"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Financial Services</w:t>
            </w:r>
          </w:p>
        </w:tc>
        <w:tc>
          <w:tcPr>
            <w:tcW w:w="1084" w:type="dxa"/>
            <w:tcBorders>
              <w:top w:val="single" w:sz="8" w:space="0" w:color="000000"/>
              <w:left w:val="single" w:sz="8" w:space="0" w:color="000000"/>
              <w:bottom w:val="single" w:sz="8" w:space="0" w:color="000000"/>
              <w:right w:val="single" w:sz="8" w:space="0" w:color="000000"/>
            </w:tcBorders>
            <w:shd w:val="clear" w:color="auto" w:fill="FFC000"/>
            <w:tcMar>
              <w:top w:w="13" w:type="dxa"/>
              <w:left w:w="13" w:type="dxa"/>
              <w:bottom w:w="0" w:type="dxa"/>
              <w:right w:w="13" w:type="dxa"/>
            </w:tcMar>
            <w:vAlign w:val="bottom"/>
            <w:hideMark/>
          </w:tcPr>
          <w:p w14:paraId="3EAB110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178</w:t>
            </w:r>
          </w:p>
        </w:tc>
        <w:tc>
          <w:tcPr>
            <w:tcW w:w="1010" w:type="dxa"/>
            <w:tcBorders>
              <w:top w:val="single" w:sz="8" w:space="0" w:color="000000"/>
              <w:left w:val="single" w:sz="8" w:space="0" w:color="000000"/>
              <w:bottom w:val="single" w:sz="8" w:space="0" w:color="000000"/>
              <w:right w:val="single" w:sz="8" w:space="0" w:color="000000"/>
            </w:tcBorders>
            <w:shd w:val="clear" w:color="auto" w:fill="FFC000"/>
            <w:tcMar>
              <w:top w:w="13" w:type="dxa"/>
              <w:left w:w="13" w:type="dxa"/>
              <w:bottom w:w="0" w:type="dxa"/>
              <w:right w:w="13" w:type="dxa"/>
            </w:tcMar>
            <w:vAlign w:val="bottom"/>
            <w:hideMark/>
          </w:tcPr>
          <w:p w14:paraId="43B9498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16</w:t>
            </w:r>
          </w:p>
        </w:tc>
        <w:tc>
          <w:tcPr>
            <w:tcW w:w="1309" w:type="dxa"/>
            <w:tcBorders>
              <w:top w:val="single" w:sz="8" w:space="0" w:color="000000"/>
              <w:left w:val="single" w:sz="8" w:space="0" w:color="000000"/>
              <w:bottom w:val="single" w:sz="8" w:space="0" w:color="000000"/>
              <w:right w:val="single" w:sz="8" w:space="0" w:color="000000"/>
            </w:tcBorders>
            <w:shd w:val="clear" w:color="auto" w:fill="FFC000"/>
            <w:tcMar>
              <w:top w:w="13" w:type="dxa"/>
              <w:left w:w="13" w:type="dxa"/>
              <w:bottom w:w="0" w:type="dxa"/>
              <w:right w:w="13" w:type="dxa"/>
            </w:tcMar>
            <w:vAlign w:val="bottom"/>
            <w:hideMark/>
          </w:tcPr>
          <w:p w14:paraId="3647AAC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60</w:t>
            </w:r>
          </w:p>
        </w:tc>
        <w:tc>
          <w:tcPr>
            <w:tcW w:w="1550" w:type="dxa"/>
            <w:tcBorders>
              <w:top w:val="single" w:sz="8" w:space="0" w:color="000000"/>
              <w:left w:val="single" w:sz="8" w:space="0" w:color="000000"/>
              <w:bottom w:val="single" w:sz="8" w:space="0" w:color="000000"/>
              <w:right w:val="single" w:sz="12" w:space="0" w:color="000000"/>
            </w:tcBorders>
            <w:shd w:val="clear" w:color="auto" w:fill="FFC000"/>
            <w:tcMar>
              <w:top w:w="13" w:type="dxa"/>
              <w:left w:w="13" w:type="dxa"/>
              <w:bottom w:w="0" w:type="dxa"/>
              <w:right w:w="13" w:type="dxa"/>
            </w:tcMar>
            <w:vAlign w:val="bottom"/>
            <w:hideMark/>
          </w:tcPr>
          <w:p w14:paraId="766F2DC4"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254</w:t>
            </w:r>
          </w:p>
        </w:tc>
        <w:tc>
          <w:tcPr>
            <w:tcW w:w="135" w:type="dxa"/>
            <w:tcBorders>
              <w:top w:val="single" w:sz="6" w:space="0" w:color="FFFFFF"/>
              <w:left w:val="single" w:sz="12" w:space="0" w:color="000000"/>
              <w:bottom w:val="single" w:sz="6" w:space="0" w:color="FFFFFF"/>
              <w:right w:val="single" w:sz="12" w:space="0" w:color="000000"/>
            </w:tcBorders>
            <w:shd w:val="clear" w:color="auto" w:fill="FFC000"/>
            <w:tcMar>
              <w:top w:w="13" w:type="dxa"/>
              <w:left w:w="13" w:type="dxa"/>
              <w:bottom w:w="0" w:type="dxa"/>
              <w:right w:w="13" w:type="dxa"/>
            </w:tcMar>
            <w:vAlign w:val="bottom"/>
            <w:hideMark/>
          </w:tcPr>
          <w:p w14:paraId="223BAF1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FFC000"/>
            <w:tcMar>
              <w:top w:w="13" w:type="dxa"/>
              <w:left w:w="13" w:type="dxa"/>
              <w:bottom w:w="0" w:type="dxa"/>
              <w:right w:w="13" w:type="dxa"/>
            </w:tcMar>
            <w:vAlign w:val="bottom"/>
            <w:hideMark/>
          </w:tcPr>
          <w:p w14:paraId="66B9CF90"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70%</w:t>
            </w:r>
          </w:p>
        </w:tc>
        <w:tc>
          <w:tcPr>
            <w:tcW w:w="1295" w:type="dxa"/>
            <w:tcBorders>
              <w:top w:val="single" w:sz="8" w:space="0" w:color="000000"/>
              <w:left w:val="single" w:sz="8" w:space="0" w:color="000000"/>
              <w:bottom w:val="single" w:sz="8" w:space="0" w:color="000000"/>
              <w:right w:val="single" w:sz="8" w:space="0" w:color="000000"/>
            </w:tcBorders>
            <w:shd w:val="clear" w:color="auto" w:fill="FFC000"/>
            <w:tcMar>
              <w:top w:w="13" w:type="dxa"/>
              <w:left w:w="13" w:type="dxa"/>
              <w:bottom w:w="0" w:type="dxa"/>
              <w:right w:w="13" w:type="dxa"/>
            </w:tcMar>
            <w:vAlign w:val="bottom"/>
            <w:hideMark/>
          </w:tcPr>
          <w:p w14:paraId="015CB3F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30%</w:t>
            </w:r>
          </w:p>
        </w:tc>
        <w:tc>
          <w:tcPr>
            <w:tcW w:w="602" w:type="dxa"/>
            <w:tcBorders>
              <w:top w:val="single" w:sz="8" w:space="0" w:color="000000"/>
              <w:left w:val="single" w:sz="8" w:space="0" w:color="000000"/>
              <w:bottom w:val="single" w:sz="8" w:space="0" w:color="000000"/>
              <w:right w:val="single" w:sz="12" w:space="0" w:color="000000"/>
            </w:tcBorders>
            <w:shd w:val="clear" w:color="auto" w:fill="FFC000"/>
            <w:tcMar>
              <w:top w:w="13" w:type="dxa"/>
              <w:left w:w="13" w:type="dxa"/>
              <w:bottom w:w="0" w:type="dxa"/>
              <w:right w:w="13" w:type="dxa"/>
            </w:tcMar>
            <w:vAlign w:val="bottom"/>
            <w:hideMark/>
          </w:tcPr>
          <w:p w14:paraId="5C70A66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6869A481" w14:textId="77777777" w:rsidTr="00100FF8">
        <w:trPr>
          <w:trHeight w:val="489"/>
        </w:trPr>
        <w:tc>
          <w:tcPr>
            <w:tcW w:w="1490" w:type="dxa"/>
            <w:tcBorders>
              <w:top w:val="single" w:sz="8" w:space="0" w:color="000000"/>
              <w:left w:val="single" w:sz="12"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1DDA87B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Human Resources</w:t>
            </w:r>
          </w:p>
        </w:tc>
        <w:tc>
          <w:tcPr>
            <w:tcW w:w="1084"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6395865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36</w:t>
            </w:r>
          </w:p>
        </w:tc>
        <w:tc>
          <w:tcPr>
            <w:tcW w:w="101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7A50ACE5"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0405CAD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w:t>
            </w:r>
          </w:p>
        </w:tc>
        <w:tc>
          <w:tcPr>
            <w:tcW w:w="1550" w:type="dxa"/>
            <w:tcBorders>
              <w:top w:val="single" w:sz="8" w:space="0" w:color="000000"/>
              <w:left w:val="single" w:sz="8" w:space="0" w:color="000000"/>
              <w:bottom w:val="single" w:sz="8" w:space="0" w:color="000000"/>
              <w:right w:val="single" w:sz="12" w:space="0" w:color="000000"/>
            </w:tcBorders>
            <w:shd w:val="clear" w:color="auto" w:fill="FFFF00"/>
            <w:tcMar>
              <w:top w:w="13" w:type="dxa"/>
              <w:left w:w="13" w:type="dxa"/>
              <w:bottom w:w="0" w:type="dxa"/>
              <w:right w:w="13" w:type="dxa"/>
            </w:tcMar>
            <w:vAlign w:val="bottom"/>
            <w:hideMark/>
          </w:tcPr>
          <w:p w14:paraId="6D43B1D5"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38</w:t>
            </w:r>
          </w:p>
        </w:tc>
        <w:tc>
          <w:tcPr>
            <w:tcW w:w="135" w:type="dxa"/>
            <w:tcBorders>
              <w:top w:val="single" w:sz="6" w:space="0" w:color="FFFFFF"/>
              <w:left w:val="single" w:sz="12" w:space="0" w:color="000000"/>
              <w:bottom w:val="single" w:sz="6" w:space="0" w:color="FFFFFF"/>
              <w:right w:val="single" w:sz="12" w:space="0" w:color="000000"/>
            </w:tcBorders>
            <w:shd w:val="clear" w:color="auto" w:fill="FFFF00"/>
            <w:tcMar>
              <w:top w:w="13" w:type="dxa"/>
              <w:left w:w="13" w:type="dxa"/>
              <w:bottom w:w="0" w:type="dxa"/>
              <w:right w:w="13" w:type="dxa"/>
            </w:tcMar>
            <w:vAlign w:val="bottom"/>
            <w:hideMark/>
          </w:tcPr>
          <w:p w14:paraId="590A31C3"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7723E99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95%</w:t>
            </w:r>
          </w:p>
        </w:tc>
        <w:tc>
          <w:tcPr>
            <w:tcW w:w="1295"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37C456D0"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5%</w:t>
            </w:r>
          </w:p>
        </w:tc>
        <w:tc>
          <w:tcPr>
            <w:tcW w:w="602" w:type="dxa"/>
            <w:tcBorders>
              <w:top w:val="single" w:sz="8" w:space="0" w:color="000000"/>
              <w:left w:val="single" w:sz="8" w:space="0" w:color="000000"/>
              <w:bottom w:val="single" w:sz="8" w:space="0" w:color="000000"/>
              <w:right w:val="single" w:sz="12" w:space="0" w:color="000000"/>
            </w:tcBorders>
            <w:shd w:val="clear" w:color="auto" w:fill="FFFF00"/>
            <w:tcMar>
              <w:top w:w="13" w:type="dxa"/>
              <w:left w:w="13" w:type="dxa"/>
              <w:bottom w:w="0" w:type="dxa"/>
              <w:right w:w="13" w:type="dxa"/>
            </w:tcMar>
            <w:vAlign w:val="bottom"/>
            <w:hideMark/>
          </w:tcPr>
          <w:p w14:paraId="02433C3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6C392BEA" w14:textId="77777777" w:rsidTr="00100FF8">
        <w:trPr>
          <w:trHeight w:val="413"/>
        </w:trPr>
        <w:tc>
          <w:tcPr>
            <w:tcW w:w="1490" w:type="dxa"/>
            <w:tcBorders>
              <w:top w:val="single" w:sz="8" w:space="0" w:color="000000"/>
              <w:left w:val="single" w:sz="12"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37D8CE3F"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OHS</w:t>
            </w:r>
          </w:p>
        </w:tc>
        <w:tc>
          <w:tcPr>
            <w:tcW w:w="1084"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136D082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14</w:t>
            </w:r>
          </w:p>
        </w:tc>
        <w:tc>
          <w:tcPr>
            <w:tcW w:w="101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58DE7BA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6A3AE4C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w:t>
            </w:r>
          </w:p>
        </w:tc>
        <w:tc>
          <w:tcPr>
            <w:tcW w:w="1550" w:type="dxa"/>
            <w:tcBorders>
              <w:top w:val="single" w:sz="8" w:space="0" w:color="000000"/>
              <w:left w:val="single" w:sz="8" w:space="0" w:color="000000"/>
              <w:bottom w:val="single" w:sz="8" w:space="0" w:color="000000"/>
              <w:right w:val="single" w:sz="12" w:space="0" w:color="000000"/>
            </w:tcBorders>
            <w:shd w:val="clear" w:color="auto" w:fill="FFFF00"/>
            <w:tcMar>
              <w:top w:w="13" w:type="dxa"/>
              <w:left w:w="13" w:type="dxa"/>
              <w:bottom w:w="0" w:type="dxa"/>
              <w:right w:w="13" w:type="dxa"/>
            </w:tcMar>
            <w:vAlign w:val="bottom"/>
            <w:hideMark/>
          </w:tcPr>
          <w:p w14:paraId="70676CB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16</w:t>
            </w:r>
          </w:p>
        </w:tc>
        <w:tc>
          <w:tcPr>
            <w:tcW w:w="135" w:type="dxa"/>
            <w:tcBorders>
              <w:top w:val="single" w:sz="6" w:space="0" w:color="FFFFFF"/>
              <w:left w:val="single" w:sz="12" w:space="0" w:color="000000"/>
              <w:bottom w:val="single" w:sz="6" w:space="0" w:color="FFFFFF"/>
              <w:right w:val="single" w:sz="12" w:space="0" w:color="000000"/>
            </w:tcBorders>
            <w:shd w:val="clear" w:color="auto" w:fill="FFFF00"/>
            <w:tcMar>
              <w:top w:w="13" w:type="dxa"/>
              <w:left w:w="13" w:type="dxa"/>
              <w:bottom w:w="0" w:type="dxa"/>
              <w:right w:w="13" w:type="dxa"/>
            </w:tcMar>
            <w:vAlign w:val="bottom"/>
            <w:hideMark/>
          </w:tcPr>
          <w:p w14:paraId="4AC2EB85"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12"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32D21FF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88%</w:t>
            </w:r>
          </w:p>
        </w:tc>
        <w:tc>
          <w:tcPr>
            <w:tcW w:w="1295"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14:paraId="4221079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13%</w:t>
            </w:r>
          </w:p>
        </w:tc>
        <w:tc>
          <w:tcPr>
            <w:tcW w:w="602" w:type="dxa"/>
            <w:tcBorders>
              <w:top w:val="single" w:sz="8" w:space="0" w:color="000000"/>
              <w:left w:val="single" w:sz="8" w:space="0" w:color="000000"/>
              <w:bottom w:val="single" w:sz="8" w:space="0" w:color="000000"/>
              <w:right w:val="single" w:sz="12" w:space="0" w:color="000000"/>
            </w:tcBorders>
            <w:shd w:val="clear" w:color="auto" w:fill="FFFF00"/>
            <w:tcMar>
              <w:top w:w="13" w:type="dxa"/>
              <w:left w:w="13" w:type="dxa"/>
              <w:bottom w:w="0" w:type="dxa"/>
              <w:right w:w="13" w:type="dxa"/>
            </w:tcMar>
            <w:vAlign w:val="bottom"/>
            <w:hideMark/>
          </w:tcPr>
          <w:p w14:paraId="082E1DC8"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r>
      <w:tr w:rsidR="00100FF8" w:rsidRPr="0035165B" w14:paraId="72D0C0BA" w14:textId="77777777" w:rsidTr="00100FF8">
        <w:trPr>
          <w:trHeight w:val="277"/>
        </w:trPr>
        <w:tc>
          <w:tcPr>
            <w:tcW w:w="1490" w:type="dxa"/>
            <w:tcBorders>
              <w:top w:val="single" w:sz="8" w:space="0" w:color="000000"/>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68569AEE"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084" w:type="dxa"/>
            <w:tcBorders>
              <w:top w:val="single" w:sz="8" w:space="0" w:color="000000"/>
              <w:left w:val="single" w:sz="6" w:space="0" w:color="FFFFFF"/>
              <w:bottom w:val="single" w:sz="18" w:space="0" w:color="000000"/>
              <w:right w:val="single" w:sz="6" w:space="0" w:color="FFFFFF"/>
            </w:tcBorders>
            <w:shd w:val="clear" w:color="auto" w:fill="auto"/>
            <w:tcMar>
              <w:top w:w="13" w:type="dxa"/>
              <w:left w:w="13" w:type="dxa"/>
              <w:bottom w:w="0" w:type="dxa"/>
              <w:right w:w="13" w:type="dxa"/>
            </w:tcMar>
            <w:vAlign w:val="bottom"/>
            <w:hideMark/>
          </w:tcPr>
          <w:p w14:paraId="5D827E17"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436</w:t>
            </w:r>
          </w:p>
        </w:tc>
        <w:tc>
          <w:tcPr>
            <w:tcW w:w="1010" w:type="dxa"/>
            <w:tcBorders>
              <w:top w:val="single" w:sz="8" w:space="0" w:color="000000"/>
              <w:left w:val="single" w:sz="6" w:space="0" w:color="FFFFFF"/>
              <w:bottom w:val="single" w:sz="18" w:space="0" w:color="000000"/>
              <w:right w:val="single" w:sz="6" w:space="0" w:color="FFFFFF"/>
            </w:tcBorders>
            <w:shd w:val="clear" w:color="auto" w:fill="auto"/>
            <w:tcMar>
              <w:top w:w="13" w:type="dxa"/>
              <w:left w:w="13" w:type="dxa"/>
              <w:bottom w:w="0" w:type="dxa"/>
              <w:right w:w="13" w:type="dxa"/>
            </w:tcMar>
            <w:vAlign w:val="bottom"/>
            <w:hideMark/>
          </w:tcPr>
          <w:p w14:paraId="722C2C3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33</w:t>
            </w:r>
          </w:p>
        </w:tc>
        <w:tc>
          <w:tcPr>
            <w:tcW w:w="1309" w:type="dxa"/>
            <w:tcBorders>
              <w:top w:val="single" w:sz="8" w:space="0" w:color="000000"/>
              <w:left w:val="single" w:sz="6" w:space="0" w:color="FFFFFF"/>
              <w:bottom w:val="single" w:sz="18" w:space="0" w:color="000000"/>
              <w:right w:val="single" w:sz="6" w:space="0" w:color="FFFFFF"/>
            </w:tcBorders>
            <w:shd w:val="clear" w:color="auto" w:fill="auto"/>
            <w:tcMar>
              <w:top w:w="13" w:type="dxa"/>
              <w:left w:w="13" w:type="dxa"/>
              <w:bottom w:w="0" w:type="dxa"/>
              <w:right w:w="13" w:type="dxa"/>
            </w:tcMar>
            <w:vAlign w:val="bottom"/>
            <w:hideMark/>
          </w:tcPr>
          <w:p w14:paraId="23A84CF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79</w:t>
            </w:r>
          </w:p>
        </w:tc>
        <w:tc>
          <w:tcPr>
            <w:tcW w:w="1550" w:type="dxa"/>
            <w:tcBorders>
              <w:top w:val="single" w:sz="8" w:space="0" w:color="000000"/>
              <w:left w:val="single" w:sz="6" w:space="0" w:color="FFFFFF"/>
              <w:bottom w:val="single" w:sz="18" w:space="0" w:color="000000"/>
              <w:right w:val="single" w:sz="6" w:space="0" w:color="FFFFFF"/>
            </w:tcBorders>
            <w:shd w:val="clear" w:color="auto" w:fill="auto"/>
            <w:tcMar>
              <w:top w:w="13" w:type="dxa"/>
              <w:left w:w="13" w:type="dxa"/>
              <w:bottom w:w="0" w:type="dxa"/>
              <w:right w:w="13" w:type="dxa"/>
            </w:tcMar>
            <w:vAlign w:val="bottom"/>
            <w:hideMark/>
          </w:tcPr>
          <w:p w14:paraId="0A9D4845"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548</w:t>
            </w:r>
          </w:p>
        </w:tc>
        <w:tc>
          <w:tcPr>
            <w:tcW w:w="135" w:type="dxa"/>
            <w:tcBorders>
              <w:top w:val="single" w:sz="6" w:space="0" w:color="FFFFFF"/>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4EEA3CCF"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c>
          <w:tcPr>
            <w:tcW w:w="1790" w:type="dxa"/>
            <w:tcBorders>
              <w:top w:val="single" w:sz="8" w:space="0" w:color="000000"/>
              <w:left w:val="single" w:sz="6" w:space="0" w:color="FFFFFF"/>
              <w:bottom w:val="single" w:sz="18" w:space="0" w:color="000000"/>
              <w:right w:val="single" w:sz="8" w:space="0" w:color="000000"/>
            </w:tcBorders>
            <w:shd w:val="clear" w:color="auto" w:fill="auto"/>
            <w:tcMar>
              <w:top w:w="13" w:type="dxa"/>
              <w:left w:w="13" w:type="dxa"/>
              <w:bottom w:w="0" w:type="dxa"/>
              <w:right w:w="13" w:type="dxa"/>
            </w:tcMar>
            <w:vAlign w:val="bottom"/>
            <w:hideMark/>
          </w:tcPr>
          <w:p w14:paraId="0B2B9E74"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80%</w:t>
            </w:r>
          </w:p>
        </w:tc>
        <w:tc>
          <w:tcPr>
            <w:tcW w:w="1295" w:type="dxa"/>
            <w:tcBorders>
              <w:top w:val="single" w:sz="8" w:space="0" w:color="000000"/>
              <w:left w:val="single" w:sz="8" w:space="0" w:color="000000"/>
              <w:bottom w:val="single" w:sz="18" w:space="0" w:color="000000"/>
              <w:right w:val="single" w:sz="8" w:space="0" w:color="000000"/>
            </w:tcBorders>
            <w:shd w:val="clear" w:color="auto" w:fill="auto"/>
            <w:tcMar>
              <w:top w:w="13" w:type="dxa"/>
              <w:left w:w="13" w:type="dxa"/>
              <w:bottom w:w="0" w:type="dxa"/>
              <w:right w:w="13" w:type="dxa"/>
            </w:tcMar>
            <w:vAlign w:val="bottom"/>
            <w:hideMark/>
          </w:tcPr>
          <w:p w14:paraId="236A860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20%</w:t>
            </w:r>
          </w:p>
        </w:tc>
        <w:tc>
          <w:tcPr>
            <w:tcW w:w="602" w:type="dxa"/>
            <w:tcBorders>
              <w:top w:val="single" w:sz="8" w:space="0" w:color="000000"/>
              <w:left w:val="single" w:sz="8" w:space="0" w:color="000000"/>
              <w:bottom w:val="single" w:sz="18" w:space="0" w:color="000000"/>
              <w:right w:val="single" w:sz="6" w:space="0" w:color="FFFFFF"/>
            </w:tcBorders>
            <w:shd w:val="clear" w:color="auto" w:fill="auto"/>
            <w:tcMar>
              <w:top w:w="13" w:type="dxa"/>
              <w:left w:w="13" w:type="dxa"/>
              <w:bottom w:w="0" w:type="dxa"/>
              <w:right w:w="13" w:type="dxa"/>
            </w:tcMar>
            <w:vAlign w:val="bottom"/>
            <w:hideMark/>
          </w:tcPr>
          <w:p w14:paraId="48A4BC18"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 </w:t>
            </w:r>
          </w:p>
        </w:tc>
      </w:tr>
      <w:tr w:rsidR="00100FF8" w:rsidRPr="0035165B" w14:paraId="03857BAC" w14:textId="77777777" w:rsidTr="00100FF8">
        <w:trPr>
          <w:trHeight w:val="290"/>
        </w:trPr>
        <w:tc>
          <w:tcPr>
            <w:tcW w:w="1490" w:type="dxa"/>
            <w:tcBorders>
              <w:top w:val="single" w:sz="6" w:space="0" w:color="FFFFFF"/>
              <w:left w:val="single" w:sz="6" w:space="0" w:color="FFFFFF"/>
              <w:bottom w:val="single" w:sz="12" w:space="0" w:color="000000"/>
              <w:right w:val="single" w:sz="6" w:space="0" w:color="FFFFFF"/>
            </w:tcBorders>
            <w:shd w:val="clear" w:color="auto" w:fill="auto"/>
            <w:tcMar>
              <w:top w:w="13" w:type="dxa"/>
              <w:left w:w="13" w:type="dxa"/>
              <w:bottom w:w="0" w:type="dxa"/>
              <w:right w:w="13" w:type="dxa"/>
            </w:tcMar>
            <w:vAlign w:val="bottom"/>
            <w:hideMark/>
          </w:tcPr>
          <w:p w14:paraId="4D7EA1DF" w14:textId="77777777" w:rsidR="00100FF8" w:rsidRPr="0035165B" w:rsidRDefault="00100FF8" w:rsidP="00100FF8">
            <w:pPr>
              <w:spacing w:line="276" w:lineRule="auto"/>
              <w:jc w:val="both"/>
              <w:rPr>
                <w:rFonts w:ascii="Times New Roman" w:hAnsi="Times New Roman"/>
                <w:b/>
                <w:bCs/>
                <w:sz w:val="22"/>
                <w:szCs w:val="22"/>
              </w:rPr>
            </w:pPr>
          </w:p>
        </w:tc>
        <w:tc>
          <w:tcPr>
            <w:tcW w:w="1084" w:type="dxa"/>
            <w:tcBorders>
              <w:top w:val="single" w:sz="18" w:space="0" w:color="000000"/>
              <w:left w:val="single" w:sz="6" w:space="0" w:color="FFFFFF"/>
              <w:bottom w:val="single" w:sz="12" w:space="0" w:color="000000"/>
              <w:right w:val="single" w:sz="6" w:space="0" w:color="FFFFFF"/>
            </w:tcBorders>
            <w:shd w:val="clear" w:color="auto" w:fill="auto"/>
            <w:tcMar>
              <w:top w:w="13" w:type="dxa"/>
              <w:left w:w="13" w:type="dxa"/>
              <w:bottom w:w="0" w:type="dxa"/>
              <w:right w:w="13" w:type="dxa"/>
            </w:tcMar>
            <w:vAlign w:val="bottom"/>
            <w:hideMark/>
          </w:tcPr>
          <w:p w14:paraId="0E14BD0F" w14:textId="77777777" w:rsidR="00100FF8" w:rsidRPr="0035165B" w:rsidRDefault="00100FF8" w:rsidP="00100FF8">
            <w:pPr>
              <w:spacing w:line="276" w:lineRule="auto"/>
              <w:jc w:val="both"/>
              <w:rPr>
                <w:rFonts w:ascii="Times New Roman" w:hAnsi="Times New Roman"/>
                <w:b/>
                <w:bCs/>
                <w:sz w:val="22"/>
                <w:szCs w:val="22"/>
              </w:rPr>
            </w:pPr>
          </w:p>
        </w:tc>
        <w:tc>
          <w:tcPr>
            <w:tcW w:w="1010" w:type="dxa"/>
            <w:tcBorders>
              <w:top w:val="single" w:sz="18" w:space="0" w:color="000000"/>
              <w:left w:val="single" w:sz="6" w:space="0" w:color="FFFFFF"/>
              <w:bottom w:val="single" w:sz="12" w:space="0" w:color="000000"/>
              <w:right w:val="single" w:sz="6" w:space="0" w:color="FFFFFF"/>
            </w:tcBorders>
            <w:shd w:val="clear" w:color="auto" w:fill="auto"/>
            <w:tcMar>
              <w:top w:w="13" w:type="dxa"/>
              <w:left w:w="13" w:type="dxa"/>
              <w:bottom w:w="0" w:type="dxa"/>
              <w:right w:w="13" w:type="dxa"/>
            </w:tcMar>
            <w:vAlign w:val="bottom"/>
            <w:hideMark/>
          </w:tcPr>
          <w:p w14:paraId="4CA5A225" w14:textId="77777777" w:rsidR="00100FF8" w:rsidRPr="0035165B" w:rsidRDefault="00100FF8" w:rsidP="00100FF8">
            <w:pPr>
              <w:spacing w:line="276" w:lineRule="auto"/>
              <w:jc w:val="both"/>
              <w:rPr>
                <w:rFonts w:ascii="Times New Roman" w:hAnsi="Times New Roman"/>
                <w:b/>
                <w:bCs/>
                <w:sz w:val="22"/>
                <w:szCs w:val="22"/>
              </w:rPr>
            </w:pPr>
          </w:p>
        </w:tc>
        <w:tc>
          <w:tcPr>
            <w:tcW w:w="1309" w:type="dxa"/>
            <w:tcBorders>
              <w:top w:val="single" w:sz="18" w:space="0" w:color="000000"/>
              <w:left w:val="single" w:sz="6" w:space="0" w:color="FFFFFF"/>
              <w:bottom w:val="single" w:sz="12" w:space="0" w:color="000000"/>
              <w:right w:val="single" w:sz="6" w:space="0" w:color="FFFFFF"/>
            </w:tcBorders>
            <w:shd w:val="clear" w:color="auto" w:fill="auto"/>
            <w:tcMar>
              <w:top w:w="13" w:type="dxa"/>
              <w:left w:w="13" w:type="dxa"/>
              <w:bottom w:w="0" w:type="dxa"/>
              <w:right w:w="13" w:type="dxa"/>
            </w:tcMar>
            <w:vAlign w:val="bottom"/>
            <w:hideMark/>
          </w:tcPr>
          <w:p w14:paraId="094A3A0A" w14:textId="77777777" w:rsidR="00100FF8" w:rsidRPr="0035165B" w:rsidRDefault="00100FF8" w:rsidP="00100FF8">
            <w:pPr>
              <w:spacing w:line="276" w:lineRule="auto"/>
              <w:jc w:val="both"/>
              <w:rPr>
                <w:rFonts w:ascii="Times New Roman" w:hAnsi="Times New Roman"/>
                <w:b/>
                <w:bCs/>
                <w:sz w:val="22"/>
                <w:szCs w:val="22"/>
              </w:rPr>
            </w:pPr>
          </w:p>
        </w:tc>
        <w:tc>
          <w:tcPr>
            <w:tcW w:w="1550" w:type="dxa"/>
            <w:tcBorders>
              <w:top w:val="single" w:sz="18" w:space="0" w:color="000000"/>
              <w:left w:val="single" w:sz="6" w:space="0" w:color="FFFFFF"/>
              <w:bottom w:val="single" w:sz="12" w:space="0" w:color="000000"/>
              <w:right w:val="single" w:sz="6" w:space="0" w:color="FFFFFF"/>
            </w:tcBorders>
            <w:shd w:val="clear" w:color="auto" w:fill="auto"/>
            <w:tcMar>
              <w:top w:w="13" w:type="dxa"/>
              <w:left w:w="13" w:type="dxa"/>
              <w:bottom w:w="0" w:type="dxa"/>
              <w:right w:w="13" w:type="dxa"/>
            </w:tcMar>
            <w:vAlign w:val="bottom"/>
            <w:hideMark/>
          </w:tcPr>
          <w:p w14:paraId="7FA147E1" w14:textId="77777777" w:rsidR="00100FF8" w:rsidRPr="0035165B" w:rsidRDefault="00100FF8" w:rsidP="00100FF8">
            <w:pPr>
              <w:spacing w:line="276" w:lineRule="auto"/>
              <w:jc w:val="both"/>
              <w:rPr>
                <w:rFonts w:ascii="Times New Roman" w:hAnsi="Times New Roman"/>
                <w:b/>
                <w:bCs/>
                <w:sz w:val="22"/>
                <w:szCs w:val="22"/>
              </w:rPr>
            </w:pPr>
          </w:p>
        </w:tc>
        <w:tc>
          <w:tcPr>
            <w:tcW w:w="135" w:type="dxa"/>
            <w:tcBorders>
              <w:top w:val="single" w:sz="6" w:space="0" w:color="FFFFFF"/>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694F700E" w14:textId="77777777" w:rsidR="00100FF8" w:rsidRPr="0035165B" w:rsidRDefault="00100FF8" w:rsidP="00100FF8">
            <w:pPr>
              <w:spacing w:line="276" w:lineRule="auto"/>
              <w:jc w:val="both"/>
              <w:rPr>
                <w:rFonts w:ascii="Times New Roman" w:hAnsi="Times New Roman"/>
                <w:b/>
                <w:bCs/>
                <w:sz w:val="22"/>
                <w:szCs w:val="22"/>
              </w:rPr>
            </w:pPr>
          </w:p>
        </w:tc>
        <w:tc>
          <w:tcPr>
            <w:tcW w:w="1790" w:type="dxa"/>
            <w:tcBorders>
              <w:top w:val="single" w:sz="18" w:space="0" w:color="000000"/>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278AC9E4" w14:textId="77777777" w:rsidR="00100FF8" w:rsidRPr="0035165B" w:rsidRDefault="00100FF8" w:rsidP="00100FF8">
            <w:pPr>
              <w:spacing w:line="276" w:lineRule="auto"/>
              <w:jc w:val="both"/>
              <w:rPr>
                <w:rFonts w:ascii="Times New Roman" w:hAnsi="Times New Roman"/>
                <w:b/>
                <w:bCs/>
                <w:sz w:val="22"/>
                <w:szCs w:val="22"/>
              </w:rPr>
            </w:pPr>
          </w:p>
        </w:tc>
        <w:tc>
          <w:tcPr>
            <w:tcW w:w="1295" w:type="dxa"/>
            <w:tcBorders>
              <w:top w:val="single" w:sz="18" w:space="0" w:color="000000"/>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126FEC86" w14:textId="77777777" w:rsidR="00100FF8" w:rsidRPr="0035165B" w:rsidRDefault="00100FF8" w:rsidP="00100FF8">
            <w:pPr>
              <w:spacing w:line="276" w:lineRule="auto"/>
              <w:jc w:val="both"/>
              <w:rPr>
                <w:rFonts w:ascii="Times New Roman" w:hAnsi="Times New Roman"/>
                <w:b/>
                <w:bCs/>
                <w:sz w:val="22"/>
                <w:szCs w:val="22"/>
              </w:rPr>
            </w:pPr>
          </w:p>
        </w:tc>
        <w:tc>
          <w:tcPr>
            <w:tcW w:w="602" w:type="dxa"/>
            <w:tcBorders>
              <w:top w:val="single" w:sz="18" w:space="0" w:color="000000"/>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6AD18919" w14:textId="77777777" w:rsidR="00100FF8" w:rsidRPr="0035165B" w:rsidRDefault="00100FF8" w:rsidP="00100FF8">
            <w:pPr>
              <w:spacing w:line="276" w:lineRule="auto"/>
              <w:jc w:val="both"/>
              <w:rPr>
                <w:rFonts w:ascii="Times New Roman" w:hAnsi="Times New Roman"/>
                <w:b/>
                <w:bCs/>
                <w:sz w:val="22"/>
                <w:szCs w:val="22"/>
              </w:rPr>
            </w:pPr>
          </w:p>
        </w:tc>
      </w:tr>
      <w:tr w:rsidR="00100FF8" w:rsidRPr="0035165B" w14:paraId="293EDC13" w14:textId="77777777" w:rsidTr="00100FF8">
        <w:trPr>
          <w:trHeight w:val="366"/>
        </w:trPr>
        <w:tc>
          <w:tcPr>
            <w:tcW w:w="1490" w:type="dxa"/>
            <w:tcBorders>
              <w:top w:val="single" w:sz="12" w:space="0" w:color="000000"/>
              <w:left w:val="single" w:sz="12"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14:paraId="32E62511"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Details</w:t>
            </w:r>
          </w:p>
        </w:tc>
        <w:tc>
          <w:tcPr>
            <w:tcW w:w="1084" w:type="dxa"/>
            <w:tcBorders>
              <w:top w:val="single" w:sz="12"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14:paraId="4228BDC4"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Resolved</w:t>
            </w:r>
          </w:p>
        </w:tc>
        <w:tc>
          <w:tcPr>
            <w:tcW w:w="1010" w:type="dxa"/>
            <w:tcBorders>
              <w:top w:val="single" w:sz="12"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14:paraId="3004D1B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Outstanding</w:t>
            </w:r>
          </w:p>
        </w:tc>
        <w:tc>
          <w:tcPr>
            <w:tcW w:w="1309" w:type="dxa"/>
            <w:tcBorders>
              <w:top w:val="single" w:sz="12"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14:paraId="43EDEDDC"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In progress</w:t>
            </w:r>
          </w:p>
        </w:tc>
        <w:tc>
          <w:tcPr>
            <w:tcW w:w="1550" w:type="dxa"/>
            <w:tcBorders>
              <w:top w:val="single" w:sz="12" w:space="0" w:color="000000"/>
              <w:left w:val="single" w:sz="8" w:space="0" w:color="000000"/>
              <w:bottom w:val="single" w:sz="8" w:space="0" w:color="000000"/>
              <w:right w:val="single" w:sz="12" w:space="0" w:color="000000"/>
            </w:tcBorders>
            <w:shd w:val="clear" w:color="auto" w:fill="auto"/>
            <w:tcMar>
              <w:top w:w="13" w:type="dxa"/>
              <w:left w:w="13" w:type="dxa"/>
              <w:bottom w:w="0" w:type="dxa"/>
              <w:right w:w="13" w:type="dxa"/>
            </w:tcMar>
            <w:vAlign w:val="bottom"/>
            <w:hideMark/>
          </w:tcPr>
          <w:p w14:paraId="19CAFA5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Total</w:t>
            </w:r>
          </w:p>
        </w:tc>
        <w:tc>
          <w:tcPr>
            <w:tcW w:w="135" w:type="dxa"/>
            <w:tcBorders>
              <w:top w:val="single" w:sz="6" w:space="0" w:color="FFFFFF"/>
              <w:left w:val="single" w:sz="12" w:space="0" w:color="000000"/>
              <w:bottom w:val="single" w:sz="6" w:space="0" w:color="FFFFFF"/>
              <w:right w:val="single" w:sz="6" w:space="0" w:color="FFFFFF"/>
            </w:tcBorders>
            <w:shd w:val="clear" w:color="auto" w:fill="auto"/>
            <w:tcMar>
              <w:top w:w="13" w:type="dxa"/>
              <w:left w:w="13" w:type="dxa"/>
              <w:bottom w:w="0" w:type="dxa"/>
              <w:right w:w="13" w:type="dxa"/>
            </w:tcMar>
            <w:vAlign w:val="bottom"/>
            <w:hideMark/>
          </w:tcPr>
          <w:p w14:paraId="1AF2F19D" w14:textId="77777777" w:rsidR="00100FF8" w:rsidRPr="0035165B" w:rsidRDefault="00100FF8" w:rsidP="00100FF8">
            <w:pPr>
              <w:spacing w:line="276" w:lineRule="auto"/>
              <w:jc w:val="both"/>
              <w:rPr>
                <w:rFonts w:ascii="Times New Roman" w:hAnsi="Times New Roman"/>
                <w:b/>
                <w:bCs/>
                <w:sz w:val="22"/>
                <w:szCs w:val="22"/>
              </w:rPr>
            </w:pPr>
          </w:p>
        </w:tc>
        <w:tc>
          <w:tcPr>
            <w:tcW w:w="1790" w:type="dxa"/>
            <w:tcBorders>
              <w:top w:val="single" w:sz="6" w:space="0" w:color="FFFFFF"/>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752BE03C" w14:textId="77777777" w:rsidR="00100FF8" w:rsidRPr="0035165B" w:rsidRDefault="00100FF8" w:rsidP="00100FF8">
            <w:pPr>
              <w:spacing w:line="276" w:lineRule="auto"/>
              <w:jc w:val="both"/>
              <w:rPr>
                <w:rFonts w:ascii="Times New Roman" w:hAnsi="Times New Roman"/>
                <w:b/>
                <w:bCs/>
                <w:sz w:val="22"/>
                <w:szCs w:val="22"/>
              </w:rPr>
            </w:pPr>
          </w:p>
        </w:tc>
        <w:tc>
          <w:tcPr>
            <w:tcW w:w="1295" w:type="dxa"/>
            <w:tcBorders>
              <w:top w:val="single" w:sz="6" w:space="0" w:color="FFFFFF"/>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2F465396" w14:textId="77777777" w:rsidR="00100FF8" w:rsidRPr="0035165B" w:rsidRDefault="00100FF8" w:rsidP="00100FF8">
            <w:pPr>
              <w:spacing w:line="276" w:lineRule="auto"/>
              <w:jc w:val="both"/>
              <w:rPr>
                <w:rFonts w:ascii="Times New Roman" w:hAnsi="Times New Roman"/>
                <w:b/>
                <w:bCs/>
                <w:sz w:val="22"/>
                <w:szCs w:val="22"/>
              </w:rPr>
            </w:pPr>
          </w:p>
        </w:tc>
        <w:tc>
          <w:tcPr>
            <w:tcW w:w="602" w:type="dxa"/>
            <w:tcBorders>
              <w:top w:val="single" w:sz="6" w:space="0" w:color="FFFFFF"/>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380169A6" w14:textId="77777777" w:rsidR="00100FF8" w:rsidRPr="0035165B" w:rsidRDefault="00100FF8" w:rsidP="00100FF8">
            <w:pPr>
              <w:spacing w:line="276" w:lineRule="auto"/>
              <w:jc w:val="both"/>
              <w:rPr>
                <w:rFonts w:ascii="Times New Roman" w:hAnsi="Times New Roman"/>
                <w:b/>
                <w:bCs/>
                <w:sz w:val="22"/>
                <w:szCs w:val="22"/>
              </w:rPr>
            </w:pPr>
          </w:p>
        </w:tc>
      </w:tr>
      <w:tr w:rsidR="00100FF8" w:rsidRPr="0035165B" w14:paraId="259C8622" w14:textId="77777777" w:rsidTr="00100FF8">
        <w:trPr>
          <w:trHeight w:val="489"/>
        </w:trPr>
        <w:tc>
          <w:tcPr>
            <w:tcW w:w="1490" w:type="dxa"/>
            <w:tcBorders>
              <w:top w:val="single" w:sz="8" w:space="0" w:color="000000"/>
              <w:left w:val="single" w:sz="12" w:space="0" w:color="000000"/>
              <w:bottom w:val="single" w:sz="12" w:space="0" w:color="000000"/>
              <w:right w:val="single" w:sz="8" w:space="0" w:color="000000"/>
            </w:tcBorders>
            <w:shd w:val="clear" w:color="auto" w:fill="auto"/>
            <w:tcMar>
              <w:top w:w="13" w:type="dxa"/>
              <w:left w:w="13" w:type="dxa"/>
              <w:bottom w:w="0" w:type="dxa"/>
              <w:right w:w="13" w:type="dxa"/>
            </w:tcMar>
            <w:vAlign w:val="bottom"/>
            <w:hideMark/>
          </w:tcPr>
          <w:p w14:paraId="6B8D856A"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Overall audit findings</w:t>
            </w:r>
          </w:p>
        </w:tc>
        <w:tc>
          <w:tcPr>
            <w:tcW w:w="1084" w:type="dxa"/>
            <w:tcBorders>
              <w:top w:val="single" w:sz="8" w:space="0" w:color="000000"/>
              <w:left w:val="single" w:sz="8" w:space="0" w:color="000000"/>
              <w:bottom w:val="single" w:sz="12" w:space="0" w:color="000000"/>
              <w:right w:val="single" w:sz="8" w:space="0" w:color="000000"/>
            </w:tcBorders>
            <w:shd w:val="clear" w:color="auto" w:fill="auto"/>
            <w:tcMar>
              <w:top w:w="13" w:type="dxa"/>
              <w:left w:w="13" w:type="dxa"/>
              <w:bottom w:w="0" w:type="dxa"/>
              <w:right w:w="13" w:type="dxa"/>
            </w:tcMar>
            <w:vAlign w:val="bottom"/>
            <w:hideMark/>
          </w:tcPr>
          <w:p w14:paraId="2F441C6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80%</w:t>
            </w:r>
          </w:p>
        </w:tc>
        <w:tc>
          <w:tcPr>
            <w:tcW w:w="1010" w:type="dxa"/>
            <w:tcBorders>
              <w:top w:val="single" w:sz="8" w:space="0" w:color="000000"/>
              <w:left w:val="single" w:sz="8" w:space="0" w:color="000000"/>
              <w:bottom w:val="single" w:sz="12" w:space="0" w:color="000000"/>
              <w:right w:val="single" w:sz="8" w:space="0" w:color="000000"/>
            </w:tcBorders>
            <w:shd w:val="clear" w:color="auto" w:fill="auto"/>
            <w:tcMar>
              <w:top w:w="13" w:type="dxa"/>
              <w:left w:w="13" w:type="dxa"/>
              <w:bottom w:w="0" w:type="dxa"/>
              <w:right w:w="13" w:type="dxa"/>
            </w:tcMar>
            <w:vAlign w:val="bottom"/>
            <w:hideMark/>
          </w:tcPr>
          <w:p w14:paraId="6302A702"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6%</w:t>
            </w:r>
          </w:p>
        </w:tc>
        <w:tc>
          <w:tcPr>
            <w:tcW w:w="1309" w:type="dxa"/>
            <w:tcBorders>
              <w:top w:val="single" w:sz="8" w:space="0" w:color="000000"/>
              <w:left w:val="single" w:sz="8" w:space="0" w:color="000000"/>
              <w:bottom w:val="single" w:sz="12" w:space="0" w:color="000000"/>
              <w:right w:val="single" w:sz="8" w:space="0" w:color="000000"/>
            </w:tcBorders>
            <w:shd w:val="clear" w:color="auto" w:fill="auto"/>
            <w:tcMar>
              <w:top w:w="13" w:type="dxa"/>
              <w:left w:w="13" w:type="dxa"/>
              <w:bottom w:w="0" w:type="dxa"/>
              <w:right w:w="13" w:type="dxa"/>
            </w:tcMar>
            <w:vAlign w:val="bottom"/>
            <w:hideMark/>
          </w:tcPr>
          <w:p w14:paraId="77CDE0C6"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14%</w:t>
            </w:r>
          </w:p>
        </w:tc>
        <w:tc>
          <w:tcPr>
            <w:tcW w:w="1550" w:type="dxa"/>
            <w:tcBorders>
              <w:top w:val="single" w:sz="8" w:space="0" w:color="000000"/>
              <w:left w:val="single" w:sz="8" w:space="0" w:color="000000"/>
              <w:bottom w:val="single" w:sz="12" w:space="0" w:color="000000"/>
              <w:right w:val="single" w:sz="12" w:space="0" w:color="000000"/>
            </w:tcBorders>
            <w:shd w:val="clear" w:color="auto" w:fill="auto"/>
            <w:tcMar>
              <w:top w:w="13" w:type="dxa"/>
              <w:left w:w="13" w:type="dxa"/>
              <w:bottom w:w="0" w:type="dxa"/>
              <w:right w:w="13" w:type="dxa"/>
            </w:tcMar>
            <w:vAlign w:val="bottom"/>
            <w:hideMark/>
          </w:tcPr>
          <w:p w14:paraId="3034FF19" w14:textId="77777777" w:rsidR="00100FF8" w:rsidRPr="0035165B" w:rsidRDefault="00100FF8" w:rsidP="00100FF8">
            <w:pPr>
              <w:spacing w:line="276" w:lineRule="auto"/>
              <w:jc w:val="both"/>
              <w:rPr>
                <w:rFonts w:ascii="Times New Roman" w:hAnsi="Times New Roman"/>
                <w:b/>
                <w:bCs/>
                <w:sz w:val="22"/>
                <w:szCs w:val="22"/>
              </w:rPr>
            </w:pPr>
            <w:r w:rsidRPr="0035165B">
              <w:rPr>
                <w:rFonts w:ascii="Times New Roman" w:hAnsi="Times New Roman"/>
                <w:b/>
                <w:bCs/>
                <w:sz w:val="22"/>
                <w:szCs w:val="22"/>
                <w:lang w:val="en-US"/>
              </w:rPr>
              <w:t>100%</w:t>
            </w:r>
          </w:p>
        </w:tc>
        <w:tc>
          <w:tcPr>
            <w:tcW w:w="135" w:type="dxa"/>
            <w:tcBorders>
              <w:top w:val="single" w:sz="6" w:space="0" w:color="FFFFFF"/>
              <w:left w:val="single" w:sz="12" w:space="0" w:color="000000"/>
              <w:bottom w:val="single" w:sz="6" w:space="0" w:color="FFFFFF"/>
              <w:right w:val="single" w:sz="6" w:space="0" w:color="FFFFFF"/>
            </w:tcBorders>
            <w:shd w:val="clear" w:color="auto" w:fill="auto"/>
            <w:tcMar>
              <w:top w:w="13" w:type="dxa"/>
              <w:left w:w="13" w:type="dxa"/>
              <w:bottom w:w="0" w:type="dxa"/>
              <w:right w:w="13" w:type="dxa"/>
            </w:tcMar>
            <w:vAlign w:val="bottom"/>
            <w:hideMark/>
          </w:tcPr>
          <w:p w14:paraId="7C2B1C99" w14:textId="77777777" w:rsidR="00100FF8" w:rsidRPr="0035165B" w:rsidRDefault="00100FF8" w:rsidP="00100FF8">
            <w:pPr>
              <w:spacing w:line="276" w:lineRule="auto"/>
              <w:jc w:val="both"/>
              <w:rPr>
                <w:rFonts w:ascii="Times New Roman" w:hAnsi="Times New Roman"/>
                <w:b/>
                <w:bCs/>
                <w:sz w:val="22"/>
                <w:szCs w:val="22"/>
              </w:rPr>
            </w:pPr>
          </w:p>
        </w:tc>
        <w:tc>
          <w:tcPr>
            <w:tcW w:w="1790" w:type="dxa"/>
            <w:tcBorders>
              <w:top w:val="single" w:sz="6" w:space="0" w:color="FFFFFF"/>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21661CE8" w14:textId="77777777" w:rsidR="00100FF8" w:rsidRPr="0035165B" w:rsidRDefault="00100FF8" w:rsidP="00100FF8">
            <w:pPr>
              <w:spacing w:line="276" w:lineRule="auto"/>
              <w:jc w:val="both"/>
              <w:rPr>
                <w:rFonts w:ascii="Times New Roman" w:hAnsi="Times New Roman"/>
                <w:b/>
                <w:bCs/>
                <w:sz w:val="22"/>
                <w:szCs w:val="22"/>
              </w:rPr>
            </w:pPr>
          </w:p>
          <w:p w14:paraId="1CF51478" w14:textId="4A28FC5B" w:rsidR="00100FF8" w:rsidRPr="0035165B" w:rsidRDefault="00100FF8" w:rsidP="00100FF8">
            <w:pPr>
              <w:spacing w:line="276" w:lineRule="auto"/>
              <w:jc w:val="both"/>
              <w:rPr>
                <w:rFonts w:ascii="Times New Roman" w:hAnsi="Times New Roman"/>
                <w:b/>
                <w:bCs/>
                <w:sz w:val="22"/>
                <w:szCs w:val="22"/>
              </w:rPr>
            </w:pPr>
          </w:p>
        </w:tc>
        <w:tc>
          <w:tcPr>
            <w:tcW w:w="1295" w:type="dxa"/>
            <w:tcBorders>
              <w:top w:val="single" w:sz="6" w:space="0" w:color="FFFFFF"/>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011EEEE1" w14:textId="77777777" w:rsidR="00100FF8" w:rsidRPr="0035165B" w:rsidRDefault="00100FF8" w:rsidP="00100FF8">
            <w:pPr>
              <w:spacing w:line="276" w:lineRule="auto"/>
              <w:jc w:val="both"/>
              <w:rPr>
                <w:rFonts w:ascii="Times New Roman" w:hAnsi="Times New Roman"/>
                <w:b/>
                <w:bCs/>
                <w:sz w:val="22"/>
                <w:szCs w:val="22"/>
              </w:rPr>
            </w:pPr>
          </w:p>
        </w:tc>
        <w:tc>
          <w:tcPr>
            <w:tcW w:w="602" w:type="dxa"/>
            <w:tcBorders>
              <w:top w:val="single" w:sz="6" w:space="0" w:color="FFFFFF"/>
              <w:left w:val="single" w:sz="6" w:space="0" w:color="FFFFFF"/>
              <w:bottom w:val="single" w:sz="6" w:space="0" w:color="FFFFFF"/>
              <w:right w:val="single" w:sz="6" w:space="0" w:color="FFFFFF"/>
            </w:tcBorders>
            <w:shd w:val="clear" w:color="auto" w:fill="auto"/>
            <w:tcMar>
              <w:top w:w="13" w:type="dxa"/>
              <w:left w:w="13" w:type="dxa"/>
              <w:bottom w:w="0" w:type="dxa"/>
              <w:right w:w="13" w:type="dxa"/>
            </w:tcMar>
            <w:vAlign w:val="bottom"/>
            <w:hideMark/>
          </w:tcPr>
          <w:p w14:paraId="1ABED275" w14:textId="77777777" w:rsidR="00100FF8" w:rsidRPr="0035165B" w:rsidRDefault="00100FF8" w:rsidP="00100FF8">
            <w:pPr>
              <w:spacing w:line="276" w:lineRule="auto"/>
              <w:jc w:val="both"/>
              <w:rPr>
                <w:rFonts w:ascii="Times New Roman" w:hAnsi="Times New Roman"/>
                <w:b/>
                <w:bCs/>
                <w:sz w:val="22"/>
                <w:szCs w:val="22"/>
              </w:rPr>
            </w:pPr>
          </w:p>
        </w:tc>
      </w:tr>
    </w:tbl>
    <w:p w14:paraId="0565DF57" w14:textId="77777777" w:rsidR="00100FF8" w:rsidRPr="0035165B" w:rsidRDefault="00100FF8" w:rsidP="0098397E">
      <w:pPr>
        <w:spacing w:line="276" w:lineRule="auto"/>
        <w:jc w:val="both"/>
        <w:rPr>
          <w:rFonts w:ascii="Times New Roman" w:hAnsi="Times New Roman"/>
          <w:b/>
          <w:bCs/>
          <w:sz w:val="22"/>
          <w:szCs w:val="22"/>
        </w:rPr>
      </w:pPr>
    </w:p>
    <w:p w14:paraId="2F59FC81" w14:textId="4F09C19C" w:rsidR="00100FF8" w:rsidRPr="0035165B" w:rsidRDefault="00100FF8" w:rsidP="0098397E">
      <w:pPr>
        <w:spacing w:line="276" w:lineRule="auto"/>
        <w:jc w:val="both"/>
        <w:rPr>
          <w:rFonts w:ascii="Times New Roman" w:hAnsi="Times New Roman"/>
          <w:bCs/>
          <w:sz w:val="22"/>
          <w:szCs w:val="22"/>
        </w:rPr>
      </w:pPr>
      <w:r w:rsidRPr="0035165B">
        <w:rPr>
          <w:rFonts w:ascii="Times New Roman" w:hAnsi="Times New Roman"/>
          <w:bCs/>
          <w:sz w:val="22"/>
          <w:szCs w:val="22"/>
        </w:rPr>
        <w:t>Key risk that have been identified for the GPW in the 2022/23 period and beyond are reflected in the table below:</w:t>
      </w:r>
    </w:p>
    <w:tbl>
      <w:tblPr>
        <w:tblStyle w:val="GridTable4-Accent3"/>
        <w:tblW w:w="10279" w:type="dxa"/>
        <w:tblLook w:val="0420" w:firstRow="1" w:lastRow="0" w:firstColumn="0" w:lastColumn="0" w:noHBand="0" w:noVBand="1"/>
      </w:tblPr>
      <w:tblGrid>
        <w:gridCol w:w="1755"/>
        <w:gridCol w:w="3055"/>
        <w:gridCol w:w="5469"/>
      </w:tblGrid>
      <w:tr w:rsidR="00C07EDF" w:rsidRPr="0035165B" w14:paraId="78F1FFB2" w14:textId="77777777" w:rsidTr="00100FF8">
        <w:trPr>
          <w:cnfStyle w:val="100000000000" w:firstRow="1" w:lastRow="0" w:firstColumn="0" w:lastColumn="0" w:oddVBand="0" w:evenVBand="0" w:oddHBand="0" w:evenHBand="0" w:firstRowFirstColumn="0" w:firstRowLastColumn="0" w:lastRowFirstColumn="0" w:lastRowLastColumn="0"/>
          <w:trHeight w:val="226"/>
        </w:trPr>
        <w:tc>
          <w:tcPr>
            <w:tcW w:w="1755" w:type="dxa"/>
            <w:hideMark/>
          </w:tcPr>
          <w:p w14:paraId="2DF0A816" w14:textId="77777777" w:rsidR="00C07EDF" w:rsidRPr="0035165B" w:rsidRDefault="00C07EDF" w:rsidP="00C07EDF">
            <w:pPr>
              <w:spacing w:line="276" w:lineRule="auto"/>
              <w:jc w:val="both"/>
              <w:rPr>
                <w:rFonts w:ascii="Times New Roman" w:hAnsi="Times New Roman"/>
                <w:b w:val="0"/>
                <w:sz w:val="22"/>
                <w:szCs w:val="22"/>
              </w:rPr>
            </w:pPr>
            <w:r w:rsidRPr="0035165B">
              <w:rPr>
                <w:rFonts w:ascii="Times New Roman" w:hAnsi="Times New Roman"/>
                <w:b w:val="0"/>
                <w:sz w:val="22"/>
                <w:szCs w:val="22"/>
                <w:lang w:val="en-US"/>
              </w:rPr>
              <w:t xml:space="preserve">Outcomes </w:t>
            </w:r>
          </w:p>
        </w:tc>
        <w:tc>
          <w:tcPr>
            <w:tcW w:w="3055" w:type="dxa"/>
            <w:hideMark/>
          </w:tcPr>
          <w:p w14:paraId="046D1C4D" w14:textId="77777777" w:rsidR="00C07EDF" w:rsidRPr="0035165B" w:rsidRDefault="00C07EDF" w:rsidP="00C07EDF">
            <w:pPr>
              <w:spacing w:line="276" w:lineRule="auto"/>
              <w:jc w:val="both"/>
              <w:rPr>
                <w:rFonts w:ascii="Times New Roman" w:hAnsi="Times New Roman"/>
                <w:b w:val="0"/>
                <w:sz w:val="22"/>
                <w:szCs w:val="22"/>
              </w:rPr>
            </w:pPr>
            <w:r w:rsidRPr="0035165B">
              <w:rPr>
                <w:rFonts w:ascii="Times New Roman" w:hAnsi="Times New Roman"/>
                <w:b w:val="0"/>
                <w:sz w:val="22"/>
                <w:szCs w:val="22"/>
                <w:lang w:val="en-US"/>
              </w:rPr>
              <w:t>Key risks</w:t>
            </w:r>
          </w:p>
        </w:tc>
        <w:tc>
          <w:tcPr>
            <w:tcW w:w="5469" w:type="dxa"/>
            <w:hideMark/>
          </w:tcPr>
          <w:p w14:paraId="68E37450" w14:textId="77777777" w:rsidR="00C07EDF" w:rsidRPr="0035165B" w:rsidRDefault="00C07EDF" w:rsidP="00C07EDF">
            <w:pPr>
              <w:spacing w:line="276" w:lineRule="auto"/>
              <w:jc w:val="both"/>
              <w:rPr>
                <w:rFonts w:ascii="Times New Roman" w:hAnsi="Times New Roman"/>
                <w:b w:val="0"/>
                <w:sz w:val="22"/>
                <w:szCs w:val="22"/>
              </w:rPr>
            </w:pPr>
            <w:r w:rsidRPr="0035165B">
              <w:rPr>
                <w:rFonts w:ascii="Times New Roman" w:hAnsi="Times New Roman"/>
                <w:b w:val="0"/>
                <w:sz w:val="22"/>
                <w:szCs w:val="22"/>
                <w:lang w:val="en-US"/>
              </w:rPr>
              <w:t>Mitigations</w:t>
            </w:r>
          </w:p>
        </w:tc>
      </w:tr>
      <w:tr w:rsidR="00C07EDF" w:rsidRPr="0035165B" w14:paraId="5B1141A1" w14:textId="77777777" w:rsidTr="00C07EDF">
        <w:trPr>
          <w:cnfStyle w:val="000000100000" w:firstRow="0" w:lastRow="0" w:firstColumn="0" w:lastColumn="0" w:oddVBand="0" w:evenVBand="0" w:oddHBand="1" w:evenHBand="0" w:firstRowFirstColumn="0" w:firstRowLastColumn="0" w:lastRowFirstColumn="0" w:lastRowLastColumn="0"/>
          <w:trHeight w:val="2116"/>
        </w:trPr>
        <w:tc>
          <w:tcPr>
            <w:tcW w:w="1755" w:type="dxa"/>
            <w:hideMark/>
          </w:tcPr>
          <w:p w14:paraId="76EB394F"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Young people and women equipped with Artisan and other professional skills</w:t>
            </w:r>
          </w:p>
        </w:tc>
        <w:tc>
          <w:tcPr>
            <w:tcW w:w="3055" w:type="dxa"/>
            <w:hideMark/>
          </w:tcPr>
          <w:p w14:paraId="39029066"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Readiness to execute the project, considering limitations of the current facility</w:t>
            </w:r>
          </w:p>
        </w:tc>
        <w:tc>
          <w:tcPr>
            <w:tcW w:w="5469" w:type="dxa"/>
            <w:hideMark/>
          </w:tcPr>
          <w:p w14:paraId="326A66E8"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Project manage the initiative and define milestone or targets annually.</w:t>
            </w:r>
          </w:p>
          <w:p w14:paraId="36FAA18E" w14:textId="0C3D2BF4" w:rsidR="00F00404" w:rsidRPr="0035165B" w:rsidRDefault="00F00404" w:rsidP="00CB4303">
            <w:pPr>
              <w:numPr>
                <w:ilvl w:val="0"/>
                <w:numId w:val="18"/>
              </w:numPr>
              <w:spacing w:line="276" w:lineRule="auto"/>
              <w:jc w:val="both"/>
              <w:rPr>
                <w:rFonts w:ascii="Times New Roman" w:hAnsi="Times New Roman"/>
                <w:sz w:val="22"/>
                <w:szCs w:val="22"/>
              </w:rPr>
            </w:pPr>
            <w:r w:rsidRPr="0035165B">
              <w:rPr>
                <w:rFonts w:ascii="Times New Roman" w:hAnsi="Times New Roman"/>
                <w:bCs/>
                <w:sz w:val="22"/>
                <w:szCs w:val="22"/>
                <w:lang w:val="en-US"/>
              </w:rPr>
              <w:t>Ensure that the is a</w:t>
            </w:r>
            <w:r w:rsidR="00100FF8" w:rsidRPr="0035165B">
              <w:rPr>
                <w:rFonts w:ascii="Times New Roman" w:hAnsi="Times New Roman"/>
                <w:bCs/>
                <w:sz w:val="22"/>
                <w:szCs w:val="22"/>
                <w:lang w:val="en-US"/>
              </w:rPr>
              <w:t>n</w:t>
            </w:r>
            <w:r w:rsidRPr="0035165B">
              <w:rPr>
                <w:rFonts w:ascii="Times New Roman" w:hAnsi="Times New Roman"/>
                <w:bCs/>
                <w:sz w:val="22"/>
                <w:szCs w:val="22"/>
                <w:lang w:val="en-US"/>
              </w:rPr>
              <w:t xml:space="preserve"> adequate provisioning of the required tools of trade</w:t>
            </w:r>
          </w:p>
          <w:p w14:paraId="4814A52B" w14:textId="77777777" w:rsidR="00F00404" w:rsidRPr="0035165B" w:rsidRDefault="00F00404" w:rsidP="00CB4303">
            <w:pPr>
              <w:numPr>
                <w:ilvl w:val="0"/>
                <w:numId w:val="18"/>
              </w:numPr>
              <w:spacing w:line="276" w:lineRule="auto"/>
              <w:jc w:val="both"/>
              <w:rPr>
                <w:rFonts w:ascii="Times New Roman" w:hAnsi="Times New Roman"/>
                <w:sz w:val="22"/>
                <w:szCs w:val="22"/>
              </w:rPr>
            </w:pPr>
            <w:r w:rsidRPr="0035165B">
              <w:rPr>
                <w:rFonts w:ascii="Times New Roman" w:hAnsi="Times New Roman"/>
                <w:bCs/>
                <w:sz w:val="22"/>
                <w:szCs w:val="22"/>
                <w:lang w:val="en-US"/>
              </w:rPr>
              <w:t>Conduct evaluation on trainees in accordance with outputs of their key development areas</w:t>
            </w:r>
          </w:p>
        </w:tc>
      </w:tr>
      <w:tr w:rsidR="00C07EDF" w:rsidRPr="0035165B" w14:paraId="2F879A6E" w14:textId="77777777" w:rsidTr="00C07EDF">
        <w:trPr>
          <w:trHeight w:val="2101"/>
        </w:trPr>
        <w:tc>
          <w:tcPr>
            <w:tcW w:w="1755" w:type="dxa"/>
            <w:hideMark/>
          </w:tcPr>
          <w:p w14:paraId="400FA39E"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lastRenderedPageBreak/>
              <w:t>Security printed material produced</w:t>
            </w:r>
          </w:p>
        </w:tc>
        <w:tc>
          <w:tcPr>
            <w:tcW w:w="3055" w:type="dxa"/>
            <w:hideMark/>
          </w:tcPr>
          <w:p w14:paraId="3304ADFB"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Failure to secure paper for the production of secure printed material due to among other things ,a global move towards becoming green and moving away from printing towards digitisation</w:t>
            </w:r>
          </w:p>
        </w:tc>
        <w:tc>
          <w:tcPr>
            <w:tcW w:w="5469" w:type="dxa"/>
            <w:hideMark/>
          </w:tcPr>
          <w:p w14:paraId="559337E5"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 xml:space="preserve">Invest in research and development to monitor trends in future trends print requirements </w:t>
            </w:r>
          </w:p>
          <w:p w14:paraId="0BD4317F"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 </w:t>
            </w:r>
          </w:p>
          <w:p w14:paraId="667B9ECA"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Sign strategic relationship agreements with critical vendors, whereby any decisions to change or discontinue equipment and/or consumables is done in partnership with either GPW and/or the Printing SA</w:t>
            </w:r>
          </w:p>
        </w:tc>
      </w:tr>
      <w:tr w:rsidR="00C07EDF" w:rsidRPr="0035165B" w14:paraId="6400250B" w14:textId="77777777" w:rsidTr="00C07EDF">
        <w:trPr>
          <w:cnfStyle w:val="000000100000" w:firstRow="0" w:lastRow="0" w:firstColumn="0" w:lastColumn="0" w:oddVBand="0" w:evenVBand="0" w:oddHBand="1" w:evenHBand="0" w:firstRowFirstColumn="0" w:firstRowLastColumn="0" w:lastRowFirstColumn="0" w:lastRowLastColumn="0"/>
          <w:trHeight w:val="1404"/>
        </w:trPr>
        <w:tc>
          <w:tcPr>
            <w:tcW w:w="1755" w:type="dxa"/>
            <w:vMerge w:val="restart"/>
            <w:hideMark/>
          </w:tcPr>
          <w:p w14:paraId="003C28C9"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Percentage of the workforce trained as per WSP priorities</w:t>
            </w:r>
          </w:p>
        </w:tc>
        <w:tc>
          <w:tcPr>
            <w:tcW w:w="3055" w:type="dxa"/>
            <w:hideMark/>
          </w:tcPr>
          <w:p w14:paraId="1EF54AB0"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Value for money with regard to training programmes provided by successfully appointed service providers.</w:t>
            </w:r>
          </w:p>
        </w:tc>
        <w:tc>
          <w:tcPr>
            <w:tcW w:w="5469" w:type="dxa"/>
            <w:hideMark/>
          </w:tcPr>
          <w:p w14:paraId="433F0719"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Evaluation through supply chain management processes and screening of service providers</w:t>
            </w:r>
          </w:p>
        </w:tc>
      </w:tr>
      <w:tr w:rsidR="00C07EDF" w:rsidRPr="0035165B" w14:paraId="49D234E8" w14:textId="77777777" w:rsidTr="00C07EDF">
        <w:trPr>
          <w:trHeight w:val="787"/>
        </w:trPr>
        <w:tc>
          <w:tcPr>
            <w:tcW w:w="1755" w:type="dxa"/>
            <w:vMerge/>
            <w:hideMark/>
          </w:tcPr>
          <w:p w14:paraId="749A0477" w14:textId="77777777" w:rsidR="00C07EDF" w:rsidRPr="0035165B" w:rsidRDefault="00C07EDF" w:rsidP="00C07EDF">
            <w:pPr>
              <w:spacing w:line="276" w:lineRule="auto"/>
              <w:jc w:val="both"/>
              <w:rPr>
                <w:rFonts w:ascii="Times New Roman" w:hAnsi="Times New Roman"/>
                <w:sz w:val="22"/>
                <w:szCs w:val="22"/>
              </w:rPr>
            </w:pPr>
          </w:p>
        </w:tc>
        <w:tc>
          <w:tcPr>
            <w:tcW w:w="3055" w:type="dxa"/>
            <w:hideMark/>
          </w:tcPr>
          <w:p w14:paraId="53AA3188"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Value for money with regard to trainees</w:t>
            </w:r>
          </w:p>
        </w:tc>
        <w:tc>
          <w:tcPr>
            <w:tcW w:w="5469" w:type="dxa"/>
            <w:hideMark/>
          </w:tcPr>
          <w:p w14:paraId="433B0240"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Ensure each training has SAQA unit standards</w:t>
            </w:r>
          </w:p>
        </w:tc>
      </w:tr>
      <w:tr w:rsidR="00C07EDF" w:rsidRPr="0035165B" w14:paraId="4E49888E" w14:textId="77777777" w:rsidTr="00C07EDF">
        <w:trPr>
          <w:cnfStyle w:val="000000100000" w:firstRow="0" w:lastRow="0" w:firstColumn="0" w:lastColumn="0" w:oddVBand="0" w:evenVBand="0" w:oddHBand="1" w:evenHBand="0" w:firstRowFirstColumn="0" w:firstRowLastColumn="0" w:lastRowFirstColumn="0" w:lastRowLastColumn="0"/>
          <w:trHeight w:val="1575"/>
        </w:trPr>
        <w:tc>
          <w:tcPr>
            <w:tcW w:w="1755" w:type="dxa"/>
            <w:hideMark/>
          </w:tcPr>
          <w:p w14:paraId="20447216"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Effective and efficient internal corporate governance to enable organisational performance</w:t>
            </w:r>
          </w:p>
        </w:tc>
        <w:tc>
          <w:tcPr>
            <w:tcW w:w="3055" w:type="dxa"/>
            <w:hideMark/>
          </w:tcPr>
          <w:p w14:paraId="7CD98C9B"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Inadequate coordination and</w:t>
            </w:r>
          </w:p>
          <w:p w14:paraId="40F4159D"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implementation of governance</w:t>
            </w:r>
          </w:p>
          <w:p w14:paraId="6EEDF2E3"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activities including compliance and risk, management of previous audit findings and implementation of recommendations by Internal Audit.</w:t>
            </w:r>
          </w:p>
        </w:tc>
        <w:tc>
          <w:tcPr>
            <w:tcW w:w="5469" w:type="dxa"/>
            <w:hideMark/>
          </w:tcPr>
          <w:p w14:paraId="398BD9EA" w14:textId="77777777" w:rsidR="00F00404" w:rsidRPr="0035165B" w:rsidRDefault="00F00404" w:rsidP="00CB4303">
            <w:pPr>
              <w:numPr>
                <w:ilvl w:val="0"/>
                <w:numId w:val="19"/>
              </w:numPr>
              <w:spacing w:line="276" w:lineRule="auto"/>
              <w:jc w:val="both"/>
              <w:rPr>
                <w:rFonts w:ascii="Times New Roman" w:hAnsi="Times New Roman"/>
                <w:sz w:val="22"/>
                <w:szCs w:val="22"/>
              </w:rPr>
            </w:pPr>
            <w:r w:rsidRPr="0035165B">
              <w:rPr>
                <w:rFonts w:ascii="Times New Roman" w:hAnsi="Times New Roman"/>
                <w:bCs/>
                <w:sz w:val="22"/>
                <w:szCs w:val="22"/>
                <w:lang w:val="en-US"/>
              </w:rPr>
              <w:t>Risk Management to remain standard item at EXCO and MANCO</w:t>
            </w:r>
          </w:p>
          <w:p w14:paraId="4533ABC4" w14:textId="77777777" w:rsidR="00F00404" w:rsidRPr="0035165B" w:rsidRDefault="00F00404" w:rsidP="00CB4303">
            <w:pPr>
              <w:numPr>
                <w:ilvl w:val="0"/>
                <w:numId w:val="19"/>
              </w:numPr>
              <w:spacing w:line="276" w:lineRule="auto"/>
              <w:jc w:val="both"/>
              <w:rPr>
                <w:rFonts w:ascii="Times New Roman" w:hAnsi="Times New Roman"/>
                <w:sz w:val="22"/>
                <w:szCs w:val="22"/>
              </w:rPr>
            </w:pPr>
            <w:r w:rsidRPr="0035165B">
              <w:rPr>
                <w:rFonts w:ascii="Times New Roman" w:hAnsi="Times New Roman"/>
                <w:bCs/>
                <w:sz w:val="22"/>
                <w:szCs w:val="22"/>
                <w:lang w:val="en-US"/>
              </w:rPr>
              <w:t>Execution and reporting of internal controls Committee’s functions at EXCO and MANCO</w:t>
            </w:r>
          </w:p>
          <w:p w14:paraId="6A515C29" w14:textId="77777777" w:rsidR="00F00404" w:rsidRPr="0035165B" w:rsidRDefault="00F00404" w:rsidP="00CB4303">
            <w:pPr>
              <w:numPr>
                <w:ilvl w:val="0"/>
                <w:numId w:val="19"/>
              </w:numPr>
              <w:spacing w:line="276" w:lineRule="auto"/>
              <w:jc w:val="both"/>
              <w:rPr>
                <w:rFonts w:ascii="Times New Roman" w:hAnsi="Times New Roman"/>
                <w:sz w:val="22"/>
                <w:szCs w:val="22"/>
              </w:rPr>
            </w:pPr>
            <w:r w:rsidRPr="0035165B">
              <w:rPr>
                <w:rFonts w:ascii="Times New Roman" w:hAnsi="Times New Roman"/>
                <w:bCs/>
                <w:sz w:val="22"/>
                <w:szCs w:val="22"/>
                <w:lang w:val="en-US"/>
              </w:rPr>
              <w:t>Implementation and periodic monitoring of the GPW audit matrix by EXCO</w:t>
            </w:r>
          </w:p>
        </w:tc>
      </w:tr>
      <w:tr w:rsidR="00C07EDF" w:rsidRPr="0035165B" w14:paraId="37C7CAEA" w14:textId="77777777" w:rsidTr="00C07EDF">
        <w:trPr>
          <w:trHeight w:val="1050"/>
        </w:trPr>
        <w:tc>
          <w:tcPr>
            <w:tcW w:w="1755" w:type="dxa"/>
            <w:hideMark/>
          </w:tcPr>
          <w:p w14:paraId="76088C7E"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Secured management of GPW operations, facilities, information and people</w:t>
            </w:r>
          </w:p>
        </w:tc>
        <w:tc>
          <w:tcPr>
            <w:tcW w:w="3055" w:type="dxa"/>
            <w:hideMark/>
          </w:tcPr>
          <w:p w14:paraId="4102C6F8"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Delays in the implementation of the new security model for GPW</w:t>
            </w:r>
          </w:p>
        </w:tc>
        <w:tc>
          <w:tcPr>
            <w:tcW w:w="5469" w:type="dxa"/>
            <w:hideMark/>
          </w:tcPr>
          <w:p w14:paraId="2297E20D" w14:textId="77777777" w:rsidR="00C07EDF" w:rsidRPr="0035165B" w:rsidRDefault="00C07EDF" w:rsidP="00C07EDF">
            <w:pPr>
              <w:spacing w:line="276" w:lineRule="auto"/>
              <w:jc w:val="both"/>
              <w:rPr>
                <w:rFonts w:ascii="Times New Roman" w:hAnsi="Times New Roman"/>
                <w:sz w:val="22"/>
                <w:szCs w:val="22"/>
              </w:rPr>
            </w:pPr>
            <w:r w:rsidRPr="0035165B">
              <w:rPr>
                <w:rFonts w:ascii="Times New Roman" w:hAnsi="Times New Roman"/>
                <w:bCs/>
                <w:sz w:val="22"/>
                <w:szCs w:val="22"/>
                <w:lang w:val="en-US"/>
              </w:rPr>
              <w:t>Collaborate and engage with security departments and entities in the public sector to facilitate implementation of the GPW security model</w:t>
            </w:r>
          </w:p>
        </w:tc>
      </w:tr>
    </w:tbl>
    <w:p w14:paraId="7AF572E1" w14:textId="0A83B7DE" w:rsidR="00832E72" w:rsidRPr="0035165B" w:rsidRDefault="00832E72" w:rsidP="0098397E">
      <w:pPr>
        <w:spacing w:line="276" w:lineRule="auto"/>
        <w:jc w:val="both"/>
        <w:rPr>
          <w:rFonts w:ascii="Times New Roman" w:hAnsi="Times New Roman"/>
          <w:b/>
          <w:bCs/>
          <w:sz w:val="22"/>
          <w:szCs w:val="22"/>
        </w:rPr>
      </w:pPr>
    </w:p>
    <w:p w14:paraId="4A59C261" w14:textId="450BAB68" w:rsidR="0010197F" w:rsidRPr="0035165B" w:rsidRDefault="00330CD0" w:rsidP="0098397E">
      <w:pPr>
        <w:pStyle w:val="Heading1"/>
        <w:spacing w:line="276" w:lineRule="auto"/>
        <w:ind w:right="142"/>
        <w:jc w:val="both"/>
        <w:rPr>
          <w:rFonts w:cs="Times New Roman"/>
          <w:sz w:val="22"/>
          <w:szCs w:val="22"/>
        </w:rPr>
      </w:pPr>
      <w:bookmarkStart w:id="35" w:name="_Toc71542479"/>
      <w:r w:rsidRPr="0035165B">
        <w:rPr>
          <w:rFonts w:cs="Times New Roman"/>
          <w:sz w:val="22"/>
          <w:szCs w:val="22"/>
        </w:rPr>
        <w:t xml:space="preserve">4 </w:t>
      </w:r>
      <w:r w:rsidR="00255991" w:rsidRPr="0035165B">
        <w:rPr>
          <w:rFonts w:cs="Times New Roman"/>
          <w:sz w:val="22"/>
          <w:szCs w:val="22"/>
        </w:rPr>
        <w:tab/>
      </w:r>
      <w:r w:rsidR="00067106" w:rsidRPr="0035165B">
        <w:rPr>
          <w:rFonts w:cs="Times New Roman"/>
          <w:sz w:val="22"/>
          <w:szCs w:val="22"/>
        </w:rPr>
        <w:t>Observations/ Engagement with the Committee</w:t>
      </w:r>
      <w:bookmarkEnd w:id="35"/>
    </w:p>
    <w:p w14:paraId="7082E910" w14:textId="273042A1" w:rsidR="00255991" w:rsidRPr="0035165B" w:rsidRDefault="00255991" w:rsidP="0098397E">
      <w:pPr>
        <w:spacing w:line="276" w:lineRule="auto"/>
        <w:ind w:right="142"/>
        <w:jc w:val="both"/>
        <w:rPr>
          <w:rFonts w:ascii="Times New Roman" w:hAnsi="Times New Roman"/>
          <w:bCs/>
          <w:color w:val="auto"/>
          <w:sz w:val="22"/>
          <w:szCs w:val="22"/>
        </w:rPr>
      </w:pPr>
    </w:p>
    <w:p w14:paraId="6934053E" w14:textId="69427FF3" w:rsidR="00330CD0" w:rsidRPr="0035165B" w:rsidRDefault="00330CD0" w:rsidP="0098397E">
      <w:pPr>
        <w:spacing w:line="276" w:lineRule="auto"/>
        <w:ind w:right="142"/>
        <w:jc w:val="both"/>
        <w:rPr>
          <w:rFonts w:ascii="Times New Roman" w:hAnsi="Times New Roman"/>
          <w:bCs/>
          <w:color w:val="auto"/>
          <w:sz w:val="22"/>
          <w:szCs w:val="22"/>
        </w:rPr>
      </w:pPr>
      <w:r w:rsidRPr="0035165B">
        <w:rPr>
          <w:rFonts w:ascii="Times New Roman" w:hAnsi="Times New Roman"/>
          <w:bCs/>
          <w:color w:val="auto"/>
          <w:sz w:val="22"/>
          <w:szCs w:val="22"/>
        </w:rPr>
        <w:t xml:space="preserve">The Following were issues raised by </w:t>
      </w:r>
      <w:r w:rsidR="00081DA6" w:rsidRPr="0035165B">
        <w:rPr>
          <w:rFonts w:ascii="Times New Roman" w:hAnsi="Times New Roman"/>
          <w:bCs/>
          <w:color w:val="auto"/>
          <w:sz w:val="22"/>
          <w:szCs w:val="22"/>
        </w:rPr>
        <w:t>M</w:t>
      </w:r>
      <w:r w:rsidRPr="0035165B">
        <w:rPr>
          <w:rFonts w:ascii="Times New Roman" w:hAnsi="Times New Roman"/>
          <w:bCs/>
          <w:color w:val="auto"/>
          <w:sz w:val="22"/>
          <w:szCs w:val="22"/>
        </w:rPr>
        <w:t>embers</w:t>
      </w:r>
      <w:r w:rsidR="00124499" w:rsidRPr="0035165B">
        <w:rPr>
          <w:rFonts w:ascii="Times New Roman" w:hAnsi="Times New Roman"/>
          <w:bCs/>
          <w:color w:val="auto"/>
          <w:sz w:val="22"/>
          <w:szCs w:val="22"/>
        </w:rPr>
        <w:t xml:space="preserve"> of the Committee</w:t>
      </w:r>
      <w:r w:rsidRPr="0035165B">
        <w:rPr>
          <w:rFonts w:ascii="Times New Roman" w:hAnsi="Times New Roman"/>
          <w:bCs/>
          <w:color w:val="auto"/>
          <w:sz w:val="22"/>
          <w:szCs w:val="22"/>
        </w:rPr>
        <w:t xml:space="preserve"> in the</w:t>
      </w:r>
      <w:r w:rsidR="00124499" w:rsidRPr="0035165B">
        <w:rPr>
          <w:rFonts w:ascii="Times New Roman" w:hAnsi="Times New Roman"/>
          <w:bCs/>
          <w:color w:val="auto"/>
          <w:sz w:val="22"/>
          <w:szCs w:val="22"/>
        </w:rPr>
        <w:t>ir</w:t>
      </w:r>
      <w:r w:rsidRPr="0035165B">
        <w:rPr>
          <w:rFonts w:ascii="Times New Roman" w:hAnsi="Times New Roman"/>
          <w:bCs/>
          <w:color w:val="auto"/>
          <w:sz w:val="22"/>
          <w:szCs w:val="22"/>
        </w:rPr>
        <w:t xml:space="preserve"> engagement</w:t>
      </w:r>
      <w:r w:rsidR="00124499" w:rsidRPr="0035165B">
        <w:rPr>
          <w:rFonts w:ascii="Times New Roman" w:hAnsi="Times New Roman"/>
          <w:bCs/>
          <w:color w:val="auto"/>
          <w:sz w:val="22"/>
          <w:szCs w:val="22"/>
        </w:rPr>
        <w:t>s</w:t>
      </w:r>
      <w:r w:rsidRPr="0035165B">
        <w:rPr>
          <w:rFonts w:ascii="Times New Roman" w:hAnsi="Times New Roman"/>
          <w:bCs/>
          <w:color w:val="auto"/>
          <w:sz w:val="22"/>
          <w:szCs w:val="22"/>
        </w:rPr>
        <w:t xml:space="preserve"> with the DHA, GPW and IEC</w:t>
      </w:r>
      <w:r w:rsidR="00B940B1" w:rsidRPr="0035165B">
        <w:rPr>
          <w:rFonts w:ascii="Times New Roman" w:hAnsi="Times New Roman"/>
          <w:bCs/>
          <w:color w:val="auto"/>
          <w:sz w:val="22"/>
          <w:szCs w:val="22"/>
        </w:rPr>
        <w:t xml:space="preserve"> on their Annual Plans and Budgets</w:t>
      </w:r>
      <w:r w:rsidR="00067106" w:rsidRPr="0035165B">
        <w:rPr>
          <w:rFonts w:ascii="Times New Roman" w:hAnsi="Times New Roman"/>
          <w:bCs/>
          <w:color w:val="auto"/>
          <w:sz w:val="22"/>
          <w:szCs w:val="22"/>
        </w:rPr>
        <w:t>.</w:t>
      </w:r>
    </w:p>
    <w:p w14:paraId="37337C9F" w14:textId="77777777" w:rsidR="00124499" w:rsidRPr="0035165B" w:rsidRDefault="00124499" w:rsidP="0098397E">
      <w:pPr>
        <w:spacing w:line="276" w:lineRule="auto"/>
        <w:ind w:right="142"/>
        <w:jc w:val="both"/>
        <w:rPr>
          <w:rFonts w:ascii="Times New Roman" w:hAnsi="Times New Roman"/>
          <w:bCs/>
          <w:color w:val="auto"/>
          <w:sz w:val="22"/>
          <w:szCs w:val="22"/>
        </w:rPr>
      </w:pPr>
    </w:p>
    <w:p w14:paraId="7C7C3620" w14:textId="77777777" w:rsidR="00B940B1" w:rsidRPr="0035165B" w:rsidRDefault="00B940B1" w:rsidP="0098397E">
      <w:pPr>
        <w:spacing w:line="276" w:lineRule="auto"/>
        <w:ind w:right="142"/>
        <w:jc w:val="both"/>
        <w:rPr>
          <w:rFonts w:ascii="Times New Roman" w:hAnsi="Times New Roman"/>
          <w:b/>
          <w:bCs/>
          <w:color w:val="auto"/>
          <w:sz w:val="22"/>
          <w:szCs w:val="22"/>
        </w:rPr>
      </w:pPr>
    </w:p>
    <w:p w14:paraId="433075BE" w14:textId="155E8650" w:rsidR="002B4B92" w:rsidRPr="0035165B" w:rsidRDefault="002B4B92" w:rsidP="0098397E">
      <w:pPr>
        <w:suppressAutoHyphens w:val="0"/>
        <w:autoSpaceDN/>
        <w:spacing w:line="276" w:lineRule="auto"/>
        <w:ind w:right="142"/>
        <w:contextualSpacing/>
        <w:jc w:val="both"/>
        <w:textAlignment w:val="auto"/>
        <w:rPr>
          <w:rFonts w:ascii="Times New Roman" w:hAnsi="Times New Roman"/>
          <w:b/>
          <w:color w:val="auto"/>
          <w:sz w:val="22"/>
          <w:szCs w:val="22"/>
        </w:rPr>
      </w:pPr>
      <w:r w:rsidRPr="0035165B">
        <w:rPr>
          <w:rFonts w:ascii="Times New Roman" w:hAnsi="Times New Roman"/>
          <w:b/>
          <w:color w:val="auto"/>
          <w:sz w:val="22"/>
          <w:szCs w:val="22"/>
        </w:rPr>
        <w:t>The Department of Home Affairs (DHA).</w:t>
      </w:r>
    </w:p>
    <w:p w14:paraId="0F53A904" w14:textId="77777777" w:rsidR="0057487B" w:rsidRPr="0035165B" w:rsidRDefault="0057487B" w:rsidP="00CB4303">
      <w:pPr>
        <w:pStyle w:val="ListParagraph"/>
        <w:numPr>
          <w:ilvl w:val="0"/>
          <w:numId w:val="10"/>
        </w:numPr>
        <w:suppressAutoHyphens w:val="0"/>
        <w:autoSpaceDN/>
        <w:spacing w:line="276" w:lineRule="auto"/>
        <w:ind w:right="142"/>
        <w:contextualSpacing/>
        <w:jc w:val="both"/>
        <w:textAlignment w:val="auto"/>
        <w:rPr>
          <w:rFonts w:ascii="Times New Roman" w:hAnsi="Times New Roman"/>
          <w:vanish/>
          <w:color w:val="auto"/>
          <w:sz w:val="22"/>
          <w:szCs w:val="22"/>
        </w:rPr>
      </w:pPr>
    </w:p>
    <w:p w14:paraId="4E5CAB21" w14:textId="77777777" w:rsidR="0057487B" w:rsidRPr="0035165B" w:rsidRDefault="0057487B" w:rsidP="00CB4303">
      <w:pPr>
        <w:pStyle w:val="ListParagraph"/>
        <w:numPr>
          <w:ilvl w:val="0"/>
          <w:numId w:val="10"/>
        </w:numPr>
        <w:suppressAutoHyphens w:val="0"/>
        <w:autoSpaceDN/>
        <w:spacing w:line="276" w:lineRule="auto"/>
        <w:ind w:right="142"/>
        <w:contextualSpacing/>
        <w:jc w:val="both"/>
        <w:textAlignment w:val="auto"/>
        <w:rPr>
          <w:rFonts w:ascii="Times New Roman" w:hAnsi="Times New Roman"/>
          <w:vanish/>
          <w:color w:val="auto"/>
          <w:sz w:val="22"/>
          <w:szCs w:val="22"/>
        </w:rPr>
      </w:pPr>
    </w:p>
    <w:p w14:paraId="1B28544B" w14:textId="77777777" w:rsidR="0057487B" w:rsidRPr="0035165B" w:rsidRDefault="0057487B" w:rsidP="00CB4303">
      <w:pPr>
        <w:pStyle w:val="ListParagraph"/>
        <w:numPr>
          <w:ilvl w:val="0"/>
          <w:numId w:val="10"/>
        </w:numPr>
        <w:suppressAutoHyphens w:val="0"/>
        <w:autoSpaceDN/>
        <w:spacing w:line="276" w:lineRule="auto"/>
        <w:ind w:right="142"/>
        <w:contextualSpacing/>
        <w:jc w:val="both"/>
        <w:textAlignment w:val="auto"/>
        <w:rPr>
          <w:rFonts w:ascii="Times New Roman" w:hAnsi="Times New Roman"/>
          <w:vanish/>
          <w:color w:val="auto"/>
          <w:sz w:val="22"/>
          <w:szCs w:val="22"/>
        </w:rPr>
      </w:pPr>
    </w:p>
    <w:p w14:paraId="471718A2" w14:textId="77777777" w:rsidR="0057487B" w:rsidRPr="0035165B" w:rsidRDefault="0057487B" w:rsidP="00CB4303">
      <w:pPr>
        <w:pStyle w:val="ListParagraph"/>
        <w:numPr>
          <w:ilvl w:val="0"/>
          <w:numId w:val="10"/>
        </w:numPr>
        <w:suppressAutoHyphens w:val="0"/>
        <w:autoSpaceDN/>
        <w:spacing w:line="276" w:lineRule="auto"/>
        <w:ind w:right="142"/>
        <w:contextualSpacing/>
        <w:jc w:val="both"/>
        <w:textAlignment w:val="auto"/>
        <w:rPr>
          <w:rFonts w:ascii="Times New Roman" w:hAnsi="Times New Roman"/>
          <w:vanish/>
          <w:color w:val="auto"/>
          <w:sz w:val="22"/>
          <w:szCs w:val="22"/>
        </w:rPr>
      </w:pPr>
    </w:p>
    <w:p w14:paraId="105BBC1B" w14:textId="23FC11B1" w:rsidR="00B55B52" w:rsidRPr="0035165B" w:rsidRDefault="002B4B9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The DHA has been underfunded and this will have an impact on the implementation of the Border Management Authority (BMA) considering that the DHA might not be able to employ personnel to BMA because of the Compensation of Employee (COE) ceiling. South African borders are porous and the Committee still wants to see the roll-out plan of the BMA</w:t>
      </w:r>
      <w:r w:rsidR="00B55B52" w:rsidRPr="0035165B">
        <w:rPr>
          <w:rFonts w:ascii="Times New Roman" w:hAnsi="Times New Roman"/>
          <w:color w:val="auto"/>
          <w:sz w:val="22"/>
          <w:szCs w:val="22"/>
        </w:rPr>
        <w:t xml:space="preserve">. </w:t>
      </w:r>
      <w:r w:rsidR="009910C5" w:rsidRPr="0035165B">
        <w:rPr>
          <w:rFonts w:ascii="Times New Roman" w:hAnsi="Times New Roman"/>
          <w:color w:val="auto"/>
          <w:sz w:val="22"/>
          <w:szCs w:val="22"/>
        </w:rPr>
        <w:t>On the issue of the BMA budget decreasing, the Commissioner indicated the BMA budget was R196 million. There is an integration that is supposed to happen</w:t>
      </w:r>
      <w:r w:rsidR="00124499" w:rsidRPr="0035165B">
        <w:rPr>
          <w:rFonts w:ascii="Times New Roman" w:hAnsi="Times New Roman"/>
          <w:color w:val="auto"/>
          <w:sz w:val="22"/>
          <w:szCs w:val="22"/>
        </w:rPr>
        <w:t xml:space="preserve"> as follows:</w:t>
      </w:r>
      <w:r w:rsidR="009910C5" w:rsidRPr="0035165B">
        <w:rPr>
          <w:rFonts w:ascii="Times New Roman" w:hAnsi="Times New Roman"/>
          <w:color w:val="auto"/>
          <w:sz w:val="22"/>
          <w:szCs w:val="22"/>
        </w:rPr>
        <w:t xml:space="preserve"> 1) transfer of functions from different departments to the BMA, 2) transfer of employees together with their budgets 3) transfer of the tools of trades. Once this has been done, the BMA will approach the National Treasury for the budgets of the employees to be transferred to the BMA. </w:t>
      </w:r>
    </w:p>
    <w:p w14:paraId="2A4C20A4" w14:textId="3987CA22" w:rsidR="00B55B52"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 xml:space="preserve">The Committee </w:t>
      </w:r>
      <w:r w:rsidR="008C5A29">
        <w:rPr>
          <w:rFonts w:ascii="Times New Roman" w:hAnsi="Times New Roman"/>
          <w:color w:val="auto"/>
          <w:sz w:val="22"/>
          <w:szCs w:val="22"/>
        </w:rPr>
        <w:t>noted the delayed</w:t>
      </w:r>
      <w:r w:rsidRPr="0035165B">
        <w:rPr>
          <w:rFonts w:ascii="Times New Roman" w:hAnsi="Times New Roman"/>
          <w:color w:val="auto"/>
          <w:sz w:val="22"/>
          <w:szCs w:val="22"/>
        </w:rPr>
        <w:t xml:space="preserve"> implementation of Phase 1 of the Automated Biometrics Identification System (ABIS).</w:t>
      </w:r>
    </w:p>
    <w:p w14:paraId="56A584A3" w14:textId="77777777" w:rsidR="009910C5"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Businesses that are found to have employed undocumented foreign nationals are not being fined and the Department of Home Affairs should work more closely with the Department of Employment and Labour.</w:t>
      </w:r>
      <w:r w:rsidR="009910C5" w:rsidRPr="0035165B">
        <w:rPr>
          <w:rFonts w:ascii="Times New Roman" w:hAnsi="Times New Roman"/>
          <w:color w:val="auto"/>
          <w:sz w:val="22"/>
          <w:szCs w:val="22"/>
        </w:rPr>
        <w:t xml:space="preserve"> </w:t>
      </w:r>
    </w:p>
    <w:p w14:paraId="458CFC55" w14:textId="18B81534" w:rsidR="00B55B52" w:rsidRPr="0035165B" w:rsidRDefault="009910C5"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lastRenderedPageBreak/>
        <w:t>The DHA was not implementing immigration laws in a way to work on social cohesion and prevent the mushrooming of civil groups that want to take laws into their own hands.  It is noted that most of the risk of xenophobia was happening in the metropolitan areas. The DG indicated that the joint operations that are conducted are ongoing and the Ministers of Home Affairs and Employment and Labour are joint chairpersons of the Task Team on Migration.</w:t>
      </w:r>
    </w:p>
    <w:p w14:paraId="779AC5D0" w14:textId="6A716647" w:rsidR="00B55B52"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The Committee indicated that since 2018-19 financial year, the staff complement at the DHA has inc</w:t>
      </w:r>
      <w:r w:rsidR="00124499" w:rsidRPr="0035165B">
        <w:rPr>
          <w:rFonts w:ascii="Times New Roman" w:hAnsi="Times New Roman"/>
          <w:color w:val="auto"/>
          <w:sz w:val="22"/>
          <w:szCs w:val="22"/>
        </w:rPr>
        <w:t xml:space="preserve">reased, </w:t>
      </w:r>
      <w:r w:rsidRPr="0035165B">
        <w:rPr>
          <w:rFonts w:ascii="Times New Roman" w:hAnsi="Times New Roman"/>
          <w:color w:val="auto"/>
          <w:sz w:val="22"/>
          <w:szCs w:val="22"/>
        </w:rPr>
        <w:t>however, the productivity does not appear to have increased much at all. The Committee noted that the DHA would employ about 10,000 young people over a period to work on the digitisation of the Civic services records.</w:t>
      </w:r>
      <w:r w:rsidR="002B5FFA" w:rsidRPr="0035165B">
        <w:rPr>
          <w:rFonts w:ascii="Times New Roman" w:hAnsi="Times New Roman"/>
          <w:color w:val="auto"/>
          <w:sz w:val="22"/>
          <w:szCs w:val="22"/>
        </w:rPr>
        <w:t xml:space="preserve">  The DG indicated that the staff complement has not increased much in the last ten years because the calculations did not take into consideration natural attrition, and people who leave the DHA.  </w:t>
      </w:r>
      <w:r w:rsidR="00124499" w:rsidRPr="0035165B">
        <w:rPr>
          <w:rFonts w:ascii="Times New Roman" w:hAnsi="Times New Roman"/>
          <w:color w:val="auto"/>
          <w:sz w:val="22"/>
          <w:szCs w:val="22"/>
        </w:rPr>
        <w:t>I</w:t>
      </w:r>
      <w:r w:rsidR="002B5FFA" w:rsidRPr="0035165B">
        <w:rPr>
          <w:rFonts w:ascii="Times New Roman" w:hAnsi="Times New Roman"/>
          <w:color w:val="auto"/>
          <w:sz w:val="22"/>
          <w:szCs w:val="22"/>
        </w:rPr>
        <w:t>n 2018 the Department lost 477 staff, 2019 - 214, 2021 – 168 and 2022 – 181.</w:t>
      </w:r>
    </w:p>
    <w:p w14:paraId="07A3A877" w14:textId="5054F795" w:rsidR="00B55B52"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The Commi</w:t>
      </w:r>
      <w:r w:rsidR="002B5FFA" w:rsidRPr="0035165B">
        <w:rPr>
          <w:rFonts w:ascii="Times New Roman" w:hAnsi="Times New Roman"/>
          <w:color w:val="auto"/>
          <w:sz w:val="22"/>
          <w:szCs w:val="22"/>
        </w:rPr>
        <w:t>ttee noted</w:t>
      </w:r>
      <w:r w:rsidRPr="0035165B">
        <w:rPr>
          <w:rFonts w:ascii="Times New Roman" w:hAnsi="Times New Roman"/>
          <w:color w:val="auto"/>
          <w:sz w:val="22"/>
          <w:szCs w:val="22"/>
        </w:rPr>
        <w:t xml:space="preserve"> that the Department of Home Affairs </w:t>
      </w:r>
      <w:r w:rsidR="00AC41F3" w:rsidRPr="0035165B">
        <w:rPr>
          <w:rFonts w:ascii="Times New Roman" w:hAnsi="Times New Roman"/>
          <w:color w:val="auto"/>
          <w:sz w:val="22"/>
          <w:szCs w:val="22"/>
        </w:rPr>
        <w:t xml:space="preserve">was at an impasse in their </w:t>
      </w:r>
      <w:r w:rsidRPr="0035165B">
        <w:rPr>
          <w:rFonts w:ascii="Times New Roman" w:hAnsi="Times New Roman"/>
          <w:color w:val="auto"/>
          <w:sz w:val="22"/>
          <w:szCs w:val="22"/>
        </w:rPr>
        <w:t>engage</w:t>
      </w:r>
      <w:r w:rsidR="00AC41F3" w:rsidRPr="0035165B">
        <w:rPr>
          <w:rFonts w:ascii="Times New Roman" w:hAnsi="Times New Roman"/>
          <w:color w:val="auto"/>
          <w:sz w:val="22"/>
          <w:szCs w:val="22"/>
        </w:rPr>
        <w:t>ment</w:t>
      </w:r>
      <w:r w:rsidRPr="0035165B">
        <w:rPr>
          <w:rFonts w:ascii="Times New Roman" w:hAnsi="Times New Roman"/>
          <w:color w:val="auto"/>
          <w:sz w:val="22"/>
          <w:szCs w:val="22"/>
        </w:rPr>
        <w:t xml:space="preserve"> with the unions on the matter of the DHA opening offices on Saturdays</w:t>
      </w:r>
      <w:r w:rsidR="00AC41F3" w:rsidRPr="0035165B">
        <w:rPr>
          <w:rFonts w:ascii="Times New Roman" w:hAnsi="Times New Roman"/>
          <w:color w:val="auto"/>
          <w:sz w:val="22"/>
          <w:szCs w:val="22"/>
        </w:rPr>
        <w:t xml:space="preserve"> until such time at the DHA bill was passed making DHA staff essential workers.</w:t>
      </w:r>
    </w:p>
    <w:p w14:paraId="25725E66" w14:textId="448AE862" w:rsidR="00B55B52"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The Committee was concerned about the long queues at the offices of the Department of Home Affairs. This could be due to the shortage of staff or the system downtime. The booking system that was being piloted was working very well but there was no rollout plan</w:t>
      </w:r>
      <w:r w:rsidR="00AC41F3" w:rsidRPr="0035165B">
        <w:rPr>
          <w:rFonts w:ascii="Times New Roman" w:hAnsi="Times New Roman"/>
          <w:color w:val="auto"/>
          <w:sz w:val="22"/>
          <w:szCs w:val="22"/>
        </w:rPr>
        <w:t xml:space="preserve"> shared</w:t>
      </w:r>
      <w:r w:rsidRPr="0035165B">
        <w:rPr>
          <w:rFonts w:ascii="Times New Roman" w:hAnsi="Times New Roman"/>
          <w:color w:val="auto"/>
          <w:sz w:val="22"/>
          <w:szCs w:val="22"/>
        </w:rPr>
        <w:t>.</w:t>
      </w:r>
      <w:r w:rsidR="00AC41F3" w:rsidRPr="0035165B">
        <w:rPr>
          <w:rFonts w:ascii="Times New Roman" w:hAnsi="Times New Roman"/>
          <w:color w:val="auto"/>
          <w:sz w:val="22"/>
          <w:szCs w:val="22"/>
        </w:rPr>
        <w:t xml:space="preserve"> The DG indicated that the DHA has a school visitation project and during</w:t>
      </w:r>
      <w:r w:rsidR="001375EA">
        <w:rPr>
          <w:rFonts w:ascii="Times New Roman" w:hAnsi="Times New Roman"/>
          <w:color w:val="auto"/>
          <w:sz w:val="22"/>
          <w:szCs w:val="22"/>
        </w:rPr>
        <w:t xml:space="preserve"> a returning children to school.</w:t>
      </w:r>
      <w:r w:rsidR="00AC41F3" w:rsidRPr="0035165B">
        <w:rPr>
          <w:rFonts w:ascii="Times New Roman" w:hAnsi="Times New Roman"/>
          <w:color w:val="auto"/>
          <w:sz w:val="22"/>
          <w:szCs w:val="22"/>
        </w:rPr>
        <w:t xml:space="preserve"> </w:t>
      </w:r>
    </w:p>
    <w:p w14:paraId="2F9C247B" w14:textId="3A51F9DB" w:rsidR="00B55B52"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The DHA</w:t>
      </w:r>
      <w:r w:rsidR="008C5A29">
        <w:rPr>
          <w:rFonts w:ascii="Times New Roman" w:hAnsi="Times New Roman"/>
          <w:color w:val="auto"/>
          <w:sz w:val="22"/>
          <w:szCs w:val="22"/>
        </w:rPr>
        <w:t xml:space="preserve"> was not present in enough</w:t>
      </w:r>
      <w:r w:rsidRPr="0035165B">
        <w:rPr>
          <w:rFonts w:ascii="Times New Roman" w:hAnsi="Times New Roman"/>
          <w:color w:val="auto"/>
          <w:sz w:val="22"/>
          <w:szCs w:val="22"/>
        </w:rPr>
        <w:t xml:space="preserve"> hospitals to ensure that births were registered at the hospitals and this could assist with cutting</w:t>
      </w:r>
      <w:r w:rsidR="00537446" w:rsidRPr="0035165B">
        <w:rPr>
          <w:rFonts w:ascii="Times New Roman" w:hAnsi="Times New Roman"/>
          <w:color w:val="auto"/>
          <w:sz w:val="22"/>
          <w:szCs w:val="22"/>
        </w:rPr>
        <w:t xml:space="preserve"> long queues at the DHA offices a</w:t>
      </w:r>
      <w:r w:rsidR="008C5A29">
        <w:rPr>
          <w:rFonts w:ascii="Times New Roman" w:hAnsi="Times New Roman"/>
          <w:color w:val="auto"/>
          <w:sz w:val="22"/>
          <w:szCs w:val="22"/>
        </w:rPr>
        <w:t>long with continuing extended closing hours to 19:00</w:t>
      </w:r>
      <w:r w:rsidR="00537446" w:rsidRPr="0035165B">
        <w:rPr>
          <w:rFonts w:ascii="Times New Roman" w:hAnsi="Times New Roman"/>
          <w:color w:val="auto"/>
          <w:sz w:val="22"/>
          <w:szCs w:val="22"/>
        </w:rPr>
        <w:t>.</w:t>
      </w:r>
    </w:p>
    <w:p w14:paraId="143049B8" w14:textId="66E17487" w:rsidR="00B55B52"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 xml:space="preserve">The Committee wanted to ascertain if the Gender-Based Violence and Femicide awareness </w:t>
      </w:r>
      <w:r w:rsidR="002B5FFA" w:rsidRPr="0035165B">
        <w:rPr>
          <w:rFonts w:ascii="Times New Roman" w:hAnsi="Times New Roman"/>
          <w:color w:val="auto"/>
          <w:sz w:val="22"/>
          <w:szCs w:val="22"/>
        </w:rPr>
        <w:t>was</w:t>
      </w:r>
      <w:r w:rsidRPr="0035165B">
        <w:rPr>
          <w:rFonts w:ascii="Times New Roman" w:hAnsi="Times New Roman"/>
          <w:color w:val="auto"/>
          <w:sz w:val="22"/>
          <w:szCs w:val="22"/>
        </w:rPr>
        <w:t xml:space="preserve"> conducted with members of the public or internally in the Department.</w:t>
      </w:r>
    </w:p>
    <w:p w14:paraId="1B88D2D1" w14:textId="6443570C" w:rsidR="00B55B52"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It was noted that the Counter Corruption and Security Services of the DHA were working very hard and one of the issues raised was the arrest of an individual in Hillbrow wherein the Department’s documents and other documents were found</w:t>
      </w:r>
      <w:r w:rsidR="00AC41F3" w:rsidRPr="0035165B">
        <w:rPr>
          <w:rFonts w:ascii="Times New Roman" w:hAnsi="Times New Roman"/>
          <w:color w:val="auto"/>
          <w:sz w:val="22"/>
          <w:szCs w:val="22"/>
        </w:rPr>
        <w:t xml:space="preserve"> and whether it was</w:t>
      </w:r>
      <w:r w:rsidRPr="0035165B">
        <w:rPr>
          <w:rFonts w:ascii="Times New Roman" w:hAnsi="Times New Roman"/>
          <w:color w:val="auto"/>
          <w:sz w:val="22"/>
          <w:szCs w:val="22"/>
        </w:rPr>
        <w:t xml:space="preserve"> investigated if this </w:t>
      </w:r>
      <w:r w:rsidR="00AC41F3" w:rsidRPr="0035165B">
        <w:rPr>
          <w:rFonts w:ascii="Times New Roman" w:hAnsi="Times New Roman"/>
          <w:color w:val="auto"/>
          <w:sz w:val="22"/>
          <w:szCs w:val="22"/>
        </w:rPr>
        <w:t>related to</w:t>
      </w:r>
      <w:r w:rsidRPr="0035165B">
        <w:rPr>
          <w:rFonts w:ascii="Times New Roman" w:hAnsi="Times New Roman"/>
          <w:color w:val="auto"/>
          <w:sz w:val="22"/>
          <w:szCs w:val="22"/>
        </w:rPr>
        <w:t xml:space="preserve"> other operations in other parts of the country.</w:t>
      </w:r>
    </w:p>
    <w:p w14:paraId="6B0C4D87" w14:textId="35A704CF" w:rsidR="00B55B52" w:rsidRPr="0035165B" w:rsidRDefault="00B55B52"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The Committee raised the issue of the Head Office at Hallmark and other offices in the country that they were dilapidated</w:t>
      </w:r>
      <w:r w:rsidR="00AC41F3" w:rsidRPr="0035165B">
        <w:rPr>
          <w:rFonts w:ascii="Times New Roman" w:hAnsi="Times New Roman"/>
          <w:color w:val="auto"/>
          <w:sz w:val="22"/>
          <w:szCs w:val="22"/>
        </w:rPr>
        <w:t>. The DG indicated that the DHA has registered a new building through a Public Private Partnership via National Treasury.</w:t>
      </w:r>
    </w:p>
    <w:p w14:paraId="3BDBFA58" w14:textId="58C0CFA8" w:rsidR="00537446" w:rsidRPr="0035165B" w:rsidRDefault="00AC41F3"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Not</w:t>
      </w:r>
      <w:r w:rsidR="00B55B52" w:rsidRPr="0035165B">
        <w:rPr>
          <w:rFonts w:ascii="Times New Roman" w:hAnsi="Times New Roman"/>
          <w:color w:val="auto"/>
          <w:sz w:val="22"/>
          <w:szCs w:val="22"/>
        </w:rPr>
        <w:t xml:space="preserve"> all DHA offices </w:t>
      </w:r>
      <w:r w:rsidRPr="0035165B">
        <w:rPr>
          <w:rFonts w:ascii="Times New Roman" w:hAnsi="Times New Roman"/>
          <w:color w:val="auto"/>
          <w:sz w:val="22"/>
          <w:szCs w:val="22"/>
        </w:rPr>
        <w:t xml:space="preserve">were modernised </w:t>
      </w:r>
      <w:r w:rsidR="00B55B52" w:rsidRPr="0035165B">
        <w:rPr>
          <w:rFonts w:ascii="Times New Roman" w:hAnsi="Times New Roman"/>
          <w:color w:val="auto"/>
          <w:sz w:val="22"/>
          <w:szCs w:val="22"/>
        </w:rPr>
        <w:t>to ensure that the</w:t>
      </w:r>
      <w:r w:rsidRPr="0035165B">
        <w:rPr>
          <w:rFonts w:ascii="Times New Roman" w:hAnsi="Times New Roman"/>
          <w:color w:val="auto"/>
          <w:sz w:val="22"/>
          <w:szCs w:val="22"/>
        </w:rPr>
        <w:t xml:space="preserve">y </w:t>
      </w:r>
      <w:r w:rsidR="00B55B52" w:rsidRPr="0035165B">
        <w:rPr>
          <w:rFonts w:ascii="Times New Roman" w:hAnsi="Times New Roman"/>
          <w:color w:val="auto"/>
          <w:sz w:val="22"/>
          <w:szCs w:val="22"/>
        </w:rPr>
        <w:t>provide the same service all over the country</w:t>
      </w:r>
      <w:r w:rsidRPr="0035165B">
        <w:rPr>
          <w:rFonts w:ascii="Times New Roman" w:hAnsi="Times New Roman"/>
          <w:color w:val="auto"/>
          <w:sz w:val="22"/>
          <w:szCs w:val="22"/>
        </w:rPr>
        <w:t xml:space="preserve">. The DHA </w:t>
      </w:r>
      <w:r w:rsidR="00537446" w:rsidRPr="0035165B">
        <w:rPr>
          <w:rFonts w:ascii="Times New Roman" w:hAnsi="Times New Roman"/>
          <w:color w:val="auto"/>
          <w:sz w:val="22"/>
          <w:szCs w:val="22"/>
        </w:rPr>
        <w:t xml:space="preserve">indicated that they </w:t>
      </w:r>
      <w:r w:rsidRPr="0035165B">
        <w:rPr>
          <w:rFonts w:ascii="Times New Roman" w:hAnsi="Times New Roman"/>
          <w:color w:val="auto"/>
          <w:sz w:val="22"/>
          <w:szCs w:val="22"/>
        </w:rPr>
        <w:t>had procured 10 mobile trucks that were being fitted with the equipment and additional 15 trucks would be procured in this financial year.</w:t>
      </w:r>
    </w:p>
    <w:p w14:paraId="0C996E6E" w14:textId="6FCA6E19" w:rsidR="00537446" w:rsidRPr="00251C62" w:rsidRDefault="00537446" w:rsidP="00251C62">
      <w:pPr>
        <w:suppressAutoHyphens w:val="0"/>
        <w:autoSpaceDN/>
        <w:spacing w:line="276" w:lineRule="auto"/>
        <w:ind w:right="142"/>
        <w:contextualSpacing/>
        <w:jc w:val="both"/>
        <w:textAlignment w:val="auto"/>
        <w:rPr>
          <w:rFonts w:ascii="Times New Roman" w:hAnsi="Times New Roman"/>
          <w:b/>
          <w:bCs/>
          <w:color w:val="auto"/>
          <w:sz w:val="22"/>
          <w:szCs w:val="22"/>
        </w:rPr>
      </w:pPr>
      <w:r w:rsidRPr="0035165B">
        <w:rPr>
          <w:rFonts w:ascii="Times New Roman" w:hAnsi="Times New Roman"/>
          <w:b/>
          <w:bCs/>
          <w:color w:val="auto"/>
          <w:sz w:val="22"/>
          <w:szCs w:val="22"/>
        </w:rPr>
        <w:t>The Electoral Commission (IEC).</w:t>
      </w:r>
    </w:p>
    <w:p w14:paraId="1ECC0FED" w14:textId="03232513" w:rsidR="00537446" w:rsidRPr="0035165B" w:rsidRDefault="00537446"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sz w:val="22"/>
          <w:szCs w:val="22"/>
        </w:rPr>
        <w:t>The Committee was concerned about the 2021 Local Government Elections turnout. The IEC indicated that the Commission was starting to prepare for the 2024 elections and had conducted a review with the National Political Liaison Committee. The IEC has embraced social media</w:t>
      </w:r>
      <w:r w:rsidR="006F4EC1" w:rsidRPr="0035165B">
        <w:rPr>
          <w:rFonts w:ascii="Times New Roman" w:hAnsi="Times New Roman"/>
          <w:sz w:val="22"/>
          <w:szCs w:val="22"/>
        </w:rPr>
        <w:t xml:space="preserve"> in addition to traditional media</w:t>
      </w:r>
      <w:r w:rsidRPr="0035165B">
        <w:rPr>
          <w:rFonts w:ascii="Times New Roman" w:hAnsi="Times New Roman"/>
          <w:sz w:val="22"/>
          <w:szCs w:val="22"/>
        </w:rPr>
        <w:t xml:space="preserve"> and developed a framework to address this</w:t>
      </w:r>
      <w:r w:rsidR="006F4EC1" w:rsidRPr="0035165B">
        <w:rPr>
          <w:rFonts w:ascii="Times New Roman" w:hAnsi="Times New Roman"/>
          <w:sz w:val="22"/>
          <w:szCs w:val="22"/>
        </w:rPr>
        <w:t>.</w:t>
      </w:r>
      <w:r w:rsidRPr="0035165B">
        <w:rPr>
          <w:rFonts w:ascii="Times New Roman" w:hAnsi="Times New Roman"/>
          <w:sz w:val="22"/>
          <w:szCs w:val="22"/>
        </w:rPr>
        <w:t xml:space="preserve"> </w:t>
      </w:r>
      <w:r w:rsidR="006F4EC1" w:rsidRPr="0035165B">
        <w:rPr>
          <w:rFonts w:ascii="Times New Roman" w:hAnsi="Times New Roman"/>
          <w:sz w:val="22"/>
          <w:szCs w:val="22"/>
        </w:rPr>
        <w:t>There is still a concern</w:t>
      </w:r>
      <w:r w:rsidRPr="0035165B">
        <w:rPr>
          <w:rFonts w:ascii="Times New Roman" w:hAnsi="Times New Roman"/>
          <w:sz w:val="22"/>
          <w:szCs w:val="22"/>
        </w:rPr>
        <w:t xml:space="preserve"> about </w:t>
      </w:r>
      <w:r w:rsidR="006F4EC1" w:rsidRPr="0035165B">
        <w:rPr>
          <w:rFonts w:ascii="Times New Roman" w:hAnsi="Times New Roman"/>
          <w:sz w:val="22"/>
          <w:szCs w:val="22"/>
        </w:rPr>
        <w:t xml:space="preserve">the spread of </w:t>
      </w:r>
      <w:r w:rsidRPr="0035165B">
        <w:rPr>
          <w:rFonts w:ascii="Times New Roman" w:hAnsi="Times New Roman"/>
          <w:sz w:val="22"/>
          <w:szCs w:val="22"/>
        </w:rPr>
        <w:t>misinformation.</w:t>
      </w:r>
    </w:p>
    <w:p w14:paraId="779D27DF" w14:textId="38927E46" w:rsidR="00537446" w:rsidRPr="0035165B" w:rsidRDefault="00537446"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sz w:val="22"/>
          <w:szCs w:val="22"/>
        </w:rPr>
        <w:t>The target on the number of the registered voters was reduced to 26.1 million meanwhile in the previous year the target was R26.5 million voters. The IEC and the political parties had not put in enough effort into voter registration. The IEC reported that reduced numbers of registered voters, in part related to the rate of mortality but in 2024, the target would be revised.</w:t>
      </w:r>
    </w:p>
    <w:p w14:paraId="4CA5BF04" w14:textId="23DF9145" w:rsidR="006F4EC1" w:rsidRPr="003F7662" w:rsidRDefault="00537446"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sz w:val="22"/>
          <w:szCs w:val="22"/>
        </w:rPr>
        <w:t xml:space="preserve">The Committee noted that the IEC was involved in Civic Education at Wits </w:t>
      </w:r>
      <w:r w:rsidR="006F4EC1" w:rsidRPr="0035165B">
        <w:rPr>
          <w:rFonts w:ascii="Times New Roman" w:hAnsi="Times New Roman"/>
          <w:sz w:val="22"/>
          <w:szCs w:val="22"/>
        </w:rPr>
        <w:t>but enquired about further educational initiatives.</w:t>
      </w:r>
    </w:p>
    <w:p w14:paraId="64E408FB" w14:textId="69DEA4C9" w:rsidR="00FE3D09" w:rsidRPr="0035165B" w:rsidRDefault="00FE3D09" w:rsidP="00251C62">
      <w:pPr>
        <w:suppressAutoHyphens w:val="0"/>
        <w:autoSpaceDN/>
        <w:spacing w:line="276" w:lineRule="auto"/>
        <w:ind w:right="142"/>
        <w:contextualSpacing/>
        <w:jc w:val="both"/>
        <w:textAlignment w:val="auto"/>
        <w:rPr>
          <w:rFonts w:ascii="Times New Roman" w:hAnsi="Times New Roman"/>
          <w:color w:val="auto"/>
          <w:sz w:val="22"/>
          <w:szCs w:val="22"/>
        </w:rPr>
      </w:pPr>
      <w:r w:rsidRPr="0035165B">
        <w:rPr>
          <w:rFonts w:ascii="Times New Roman" w:hAnsi="Times New Roman"/>
          <w:b/>
          <w:color w:val="auto"/>
          <w:sz w:val="22"/>
          <w:szCs w:val="22"/>
        </w:rPr>
        <w:t>The Government Printing Works</w:t>
      </w:r>
      <w:r w:rsidR="006F4EC1" w:rsidRPr="0035165B">
        <w:rPr>
          <w:rFonts w:ascii="Times New Roman" w:hAnsi="Times New Roman"/>
          <w:b/>
          <w:color w:val="auto"/>
          <w:sz w:val="22"/>
          <w:szCs w:val="22"/>
        </w:rPr>
        <w:t xml:space="preserve"> (GPW)</w:t>
      </w:r>
    </w:p>
    <w:p w14:paraId="3EEB45F3" w14:textId="5D66EBE6" w:rsidR="006F4EC1" w:rsidRPr="0035165B" w:rsidRDefault="008F7AE5" w:rsidP="00CB4303">
      <w:pPr>
        <w:pStyle w:val="ListParagraph"/>
        <w:numPr>
          <w:ilvl w:val="1"/>
          <w:numId w:val="10"/>
        </w:numPr>
        <w:suppressAutoHyphens w:val="0"/>
        <w:autoSpaceDN/>
        <w:spacing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sz w:val="22"/>
          <w:szCs w:val="22"/>
        </w:rPr>
        <w:t xml:space="preserve">The Committee was concerned about the relationship between GPW Management and the labour unions at GPW. </w:t>
      </w:r>
      <w:r w:rsidR="006F4EC1" w:rsidRPr="0035165B">
        <w:rPr>
          <w:rFonts w:ascii="Times New Roman" w:hAnsi="Times New Roman"/>
          <w:sz w:val="22"/>
          <w:szCs w:val="22"/>
        </w:rPr>
        <w:t>It was reported that</w:t>
      </w:r>
      <w:r w:rsidRPr="0035165B">
        <w:rPr>
          <w:rFonts w:ascii="Times New Roman" w:hAnsi="Times New Roman"/>
          <w:sz w:val="22"/>
          <w:szCs w:val="22"/>
        </w:rPr>
        <w:t xml:space="preserve"> </w:t>
      </w:r>
      <w:r w:rsidR="006F4EC1" w:rsidRPr="0035165B">
        <w:rPr>
          <w:rFonts w:ascii="Times New Roman" w:hAnsi="Times New Roman"/>
          <w:sz w:val="22"/>
          <w:szCs w:val="22"/>
        </w:rPr>
        <w:t>regarding</w:t>
      </w:r>
      <w:r w:rsidRPr="0035165B">
        <w:rPr>
          <w:rFonts w:ascii="Times New Roman" w:hAnsi="Times New Roman"/>
          <w:sz w:val="22"/>
          <w:szCs w:val="22"/>
        </w:rPr>
        <w:t xml:space="preserve"> the Public Servants Association of South Africa (PSA), a lot has happened. GPW Management has taken a stance on ill-discipline. The source of the conflict was the benchmarking project. </w:t>
      </w:r>
      <w:r w:rsidR="006F4EC1" w:rsidRPr="0035165B">
        <w:rPr>
          <w:rFonts w:ascii="Times New Roman" w:hAnsi="Times New Roman"/>
          <w:sz w:val="22"/>
          <w:szCs w:val="22"/>
        </w:rPr>
        <w:t>L</w:t>
      </w:r>
      <w:r w:rsidRPr="0035165B">
        <w:rPr>
          <w:rFonts w:ascii="Times New Roman" w:hAnsi="Times New Roman"/>
          <w:sz w:val="22"/>
          <w:szCs w:val="22"/>
        </w:rPr>
        <w:t>abour indicated that after the benchmarking, the previous CEO promised them monetary compensation. The workers went on an illegal strike. The matter went to court and the judge ruled in favour of GPW.</w:t>
      </w:r>
    </w:p>
    <w:p w14:paraId="2F045173" w14:textId="77777777" w:rsidR="006F4EC1" w:rsidRPr="0035165B" w:rsidRDefault="008F7AE5"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sz w:val="22"/>
          <w:szCs w:val="22"/>
        </w:rPr>
        <w:lastRenderedPageBreak/>
        <w:t>There was no breakdown of the budgets in terms of the programmes</w:t>
      </w:r>
      <w:r w:rsidR="006F4EC1" w:rsidRPr="0035165B">
        <w:rPr>
          <w:rFonts w:ascii="Times New Roman" w:hAnsi="Times New Roman"/>
          <w:sz w:val="22"/>
          <w:szCs w:val="22"/>
        </w:rPr>
        <w:t>/branches in the APP, Budget or Presentation</w:t>
      </w:r>
      <w:r w:rsidRPr="0035165B">
        <w:rPr>
          <w:rFonts w:ascii="Times New Roman" w:hAnsi="Times New Roman"/>
          <w:sz w:val="22"/>
          <w:szCs w:val="22"/>
        </w:rPr>
        <w:t xml:space="preserve"> but the GPW indicated that this could be provided.</w:t>
      </w:r>
    </w:p>
    <w:p w14:paraId="493186F2" w14:textId="77777777" w:rsidR="006F4EC1" w:rsidRPr="0035165B" w:rsidRDefault="008F7AE5"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sz w:val="22"/>
          <w:szCs w:val="22"/>
        </w:rPr>
        <w:t xml:space="preserve">The Committee </w:t>
      </w:r>
      <w:r w:rsidR="006F4EC1" w:rsidRPr="0035165B">
        <w:rPr>
          <w:rFonts w:ascii="Times New Roman" w:hAnsi="Times New Roman"/>
          <w:sz w:val="22"/>
          <w:szCs w:val="22"/>
        </w:rPr>
        <w:t>the continued number of</w:t>
      </w:r>
      <w:r w:rsidRPr="0035165B">
        <w:rPr>
          <w:rFonts w:ascii="Times New Roman" w:hAnsi="Times New Roman"/>
          <w:sz w:val="22"/>
          <w:szCs w:val="22"/>
        </w:rPr>
        <w:t xml:space="preserve"> vacancies that needed to fill in the new organisational structure.</w:t>
      </w:r>
    </w:p>
    <w:p w14:paraId="79CF81FE" w14:textId="77777777" w:rsidR="006F4EC1" w:rsidRPr="0035165B" w:rsidRDefault="008F7AE5"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sz w:val="22"/>
          <w:szCs w:val="22"/>
        </w:rPr>
        <w:t>The Committee was concerned about the delay by the DPW &amp; I about the Masterplan and there was a need to interact with the Portfolio Committee on Public Works and Infrastructure. The competition of the Masterplan becomes critical when it comes to engaging with other countries in the African continent.</w:t>
      </w:r>
    </w:p>
    <w:p w14:paraId="403CA24B" w14:textId="3330DBA3" w:rsidR="008F7AE5" w:rsidRPr="00277585" w:rsidRDefault="006F4EC1" w:rsidP="00CB4303">
      <w:pPr>
        <w:pStyle w:val="ListParagraph"/>
        <w:numPr>
          <w:ilvl w:val="1"/>
          <w:numId w:val="10"/>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sz w:val="22"/>
          <w:szCs w:val="22"/>
        </w:rPr>
        <w:t xml:space="preserve">The Committee noted an unclear change in the outcome under the Office of the CEO relating to internal Audit to include reference to consultants. </w:t>
      </w:r>
      <w:r w:rsidR="008F7AE5" w:rsidRPr="0035165B">
        <w:rPr>
          <w:rFonts w:ascii="Times New Roman" w:hAnsi="Times New Roman"/>
          <w:sz w:val="22"/>
          <w:szCs w:val="22"/>
        </w:rPr>
        <w:t>The CEO of GPW reported that the Internal Audit should remain independent and it is not consultancy as such.</w:t>
      </w:r>
    </w:p>
    <w:p w14:paraId="2F0E379B" w14:textId="5C39C757" w:rsidR="002B4B92" w:rsidRPr="0035165B" w:rsidRDefault="00FE3D09" w:rsidP="00CB4303">
      <w:pPr>
        <w:pStyle w:val="Heading1"/>
        <w:numPr>
          <w:ilvl w:val="0"/>
          <w:numId w:val="10"/>
        </w:numPr>
        <w:spacing w:line="276" w:lineRule="auto"/>
        <w:rPr>
          <w:rFonts w:cs="Times New Roman"/>
          <w:sz w:val="22"/>
          <w:szCs w:val="22"/>
        </w:rPr>
      </w:pPr>
      <w:r w:rsidRPr="0035165B">
        <w:rPr>
          <w:rFonts w:cs="Times New Roman"/>
          <w:sz w:val="22"/>
          <w:szCs w:val="22"/>
        </w:rPr>
        <w:t>RECOMMENDATIONS.</w:t>
      </w:r>
    </w:p>
    <w:p w14:paraId="051DF20B" w14:textId="18EF1B17" w:rsidR="004F256F" w:rsidRPr="0035165B" w:rsidRDefault="004F256F" w:rsidP="0098397E">
      <w:pPr>
        <w:suppressAutoHyphens w:val="0"/>
        <w:autoSpaceDN/>
        <w:spacing w:after="200" w:line="276" w:lineRule="auto"/>
        <w:ind w:right="142"/>
        <w:contextualSpacing/>
        <w:jc w:val="both"/>
        <w:textAlignment w:val="auto"/>
        <w:rPr>
          <w:rFonts w:ascii="Times New Roman" w:hAnsi="Times New Roman"/>
          <w:b/>
          <w:color w:val="auto"/>
          <w:sz w:val="22"/>
          <w:szCs w:val="22"/>
        </w:rPr>
      </w:pPr>
    </w:p>
    <w:p w14:paraId="6633B6A1" w14:textId="3A8AE089" w:rsidR="00B34C7C" w:rsidRPr="0035165B" w:rsidRDefault="00FE3D09" w:rsidP="0098397E">
      <w:pPr>
        <w:suppressAutoHyphens w:val="0"/>
        <w:autoSpaceDN/>
        <w:spacing w:after="200" w:line="276" w:lineRule="auto"/>
        <w:ind w:right="142"/>
        <w:contextualSpacing/>
        <w:jc w:val="both"/>
        <w:textAlignment w:val="auto"/>
        <w:rPr>
          <w:rFonts w:ascii="Times New Roman" w:hAnsi="Times New Roman"/>
          <w:b/>
          <w:color w:val="auto"/>
          <w:sz w:val="22"/>
          <w:szCs w:val="22"/>
        </w:rPr>
      </w:pPr>
      <w:r w:rsidRPr="0035165B">
        <w:rPr>
          <w:rFonts w:ascii="Times New Roman" w:hAnsi="Times New Roman"/>
          <w:b/>
          <w:color w:val="auto"/>
          <w:sz w:val="22"/>
          <w:szCs w:val="22"/>
        </w:rPr>
        <w:t>5.1</w:t>
      </w:r>
      <w:r w:rsidRPr="0035165B">
        <w:rPr>
          <w:rFonts w:ascii="Times New Roman" w:hAnsi="Times New Roman"/>
          <w:b/>
          <w:color w:val="auto"/>
          <w:sz w:val="22"/>
          <w:szCs w:val="22"/>
        </w:rPr>
        <w:tab/>
        <w:t xml:space="preserve"> The</w:t>
      </w:r>
      <w:r w:rsidR="002B4B92" w:rsidRPr="0035165B">
        <w:rPr>
          <w:rFonts w:ascii="Times New Roman" w:hAnsi="Times New Roman"/>
          <w:b/>
          <w:color w:val="auto"/>
          <w:sz w:val="22"/>
          <w:szCs w:val="22"/>
        </w:rPr>
        <w:t xml:space="preserve"> Department of Home Affairs (DHA).</w:t>
      </w:r>
    </w:p>
    <w:p w14:paraId="4187C080" w14:textId="362B1FED" w:rsidR="00CD6DBC" w:rsidRPr="0035165B" w:rsidRDefault="002B4B92" w:rsidP="0098397E">
      <w:pPr>
        <w:suppressAutoHyphens w:val="0"/>
        <w:autoSpaceDN/>
        <w:spacing w:line="276" w:lineRule="auto"/>
        <w:ind w:right="142"/>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 xml:space="preserve">The Portfolio Committee recommends that the </w:t>
      </w:r>
      <w:r w:rsidR="00FE3D09" w:rsidRPr="0035165B">
        <w:rPr>
          <w:rFonts w:ascii="Times New Roman" w:hAnsi="Times New Roman"/>
          <w:color w:val="auto"/>
          <w:sz w:val="22"/>
          <w:szCs w:val="22"/>
        </w:rPr>
        <w:t>DHA</w:t>
      </w:r>
      <w:r w:rsidRPr="0035165B">
        <w:rPr>
          <w:rFonts w:ascii="Times New Roman" w:hAnsi="Times New Roman"/>
          <w:color w:val="auto"/>
          <w:sz w:val="22"/>
          <w:szCs w:val="22"/>
        </w:rPr>
        <w:t xml:space="preserve"> should:</w:t>
      </w:r>
    </w:p>
    <w:p w14:paraId="1E89E231" w14:textId="77777777" w:rsidR="00FE3D09" w:rsidRPr="0035165B" w:rsidRDefault="00FE3D09" w:rsidP="00CB4303">
      <w:pPr>
        <w:pStyle w:val="ListParagraph"/>
        <w:numPr>
          <w:ilvl w:val="0"/>
          <w:numId w:val="11"/>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522323AD" w14:textId="77777777" w:rsidR="00FE3D09" w:rsidRPr="0035165B" w:rsidRDefault="00FE3D09" w:rsidP="00CB4303">
      <w:pPr>
        <w:pStyle w:val="ListParagraph"/>
        <w:numPr>
          <w:ilvl w:val="0"/>
          <w:numId w:val="11"/>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4595B488" w14:textId="77777777" w:rsidR="00FE3D09" w:rsidRPr="0035165B" w:rsidRDefault="00FE3D09" w:rsidP="00CB4303">
      <w:pPr>
        <w:pStyle w:val="ListParagraph"/>
        <w:numPr>
          <w:ilvl w:val="0"/>
          <w:numId w:val="11"/>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58FFE991" w14:textId="77777777" w:rsidR="00FE3D09" w:rsidRPr="0035165B" w:rsidRDefault="00FE3D09" w:rsidP="00CB4303">
      <w:pPr>
        <w:pStyle w:val="ListParagraph"/>
        <w:numPr>
          <w:ilvl w:val="0"/>
          <w:numId w:val="11"/>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416FD98C" w14:textId="77777777" w:rsidR="00FE3D09" w:rsidRPr="0035165B" w:rsidRDefault="00FE3D09" w:rsidP="00CB4303">
      <w:pPr>
        <w:pStyle w:val="ListParagraph"/>
        <w:numPr>
          <w:ilvl w:val="0"/>
          <w:numId w:val="11"/>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53F36C19" w14:textId="77777777" w:rsidR="00FE3D09" w:rsidRPr="0035165B" w:rsidRDefault="00FE3D09" w:rsidP="00CB4303">
      <w:pPr>
        <w:pStyle w:val="ListParagraph"/>
        <w:numPr>
          <w:ilvl w:val="1"/>
          <w:numId w:val="11"/>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3B67DD50" w14:textId="6C49131D" w:rsidR="00251C62" w:rsidRPr="00251C62" w:rsidRDefault="00FE3D09"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engage with the Minister of Finance to ensure that the BMA was adequately funded. The Minister of Home Affairs should further engage with the Ministers whose departments are operational at the border environment to ensure that they</w:t>
      </w:r>
      <w:r w:rsidR="00484DD6" w:rsidRPr="0035165B">
        <w:rPr>
          <w:rFonts w:ascii="Times New Roman" w:hAnsi="Times New Roman"/>
          <w:color w:val="auto"/>
          <w:sz w:val="22"/>
          <w:szCs w:val="22"/>
        </w:rPr>
        <w:t xml:space="preserve"> are familiar</w:t>
      </w:r>
      <w:r w:rsidRPr="0035165B">
        <w:rPr>
          <w:rFonts w:ascii="Times New Roman" w:hAnsi="Times New Roman"/>
          <w:color w:val="auto"/>
          <w:sz w:val="22"/>
          <w:szCs w:val="22"/>
        </w:rPr>
        <w:t xml:space="preserve"> </w:t>
      </w:r>
      <w:r w:rsidR="009B274F" w:rsidRPr="0035165B">
        <w:rPr>
          <w:rFonts w:ascii="Times New Roman" w:hAnsi="Times New Roman"/>
          <w:color w:val="auto"/>
          <w:sz w:val="22"/>
          <w:szCs w:val="22"/>
        </w:rPr>
        <w:t>with</w:t>
      </w:r>
      <w:r w:rsidRPr="0035165B">
        <w:rPr>
          <w:rFonts w:ascii="Times New Roman" w:hAnsi="Times New Roman"/>
          <w:color w:val="auto"/>
          <w:sz w:val="22"/>
          <w:szCs w:val="22"/>
        </w:rPr>
        <w:t xml:space="preserve"> the</w:t>
      </w:r>
      <w:r w:rsidR="009B274F" w:rsidRPr="0035165B">
        <w:rPr>
          <w:rFonts w:ascii="Times New Roman" w:hAnsi="Times New Roman"/>
          <w:color w:val="auto"/>
          <w:sz w:val="22"/>
          <w:szCs w:val="22"/>
        </w:rPr>
        <w:t xml:space="preserve"> regulations of the</w:t>
      </w:r>
      <w:r w:rsidRPr="0035165B">
        <w:rPr>
          <w:rFonts w:ascii="Times New Roman" w:hAnsi="Times New Roman"/>
          <w:color w:val="auto"/>
          <w:sz w:val="22"/>
          <w:szCs w:val="22"/>
        </w:rPr>
        <w:t xml:space="preserve"> BMA</w:t>
      </w:r>
      <w:r w:rsidR="009B274F" w:rsidRPr="0035165B">
        <w:rPr>
          <w:rFonts w:ascii="Times New Roman" w:hAnsi="Times New Roman"/>
          <w:color w:val="auto"/>
          <w:sz w:val="22"/>
          <w:szCs w:val="22"/>
        </w:rPr>
        <w:t xml:space="preserve"> Act</w:t>
      </w:r>
      <w:r w:rsidRPr="0035165B">
        <w:rPr>
          <w:rFonts w:ascii="Times New Roman" w:hAnsi="Times New Roman"/>
          <w:color w:val="auto"/>
          <w:sz w:val="22"/>
          <w:szCs w:val="22"/>
        </w:rPr>
        <w:t>.</w:t>
      </w:r>
      <w:r w:rsidR="00484DD6" w:rsidRPr="0035165B">
        <w:rPr>
          <w:rFonts w:ascii="Times New Roman" w:hAnsi="Times New Roman"/>
          <w:color w:val="auto"/>
          <w:sz w:val="22"/>
          <w:szCs w:val="22"/>
        </w:rPr>
        <w:t xml:space="preserve"> The DHA must brief the Committee</w:t>
      </w:r>
      <w:r w:rsidR="007668F1" w:rsidRPr="0035165B">
        <w:rPr>
          <w:rFonts w:ascii="Times New Roman" w:hAnsi="Times New Roman"/>
          <w:color w:val="auto"/>
          <w:sz w:val="22"/>
          <w:szCs w:val="22"/>
        </w:rPr>
        <w:t xml:space="preserve"> quarterly</w:t>
      </w:r>
      <w:r w:rsidR="00484DD6" w:rsidRPr="0035165B">
        <w:rPr>
          <w:rFonts w:ascii="Times New Roman" w:hAnsi="Times New Roman"/>
          <w:color w:val="auto"/>
          <w:sz w:val="22"/>
          <w:szCs w:val="22"/>
        </w:rPr>
        <w:t xml:space="preserve"> on the BMA project implementation plan</w:t>
      </w:r>
      <w:r w:rsidR="005D0B98" w:rsidRPr="0035165B">
        <w:rPr>
          <w:rFonts w:ascii="Times New Roman" w:hAnsi="Times New Roman"/>
          <w:color w:val="auto"/>
          <w:sz w:val="22"/>
          <w:szCs w:val="22"/>
        </w:rPr>
        <w:t xml:space="preserve"> including</w:t>
      </w:r>
      <w:r w:rsidR="00BF6918" w:rsidRPr="0035165B">
        <w:rPr>
          <w:rFonts w:ascii="Times New Roman" w:hAnsi="Times New Roman"/>
          <w:color w:val="auto"/>
          <w:sz w:val="22"/>
          <w:szCs w:val="22"/>
        </w:rPr>
        <w:t xml:space="preserve"> </w:t>
      </w:r>
      <w:r w:rsidR="004425D9" w:rsidRPr="0035165B">
        <w:rPr>
          <w:rFonts w:ascii="Times New Roman" w:hAnsi="Times New Roman"/>
          <w:color w:val="auto"/>
          <w:sz w:val="22"/>
          <w:szCs w:val="22"/>
        </w:rPr>
        <w:t>holding</w:t>
      </w:r>
      <w:r w:rsidR="005D0B98" w:rsidRPr="0035165B">
        <w:rPr>
          <w:rFonts w:ascii="Times New Roman" w:hAnsi="Times New Roman"/>
          <w:color w:val="auto"/>
          <w:sz w:val="22"/>
          <w:szCs w:val="22"/>
        </w:rPr>
        <w:t xml:space="preserve"> </w:t>
      </w:r>
      <w:r w:rsidR="00EB325E" w:rsidRPr="0035165B">
        <w:rPr>
          <w:rFonts w:ascii="Times New Roman" w:hAnsi="Times New Roman"/>
          <w:color w:val="auto"/>
          <w:sz w:val="22"/>
          <w:szCs w:val="22"/>
        </w:rPr>
        <w:t xml:space="preserve">slow or non-compliant </w:t>
      </w:r>
      <w:r w:rsidR="004425D9" w:rsidRPr="0035165B">
        <w:rPr>
          <w:rFonts w:ascii="Times New Roman" w:hAnsi="Times New Roman"/>
          <w:color w:val="auto"/>
          <w:sz w:val="22"/>
          <w:szCs w:val="22"/>
        </w:rPr>
        <w:t>partner Departments</w:t>
      </w:r>
      <w:r w:rsidR="00BF6918" w:rsidRPr="0035165B">
        <w:rPr>
          <w:rFonts w:ascii="Times New Roman" w:hAnsi="Times New Roman"/>
          <w:color w:val="auto"/>
          <w:sz w:val="22"/>
          <w:szCs w:val="22"/>
        </w:rPr>
        <w:t xml:space="preserve"> accountable</w:t>
      </w:r>
      <w:r w:rsidR="004425D9" w:rsidRPr="0035165B">
        <w:rPr>
          <w:rFonts w:ascii="Times New Roman" w:hAnsi="Times New Roman"/>
          <w:color w:val="auto"/>
          <w:sz w:val="22"/>
          <w:szCs w:val="22"/>
        </w:rPr>
        <w:t xml:space="preserve"> at a cabinet level</w:t>
      </w:r>
      <w:r w:rsidR="00251C62">
        <w:rPr>
          <w:rFonts w:ascii="Times New Roman" w:hAnsi="Times New Roman"/>
          <w:color w:val="auto"/>
          <w:sz w:val="22"/>
          <w:szCs w:val="22"/>
        </w:rPr>
        <w:t xml:space="preserve">, the </w:t>
      </w:r>
      <w:r w:rsidR="00251C62" w:rsidRPr="0035165B">
        <w:rPr>
          <w:rFonts w:ascii="Times New Roman" w:hAnsi="Times New Roman"/>
          <w:color w:val="auto"/>
          <w:spacing w:val="0"/>
          <w:sz w:val="22"/>
          <w:szCs w:val="22"/>
          <w:lang w:val="en-GB"/>
        </w:rPr>
        <w:t>roll-out the Biometric Mov</w:t>
      </w:r>
      <w:r w:rsidR="00251C62">
        <w:rPr>
          <w:rFonts w:ascii="Times New Roman" w:hAnsi="Times New Roman"/>
          <w:color w:val="auto"/>
          <w:spacing w:val="0"/>
          <w:sz w:val="22"/>
          <w:szCs w:val="22"/>
          <w:lang w:val="en-GB"/>
        </w:rPr>
        <w:t>ement Control System (BMCS) to 3</w:t>
      </w:r>
      <w:r w:rsidR="00251C62" w:rsidRPr="0035165B">
        <w:rPr>
          <w:rFonts w:ascii="Times New Roman" w:hAnsi="Times New Roman"/>
          <w:color w:val="auto"/>
          <w:spacing w:val="0"/>
          <w:sz w:val="22"/>
          <w:szCs w:val="22"/>
          <w:lang w:val="en-GB"/>
        </w:rPr>
        <w:t>4 ports of entry</w:t>
      </w:r>
      <w:r w:rsidR="00251C62">
        <w:rPr>
          <w:rFonts w:ascii="Times New Roman" w:hAnsi="Times New Roman"/>
          <w:color w:val="auto"/>
          <w:sz w:val="22"/>
          <w:szCs w:val="22"/>
        </w:rPr>
        <w:t xml:space="preserve"> and why it </w:t>
      </w:r>
      <w:r w:rsidR="00251C62" w:rsidRPr="00251C62">
        <w:rPr>
          <w:rFonts w:ascii="Times New Roman" w:hAnsi="Times New Roman"/>
          <w:color w:val="auto"/>
          <w:spacing w:val="0"/>
          <w:sz w:val="22"/>
          <w:szCs w:val="22"/>
          <w:lang w:val="en-GB"/>
        </w:rPr>
        <w:t>revised its</w:t>
      </w:r>
      <w:r w:rsidR="00251C62">
        <w:rPr>
          <w:rFonts w:ascii="Times New Roman" w:hAnsi="Times New Roman"/>
          <w:color w:val="auto"/>
          <w:spacing w:val="0"/>
          <w:sz w:val="22"/>
          <w:szCs w:val="22"/>
          <w:lang w:val="en-GB"/>
        </w:rPr>
        <w:t xml:space="preserve"> rollout</w:t>
      </w:r>
      <w:r w:rsidR="00251C62" w:rsidRPr="00251C62">
        <w:rPr>
          <w:rFonts w:ascii="Times New Roman" w:hAnsi="Times New Roman"/>
          <w:color w:val="auto"/>
          <w:spacing w:val="0"/>
          <w:sz w:val="22"/>
          <w:szCs w:val="22"/>
          <w:lang w:val="en-GB"/>
        </w:rPr>
        <w:t xml:space="preserve"> targets downwards to 18 ports of entry, 6 segments of land border law enforcement area, and 1 community crossing</w:t>
      </w:r>
      <w:r w:rsidR="00251C62">
        <w:rPr>
          <w:rFonts w:ascii="Times New Roman" w:hAnsi="Times New Roman"/>
          <w:color w:val="auto"/>
          <w:spacing w:val="0"/>
          <w:sz w:val="22"/>
          <w:szCs w:val="22"/>
          <w:lang w:val="en-GB"/>
        </w:rPr>
        <w:t xml:space="preserve"> for 2022/23</w:t>
      </w:r>
      <w:r w:rsidR="00251C62" w:rsidRPr="00251C62">
        <w:rPr>
          <w:rFonts w:ascii="Times New Roman" w:hAnsi="Times New Roman"/>
          <w:color w:val="auto"/>
          <w:spacing w:val="0"/>
          <w:sz w:val="22"/>
          <w:szCs w:val="22"/>
          <w:lang w:val="en-GB"/>
        </w:rPr>
        <w:t xml:space="preserve">. </w:t>
      </w:r>
    </w:p>
    <w:p w14:paraId="47397F08" w14:textId="53876875" w:rsidR="00251C62" w:rsidRPr="00251C62" w:rsidRDefault="00251C62"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sidRPr="00251C62">
        <w:rPr>
          <w:rFonts w:ascii="Times New Roman" w:hAnsi="Times New Roman"/>
          <w:color w:val="auto"/>
          <w:spacing w:val="0"/>
          <w:sz w:val="22"/>
          <w:szCs w:val="22"/>
          <w:lang w:val="en-GB"/>
        </w:rPr>
        <w:t xml:space="preserve">clarify the reasons for the R137 million budget reduction on office accommodation and how it was planning to </w:t>
      </w:r>
      <w:r>
        <w:rPr>
          <w:rFonts w:ascii="Times New Roman" w:hAnsi="Times New Roman"/>
          <w:color w:val="auto"/>
          <w:spacing w:val="0"/>
          <w:sz w:val="22"/>
          <w:szCs w:val="22"/>
          <w:lang w:val="en-GB"/>
        </w:rPr>
        <w:t>procure a head office</w:t>
      </w:r>
      <w:r w:rsidRPr="00251C62">
        <w:rPr>
          <w:rFonts w:ascii="Times New Roman" w:hAnsi="Times New Roman"/>
          <w:color w:val="auto"/>
          <w:spacing w:val="0"/>
          <w:sz w:val="22"/>
          <w:szCs w:val="22"/>
          <w:lang w:val="en-GB"/>
        </w:rPr>
        <w:t xml:space="preserve">. </w:t>
      </w:r>
    </w:p>
    <w:p w14:paraId="58F91518" w14:textId="78C443C0" w:rsidR="00FE3D09" w:rsidRPr="0035165B" w:rsidRDefault="00FE3D09"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ensure long queues at Home Affairs offices especially in cities</w:t>
      </w:r>
      <w:r w:rsidR="0011707C" w:rsidRPr="0035165B">
        <w:rPr>
          <w:rFonts w:ascii="Times New Roman" w:hAnsi="Times New Roman"/>
          <w:color w:val="auto"/>
          <w:sz w:val="22"/>
          <w:szCs w:val="22"/>
        </w:rPr>
        <w:t xml:space="preserve"> are resolved</w:t>
      </w:r>
      <w:r w:rsidRPr="0035165B">
        <w:rPr>
          <w:rFonts w:ascii="Times New Roman" w:hAnsi="Times New Roman"/>
          <w:color w:val="auto"/>
          <w:sz w:val="22"/>
          <w:szCs w:val="22"/>
        </w:rPr>
        <w:t xml:space="preserve"> by providing an appointment system</w:t>
      </w:r>
      <w:r w:rsidR="00437482" w:rsidRPr="0035165B">
        <w:rPr>
          <w:rFonts w:ascii="Times New Roman" w:hAnsi="Times New Roman"/>
          <w:color w:val="auto"/>
          <w:sz w:val="22"/>
          <w:szCs w:val="22"/>
        </w:rPr>
        <w:t xml:space="preserve"> a</w:t>
      </w:r>
      <w:r w:rsidR="00BC75BD" w:rsidRPr="0035165B">
        <w:rPr>
          <w:rFonts w:ascii="Times New Roman" w:hAnsi="Times New Roman"/>
          <w:color w:val="auto"/>
          <w:sz w:val="22"/>
          <w:szCs w:val="22"/>
        </w:rPr>
        <w:t>s well as</w:t>
      </w:r>
      <w:r w:rsidR="009715DB" w:rsidRPr="0035165B">
        <w:rPr>
          <w:rFonts w:ascii="Times New Roman" w:hAnsi="Times New Roman"/>
          <w:sz w:val="22"/>
          <w:szCs w:val="22"/>
        </w:rPr>
        <w:t> </w:t>
      </w:r>
      <w:r w:rsidR="001310D4" w:rsidRPr="0035165B">
        <w:rPr>
          <w:rFonts w:ascii="Times New Roman" w:hAnsi="Times New Roman"/>
          <w:sz w:val="22"/>
          <w:szCs w:val="22"/>
        </w:rPr>
        <w:t xml:space="preserve">intensified </w:t>
      </w:r>
      <w:r w:rsidR="009715DB" w:rsidRPr="0035165B">
        <w:rPr>
          <w:rFonts w:ascii="Times New Roman" w:hAnsi="Times New Roman"/>
          <w:sz w:val="22"/>
          <w:szCs w:val="22"/>
        </w:rPr>
        <w:t xml:space="preserve">roll-out of the </w:t>
      </w:r>
      <w:r w:rsidR="00AC4E0F" w:rsidRPr="0035165B">
        <w:rPr>
          <w:rFonts w:ascii="Times New Roman" w:hAnsi="Times New Roman"/>
          <w:sz w:val="22"/>
          <w:szCs w:val="22"/>
        </w:rPr>
        <w:t xml:space="preserve">bank </w:t>
      </w:r>
      <w:r w:rsidR="009715DB" w:rsidRPr="0035165B">
        <w:rPr>
          <w:rFonts w:ascii="Times New Roman" w:hAnsi="Times New Roman"/>
          <w:sz w:val="22"/>
          <w:szCs w:val="22"/>
        </w:rPr>
        <w:t xml:space="preserve">project </w:t>
      </w:r>
      <w:r w:rsidR="00AC4E0F" w:rsidRPr="0035165B">
        <w:rPr>
          <w:rFonts w:ascii="Times New Roman" w:hAnsi="Times New Roman"/>
          <w:sz w:val="22"/>
          <w:szCs w:val="22"/>
        </w:rPr>
        <w:t>to all branches</w:t>
      </w:r>
      <w:r w:rsidR="009715DB" w:rsidRPr="0035165B">
        <w:rPr>
          <w:rFonts w:ascii="Times New Roman" w:hAnsi="Times New Roman"/>
          <w:sz w:val="22"/>
          <w:szCs w:val="22"/>
        </w:rPr>
        <w:t>, while ensuring that mobile offices are fully operational and mobilised.</w:t>
      </w:r>
    </w:p>
    <w:p w14:paraId="4FE10A77" w14:textId="7D7658D0" w:rsidR="00251C62" w:rsidRDefault="00FE3D09"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work with other departments</w:t>
      </w:r>
      <w:r w:rsidR="00251C62">
        <w:rPr>
          <w:rFonts w:ascii="Times New Roman" w:hAnsi="Times New Roman"/>
          <w:color w:val="auto"/>
          <w:sz w:val="22"/>
          <w:szCs w:val="22"/>
        </w:rPr>
        <w:t xml:space="preserve"> on GBV awareness to</w:t>
      </w:r>
      <w:r w:rsidR="001375EA">
        <w:rPr>
          <w:rFonts w:ascii="Times New Roman" w:hAnsi="Times New Roman"/>
          <w:color w:val="auto"/>
          <w:sz w:val="22"/>
          <w:szCs w:val="22"/>
        </w:rPr>
        <w:t xml:space="preserve"> improve implementation despite</w:t>
      </w:r>
      <w:r w:rsidRPr="0035165B">
        <w:rPr>
          <w:rFonts w:ascii="Times New Roman" w:hAnsi="Times New Roman"/>
          <w:color w:val="auto"/>
          <w:sz w:val="22"/>
          <w:szCs w:val="22"/>
        </w:rPr>
        <w:t xml:space="preserve"> budget cuts.</w:t>
      </w:r>
    </w:p>
    <w:p w14:paraId="0E4FAE52" w14:textId="57F15789" w:rsidR="00251C62" w:rsidRDefault="00251C62"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sidRPr="00251C62">
        <w:rPr>
          <w:rFonts w:ascii="Times New Roman" w:hAnsi="Times New Roman"/>
          <w:color w:val="auto"/>
          <w:sz w:val="22"/>
          <w:szCs w:val="22"/>
        </w:rPr>
        <w:t>connect more hospitals to ensure that births were registered at the hospitals and this could assist with cutting long queues at the DHA offices.</w:t>
      </w:r>
    </w:p>
    <w:p w14:paraId="1BC967F9" w14:textId="7FAECBAB" w:rsidR="00251C62" w:rsidRDefault="00251C62"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Pr>
          <w:rFonts w:ascii="Times New Roman" w:hAnsi="Times New Roman"/>
          <w:color w:val="auto"/>
          <w:sz w:val="22"/>
          <w:szCs w:val="22"/>
        </w:rPr>
        <w:t>modernise all DHA offices to ensure that the offices provide the same service all over the country.</w:t>
      </w:r>
    </w:p>
    <w:p w14:paraId="4056A109" w14:textId="4F78E579" w:rsidR="008C5A29" w:rsidRPr="008C5A29" w:rsidRDefault="008C5A29"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sidRPr="008C5A29">
        <w:rPr>
          <w:rFonts w:ascii="Times New Roman" w:hAnsi="Times New Roman"/>
          <w:color w:val="auto"/>
          <w:sz w:val="22"/>
          <w:szCs w:val="22"/>
        </w:rPr>
        <w:t>brief the Committee on the progress made in the implementation of Phase 1 of the Automated Biometrics Identification System (ABIS).</w:t>
      </w:r>
    </w:p>
    <w:p w14:paraId="566CB56D" w14:textId="0416A036" w:rsidR="008C5A29" w:rsidRPr="008C5A29" w:rsidRDefault="003F7662"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Pr>
          <w:rFonts w:ascii="Times New Roman" w:hAnsi="Times New Roman"/>
          <w:color w:val="auto"/>
          <w:sz w:val="22"/>
          <w:szCs w:val="22"/>
        </w:rPr>
        <w:t>present a report on the national strategy addressing irregular migration and report on joint immigration inspections. B</w:t>
      </w:r>
      <w:r w:rsidR="008C5A29" w:rsidRPr="008C5A29">
        <w:rPr>
          <w:rFonts w:ascii="Times New Roman" w:hAnsi="Times New Roman"/>
          <w:color w:val="auto"/>
          <w:sz w:val="22"/>
          <w:szCs w:val="22"/>
        </w:rPr>
        <w:t xml:space="preserve">usinesses </w:t>
      </w:r>
      <w:r w:rsidR="00806C36">
        <w:rPr>
          <w:rFonts w:ascii="Times New Roman" w:hAnsi="Times New Roman"/>
          <w:color w:val="auto"/>
          <w:sz w:val="22"/>
          <w:szCs w:val="22"/>
        </w:rPr>
        <w:t>must also be fine</w:t>
      </w:r>
      <w:r>
        <w:rPr>
          <w:rFonts w:ascii="Times New Roman" w:hAnsi="Times New Roman"/>
          <w:color w:val="auto"/>
          <w:sz w:val="22"/>
          <w:szCs w:val="22"/>
        </w:rPr>
        <w:t>d when</w:t>
      </w:r>
      <w:r w:rsidR="008C5A29" w:rsidRPr="008C5A29">
        <w:rPr>
          <w:rFonts w:ascii="Times New Roman" w:hAnsi="Times New Roman"/>
          <w:color w:val="auto"/>
          <w:sz w:val="22"/>
          <w:szCs w:val="22"/>
        </w:rPr>
        <w:t xml:space="preserve"> found to have employed undocumented foreign nationals </w:t>
      </w:r>
      <w:r w:rsidR="008C5A29">
        <w:rPr>
          <w:rFonts w:ascii="Times New Roman" w:hAnsi="Times New Roman"/>
          <w:color w:val="auto"/>
          <w:sz w:val="22"/>
          <w:szCs w:val="22"/>
        </w:rPr>
        <w:t>and</w:t>
      </w:r>
      <w:r w:rsidR="008C5A29" w:rsidRPr="008C5A29">
        <w:rPr>
          <w:rFonts w:ascii="Times New Roman" w:hAnsi="Times New Roman"/>
          <w:color w:val="auto"/>
          <w:sz w:val="22"/>
          <w:szCs w:val="22"/>
        </w:rPr>
        <w:t xml:space="preserve"> work more closely with the Department of Employment and Labour. </w:t>
      </w:r>
    </w:p>
    <w:p w14:paraId="7D87768E" w14:textId="7E871516" w:rsidR="0035165B" w:rsidRPr="00277585" w:rsidRDefault="008C5A29" w:rsidP="00CB4303">
      <w:pPr>
        <w:pStyle w:val="ListParagraph"/>
        <w:numPr>
          <w:ilvl w:val="2"/>
          <w:numId w:val="11"/>
        </w:numPr>
        <w:suppressAutoHyphens w:val="0"/>
        <w:autoSpaceDN/>
        <w:spacing w:after="200" w:line="276" w:lineRule="auto"/>
        <w:ind w:left="851" w:right="142" w:hanging="851"/>
        <w:contextualSpacing/>
        <w:jc w:val="both"/>
        <w:textAlignment w:val="auto"/>
        <w:rPr>
          <w:rFonts w:ascii="Times New Roman" w:hAnsi="Times New Roman"/>
          <w:b/>
          <w:color w:val="auto"/>
          <w:sz w:val="22"/>
          <w:szCs w:val="22"/>
        </w:rPr>
      </w:pPr>
      <w:r w:rsidRPr="00277585">
        <w:rPr>
          <w:rFonts w:ascii="Times New Roman" w:hAnsi="Times New Roman"/>
          <w:color w:val="auto"/>
          <w:sz w:val="22"/>
          <w:szCs w:val="22"/>
        </w:rPr>
        <w:t>address the impasse in opening offices on Saturdays by expediting the tabling of the DHA</w:t>
      </w:r>
      <w:r w:rsidR="001375EA">
        <w:rPr>
          <w:rFonts w:ascii="Times New Roman" w:hAnsi="Times New Roman"/>
          <w:color w:val="auto"/>
          <w:sz w:val="22"/>
          <w:szCs w:val="22"/>
        </w:rPr>
        <w:t xml:space="preserve"> Bill</w:t>
      </w:r>
      <w:r w:rsidRPr="00277585">
        <w:rPr>
          <w:rFonts w:ascii="Times New Roman" w:hAnsi="Times New Roman"/>
          <w:color w:val="auto"/>
          <w:sz w:val="22"/>
          <w:szCs w:val="22"/>
        </w:rPr>
        <w:t xml:space="preserve"> to make DHA staff essential workers.</w:t>
      </w:r>
    </w:p>
    <w:p w14:paraId="78BDA6EF" w14:textId="33812C26" w:rsidR="00B34C7C" w:rsidRPr="0035165B" w:rsidRDefault="00B34C7C" w:rsidP="0098397E">
      <w:pPr>
        <w:suppressAutoHyphens w:val="0"/>
        <w:autoSpaceDN/>
        <w:spacing w:after="200" w:line="276" w:lineRule="auto"/>
        <w:ind w:right="142"/>
        <w:contextualSpacing/>
        <w:jc w:val="both"/>
        <w:textAlignment w:val="auto"/>
        <w:rPr>
          <w:rFonts w:ascii="Times New Roman" w:hAnsi="Times New Roman"/>
          <w:b/>
          <w:color w:val="auto"/>
          <w:sz w:val="22"/>
          <w:szCs w:val="22"/>
        </w:rPr>
      </w:pPr>
      <w:r w:rsidRPr="0035165B">
        <w:rPr>
          <w:rFonts w:ascii="Times New Roman" w:hAnsi="Times New Roman"/>
          <w:b/>
          <w:color w:val="auto"/>
          <w:sz w:val="22"/>
          <w:szCs w:val="22"/>
        </w:rPr>
        <w:t xml:space="preserve">5.2 </w:t>
      </w:r>
      <w:r w:rsidR="002B4B92" w:rsidRPr="0035165B">
        <w:rPr>
          <w:rFonts w:ascii="Times New Roman" w:hAnsi="Times New Roman"/>
          <w:b/>
          <w:color w:val="auto"/>
          <w:sz w:val="22"/>
          <w:szCs w:val="22"/>
        </w:rPr>
        <w:t>The Electoral Commission (IEC).</w:t>
      </w:r>
    </w:p>
    <w:p w14:paraId="5FDA04AF" w14:textId="514F2CE1" w:rsidR="00CD6DBC" w:rsidRPr="00277585" w:rsidRDefault="002B4B92" w:rsidP="0098397E">
      <w:pPr>
        <w:suppressAutoHyphens w:val="0"/>
        <w:autoSpaceDN/>
        <w:spacing w:line="276" w:lineRule="auto"/>
        <w:ind w:right="142"/>
        <w:contextualSpacing/>
        <w:jc w:val="both"/>
        <w:textAlignment w:val="auto"/>
        <w:rPr>
          <w:rFonts w:ascii="Times New Roman" w:hAnsi="Times New Roman"/>
          <w:bCs/>
          <w:color w:val="auto"/>
          <w:sz w:val="22"/>
          <w:szCs w:val="22"/>
        </w:rPr>
      </w:pPr>
      <w:r w:rsidRPr="0035165B">
        <w:rPr>
          <w:rFonts w:ascii="Times New Roman" w:hAnsi="Times New Roman"/>
          <w:bCs/>
          <w:color w:val="auto"/>
          <w:sz w:val="22"/>
          <w:szCs w:val="22"/>
        </w:rPr>
        <w:t>The Portfolio Committee recommends that the</w:t>
      </w:r>
      <w:r w:rsidR="00806C36">
        <w:rPr>
          <w:rFonts w:ascii="Times New Roman" w:hAnsi="Times New Roman"/>
          <w:bCs/>
          <w:color w:val="auto"/>
          <w:sz w:val="22"/>
          <w:szCs w:val="22"/>
        </w:rPr>
        <w:t xml:space="preserve"> IEC</w:t>
      </w:r>
      <w:r w:rsidRPr="0035165B">
        <w:rPr>
          <w:rFonts w:ascii="Times New Roman" w:hAnsi="Times New Roman"/>
          <w:bCs/>
          <w:color w:val="auto"/>
          <w:sz w:val="22"/>
          <w:szCs w:val="22"/>
        </w:rPr>
        <w:t xml:space="preserve"> should:</w:t>
      </w:r>
    </w:p>
    <w:p w14:paraId="5CF22444" w14:textId="77777777" w:rsidR="00B34C7C" w:rsidRPr="0035165B" w:rsidRDefault="00B34C7C" w:rsidP="00CB4303">
      <w:pPr>
        <w:pStyle w:val="ListParagraph"/>
        <w:numPr>
          <w:ilvl w:val="0"/>
          <w:numId w:val="12"/>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7CE47BAB" w14:textId="77777777" w:rsidR="00B34C7C" w:rsidRPr="0035165B" w:rsidRDefault="00B34C7C" w:rsidP="00CB4303">
      <w:pPr>
        <w:pStyle w:val="ListParagraph"/>
        <w:numPr>
          <w:ilvl w:val="0"/>
          <w:numId w:val="12"/>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3562E85A" w14:textId="77777777" w:rsidR="00B34C7C" w:rsidRPr="0035165B" w:rsidRDefault="00B34C7C" w:rsidP="00CB4303">
      <w:pPr>
        <w:pStyle w:val="ListParagraph"/>
        <w:numPr>
          <w:ilvl w:val="0"/>
          <w:numId w:val="12"/>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659A519A" w14:textId="77777777" w:rsidR="00B34C7C" w:rsidRPr="0035165B" w:rsidRDefault="00B34C7C" w:rsidP="00CB4303">
      <w:pPr>
        <w:pStyle w:val="ListParagraph"/>
        <w:numPr>
          <w:ilvl w:val="0"/>
          <w:numId w:val="12"/>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7233E1F8" w14:textId="77777777" w:rsidR="00B34C7C" w:rsidRPr="0035165B" w:rsidRDefault="00B34C7C" w:rsidP="00CB4303">
      <w:pPr>
        <w:pStyle w:val="ListParagraph"/>
        <w:numPr>
          <w:ilvl w:val="0"/>
          <w:numId w:val="12"/>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44522CC6" w14:textId="77777777" w:rsidR="00B34C7C" w:rsidRPr="0035165B" w:rsidRDefault="00B34C7C" w:rsidP="00CB4303">
      <w:pPr>
        <w:pStyle w:val="ListParagraph"/>
        <w:numPr>
          <w:ilvl w:val="1"/>
          <w:numId w:val="12"/>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69617682" w14:textId="77777777" w:rsidR="00B34C7C" w:rsidRPr="0035165B" w:rsidRDefault="00B34C7C" w:rsidP="00CB4303">
      <w:pPr>
        <w:pStyle w:val="ListParagraph"/>
        <w:numPr>
          <w:ilvl w:val="1"/>
          <w:numId w:val="12"/>
        </w:numPr>
        <w:suppressAutoHyphens w:val="0"/>
        <w:autoSpaceDN/>
        <w:spacing w:after="200" w:line="276" w:lineRule="auto"/>
        <w:ind w:right="142"/>
        <w:contextualSpacing/>
        <w:jc w:val="both"/>
        <w:textAlignment w:val="auto"/>
        <w:rPr>
          <w:rFonts w:ascii="Times New Roman" w:hAnsi="Times New Roman"/>
          <w:vanish/>
          <w:color w:val="auto"/>
          <w:sz w:val="22"/>
          <w:szCs w:val="22"/>
        </w:rPr>
      </w:pPr>
    </w:p>
    <w:p w14:paraId="445D7914" w14:textId="3CF677E0" w:rsidR="008C5A29" w:rsidRPr="00F00404" w:rsidRDefault="008C5A29" w:rsidP="00CB4303">
      <w:pPr>
        <w:pStyle w:val="ListParagraph"/>
        <w:numPr>
          <w:ilvl w:val="2"/>
          <w:numId w:val="12"/>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Pr>
          <w:rFonts w:ascii="Times New Roman" w:hAnsi="Times New Roman"/>
          <w:sz w:val="22"/>
          <w:szCs w:val="22"/>
        </w:rPr>
        <w:t>expand</w:t>
      </w:r>
      <w:r w:rsidR="00251C62">
        <w:rPr>
          <w:rFonts w:ascii="Times New Roman" w:hAnsi="Times New Roman"/>
          <w:sz w:val="22"/>
          <w:szCs w:val="22"/>
        </w:rPr>
        <w:t xml:space="preserve"> Civic Education at Wits to other tertiary institutions and voter education should for</w:t>
      </w:r>
      <w:r w:rsidR="00F00404">
        <w:rPr>
          <w:rFonts w:ascii="Times New Roman" w:hAnsi="Times New Roman"/>
          <w:sz w:val="22"/>
          <w:szCs w:val="22"/>
        </w:rPr>
        <w:t xml:space="preserve">m part of the school curriculum and </w:t>
      </w:r>
      <w:r w:rsidRPr="00F00404">
        <w:rPr>
          <w:rFonts w:ascii="Times New Roman" w:hAnsi="Times New Roman"/>
          <w:sz w:val="22"/>
          <w:szCs w:val="22"/>
        </w:rPr>
        <w:t>participate in the DHA mobile units</w:t>
      </w:r>
      <w:r w:rsidR="00806C36">
        <w:rPr>
          <w:rFonts w:ascii="Times New Roman" w:hAnsi="Times New Roman"/>
          <w:sz w:val="22"/>
          <w:szCs w:val="22"/>
        </w:rPr>
        <w:t>’</w:t>
      </w:r>
      <w:r w:rsidRPr="00F00404">
        <w:rPr>
          <w:rFonts w:ascii="Times New Roman" w:hAnsi="Times New Roman"/>
          <w:sz w:val="22"/>
          <w:szCs w:val="22"/>
        </w:rPr>
        <w:t xml:space="preserve"> school visitation programme.</w:t>
      </w:r>
    </w:p>
    <w:p w14:paraId="6062C7B2" w14:textId="05028733" w:rsidR="008C5A29" w:rsidRDefault="00F00404" w:rsidP="00CB4303">
      <w:pPr>
        <w:pStyle w:val="ListParagraph"/>
        <w:numPr>
          <w:ilvl w:val="2"/>
          <w:numId w:val="12"/>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Pr>
          <w:rFonts w:ascii="Times New Roman" w:hAnsi="Times New Roman"/>
          <w:color w:val="auto"/>
          <w:sz w:val="22"/>
          <w:szCs w:val="22"/>
        </w:rPr>
        <w:t>incorporate addressing misinformation as part of its social media framework.</w:t>
      </w:r>
    </w:p>
    <w:p w14:paraId="4D095105" w14:textId="6F4B683A" w:rsidR="00F00404" w:rsidRDefault="001375EA" w:rsidP="00CB4303">
      <w:pPr>
        <w:pStyle w:val="ListParagraph"/>
        <w:numPr>
          <w:ilvl w:val="2"/>
          <w:numId w:val="12"/>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Pr>
          <w:rFonts w:ascii="Times New Roman" w:hAnsi="Times New Roman"/>
          <w:color w:val="auto"/>
          <w:sz w:val="22"/>
          <w:szCs w:val="22"/>
        </w:rPr>
        <w:t>w</w:t>
      </w:r>
      <w:r w:rsidR="00F00404">
        <w:rPr>
          <w:rFonts w:ascii="Times New Roman" w:hAnsi="Times New Roman"/>
          <w:color w:val="auto"/>
          <w:sz w:val="22"/>
          <w:szCs w:val="22"/>
        </w:rPr>
        <w:t>ork more closely with political parties to improve voter registration numbers and voter turnout.</w:t>
      </w:r>
    </w:p>
    <w:p w14:paraId="3AEA62CB" w14:textId="7ED1E3A1" w:rsidR="003F7662" w:rsidRPr="0035165B" w:rsidRDefault="003F7662" w:rsidP="00CB4303">
      <w:pPr>
        <w:pStyle w:val="ListParagraph"/>
        <w:numPr>
          <w:ilvl w:val="2"/>
          <w:numId w:val="12"/>
        </w:numPr>
        <w:suppressAutoHyphens w:val="0"/>
        <w:autoSpaceDN/>
        <w:spacing w:after="200" w:line="276" w:lineRule="auto"/>
        <w:ind w:left="851" w:right="142" w:hanging="851"/>
        <w:contextualSpacing/>
        <w:jc w:val="both"/>
        <w:textAlignment w:val="auto"/>
        <w:rPr>
          <w:rFonts w:ascii="Times New Roman" w:hAnsi="Times New Roman"/>
          <w:color w:val="auto"/>
          <w:sz w:val="22"/>
          <w:szCs w:val="22"/>
        </w:rPr>
      </w:pPr>
      <w:r>
        <w:rPr>
          <w:rFonts w:ascii="Times New Roman" w:hAnsi="Times New Roman"/>
          <w:color w:val="auto"/>
          <w:sz w:val="22"/>
          <w:szCs w:val="22"/>
        </w:rPr>
        <w:t>adapt the planning of the IEC once the Electoral Amendment Bill is passed.</w:t>
      </w:r>
    </w:p>
    <w:p w14:paraId="2D1D2359" w14:textId="6D458088" w:rsidR="00B34C7C" w:rsidRPr="0035165B" w:rsidRDefault="00B34C7C" w:rsidP="0098397E">
      <w:pPr>
        <w:suppressAutoHyphens w:val="0"/>
        <w:autoSpaceDN/>
        <w:spacing w:after="200" w:line="276" w:lineRule="auto"/>
        <w:ind w:right="142"/>
        <w:contextualSpacing/>
        <w:jc w:val="both"/>
        <w:textAlignment w:val="auto"/>
        <w:rPr>
          <w:rFonts w:ascii="Times New Roman" w:hAnsi="Times New Roman"/>
          <w:b/>
          <w:color w:val="auto"/>
          <w:sz w:val="22"/>
          <w:szCs w:val="22"/>
        </w:rPr>
      </w:pPr>
      <w:r w:rsidRPr="0035165B">
        <w:rPr>
          <w:rFonts w:ascii="Times New Roman" w:hAnsi="Times New Roman"/>
          <w:b/>
          <w:color w:val="auto"/>
          <w:sz w:val="22"/>
          <w:szCs w:val="22"/>
        </w:rPr>
        <w:t>5</w:t>
      </w:r>
      <w:r w:rsidR="002B4B92" w:rsidRPr="0035165B">
        <w:rPr>
          <w:rFonts w:ascii="Times New Roman" w:hAnsi="Times New Roman"/>
          <w:b/>
          <w:color w:val="auto"/>
          <w:sz w:val="22"/>
          <w:szCs w:val="22"/>
        </w:rPr>
        <w:t>.3. The Government Printing Works (GPW).</w:t>
      </w:r>
    </w:p>
    <w:p w14:paraId="00EB875F" w14:textId="50FEB38F" w:rsidR="002B4B92" w:rsidRPr="0035165B" w:rsidRDefault="002B4B92" w:rsidP="0098397E">
      <w:pPr>
        <w:suppressAutoHyphens w:val="0"/>
        <w:autoSpaceDN/>
        <w:spacing w:line="276" w:lineRule="auto"/>
        <w:ind w:right="142"/>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 xml:space="preserve">The Portfolio Committee recommends that the </w:t>
      </w:r>
      <w:r w:rsidR="0011707C" w:rsidRPr="0035165B">
        <w:rPr>
          <w:rFonts w:ascii="Times New Roman" w:hAnsi="Times New Roman"/>
          <w:color w:val="auto"/>
          <w:sz w:val="22"/>
          <w:szCs w:val="22"/>
        </w:rPr>
        <w:t>GPW</w:t>
      </w:r>
      <w:r w:rsidRPr="0035165B">
        <w:rPr>
          <w:rFonts w:ascii="Times New Roman" w:hAnsi="Times New Roman"/>
          <w:color w:val="auto"/>
          <w:sz w:val="22"/>
          <w:szCs w:val="22"/>
        </w:rPr>
        <w:t xml:space="preserve"> should:</w:t>
      </w:r>
    </w:p>
    <w:p w14:paraId="49B41A92" w14:textId="365C208E" w:rsidR="002B4B92" w:rsidRPr="0035165B" w:rsidRDefault="002B4B92" w:rsidP="00CB4303">
      <w:pPr>
        <w:pStyle w:val="ListParagraph"/>
        <w:numPr>
          <w:ilvl w:val="2"/>
          <w:numId w:val="13"/>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 xml:space="preserve">create relationships with </w:t>
      </w:r>
      <w:r w:rsidR="009A25D7" w:rsidRPr="0035165B">
        <w:rPr>
          <w:rFonts w:ascii="Times New Roman" w:hAnsi="Times New Roman"/>
          <w:color w:val="auto"/>
          <w:sz w:val="22"/>
          <w:szCs w:val="22"/>
        </w:rPr>
        <w:t xml:space="preserve">all </w:t>
      </w:r>
      <w:r w:rsidRPr="0035165B">
        <w:rPr>
          <w:rFonts w:ascii="Times New Roman" w:hAnsi="Times New Roman"/>
          <w:color w:val="auto"/>
          <w:sz w:val="22"/>
          <w:szCs w:val="22"/>
        </w:rPr>
        <w:t>African countries</w:t>
      </w:r>
      <w:r w:rsidR="003F7662">
        <w:rPr>
          <w:rFonts w:ascii="Times New Roman" w:hAnsi="Times New Roman"/>
          <w:color w:val="auto"/>
          <w:sz w:val="22"/>
          <w:szCs w:val="22"/>
        </w:rPr>
        <w:t xml:space="preserve"> beyond just SADC</w:t>
      </w:r>
      <w:r w:rsidRPr="0035165B">
        <w:rPr>
          <w:rFonts w:ascii="Times New Roman" w:hAnsi="Times New Roman"/>
          <w:color w:val="auto"/>
          <w:sz w:val="22"/>
          <w:szCs w:val="22"/>
        </w:rPr>
        <w:t xml:space="preserve"> to access new markets and</w:t>
      </w:r>
      <w:r w:rsidR="009A25D7" w:rsidRPr="0035165B">
        <w:rPr>
          <w:rFonts w:ascii="Times New Roman" w:hAnsi="Times New Roman"/>
          <w:color w:val="auto"/>
          <w:sz w:val="22"/>
          <w:szCs w:val="22"/>
        </w:rPr>
        <w:t xml:space="preserve"> </w:t>
      </w:r>
      <w:r w:rsidR="001375EA">
        <w:rPr>
          <w:rFonts w:ascii="Times New Roman" w:hAnsi="Times New Roman"/>
          <w:color w:val="auto"/>
          <w:sz w:val="22"/>
          <w:szCs w:val="22"/>
        </w:rPr>
        <w:t>expand its revenue</w:t>
      </w:r>
      <w:r w:rsidRPr="0035165B">
        <w:rPr>
          <w:rFonts w:ascii="Times New Roman" w:hAnsi="Times New Roman"/>
          <w:color w:val="auto"/>
          <w:sz w:val="22"/>
          <w:szCs w:val="22"/>
        </w:rPr>
        <w:t>.</w:t>
      </w:r>
    </w:p>
    <w:p w14:paraId="3051BB56" w14:textId="59C0524A" w:rsidR="00206CC7" w:rsidRPr="0035165B" w:rsidRDefault="00EC34AD" w:rsidP="00CB4303">
      <w:pPr>
        <w:pStyle w:val="ListParagraph"/>
        <w:numPr>
          <w:ilvl w:val="2"/>
          <w:numId w:val="13"/>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 xml:space="preserve">ensure that the reasons for repeated non-adherence to annual report deadlines are addressed. </w:t>
      </w:r>
      <w:r w:rsidR="00814855" w:rsidRPr="0035165B">
        <w:rPr>
          <w:rFonts w:ascii="Times New Roman" w:hAnsi="Times New Roman"/>
          <w:color w:val="auto"/>
          <w:sz w:val="22"/>
          <w:szCs w:val="22"/>
        </w:rPr>
        <w:t>T</w:t>
      </w:r>
      <w:r w:rsidR="00206CC7" w:rsidRPr="0035165B">
        <w:rPr>
          <w:rFonts w:ascii="Times New Roman" w:hAnsi="Times New Roman"/>
          <w:color w:val="auto"/>
          <w:sz w:val="22"/>
          <w:szCs w:val="22"/>
        </w:rPr>
        <w:t>he Committee</w:t>
      </w:r>
      <w:r w:rsidR="00814855" w:rsidRPr="0035165B">
        <w:rPr>
          <w:rFonts w:ascii="Times New Roman" w:hAnsi="Times New Roman"/>
          <w:color w:val="auto"/>
          <w:sz w:val="22"/>
          <w:szCs w:val="22"/>
        </w:rPr>
        <w:t xml:space="preserve"> should be updated</w:t>
      </w:r>
      <w:r w:rsidR="00206CC7" w:rsidRPr="0035165B">
        <w:rPr>
          <w:rFonts w:ascii="Times New Roman" w:hAnsi="Times New Roman"/>
          <w:color w:val="auto"/>
          <w:sz w:val="22"/>
          <w:szCs w:val="22"/>
        </w:rPr>
        <w:t xml:space="preserve"> regular</w:t>
      </w:r>
      <w:r w:rsidR="00814855" w:rsidRPr="0035165B">
        <w:rPr>
          <w:rFonts w:ascii="Times New Roman" w:hAnsi="Times New Roman"/>
          <w:color w:val="auto"/>
          <w:sz w:val="22"/>
          <w:szCs w:val="22"/>
        </w:rPr>
        <w:t>ly</w:t>
      </w:r>
      <w:r w:rsidR="00206CC7" w:rsidRPr="0035165B">
        <w:rPr>
          <w:rFonts w:ascii="Times New Roman" w:hAnsi="Times New Roman"/>
          <w:color w:val="auto"/>
          <w:sz w:val="22"/>
          <w:szCs w:val="22"/>
        </w:rPr>
        <w:t xml:space="preserve"> on the coordination and implementation of governance activities </w:t>
      </w:r>
      <w:r w:rsidR="00206CC7" w:rsidRPr="0035165B">
        <w:rPr>
          <w:rFonts w:ascii="Times New Roman" w:hAnsi="Times New Roman"/>
          <w:color w:val="auto"/>
          <w:sz w:val="22"/>
          <w:szCs w:val="22"/>
        </w:rPr>
        <w:lastRenderedPageBreak/>
        <w:t>including compliance and risk</w:t>
      </w:r>
      <w:r w:rsidRPr="0035165B">
        <w:rPr>
          <w:rFonts w:ascii="Times New Roman" w:hAnsi="Times New Roman"/>
          <w:color w:val="auto"/>
          <w:sz w:val="22"/>
          <w:szCs w:val="22"/>
        </w:rPr>
        <w:t>;</w:t>
      </w:r>
      <w:r w:rsidR="00206CC7" w:rsidRPr="0035165B">
        <w:rPr>
          <w:rFonts w:ascii="Times New Roman" w:hAnsi="Times New Roman"/>
          <w:color w:val="auto"/>
          <w:sz w:val="22"/>
          <w:szCs w:val="22"/>
        </w:rPr>
        <w:t xml:space="preserve"> management of previous audit findings</w:t>
      </w:r>
      <w:r w:rsidRPr="0035165B">
        <w:rPr>
          <w:rFonts w:ascii="Times New Roman" w:hAnsi="Times New Roman"/>
          <w:color w:val="auto"/>
          <w:sz w:val="22"/>
          <w:szCs w:val="22"/>
        </w:rPr>
        <w:t>;</w:t>
      </w:r>
      <w:r w:rsidR="00206CC7" w:rsidRPr="0035165B">
        <w:rPr>
          <w:rFonts w:ascii="Times New Roman" w:hAnsi="Times New Roman"/>
          <w:color w:val="auto"/>
          <w:sz w:val="22"/>
          <w:szCs w:val="22"/>
        </w:rPr>
        <w:t xml:space="preserve"> and implementation of recommendations by Internal Audit</w:t>
      </w:r>
      <w:r w:rsidR="00814855" w:rsidRPr="0035165B">
        <w:rPr>
          <w:rFonts w:ascii="Times New Roman" w:hAnsi="Times New Roman"/>
          <w:color w:val="auto"/>
          <w:sz w:val="22"/>
          <w:szCs w:val="22"/>
        </w:rPr>
        <w:t>.</w:t>
      </w:r>
      <w:r w:rsidR="00206CC7" w:rsidRPr="0035165B">
        <w:rPr>
          <w:rFonts w:ascii="Times New Roman" w:hAnsi="Times New Roman"/>
          <w:color w:val="auto"/>
          <w:sz w:val="22"/>
          <w:szCs w:val="22"/>
        </w:rPr>
        <w:t xml:space="preserve"> </w:t>
      </w:r>
    </w:p>
    <w:p w14:paraId="09724D6E" w14:textId="77777777" w:rsidR="0035165B" w:rsidRPr="0035165B" w:rsidRDefault="00206CC7" w:rsidP="00CB4303">
      <w:pPr>
        <w:pStyle w:val="ListParagraph"/>
        <w:numPr>
          <w:ilvl w:val="2"/>
          <w:numId w:val="13"/>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sidRPr="0035165B">
        <w:rPr>
          <w:rFonts w:ascii="Times New Roman" w:hAnsi="Times New Roman"/>
          <w:color w:val="auto"/>
          <w:sz w:val="22"/>
          <w:szCs w:val="22"/>
        </w:rPr>
        <w:t>present to the Committee a report on the investigations into lost audit data and security breaches</w:t>
      </w:r>
      <w:r w:rsidR="00176F97" w:rsidRPr="0035165B">
        <w:rPr>
          <w:rFonts w:ascii="Times New Roman" w:hAnsi="Times New Roman"/>
          <w:color w:val="auto"/>
          <w:sz w:val="22"/>
          <w:szCs w:val="22"/>
        </w:rPr>
        <w:t>.</w:t>
      </w:r>
    </w:p>
    <w:p w14:paraId="03E44D91" w14:textId="3E984B66" w:rsidR="008F7AE5" w:rsidRPr="0035165B" w:rsidRDefault="001375EA" w:rsidP="00CB4303">
      <w:pPr>
        <w:pStyle w:val="ListParagraph"/>
        <w:numPr>
          <w:ilvl w:val="2"/>
          <w:numId w:val="13"/>
        </w:numPr>
        <w:suppressAutoHyphens w:val="0"/>
        <w:autoSpaceDN/>
        <w:spacing w:after="200" w:line="276" w:lineRule="auto"/>
        <w:ind w:left="709" w:right="142" w:hanging="709"/>
        <w:contextualSpacing/>
        <w:jc w:val="both"/>
        <w:textAlignment w:val="auto"/>
        <w:rPr>
          <w:rFonts w:ascii="Times New Roman" w:hAnsi="Times New Roman"/>
          <w:color w:val="auto"/>
          <w:sz w:val="22"/>
          <w:szCs w:val="22"/>
        </w:rPr>
      </w:pPr>
      <w:r>
        <w:rPr>
          <w:rFonts w:ascii="Times New Roman" w:hAnsi="Times New Roman"/>
          <w:sz w:val="22"/>
          <w:szCs w:val="22"/>
        </w:rPr>
        <w:t>p</w:t>
      </w:r>
      <w:r w:rsidR="0035165B" w:rsidRPr="0035165B">
        <w:rPr>
          <w:rFonts w:ascii="Times New Roman" w:hAnsi="Times New Roman"/>
          <w:sz w:val="22"/>
          <w:szCs w:val="22"/>
        </w:rPr>
        <w:t>r</w:t>
      </w:r>
      <w:r w:rsidR="008F7AE5" w:rsidRPr="0035165B">
        <w:rPr>
          <w:rFonts w:ascii="Times New Roman" w:hAnsi="Times New Roman"/>
          <w:sz w:val="22"/>
          <w:szCs w:val="22"/>
        </w:rPr>
        <w:t>ovide the Committee with a 3-year plan to fill vacancies in the new</w:t>
      </w:r>
      <w:r w:rsidR="0035165B" w:rsidRPr="0035165B">
        <w:rPr>
          <w:rFonts w:ascii="Times New Roman" w:hAnsi="Times New Roman"/>
          <w:sz w:val="22"/>
          <w:szCs w:val="22"/>
        </w:rPr>
        <w:t xml:space="preserve"> organisational</w:t>
      </w:r>
      <w:r w:rsidR="008F7AE5" w:rsidRPr="0035165B">
        <w:rPr>
          <w:rFonts w:ascii="Times New Roman" w:hAnsi="Times New Roman"/>
          <w:sz w:val="22"/>
          <w:szCs w:val="22"/>
        </w:rPr>
        <w:t xml:space="preserve"> structure.</w:t>
      </w:r>
    </w:p>
    <w:p w14:paraId="4897F5C1" w14:textId="77777777" w:rsidR="00F23B58" w:rsidRDefault="00F23B58" w:rsidP="0098397E">
      <w:pPr>
        <w:spacing w:line="276" w:lineRule="auto"/>
        <w:ind w:right="142"/>
        <w:jc w:val="both"/>
        <w:rPr>
          <w:rFonts w:ascii="Times New Roman" w:hAnsi="Times New Roman"/>
          <w:b/>
          <w:bCs/>
          <w:color w:val="auto"/>
          <w:sz w:val="22"/>
          <w:szCs w:val="22"/>
        </w:rPr>
      </w:pPr>
    </w:p>
    <w:p w14:paraId="3F5C6DCA" w14:textId="77777777" w:rsidR="00F23B58" w:rsidRDefault="00F23B58" w:rsidP="0098397E">
      <w:pPr>
        <w:spacing w:line="276" w:lineRule="auto"/>
        <w:ind w:right="142"/>
        <w:jc w:val="both"/>
        <w:rPr>
          <w:rFonts w:ascii="Times New Roman" w:hAnsi="Times New Roman"/>
          <w:b/>
          <w:bCs/>
          <w:color w:val="auto"/>
          <w:sz w:val="22"/>
          <w:szCs w:val="22"/>
        </w:rPr>
      </w:pPr>
    </w:p>
    <w:p w14:paraId="03234FFB" w14:textId="06427A59" w:rsidR="00081DA6" w:rsidRPr="0035165B" w:rsidRDefault="00081DA6" w:rsidP="0098397E">
      <w:pPr>
        <w:spacing w:line="276" w:lineRule="auto"/>
        <w:ind w:right="142"/>
        <w:jc w:val="both"/>
        <w:rPr>
          <w:rFonts w:ascii="Times New Roman" w:hAnsi="Times New Roman"/>
          <w:b/>
          <w:bCs/>
          <w:color w:val="auto"/>
          <w:sz w:val="22"/>
          <w:szCs w:val="22"/>
        </w:rPr>
      </w:pPr>
      <w:r w:rsidRPr="0035165B">
        <w:rPr>
          <w:rFonts w:ascii="Times New Roman" w:hAnsi="Times New Roman"/>
          <w:b/>
          <w:bCs/>
          <w:color w:val="auto"/>
          <w:sz w:val="22"/>
          <w:szCs w:val="22"/>
        </w:rPr>
        <w:t>Report to be considered.</w:t>
      </w:r>
    </w:p>
    <w:sectPr w:rsidR="00081DA6" w:rsidRPr="0035165B" w:rsidSect="00EF632D">
      <w:footerReference w:type="default" r:id="rId16"/>
      <w:pgSz w:w="11906" w:h="16838"/>
      <w:pgMar w:top="567" w:right="707" w:bottom="567" w:left="851" w:header="142"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BD53" w14:textId="77777777" w:rsidR="00815042" w:rsidRDefault="00815042" w:rsidP="00BD0672">
      <w:pPr>
        <w:spacing w:line="240" w:lineRule="auto"/>
      </w:pPr>
      <w:r>
        <w:separator/>
      </w:r>
    </w:p>
  </w:endnote>
  <w:endnote w:type="continuationSeparator" w:id="0">
    <w:p w14:paraId="16A7ABD2" w14:textId="77777777" w:rsidR="00815042" w:rsidRDefault="00815042" w:rsidP="00BD0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ABA4" w14:textId="01C06193" w:rsidR="00806C36" w:rsidRDefault="00806C36">
    <w:pPr>
      <w:pStyle w:val="Footer"/>
    </w:pPr>
    <w:r>
      <w:fldChar w:fldCharType="begin"/>
    </w:r>
    <w:r>
      <w:instrText xml:space="preserve"> PAGE </w:instrText>
    </w:r>
    <w:r>
      <w:fldChar w:fldCharType="separate"/>
    </w:r>
    <w:r w:rsidR="00F23B58">
      <w:rPr>
        <w:noProof/>
      </w:rPr>
      <w:t>20</w:t>
    </w:r>
    <w:r>
      <w:rPr>
        <w:noProof/>
      </w:rPr>
      <w:fldChar w:fldCharType="end"/>
    </w:r>
  </w:p>
  <w:p w14:paraId="4BE79B41" w14:textId="77777777" w:rsidR="00806C36" w:rsidRDefault="00806C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7011F" w14:textId="77777777" w:rsidR="00815042" w:rsidRDefault="00815042" w:rsidP="00BD0672">
      <w:pPr>
        <w:spacing w:line="240" w:lineRule="auto"/>
      </w:pPr>
      <w:r w:rsidRPr="00BD0672">
        <w:separator/>
      </w:r>
    </w:p>
  </w:footnote>
  <w:footnote w:type="continuationSeparator" w:id="0">
    <w:p w14:paraId="4A041E68" w14:textId="77777777" w:rsidR="00815042" w:rsidRDefault="00815042" w:rsidP="00BD06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E45"/>
    <w:multiLevelType w:val="hybridMultilevel"/>
    <w:tmpl w:val="D44CF5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E132AF4"/>
    <w:multiLevelType w:val="multilevel"/>
    <w:tmpl w:val="373A05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345BDB"/>
    <w:multiLevelType w:val="hybridMultilevel"/>
    <w:tmpl w:val="8E0CEF7A"/>
    <w:lvl w:ilvl="0" w:tplc="93661590">
      <w:start w:val="1"/>
      <w:numFmt w:val="lowerLetter"/>
      <w:lvlText w:val="%1."/>
      <w:lvlJc w:val="left"/>
      <w:pPr>
        <w:tabs>
          <w:tab w:val="num" w:pos="720"/>
        </w:tabs>
        <w:ind w:left="720" w:hanging="360"/>
      </w:pPr>
    </w:lvl>
    <w:lvl w:ilvl="1" w:tplc="79CCFC78">
      <w:start w:val="1"/>
      <w:numFmt w:val="lowerLetter"/>
      <w:lvlText w:val="%2."/>
      <w:lvlJc w:val="left"/>
      <w:pPr>
        <w:tabs>
          <w:tab w:val="num" w:pos="1440"/>
        </w:tabs>
        <w:ind w:left="1440" w:hanging="360"/>
      </w:pPr>
    </w:lvl>
    <w:lvl w:ilvl="2" w:tplc="3AECF55C">
      <w:numFmt w:val="bullet"/>
      <w:lvlText w:val="•"/>
      <w:lvlJc w:val="left"/>
      <w:pPr>
        <w:tabs>
          <w:tab w:val="num" w:pos="2160"/>
        </w:tabs>
        <w:ind w:left="2160" w:hanging="360"/>
      </w:pPr>
      <w:rPr>
        <w:rFonts w:ascii="Arial" w:hAnsi="Arial" w:hint="default"/>
      </w:rPr>
    </w:lvl>
    <w:lvl w:ilvl="3" w:tplc="91AAD186">
      <w:start w:val="1"/>
      <w:numFmt w:val="decimal"/>
      <w:lvlText w:val="%4)"/>
      <w:lvlJc w:val="left"/>
      <w:pPr>
        <w:ind w:left="3240" w:hanging="720"/>
      </w:pPr>
      <w:rPr>
        <w:rFonts w:hint="default"/>
      </w:rPr>
    </w:lvl>
    <w:lvl w:ilvl="4" w:tplc="D2CA0DBC">
      <w:start w:val="1"/>
      <w:numFmt w:val="decimal"/>
      <w:lvlText w:val="%5."/>
      <w:lvlJc w:val="left"/>
      <w:pPr>
        <w:ind w:left="3600" w:hanging="360"/>
      </w:pPr>
      <w:rPr>
        <w:rFonts w:hint="default"/>
      </w:rPr>
    </w:lvl>
    <w:lvl w:ilvl="5" w:tplc="BE3A55D0" w:tentative="1">
      <w:start w:val="1"/>
      <w:numFmt w:val="lowerLetter"/>
      <w:lvlText w:val="%6."/>
      <w:lvlJc w:val="left"/>
      <w:pPr>
        <w:tabs>
          <w:tab w:val="num" w:pos="4320"/>
        </w:tabs>
        <w:ind w:left="4320" w:hanging="360"/>
      </w:pPr>
    </w:lvl>
    <w:lvl w:ilvl="6" w:tplc="94B45626" w:tentative="1">
      <w:start w:val="1"/>
      <w:numFmt w:val="lowerLetter"/>
      <w:lvlText w:val="%7."/>
      <w:lvlJc w:val="left"/>
      <w:pPr>
        <w:tabs>
          <w:tab w:val="num" w:pos="5040"/>
        </w:tabs>
        <w:ind w:left="5040" w:hanging="360"/>
      </w:pPr>
    </w:lvl>
    <w:lvl w:ilvl="7" w:tplc="667AB5F4" w:tentative="1">
      <w:start w:val="1"/>
      <w:numFmt w:val="lowerLetter"/>
      <w:lvlText w:val="%8."/>
      <w:lvlJc w:val="left"/>
      <w:pPr>
        <w:tabs>
          <w:tab w:val="num" w:pos="5760"/>
        </w:tabs>
        <w:ind w:left="5760" w:hanging="360"/>
      </w:pPr>
    </w:lvl>
    <w:lvl w:ilvl="8" w:tplc="E3F82F30" w:tentative="1">
      <w:start w:val="1"/>
      <w:numFmt w:val="lowerLetter"/>
      <w:lvlText w:val="%9."/>
      <w:lvlJc w:val="left"/>
      <w:pPr>
        <w:tabs>
          <w:tab w:val="num" w:pos="6480"/>
        </w:tabs>
        <w:ind w:left="6480" w:hanging="360"/>
      </w:pPr>
    </w:lvl>
  </w:abstractNum>
  <w:abstractNum w:abstractNumId="3" w15:restartNumberingAfterBreak="0">
    <w:nsid w:val="19DF4680"/>
    <w:multiLevelType w:val="hybridMultilevel"/>
    <w:tmpl w:val="BDF4E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E90493"/>
    <w:multiLevelType w:val="multilevel"/>
    <w:tmpl w:val="389ADA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2D1246"/>
    <w:multiLevelType w:val="hybridMultilevel"/>
    <w:tmpl w:val="941A57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2E7324B"/>
    <w:multiLevelType w:val="hybridMultilevel"/>
    <w:tmpl w:val="2F229346"/>
    <w:lvl w:ilvl="0" w:tplc="59A2204A">
      <w:start w:val="1"/>
      <w:numFmt w:val="bullet"/>
      <w:lvlText w:val="•"/>
      <w:lvlJc w:val="left"/>
      <w:pPr>
        <w:tabs>
          <w:tab w:val="num" w:pos="720"/>
        </w:tabs>
        <w:ind w:left="720" w:hanging="360"/>
      </w:pPr>
      <w:rPr>
        <w:rFonts w:ascii="Arial" w:hAnsi="Arial" w:hint="default"/>
      </w:rPr>
    </w:lvl>
    <w:lvl w:ilvl="1" w:tplc="4240E53E" w:tentative="1">
      <w:start w:val="1"/>
      <w:numFmt w:val="bullet"/>
      <w:lvlText w:val="•"/>
      <w:lvlJc w:val="left"/>
      <w:pPr>
        <w:tabs>
          <w:tab w:val="num" w:pos="1440"/>
        </w:tabs>
        <w:ind w:left="1440" w:hanging="360"/>
      </w:pPr>
      <w:rPr>
        <w:rFonts w:ascii="Arial" w:hAnsi="Arial" w:hint="default"/>
      </w:rPr>
    </w:lvl>
    <w:lvl w:ilvl="2" w:tplc="158C0832" w:tentative="1">
      <w:start w:val="1"/>
      <w:numFmt w:val="bullet"/>
      <w:lvlText w:val="•"/>
      <w:lvlJc w:val="left"/>
      <w:pPr>
        <w:tabs>
          <w:tab w:val="num" w:pos="2160"/>
        </w:tabs>
        <w:ind w:left="2160" w:hanging="360"/>
      </w:pPr>
      <w:rPr>
        <w:rFonts w:ascii="Arial" w:hAnsi="Arial" w:hint="default"/>
      </w:rPr>
    </w:lvl>
    <w:lvl w:ilvl="3" w:tplc="C58E744C" w:tentative="1">
      <w:start w:val="1"/>
      <w:numFmt w:val="bullet"/>
      <w:lvlText w:val="•"/>
      <w:lvlJc w:val="left"/>
      <w:pPr>
        <w:tabs>
          <w:tab w:val="num" w:pos="2880"/>
        </w:tabs>
        <w:ind w:left="2880" w:hanging="360"/>
      </w:pPr>
      <w:rPr>
        <w:rFonts w:ascii="Arial" w:hAnsi="Arial" w:hint="default"/>
      </w:rPr>
    </w:lvl>
    <w:lvl w:ilvl="4" w:tplc="E930867E" w:tentative="1">
      <w:start w:val="1"/>
      <w:numFmt w:val="bullet"/>
      <w:lvlText w:val="•"/>
      <w:lvlJc w:val="left"/>
      <w:pPr>
        <w:tabs>
          <w:tab w:val="num" w:pos="3600"/>
        </w:tabs>
        <w:ind w:left="3600" w:hanging="360"/>
      </w:pPr>
      <w:rPr>
        <w:rFonts w:ascii="Arial" w:hAnsi="Arial" w:hint="default"/>
      </w:rPr>
    </w:lvl>
    <w:lvl w:ilvl="5" w:tplc="F266F520" w:tentative="1">
      <w:start w:val="1"/>
      <w:numFmt w:val="bullet"/>
      <w:lvlText w:val="•"/>
      <w:lvlJc w:val="left"/>
      <w:pPr>
        <w:tabs>
          <w:tab w:val="num" w:pos="4320"/>
        </w:tabs>
        <w:ind w:left="4320" w:hanging="360"/>
      </w:pPr>
      <w:rPr>
        <w:rFonts w:ascii="Arial" w:hAnsi="Arial" w:hint="default"/>
      </w:rPr>
    </w:lvl>
    <w:lvl w:ilvl="6" w:tplc="7716184A" w:tentative="1">
      <w:start w:val="1"/>
      <w:numFmt w:val="bullet"/>
      <w:lvlText w:val="•"/>
      <w:lvlJc w:val="left"/>
      <w:pPr>
        <w:tabs>
          <w:tab w:val="num" w:pos="5040"/>
        </w:tabs>
        <w:ind w:left="5040" w:hanging="360"/>
      </w:pPr>
      <w:rPr>
        <w:rFonts w:ascii="Arial" w:hAnsi="Arial" w:hint="default"/>
      </w:rPr>
    </w:lvl>
    <w:lvl w:ilvl="7" w:tplc="320C5718" w:tentative="1">
      <w:start w:val="1"/>
      <w:numFmt w:val="bullet"/>
      <w:lvlText w:val="•"/>
      <w:lvlJc w:val="left"/>
      <w:pPr>
        <w:tabs>
          <w:tab w:val="num" w:pos="5760"/>
        </w:tabs>
        <w:ind w:left="5760" w:hanging="360"/>
      </w:pPr>
      <w:rPr>
        <w:rFonts w:ascii="Arial" w:hAnsi="Arial" w:hint="default"/>
      </w:rPr>
    </w:lvl>
    <w:lvl w:ilvl="8" w:tplc="C8C6D4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661A36"/>
    <w:multiLevelType w:val="hybridMultilevel"/>
    <w:tmpl w:val="7B2480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531097C"/>
    <w:multiLevelType w:val="hybridMultilevel"/>
    <w:tmpl w:val="1E0AE532"/>
    <w:lvl w:ilvl="0" w:tplc="6256EE0E">
      <w:start w:val="1"/>
      <w:numFmt w:val="bullet"/>
      <w:lvlText w:val="•"/>
      <w:lvlJc w:val="left"/>
      <w:pPr>
        <w:tabs>
          <w:tab w:val="num" w:pos="720"/>
        </w:tabs>
        <w:ind w:left="720" w:hanging="360"/>
      </w:pPr>
      <w:rPr>
        <w:rFonts w:ascii="Arial" w:hAnsi="Arial" w:hint="default"/>
      </w:rPr>
    </w:lvl>
    <w:lvl w:ilvl="1" w:tplc="0EBC8058" w:tentative="1">
      <w:start w:val="1"/>
      <w:numFmt w:val="bullet"/>
      <w:lvlText w:val="•"/>
      <w:lvlJc w:val="left"/>
      <w:pPr>
        <w:tabs>
          <w:tab w:val="num" w:pos="1440"/>
        </w:tabs>
        <w:ind w:left="1440" w:hanging="360"/>
      </w:pPr>
      <w:rPr>
        <w:rFonts w:ascii="Arial" w:hAnsi="Arial" w:hint="default"/>
      </w:rPr>
    </w:lvl>
    <w:lvl w:ilvl="2" w:tplc="0F7A322E" w:tentative="1">
      <w:start w:val="1"/>
      <w:numFmt w:val="bullet"/>
      <w:lvlText w:val="•"/>
      <w:lvlJc w:val="left"/>
      <w:pPr>
        <w:tabs>
          <w:tab w:val="num" w:pos="2160"/>
        </w:tabs>
        <w:ind w:left="2160" w:hanging="360"/>
      </w:pPr>
      <w:rPr>
        <w:rFonts w:ascii="Arial" w:hAnsi="Arial" w:hint="default"/>
      </w:rPr>
    </w:lvl>
    <w:lvl w:ilvl="3" w:tplc="6B9E1FB0" w:tentative="1">
      <w:start w:val="1"/>
      <w:numFmt w:val="bullet"/>
      <w:lvlText w:val="•"/>
      <w:lvlJc w:val="left"/>
      <w:pPr>
        <w:tabs>
          <w:tab w:val="num" w:pos="2880"/>
        </w:tabs>
        <w:ind w:left="2880" w:hanging="360"/>
      </w:pPr>
      <w:rPr>
        <w:rFonts w:ascii="Arial" w:hAnsi="Arial" w:hint="default"/>
      </w:rPr>
    </w:lvl>
    <w:lvl w:ilvl="4" w:tplc="F5A2E17A" w:tentative="1">
      <w:start w:val="1"/>
      <w:numFmt w:val="bullet"/>
      <w:lvlText w:val="•"/>
      <w:lvlJc w:val="left"/>
      <w:pPr>
        <w:tabs>
          <w:tab w:val="num" w:pos="3600"/>
        </w:tabs>
        <w:ind w:left="3600" w:hanging="360"/>
      </w:pPr>
      <w:rPr>
        <w:rFonts w:ascii="Arial" w:hAnsi="Arial" w:hint="default"/>
      </w:rPr>
    </w:lvl>
    <w:lvl w:ilvl="5" w:tplc="C9CE9CCC" w:tentative="1">
      <w:start w:val="1"/>
      <w:numFmt w:val="bullet"/>
      <w:lvlText w:val="•"/>
      <w:lvlJc w:val="left"/>
      <w:pPr>
        <w:tabs>
          <w:tab w:val="num" w:pos="4320"/>
        </w:tabs>
        <w:ind w:left="4320" w:hanging="360"/>
      </w:pPr>
      <w:rPr>
        <w:rFonts w:ascii="Arial" w:hAnsi="Arial" w:hint="default"/>
      </w:rPr>
    </w:lvl>
    <w:lvl w:ilvl="6" w:tplc="A6708B08" w:tentative="1">
      <w:start w:val="1"/>
      <w:numFmt w:val="bullet"/>
      <w:lvlText w:val="•"/>
      <w:lvlJc w:val="left"/>
      <w:pPr>
        <w:tabs>
          <w:tab w:val="num" w:pos="5040"/>
        </w:tabs>
        <w:ind w:left="5040" w:hanging="360"/>
      </w:pPr>
      <w:rPr>
        <w:rFonts w:ascii="Arial" w:hAnsi="Arial" w:hint="default"/>
      </w:rPr>
    </w:lvl>
    <w:lvl w:ilvl="7" w:tplc="4148F1A0" w:tentative="1">
      <w:start w:val="1"/>
      <w:numFmt w:val="bullet"/>
      <w:lvlText w:val="•"/>
      <w:lvlJc w:val="left"/>
      <w:pPr>
        <w:tabs>
          <w:tab w:val="num" w:pos="5760"/>
        </w:tabs>
        <w:ind w:left="5760" w:hanging="360"/>
      </w:pPr>
      <w:rPr>
        <w:rFonts w:ascii="Arial" w:hAnsi="Arial" w:hint="default"/>
      </w:rPr>
    </w:lvl>
    <w:lvl w:ilvl="8" w:tplc="4E544E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73E74"/>
    <w:multiLevelType w:val="hybridMultilevel"/>
    <w:tmpl w:val="702A6626"/>
    <w:lvl w:ilvl="0" w:tplc="3518675A">
      <w:start w:val="1"/>
      <w:numFmt w:val="bullet"/>
      <w:lvlText w:val="•"/>
      <w:lvlJc w:val="left"/>
      <w:pPr>
        <w:tabs>
          <w:tab w:val="num" w:pos="720"/>
        </w:tabs>
        <w:ind w:left="720" w:hanging="360"/>
      </w:pPr>
      <w:rPr>
        <w:rFonts w:ascii="Arial" w:hAnsi="Arial" w:hint="default"/>
      </w:rPr>
    </w:lvl>
    <w:lvl w:ilvl="1" w:tplc="644418DC" w:tentative="1">
      <w:start w:val="1"/>
      <w:numFmt w:val="bullet"/>
      <w:lvlText w:val="•"/>
      <w:lvlJc w:val="left"/>
      <w:pPr>
        <w:tabs>
          <w:tab w:val="num" w:pos="1440"/>
        </w:tabs>
        <w:ind w:left="1440" w:hanging="360"/>
      </w:pPr>
      <w:rPr>
        <w:rFonts w:ascii="Arial" w:hAnsi="Arial" w:hint="default"/>
      </w:rPr>
    </w:lvl>
    <w:lvl w:ilvl="2" w:tplc="2AA0B084" w:tentative="1">
      <w:start w:val="1"/>
      <w:numFmt w:val="bullet"/>
      <w:lvlText w:val="•"/>
      <w:lvlJc w:val="left"/>
      <w:pPr>
        <w:tabs>
          <w:tab w:val="num" w:pos="2160"/>
        </w:tabs>
        <w:ind w:left="2160" w:hanging="360"/>
      </w:pPr>
      <w:rPr>
        <w:rFonts w:ascii="Arial" w:hAnsi="Arial" w:hint="default"/>
      </w:rPr>
    </w:lvl>
    <w:lvl w:ilvl="3" w:tplc="30EE76C0" w:tentative="1">
      <w:start w:val="1"/>
      <w:numFmt w:val="bullet"/>
      <w:lvlText w:val="•"/>
      <w:lvlJc w:val="left"/>
      <w:pPr>
        <w:tabs>
          <w:tab w:val="num" w:pos="2880"/>
        </w:tabs>
        <w:ind w:left="2880" w:hanging="360"/>
      </w:pPr>
      <w:rPr>
        <w:rFonts w:ascii="Arial" w:hAnsi="Arial" w:hint="default"/>
      </w:rPr>
    </w:lvl>
    <w:lvl w:ilvl="4" w:tplc="0890D0DC" w:tentative="1">
      <w:start w:val="1"/>
      <w:numFmt w:val="bullet"/>
      <w:lvlText w:val="•"/>
      <w:lvlJc w:val="left"/>
      <w:pPr>
        <w:tabs>
          <w:tab w:val="num" w:pos="3600"/>
        </w:tabs>
        <w:ind w:left="3600" w:hanging="360"/>
      </w:pPr>
      <w:rPr>
        <w:rFonts w:ascii="Arial" w:hAnsi="Arial" w:hint="default"/>
      </w:rPr>
    </w:lvl>
    <w:lvl w:ilvl="5" w:tplc="23D281B4" w:tentative="1">
      <w:start w:val="1"/>
      <w:numFmt w:val="bullet"/>
      <w:lvlText w:val="•"/>
      <w:lvlJc w:val="left"/>
      <w:pPr>
        <w:tabs>
          <w:tab w:val="num" w:pos="4320"/>
        </w:tabs>
        <w:ind w:left="4320" w:hanging="360"/>
      </w:pPr>
      <w:rPr>
        <w:rFonts w:ascii="Arial" w:hAnsi="Arial" w:hint="default"/>
      </w:rPr>
    </w:lvl>
    <w:lvl w:ilvl="6" w:tplc="6354F5A8" w:tentative="1">
      <w:start w:val="1"/>
      <w:numFmt w:val="bullet"/>
      <w:lvlText w:val="•"/>
      <w:lvlJc w:val="left"/>
      <w:pPr>
        <w:tabs>
          <w:tab w:val="num" w:pos="5040"/>
        </w:tabs>
        <w:ind w:left="5040" w:hanging="360"/>
      </w:pPr>
      <w:rPr>
        <w:rFonts w:ascii="Arial" w:hAnsi="Arial" w:hint="default"/>
      </w:rPr>
    </w:lvl>
    <w:lvl w:ilvl="7" w:tplc="E4900F78" w:tentative="1">
      <w:start w:val="1"/>
      <w:numFmt w:val="bullet"/>
      <w:lvlText w:val="•"/>
      <w:lvlJc w:val="left"/>
      <w:pPr>
        <w:tabs>
          <w:tab w:val="num" w:pos="5760"/>
        </w:tabs>
        <w:ind w:left="5760" w:hanging="360"/>
      </w:pPr>
      <w:rPr>
        <w:rFonts w:ascii="Arial" w:hAnsi="Arial" w:hint="default"/>
      </w:rPr>
    </w:lvl>
    <w:lvl w:ilvl="8" w:tplc="E2A470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D053E9"/>
    <w:multiLevelType w:val="multilevel"/>
    <w:tmpl w:val="8D965C8C"/>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913A7B"/>
    <w:multiLevelType w:val="hybridMultilevel"/>
    <w:tmpl w:val="633E9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D956138"/>
    <w:multiLevelType w:val="hybridMultilevel"/>
    <w:tmpl w:val="C832CB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E872E0A"/>
    <w:multiLevelType w:val="multilevel"/>
    <w:tmpl w:val="BD6A00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502FB0"/>
    <w:multiLevelType w:val="hybridMultilevel"/>
    <w:tmpl w:val="7B3C4E96"/>
    <w:lvl w:ilvl="0" w:tplc="A6687FE0">
      <w:start w:val="1"/>
      <w:numFmt w:val="lowerLetter"/>
      <w:lvlText w:val="%1."/>
      <w:lvlJc w:val="left"/>
      <w:pPr>
        <w:tabs>
          <w:tab w:val="num" w:pos="1440"/>
        </w:tabs>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1503DD"/>
    <w:multiLevelType w:val="hybridMultilevel"/>
    <w:tmpl w:val="C2466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14337B"/>
    <w:multiLevelType w:val="hybridMultilevel"/>
    <w:tmpl w:val="75AE32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43AB3E00"/>
    <w:multiLevelType w:val="multilevel"/>
    <w:tmpl w:val="2EBC71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1844CA"/>
    <w:multiLevelType w:val="hybridMultilevel"/>
    <w:tmpl w:val="56BE1E6C"/>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0" w15:restartNumberingAfterBreak="0">
    <w:nsid w:val="52445451"/>
    <w:multiLevelType w:val="hybridMultilevel"/>
    <w:tmpl w:val="F19A3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59AA0923"/>
    <w:multiLevelType w:val="hybridMultilevel"/>
    <w:tmpl w:val="858A8C58"/>
    <w:lvl w:ilvl="0" w:tplc="8774CFAC">
      <w:start w:val="7"/>
      <w:numFmt w:val="decimal"/>
      <w:lvlText w:val="%1."/>
      <w:lvlJc w:val="left"/>
      <w:pPr>
        <w:tabs>
          <w:tab w:val="num" w:pos="720"/>
        </w:tabs>
        <w:ind w:left="720" w:hanging="360"/>
      </w:pPr>
    </w:lvl>
    <w:lvl w:ilvl="1" w:tplc="A6687FE0">
      <w:start w:val="1"/>
      <w:numFmt w:val="lowerLetter"/>
      <w:lvlText w:val="%2."/>
      <w:lvlJc w:val="left"/>
      <w:pPr>
        <w:tabs>
          <w:tab w:val="num" w:pos="1440"/>
        </w:tabs>
        <w:ind w:left="1440" w:hanging="360"/>
      </w:pPr>
    </w:lvl>
    <w:lvl w:ilvl="2" w:tplc="2FF42AC2" w:tentative="1">
      <w:start w:val="1"/>
      <w:numFmt w:val="decimal"/>
      <w:lvlText w:val="%3."/>
      <w:lvlJc w:val="left"/>
      <w:pPr>
        <w:tabs>
          <w:tab w:val="num" w:pos="2160"/>
        </w:tabs>
        <w:ind w:left="2160" w:hanging="360"/>
      </w:pPr>
    </w:lvl>
    <w:lvl w:ilvl="3" w:tplc="B202689E" w:tentative="1">
      <w:start w:val="1"/>
      <w:numFmt w:val="decimal"/>
      <w:lvlText w:val="%4."/>
      <w:lvlJc w:val="left"/>
      <w:pPr>
        <w:tabs>
          <w:tab w:val="num" w:pos="2880"/>
        </w:tabs>
        <w:ind w:left="2880" w:hanging="360"/>
      </w:pPr>
    </w:lvl>
    <w:lvl w:ilvl="4" w:tplc="F208BB42" w:tentative="1">
      <w:start w:val="1"/>
      <w:numFmt w:val="decimal"/>
      <w:lvlText w:val="%5."/>
      <w:lvlJc w:val="left"/>
      <w:pPr>
        <w:tabs>
          <w:tab w:val="num" w:pos="3600"/>
        </w:tabs>
        <w:ind w:left="3600" w:hanging="360"/>
      </w:pPr>
    </w:lvl>
    <w:lvl w:ilvl="5" w:tplc="7AC40DA0" w:tentative="1">
      <w:start w:val="1"/>
      <w:numFmt w:val="decimal"/>
      <w:lvlText w:val="%6."/>
      <w:lvlJc w:val="left"/>
      <w:pPr>
        <w:tabs>
          <w:tab w:val="num" w:pos="4320"/>
        </w:tabs>
        <w:ind w:left="4320" w:hanging="360"/>
      </w:pPr>
    </w:lvl>
    <w:lvl w:ilvl="6" w:tplc="EE5CCB14" w:tentative="1">
      <w:start w:val="1"/>
      <w:numFmt w:val="decimal"/>
      <w:lvlText w:val="%7."/>
      <w:lvlJc w:val="left"/>
      <w:pPr>
        <w:tabs>
          <w:tab w:val="num" w:pos="5040"/>
        </w:tabs>
        <w:ind w:left="5040" w:hanging="360"/>
      </w:pPr>
    </w:lvl>
    <w:lvl w:ilvl="7" w:tplc="6450DB26" w:tentative="1">
      <w:start w:val="1"/>
      <w:numFmt w:val="decimal"/>
      <w:lvlText w:val="%8."/>
      <w:lvlJc w:val="left"/>
      <w:pPr>
        <w:tabs>
          <w:tab w:val="num" w:pos="5760"/>
        </w:tabs>
        <w:ind w:left="5760" w:hanging="360"/>
      </w:pPr>
    </w:lvl>
    <w:lvl w:ilvl="8" w:tplc="E51C240E" w:tentative="1">
      <w:start w:val="1"/>
      <w:numFmt w:val="decimal"/>
      <w:lvlText w:val="%9."/>
      <w:lvlJc w:val="left"/>
      <w:pPr>
        <w:tabs>
          <w:tab w:val="num" w:pos="6480"/>
        </w:tabs>
        <w:ind w:left="6480" w:hanging="360"/>
      </w:pPr>
    </w:lvl>
  </w:abstractNum>
  <w:abstractNum w:abstractNumId="22" w15:restartNumberingAfterBreak="0">
    <w:nsid w:val="5E390CF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4625C"/>
    <w:multiLevelType w:val="multilevel"/>
    <w:tmpl w:val="5906A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582DDA"/>
    <w:multiLevelType w:val="hybridMultilevel"/>
    <w:tmpl w:val="6B7CE91C"/>
    <w:lvl w:ilvl="0" w:tplc="98768B16">
      <w:start w:val="1"/>
      <w:numFmt w:val="bullet"/>
      <w:lvlText w:val="•"/>
      <w:lvlJc w:val="left"/>
      <w:pPr>
        <w:tabs>
          <w:tab w:val="num" w:pos="720"/>
        </w:tabs>
        <w:ind w:left="720" w:hanging="360"/>
      </w:pPr>
      <w:rPr>
        <w:rFonts w:ascii="Arial" w:hAnsi="Arial" w:hint="default"/>
      </w:rPr>
    </w:lvl>
    <w:lvl w:ilvl="1" w:tplc="5B789AE4" w:tentative="1">
      <w:start w:val="1"/>
      <w:numFmt w:val="bullet"/>
      <w:lvlText w:val="•"/>
      <w:lvlJc w:val="left"/>
      <w:pPr>
        <w:tabs>
          <w:tab w:val="num" w:pos="1440"/>
        </w:tabs>
        <w:ind w:left="1440" w:hanging="360"/>
      </w:pPr>
      <w:rPr>
        <w:rFonts w:ascii="Arial" w:hAnsi="Arial" w:hint="default"/>
      </w:rPr>
    </w:lvl>
    <w:lvl w:ilvl="2" w:tplc="BDF2636A" w:tentative="1">
      <w:start w:val="1"/>
      <w:numFmt w:val="bullet"/>
      <w:lvlText w:val="•"/>
      <w:lvlJc w:val="left"/>
      <w:pPr>
        <w:tabs>
          <w:tab w:val="num" w:pos="2160"/>
        </w:tabs>
        <w:ind w:left="2160" w:hanging="360"/>
      </w:pPr>
      <w:rPr>
        <w:rFonts w:ascii="Arial" w:hAnsi="Arial" w:hint="default"/>
      </w:rPr>
    </w:lvl>
    <w:lvl w:ilvl="3" w:tplc="7794E37E" w:tentative="1">
      <w:start w:val="1"/>
      <w:numFmt w:val="bullet"/>
      <w:lvlText w:val="•"/>
      <w:lvlJc w:val="left"/>
      <w:pPr>
        <w:tabs>
          <w:tab w:val="num" w:pos="2880"/>
        </w:tabs>
        <w:ind w:left="2880" w:hanging="360"/>
      </w:pPr>
      <w:rPr>
        <w:rFonts w:ascii="Arial" w:hAnsi="Arial" w:hint="default"/>
      </w:rPr>
    </w:lvl>
    <w:lvl w:ilvl="4" w:tplc="E6F84D30" w:tentative="1">
      <w:start w:val="1"/>
      <w:numFmt w:val="bullet"/>
      <w:lvlText w:val="•"/>
      <w:lvlJc w:val="left"/>
      <w:pPr>
        <w:tabs>
          <w:tab w:val="num" w:pos="3600"/>
        </w:tabs>
        <w:ind w:left="3600" w:hanging="360"/>
      </w:pPr>
      <w:rPr>
        <w:rFonts w:ascii="Arial" w:hAnsi="Arial" w:hint="default"/>
      </w:rPr>
    </w:lvl>
    <w:lvl w:ilvl="5" w:tplc="89062098" w:tentative="1">
      <w:start w:val="1"/>
      <w:numFmt w:val="bullet"/>
      <w:lvlText w:val="•"/>
      <w:lvlJc w:val="left"/>
      <w:pPr>
        <w:tabs>
          <w:tab w:val="num" w:pos="4320"/>
        </w:tabs>
        <w:ind w:left="4320" w:hanging="360"/>
      </w:pPr>
      <w:rPr>
        <w:rFonts w:ascii="Arial" w:hAnsi="Arial" w:hint="default"/>
      </w:rPr>
    </w:lvl>
    <w:lvl w:ilvl="6" w:tplc="F03AA972" w:tentative="1">
      <w:start w:val="1"/>
      <w:numFmt w:val="bullet"/>
      <w:lvlText w:val="•"/>
      <w:lvlJc w:val="left"/>
      <w:pPr>
        <w:tabs>
          <w:tab w:val="num" w:pos="5040"/>
        </w:tabs>
        <w:ind w:left="5040" w:hanging="360"/>
      </w:pPr>
      <w:rPr>
        <w:rFonts w:ascii="Arial" w:hAnsi="Arial" w:hint="default"/>
      </w:rPr>
    </w:lvl>
    <w:lvl w:ilvl="7" w:tplc="EEA614F2" w:tentative="1">
      <w:start w:val="1"/>
      <w:numFmt w:val="bullet"/>
      <w:lvlText w:val="•"/>
      <w:lvlJc w:val="left"/>
      <w:pPr>
        <w:tabs>
          <w:tab w:val="num" w:pos="5760"/>
        </w:tabs>
        <w:ind w:left="5760" w:hanging="360"/>
      </w:pPr>
      <w:rPr>
        <w:rFonts w:ascii="Arial" w:hAnsi="Arial" w:hint="default"/>
      </w:rPr>
    </w:lvl>
    <w:lvl w:ilvl="8" w:tplc="CD6652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091FD0"/>
    <w:multiLevelType w:val="multilevel"/>
    <w:tmpl w:val="590EFC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463787"/>
    <w:multiLevelType w:val="multilevel"/>
    <w:tmpl w:val="48FEA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A62491"/>
    <w:multiLevelType w:val="hybridMultilevel"/>
    <w:tmpl w:val="1BFE54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15"/>
  </w:num>
  <w:num w:numId="5">
    <w:abstractNumId w:val="5"/>
  </w:num>
  <w:num w:numId="6">
    <w:abstractNumId w:val="12"/>
  </w:num>
  <w:num w:numId="7">
    <w:abstractNumId w:val="1"/>
  </w:num>
  <w:num w:numId="8">
    <w:abstractNumId w:val="18"/>
  </w:num>
  <w:num w:numId="9">
    <w:abstractNumId w:val="3"/>
  </w:num>
  <w:num w:numId="10">
    <w:abstractNumId w:val="22"/>
  </w:num>
  <w:num w:numId="11">
    <w:abstractNumId w:val="23"/>
  </w:num>
  <w:num w:numId="12">
    <w:abstractNumId w:val="26"/>
  </w:num>
  <w:num w:numId="13">
    <w:abstractNumId w:val="13"/>
  </w:num>
  <w:num w:numId="14">
    <w:abstractNumId w:val="11"/>
  </w:num>
  <w:num w:numId="15">
    <w:abstractNumId w:val="21"/>
  </w:num>
  <w:num w:numId="16">
    <w:abstractNumId w:val="14"/>
  </w:num>
  <w:num w:numId="17">
    <w:abstractNumId w:val="24"/>
  </w:num>
  <w:num w:numId="18">
    <w:abstractNumId w:val="6"/>
  </w:num>
  <w:num w:numId="19">
    <w:abstractNumId w:val="8"/>
  </w:num>
  <w:num w:numId="20">
    <w:abstractNumId w:val="7"/>
  </w:num>
  <w:num w:numId="21">
    <w:abstractNumId w:val="0"/>
  </w:num>
  <w:num w:numId="22">
    <w:abstractNumId w:val="20"/>
  </w:num>
  <w:num w:numId="23">
    <w:abstractNumId w:val="16"/>
  </w:num>
  <w:num w:numId="24">
    <w:abstractNumId w:val="2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0MzU3MjawtDQzNzdX0lEKTi0uzszPAykwqwUA3G4YIywAAAA="/>
  </w:docVars>
  <w:rsids>
    <w:rsidRoot w:val="00BD0672"/>
    <w:rsid w:val="00000713"/>
    <w:rsid w:val="00000EB6"/>
    <w:rsid w:val="00001EC0"/>
    <w:rsid w:val="00002DBA"/>
    <w:rsid w:val="00003754"/>
    <w:rsid w:val="00004A55"/>
    <w:rsid w:val="00005007"/>
    <w:rsid w:val="00012FE9"/>
    <w:rsid w:val="0001370E"/>
    <w:rsid w:val="000143AD"/>
    <w:rsid w:val="00014FFE"/>
    <w:rsid w:val="00015D4D"/>
    <w:rsid w:val="000210C4"/>
    <w:rsid w:val="000221F7"/>
    <w:rsid w:val="00022395"/>
    <w:rsid w:val="000268E8"/>
    <w:rsid w:val="00026C3C"/>
    <w:rsid w:val="0002753A"/>
    <w:rsid w:val="0003051C"/>
    <w:rsid w:val="00032819"/>
    <w:rsid w:val="00032957"/>
    <w:rsid w:val="000335E3"/>
    <w:rsid w:val="000339A3"/>
    <w:rsid w:val="00035100"/>
    <w:rsid w:val="00035D00"/>
    <w:rsid w:val="00036CBB"/>
    <w:rsid w:val="00036EEB"/>
    <w:rsid w:val="00037436"/>
    <w:rsid w:val="00043C64"/>
    <w:rsid w:val="00043D93"/>
    <w:rsid w:val="00044833"/>
    <w:rsid w:val="00044D5F"/>
    <w:rsid w:val="00045B40"/>
    <w:rsid w:val="00045B6B"/>
    <w:rsid w:val="00046266"/>
    <w:rsid w:val="000506E9"/>
    <w:rsid w:val="00054ADD"/>
    <w:rsid w:val="00056CCA"/>
    <w:rsid w:val="00061783"/>
    <w:rsid w:val="00063D5B"/>
    <w:rsid w:val="000667EA"/>
    <w:rsid w:val="00067106"/>
    <w:rsid w:val="00070F0D"/>
    <w:rsid w:val="0007129C"/>
    <w:rsid w:val="00072677"/>
    <w:rsid w:val="00074F9D"/>
    <w:rsid w:val="0007510E"/>
    <w:rsid w:val="00076435"/>
    <w:rsid w:val="000766E7"/>
    <w:rsid w:val="0007774A"/>
    <w:rsid w:val="000778CE"/>
    <w:rsid w:val="00077989"/>
    <w:rsid w:val="00080135"/>
    <w:rsid w:val="00081BD1"/>
    <w:rsid w:val="00081DA6"/>
    <w:rsid w:val="00083793"/>
    <w:rsid w:val="00083AB0"/>
    <w:rsid w:val="00084107"/>
    <w:rsid w:val="00084968"/>
    <w:rsid w:val="00084EF3"/>
    <w:rsid w:val="000904F2"/>
    <w:rsid w:val="0009120A"/>
    <w:rsid w:val="00092580"/>
    <w:rsid w:val="00092D3A"/>
    <w:rsid w:val="000943C2"/>
    <w:rsid w:val="00097556"/>
    <w:rsid w:val="00097B41"/>
    <w:rsid w:val="000A0202"/>
    <w:rsid w:val="000A075F"/>
    <w:rsid w:val="000A3542"/>
    <w:rsid w:val="000A512A"/>
    <w:rsid w:val="000A5130"/>
    <w:rsid w:val="000A5A0D"/>
    <w:rsid w:val="000A78ED"/>
    <w:rsid w:val="000A7DFF"/>
    <w:rsid w:val="000B0164"/>
    <w:rsid w:val="000B1631"/>
    <w:rsid w:val="000B2DCA"/>
    <w:rsid w:val="000B31C6"/>
    <w:rsid w:val="000B547D"/>
    <w:rsid w:val="000B5976"/>
    <w:rsid w:val="000B7214"/>
    <w:rsid w:val="000C094E"/>
    <w:rsid w:val="000C0C44"/>
    <w:rsid w:val="000C27D7"/>
    <w:rsid w:val="000C40BC"/>
    <w:rsid w:val="000C4282"/>
    <w:rsid w:val="000C4393"/>
    <w:rsid w:val="000C5780"/>
    <w:rsid w:val="000C58D7"/>
    <w:rsid w:val="000C5F9B"/>
    <w:rsid w:val="000D1A38"/>
    <w:rsid w:val="000D20FB"/>
    <w:rsid w:val="000D2571"/>
    <w:rsid w:val="000D25FD"/>
    <w:rsid w:val="000D3347"/>
    <w:rsid w:val="000D3820"/>
    <w:rsid w:val="000D4ABB"/>
    <w:rsid w:val="000D5375"/>
    <w:rsid w:val="000D5A8C"/>
    <w:rsid w:val="000D5C36"/>
    <w:rsid w:val="000D5E5C"/>
    <w:rsid w:val="000D609B"/>
    <w:rsid w:val="000D6384"/>
    <w:rsid w:val="000D7DB9"/>
    <w:rsid w:val="000E0DB8"/>
    <w:rsid w:val="000E11FA"/>
    <w:rsid w:val="000E3BC2"/>
    <w:rsid w:val="000E4196"/>
    <w:rsid w:val="000E4726"/>
    <w:rsid w:val="000E6BB6"/>
    <w:rsid w:val="000F0EFF"/>
    <w:rsid w:val="000F18C0"/>
    <w:rsid w:val="000F2806"/>
    <w:rsid w:val="000F4504"/>
    <w:rsid w:val="0010072C"/>
    <w:rsid w:val="00100FF8"/>
    <w:rsid w:val="00101202"/>
    <w:rsid w:val="0010197F"/>
    <w:rsid w:val="00101D6B"/>
    <w:rsid w:val="001024EC"/>
    <w:rsid w:val="00103DCF"/>
    <w:rsid w:val="00103FB2"/>
    <w:rsid w:val="001047C5"/>
    <w:rsid w:val="0010524E"/>
    <w:rsid w:val="00105650"/>
    <w:rsid w:val="00106DDF"/>
    <w:rsid w:val="00107FDF"/>
    <w:rsid w:val="00114873"/>
    <w:rsid w:val="00116516"/>
    <w:rsid w:val="00116CF1"/>
    <w:rsid w:val="0011707C"/>
    <w:rsid w:val="001205CE"/>
    <w:rsid w:val="00120678"/>
    <w:rsid w:val="00120680"/>
    <w:rsid w:val="001213DF"/>
    <w:rsid w:val="00123257"/>
    <w:rsid w:val="00123CF8"/>
    <w:rsid w:val="00124499"/>
    <w:rsid w:val="00124BD0"/>
    <w:rsid w:val="00130477"/>
    <w:rsid w:val="00130D87"/>
    <w:rsid w:val="001310D4"/>
    <w:rsid w:val="0013215E"/>
    <w:rsid w:val="00132AD5"/>
    <w:rsid w:val="00134BD5"/>
    <w:rsid w:val="00134D79"/>
    <w:rsid w:val="00134EA2"/>
    <w:rsid w:val="001375AE"/>
    <w:rsid w:val="001375EA"/>
    <w:rsid w:val="0014030A"/>
    <w:rsid w:val="00141CE9"/>
    <w:rsid w:val="00144358"/>
    <w:rsid w:val="00144F92"/>
    <w:rsid w:val="00145AFC"/>
    <w:rsid w:val="001503FB"/>
    <w:rsid w:val="00152359"/>
    <w:rsid w:val="00152436"/>
    <w:rsid w:val="0015406C"/>
    <w:rsid w:val="00154135"/>
    <w:rsid w:val="001600EB"/>
    <w:rsid w:val="00160426"/>
    <w:rsid w:val="0016235F"/>
    <w:rsid w:val="00162422"/>
    <w:rsid w:val="00162869"/>
    <w:rsid w:val="0016590B"/>
    <w:rsid w:val="00166A41"/>
    <w:rsid w:val="00170C65"/>
    <w:rsid w:val="0017152F"/>
    <w:rsid w:val="00171B25"/>
    <w:rsid w:val="00176F97"/>
    <w:rsid w:val="00177A61"/>
    <w:rsid w:val="00177CD5"/>
    <w:rsid w:val="0018064D"/>
    <w:rsid w:val="00180F08"/>
    <w:rsid w:val="00181AE1"/>
    <w:rsid w:val="0018240B"/>
    <w:rsid w:val="001838E6"/>
    <w:rsid w:val="001846A3"/>
    <w:rsid w:val="0018674F"/>
    <w:rsid w:val="0018733F"/>
    <w:rsid w:val="001913D0"/>
    <w:rsid w:val="001928CA"/>
    <w:rsid w:val="0019370F"/>
    <w:rsid w:val="00193B32"/>
    <w:rsid w:val="00193D04"/>
    <w:rsid w:val="00194BE1"/>
    <w:rsid w:val="00195591"/>
    <w:rsid w:val="00195D51"/>
    <w:rsid w:val="00196367"/>
    <w:rsid w:val="00196876"/>
    <w:rsid w:val="001A336B"/>
    <w:rsid w:val="001A364E"/>
    <w:rsid w:val="001A5EF2"/>
    <w:rsid w:val="001A69C3"/>
    <w:rsid w:val="001A6A04"/>
    <w:rsid w:val="001A6DE1"/>
    <w:rsid w:val="001B01B7"/>
    <w:rsid w:val="001B45CD"/>
    <w:rsid w:val="001B4625"/>
    <w:rsid w:val="001B55EA"/>
    <w:rsid w:val="001B6E32"/>
    <w:rsid w:val="001B70B7"/>
    <w:rsid w:val="001B7C57"/>
    <w:rsid w:val="001C1A5B"/>
    <w:rsid w:val="001C22E4"/>
    <w:rsid w:val="001C52C6"/>
    <w:rsid w:val="001C5F4C"/>
    <w:rsid w:val="001C63EB"/>
    <w:rsid w:val="001C781D"/>
    <w:rsid w:val="001C79B2"/>
    <w:rsid w:val="001D0F56"/>
    <w:rsid w:val="001D23D3"/>
    <w:rsid w:val="001D4AAF"/>
    <w:rsid w:val="001D66B5"/>
    <w:rsid w:val="001D71E4"/>
    <w:rsid w:val="001D7A33"/>
    <w:rsid w:val="001E16E0"/>
    <w:rsid w:val="001E62AB"/>
    <w:rsid w:val="001E72AD"/>
    <w:rsid w:val="001F1C6F"/>
    <w:rsid w:val="001F23C7"/>
    <w:rsid w:val="001F3ED7"/>
    <w:rsid w:val="001F5180"/>
    <w:rsid w:val="001F51A5"/>
    <w:rsid w:val="001F615F"/>
    <w:rsid w:val="001F65B7"/>
    <w:rsid w:val="001F7450"/>
    <w:rsid w:val="001F7775"/>
    <w:rsid w:val="00202105"/>
    <w:rsid w:val="00202F33"/>
    <w:rsid w:val="00203D91"/>
    <w:rsid w:val="00203D93"/>
    <w:rsid w:val="002048C0"/>
    <w:rsid w:val="002053D6"/>
    <w:rsid w:val="00205682"/>
    <w:rsid w:val="002063BE"/>
    <w:rsid w:val="00206CC7"/>
    <w:rsid w:val="00210649"/>
    <w:rsid w:val="00211AC8"/>
    <w:rsid w:val="00212D8B"/>
    <w:rsid w:val="00213AC0"/>
    <w:rsid w:val="00215EF9"/>
    <w:rsid w:val="00215F97"/>
    <w:rsid w:val="00216183"/>
    <w:rsid w:val="00220079"/>
    <w:rsid w:val="00222EFC"/>
    <w:rsid w:val="00223150"/>
    <w:rsid w:val="00224043"/>
    <w:rsid w:val="002252EA"/>
    <w:rsid w:val="002258A3"/>
    <w:rsid w:val="0023034C"/>
    <w:rsid w:val="0023078E"/>
    <w:rsid w:val="00232EED"/>
    <w:rsid w:val="002333CF"/>
    <w:rsid w:val="0023496E"/>
    <w:rsid w:val="00234E85"/>
    <w:rsid w:val="00235BCB"/>
    <w:rsid w:val="00236D34"/>
    <w:rsid w:val="00244656"/>
    <w:rsid w:val="00244992"/>
    <w:rsid w:val="00244AD2"/>
    <w:rsid w:val="0024576F"/>
    <w:rsid w:val="002466FD"/>
    <w:rsid w:val="00247351"/>
    <w:rsid w:val="00250599"/>
    <w:rsid w:val="00251C62"/>
    <w:rsid w:val="002533C9"/>
    <w:rsid w:val="00253A74"/>
    <w:rsid w:val="00254717"/>
    <w:rsid w:val="00254EA6"/>
    <w:rsid w:val="00254EE2"/>
    <w:rsid w:val="00255991"/>
    <w:rsid w:val="00256409"/>
    <w:rsid w:val="00257D6B"/>
    <w:rsid w:val="00260503"/>
    <w:rsid w:val="0026173C"/>
    <w:rsid w:val="0026403A"/>
    <w:rsid w:val="00267D9D"/>
    <w:rsid w:val="00272AD8"/>
    <w:rsid w:val="002733B5"/>
    <w:rsid w:val="00275691"/>
    <w:rsid w:val="00277457"/>
    <w:rsid w:val="00277585"/>
    <w:rsid w:val="00282525"/>
    <w:rsid w:val="002837C3"/>
    <w:rsid w:val="00283C06"/>
    <w:rsid w:val="00284683"/>
    <w:rsid w:val="002876C3"/>
    <w:rsid w:val="0029103E"/>
    <w:rsid w:val="002910F2"/>
    <w:rsid w:val="002A06A0"/>
    <w:rsid w:val="002A0E70"/>
    <w:rsid w:val="002A2656"/>
    <w:rsid w:val="002A3128"/>
    <w:rsid w:val="002A468C"/>
    <w:rsid w:val="002A5D7F"/>
    <w:rsid w:val="002A5F85"/>
    <w:rsid w:val="002B41BA"/>
    <w:rsid w:val="002B49D7"/>
    <w:rsid w:val="002B49F9"/>
    <w:rsid w:val="002B4B92"/>
    <w:rsid w:val="002B4C35"/>
    <w:rsid w:val="002B5FFA"/>
    <w:rsid w:val="002B6095"/>
    <w:rsid w:val="002B6DD1"/>
    <w:rsid w:val="002B7F04"/>
    <w:rsid w:val="002C0E86"/>
    <w:rsid w:val="002C0F4F"/>
    <w:rsid w:val="002C1C67"/>
    <w:rsid w:val="002C2DD7"/>
    <w:rsid w:val="002C512B"/>
    <w:rsid w:val="002C57C0"/>
    <w:rsid w:val="002C71B0"/>
    <w:rsid w:val="002D0993"/>
    <w:rsid w:val="002D0E68"/>
    <w:rsid w:val="002D127F"/>
    <w:rsid w:val="002D2BBC"/>
    <w:rsid w:val="002D3309"/>
    <w:rsid w:val="002D3A73"/>
    <w:rsid w:val="002D4B85"/>
    <w:rsid w:val="002D526A"/>
    <w:rsid w:val="002D5956"/>
    <w:rsid w:val="002E0274"/>
    <w:rsid w:val="002E170B"/>
    <w:rsid w:val="002E2E26"/>
    <w:rsid w:val="002E55C0"/>
    <w:rsid w:val="002E611D"/>
    <w:rsid w:val="002F2FC8"/>
    <w:rsid w:val="002F31A4"/>
    <w:rsid w:val="002F47DD"/>
    <w:rsid w:val="002F5A90"/>
    <w:rsid w:val="002F779A"/>
    <w:rsid w:val="002F7D9A"/>
    <w:rsid w:val="00304D0E"/>
    <w:rsid w:val="00305170"/>
    <w:rsid w:val="00306EB8"/>
    <w:rsid w:val="00307764"/>
    <w:rsid w:val="0031201F"/>
    <w:rsid w:val="00312354"/>
    <w:rsid w:val="00312F48"/>
    <w:rsid w:val="003161C0"/>
    <w:rsid w:val="00317465"/>
    <w:rsid w:val="003202B4"/>
    <w:rsid w:val="0032185F"/>
    <w:rsid w:val="0032274D"/>
    <w:rsid w:val="00325760"/>
    <w:rsid w:val="00326FBB"/>
    <w:rsid w:val="003304F8"/>
    <w:rsid w:val="0033081F"/>
    <w:rsid w:val="003308E1"/>
    <w:rsid w:val="00330CD0"/>
    <w:rsid w:val="003319BB"/>
    <w:rsid w:val="00333673"/>
    <w:rsid w:val="0033456C"/>
    <w:rsid w:val="003355CE"/>
    <w:rsid w:val="00342769"/>
    <w:rsid w:val="00345FDD"/>
    <w:rsid w:val="0034619C"/>
    <w:rsid w:val="00350399"/>
    <w:rsid w:val="0035165B"/>
    <w:rsid w:val="003520E1"/>
    <w:rsid w:val="00352FB0"/>
    <w:rsid w:val="00353902"/>
    <w:rsid w:val="00353C66"/>
    <w:rsid w:val="00354819"/>
    <w:rsid w:val="0035721A"/>
    <w:rsid w:val="003574E2"/>
    <w:rsid w:val="00357777"/>
    <w:rsid w:val="003578CD"/>
    <w:rsid w:val="00357F6D"/>
    <w:rsid w:val="00362C55"/>
    <w:rsid w:val="0036495C"/>
    <w:rsid w:val="003652C2"/>
    <w:rsid w:val="00365F7B"/>
    <w:rsid w:val="00366263"/>
    <w:rsid w:val="003673EE"/>
    <w:rsid w:val="00367D23"/>
    <w:rsid w:val="003706D4"/>
    <w:rsid w:val="00371BBD"/>
    <w:rsid w:val="003729C5"/>
    <w:rsid w:val="0037354B"/>
    <w:rsid w:val="00373ECF"/>
    <w:rsid w:val="00375177"/>
    <w:rsid w:val="003771A5"/>
    <w:rsid w:val="00377666"/>
    <w:rsid w:val="00381A8F"/>
    <w:rsid w:val="00381FB2"/>
    <w:rsid w:val="00382E60"/>
    <w:rsid w:val="003837D6"/>
    <w:rsid w:val="0038740A"/>
    <w:rsid w:val="003878B5"/>
    <w:rsid w:val="00387CC6"/>
    <w:rsid w:val="00387D3D"/>
    <w:rsid w:val="00387DFD"/>
    <w:rsid w:val="00391CC3"/>
    <w:rsid w:val="0039383B"/>
    <w:rsid w:val="0039387F"/>
    <w:rsid w:val="0039486D"/>
    <w:rsid w:val="00397656"/>
    <w:rsid w:val="00397C27"/>
    <w:rsid w:val="003A1710"/>
    <w:rsid w:val="003A1B13"/>
    <w:rsid w:val="003A1FAE"/>
    <w:rsid w:val="003A2ED6"/>
    <w:rsid w:val="003A411D"/>
    <w:rsid w:val="003A54D6"/>
    <w:rsid w:val="003A56DC"/>
    <w:rsid w:val="003A5D98"/>
    <w:rsid w:val="003A7B7A"/>
    <w:rsid w:val="003B06B0"/>
    <w:rsid w:val="003B3A30"/>
    <w:rsid w:val="003B47D5"/>
    <w:rsid w:val="003B6B04"/>
    <w:rsid w:val="003B756E"/>
    <w:rsid w:val="003B774E"/>
    <w:rsid w:val="003C0467"/>
    <w:rsid w:val="003C3020"/>
    <w:rsid w:val="003C504F"/>
    <w:rsid w:val="003C5BD5"/>
    <w:rsid w:val="003C691F"/>
    <w:rsid w:val="003D079B"/>
    <w:rsid w:val="003D2B98"/>
    <w:rsid w:val="003D2C69"/>
    <w:rsid w:val="003D31F1"/>
    <w:rsid w:val="003D4527"/>
    <w:rsid w:val="003D477C"/>
    <w:rsid w:val="003D495F"/>
    <w:rsid w:val="003D5A89"/>
    <w:rsid w:val="003D5C93"/>
    <w:rsid w:val="003D5CD5"/>
    <w:rsid w:val="003D6696"/>
    <w:rsid w:val="003D6739"/>
    <w:rsid w:val="003E0576"/>
    <w:rsid w:val="003E15EB"/>
    <w:rsid w:val="003E1B98"/>
    <w:rsid w:val="003E21F3"/>
    <w:rsid w:val="003E47B8"/>
    <w:rsid w:val="003E4A3D"/>
    <w:rsid w:val="003E7999"/>
    <w:rsid w:val="003F0D38"/>
    <w:rsid w:val="003F5584"/>
    <w:rsid w:val="003F7662"/>
    <w:rsid w:val="003F7740"/>
    <w:rsid w:val="0040075B"/>
    <w:rsid w:val="00403532"/>
    <w:rsid w:val="004052F1"/>
    <w:rsid w:val="00405530"/>
    <w:rsid w:val="004055A1"/>
    <w:rsid w:val="004067F5"/>
    <w:rsid w:val="004114C6"/>
    <w:rsid w:val="0041187C"/>
    <w:rsid w:val="00411C9C"/>
    <w:rsid w:val="00414D84"/>
    <w:rsid w:val="004158B1"/>
    <w:rsid w:val="0041610A"/>
    <w:rsid w:val="00417D3F"/>
    <w:rsid w:val="0042089A"/>
    <w:rsid w:val="004209BC"/>
    <w:rsid w:val="004210EB"/>
    <w:rsid w:val="004220E0"/>
    <w:rsid w:val="00422BD8"/>
    <w:rsid w:val="00422E0E"/>
    <w:rsid w:val="00423E3F"/>
    <w:rsid w:val="004240F2"/>
    <w:rsid w:val="004248F0"/>
    <w:rsid w:val="00424C6D"/>
    <w:rsid w:val="004255CA"/>
    <w:rsid w:val="00426F30"/>
    <w:rsid w:val="004311FC"/>
    <w:rsid w:val="00431859"/>
    <w:rsid w:val="004354B6"/>
    <w:rsid w:val="00435B93"/>
    <w:rsid w:val="004370EB"/>
    <w:rsid w:val="00437482"/>
    <w:rsid w:val="00437882"/>
    <w:rsid w:val="00437AA9"/>
    <w:rsid w:val="00441407"/>
    <w:rsid w:val="0044186F"/>
    <w:rsid w:val="004419A3"/>
    <w:rsid w:val="004422F6"/>
    <w:rsid w:val="004425D9"/>
    <w:rsid w:val="004432AB"/>
    <w:rsid w:val="0044406E"/>
    <w:rsid w:val="004442F6"/>
    <w:rsid w:val="00444749"/>
    <w:rsid w:val="00444A89"/>
    <w:rsid w:val="00445CDF"/>
    <w:rsid w:val="0044610C"/>
    <w:rsid w:val="00446521"/>
    <w:rsid w:val="00446869"/>
    <w:rsid w:val="00450497"/>
    <w:rsid w:val="0045091E"/>
    <w:rsid w:val="00451B37"/>
    <w:rsid w:val="00452BB3"/>
    <w:rsid w:val="00452D71"/>
    <w:rsid w:val="00452F21"/>
    <w:rsid w:val="004558F0"/>
    <w:rsid w:val="00456092"/>
    <w:rsid w:val="00456F4D"/>
    <w:rsid w:val="004573BB"/>
    <w:rsid w:val="00457AD8"/>
    <w:rsid w:val="0046011E"/>
    <w:rsid w:val="0046146E"/>
    <w:rsid w:val="0046279F"/>
    <w:rsid w:val="00463296"/>
    <w:rsid w:val="00463BBD"/>
    <w:rsid w:val="0046567B"/>
    <w:rsid w:val="0046584E"/>
    <w:rsid w:val="00466AE8"/>
    <w:rsid w:val="0047039B"/>
    <w:rsid w:val="00470BFB"/>
    <w:rsid w:val="00471869"/>
    <w:rsid w:val="00471ECF"/>
    <w:rsid w:val="00474C83"/>
    <w:rsid w:val="004757AC"/>
    <w:rsid w:val="00476228"/>
    <w:rsid w:val="004767DA"/>
    <w:rsid w:val="004775E2"/>
    <w:rsid w:val="00484DD6"/>
    <w:rsid w:val="00485CD4"/>
    <w:rsid w:val="00486127"/>
    <w:rsid w:val="00486FE0"/>
    <w:rsid w:val="00487E0C"/>
    <w:rsid w:val="00487F61"/>
    <w:rsid w:val="00490601"/>
    <w:rsid w:val="004934A6"/>
    <w:rsid w:val="0049749B"/>
    <w:rsid w:val="004A05F3"/>
    <w:rsid w:val="004A1D73"/>
    <w:rsid w:val="004A276B"/>
    <w:rsid w:val="004A30E9"/>
    <w:rsid w:val="004A3CDE"/>
    <w:rsid w:val="004A48CE"/>
    <w:rsid w:val="004A4CA4"/>
    <w:rsid w:val="004A5A5E"/>
    <w:rsid w:val="004A67BE"/>
    <w:rsid w:val="004A727B"/>
    <w:rsid w:val="004B08F7"/>
    <w:rsid w:val="004B1E52"/>
    <w:rsid w:val="004B250E"/>
    <w:rsid w:val="004B4B19"/>
    <w:rsid w:val="004B52E0"/>
    <w:rsid w:val="004B5CAC"/>
    <w:rsid w:val="004B7305"/>
    <w:rsid w:val="004C07FE"/>
    <w:rsid w:val="004C0B32"/>
    <w:rsid w:val="004C2170"/>
    <w:rsid w:val="004C219E"/>
    <w:rsid w:val="004C21E5"/>
    <w:rsid w:val="004C3322"/>
    <w:rsid w:val="004C665F"/>
    <w:rsid w:val="004C78C8"/>
    <w:rsid w:val="004C7B69"/>
    <w:rsid w:val="004D201A"/>
    <w:rsid w:val="004D2412"/>
    <w:rsid w:val="004D38CB"/>
    <w:rsid w:val="004D4DB4"/>
    <w:rsid w:val="004D5926"/>
    <w:rsid w:val="004D6479"/>
    <w:rsid w:val="004D7503"/>
    <w:rsid w:val="004D792A"/>
    <w:rsid w:val="004E060A"/>
    <w:rsid w:val="004E29A4"/>
    <w:rsid w:val="004E2BA9"/>
    <w:rsid w:val="004E2BC9"/>
    <w:rsid w:val="004E2C6B"/>
    <w:rsid w:val="004E31E3"/>
    <w:rsid w:val="004E3612"/>
    <w:rsid w:val="004E568F"/>
    <w:rsid w:val="004E62A6"/>
    <w:rsid w:val="004E73A0"/>
    <w:rsid w:val="004E7729"/>
    <w:rsid w:val="004F0E36"/>
    <w:rsid w:val="004F12AF"/>
    <w:rsid w:val="004F1AE3"/>
    <w:rsid w:val="004F256F"/>
    <w:rsid w:val="004F5BDA"/>
    <w:rsid w:val="004F72D2"/>
    <w:rsid w:val="004F750F"/>
    <w:rsid w:val="004F7D50"/>
    <w:rsid w:val="00500EB4"/>
    <w:rsid w:val="0050297C"/>
    <w:rsid w:val="005035AA"/>
    <w:rsid w:val="00503CFF"/>
    <w:rsid w:val="00506660"/>
    <w:rsid w:val="0051055B"/>
    <w:rsid w:val="00510AFB"/>
    <w:rsid w:val="00512CEF"/>
    <w:rsid w:val="00513C27"/>
    <w:rsid w:val="00514F3B"/>
    <w:rsid w:val="00515B29"/>
    <w:rsid w:val="00515F95"/>
    <w:rsid w:val="005169AB"/>
    <w:rsid w:val="00516A4F"/>
    <w:rsid w:val="00517FA9"/>
    <w:rsid w:val="005203A8"/>
    <w:rsid w:val="00521455"/>
    <w:rsid w:val="005222A8"/>
    <w:rsid w:val="0052326C"/>
    <w:rsid w:val="00523AAE"/>
    <w:rsid w:val="005263FD"/>
    <w:rsid w:val="005272A9"/>
    <w:rsid w:val="00527D24"/>
    <w:rsid w:val="00530A11"/>
    <w:rsid w:val="005313CC"/>
    <w:rsid w:val="00531557"/>
    <w:rsid w:val="00534A2B"/>
    <w:rsid w:val="00537446"/>
    <w:rsid w:val="0054172C"/>
    <w:rsid w:val="0054296F"/>
    <w:rsid w:val="00547F7F"/>
    <w:rsid w:val="00550357"/>
    <w:rsid w:val="00550750"/>
    <w:rsid w:val="005552A7"/>
    <w:rsid w:val="00555E6C"/>
    <w:rsid w:val="00556435"/>
    <w:rsid w:val="00557BB7"/>
    <w:rsid w:val="005601C0"/>
    <w:rsid w:val="00560DB1"/>
    <w:rsid w:val="00563017"/>
    <w:rsid w:val="005633A8"/>
    <w:rsid w:val="005639D9"/>
    <w:rsid w:val="00563FF3"/>
    <w:rsid w:val="005658DA"/>
    <w:rsid w:val="005659F9"/>
    <w:rsid w:val="005679C9"/>
    <w:rsid w:val="00570AD6"/>
    <w:rsid w:val="005717A7"/>
    <w:rsid w:val="00571DA2"/>
    <w:rsid w:val="0057487B"/>
    <w:rsid w:val="00574AC3"/>
    <w:rsid w:val="00575198"/>
    <w:rsid w:val="00575AD4"/>
    <w:rsid w:val="005763D0"/>
    <w:rsid w:val="00581152"/>
    <w:rsid w:val="005825DE"/>
    <w:rsid w:val="005837DD"/>
    <w:rsid w:val="00584415"/>
    <w:rsid w:val="0058507D"/>
    <w:rsid w:val="00585227"/>
    <w:rsid w:val="00585311"/>
    <w:rsid w:val="00586AC0"/>
    <w:rsid w:val="005876DD"/>
    <w:rsid w:val="00594915"/>
    <w:rsid w:val="005A0ED7"/>
    <w:rsid w:val="005A5E65"/>
    <w:rsid w:val="005A7200"/>
    <w:rsid w:val="005B0755"/>
    <w:rsid w:val="005B1E5E"/>
    <w:rsid w:val="005B373D"/>
    <w:rsid w:val="005B4CF4"/>
    <w:rsid w:val="005B5E45"/>
    <w:rsid w:val="005B7557"/>
    <w:rsid w:val="005B7CAD"/>
    <w:rsid w:val="005B7EAA"/>
    <w:rsid w:val="005C384D"/>
    <w:rsid w:val="005C3DC0"/>
    <w:rsid w:val="005C5050"/>
    <w:rsid w:val="005C5AB2"/>
    <w:rsid w:val="005C618E"/>
    <w:rsid w:val="005C64C5"/>
    <w:rsid w:val="005C6F81"/>
    <w:rsid w:val="005C7004"/>
    <w:rsid w:val="005C7745"/>
    <w:rsid w:val="005C7F2F"/>
    <w:rsid w:val="005D0B98"/>
    <w:rsid w:val="005D2273"/>
    <w:rsid w:val="005D4023"/>
    <w:rsid w:val="005D40C8"/>
    <w:rsid w:val="005D5DA0"/>
    <w:rsid w:val="005D66FE"/>
    <w:rsid w:val="005D7771"/>
    <w:rsid w:val="005E01E3"/>
    <w:rsid w:val="005E08CC"/>
    <w:rsid w:val="005E0DBB"/>
    <w:rsid w:val="005E1DBC"/>
    <w:rsid w:val="005E342A"/>
    <w:rsid w:val="005E3819"/>
    <w:rsid w:val="005E4BF4"/>
    <w:rsid w:val="005E4CE9"/>
    <w:rsid w:val="005E6B71"/>
    <w:rsid w:val="005E71C1"/>
    <w:rsid w:val="005F0B97"/>
    <w:rsid w:val="005F20EB"/>
    <w:rsid w:val="005F4ADB"/>
    <w:rsid w:val="005F524E"/>
    <w:rsid w:val="005F6911"/>
    <w:rsid w:val="0060071B"/>
    <w:rsid w:val="00600CA2"/>
    <w:rsid w:val="00601A21"/>
    <w:rsid w:val="00601F52"/>
    <w:rsid w:val="0060265B"/>
    <w:rsid w:val="00602D93"/>
    <w:rsid w:val="00605B92"/>
    <w:rsid w:val="00605FB3"/>
    <w:rsid w:val="00606E59"/>
    <w:rsid w:val="006117AD"/>
    <w:rsid w:val="00611A58"/>
    <w:rsid w:val="00611AE7"/>
    <w:rsid w:val="00612ACF"/>
    <w:rsid w:val="006153F5"/>
    <w:rsid w:val="0061664E"/>
    <w:rsid w:val="006220B3"/>
    <w:rsid w:val="00623573"/>
    <w:rsid w:val="006259F1"/>
    <w:rsid w:val="00626D16"/>
    <w:rsid w:val="00627D2D"/>
    <w:rsid w:val="006311D0"/>
    <w:rsid w:val="00632066"/>
    <w:rsid w:val="00633647"/>
    <w:rsid w:val="00633866"/>
    <w:rsid w:val="00633D37"/>
    <w:rsid w:val="0063428F"/>
    <w:rsid w:val="006372CE"/>
    <w:rsid w:val="006376E7"/>
    <w:rsid w:val="00637EBB"/>
    <w:rsid w:val="00640005"/>
    <w:rsid w:val="00640D98"/>
    <w:rsid w:val="006434DB"/>
    <w:rsid w:val="00643B67"/>
    <w:rsid w:val="00644073"/>
    <w:rsid w:val="00644298"/>
    <w:rsid w:val="00644CC2"/>
    <w:rsid w:val="0064563A"/>
    <w:rsid w:val="006460C2"/>
    <w:rsid w:val="006462C7"/>
    <w:rsid w:val="0065100B"/>
    <w:rsid w:val="00651089"/>
    <w:rsid w:val="00651725"/>
    <w:rsid w:val="00654998"/>
    <w:rsid w:val="006563EC"/>
    <w:rsid w:val="00656FC9"/>
    <w:rsid w:val="0066468B"/>
    <w:rsid w:val="00664A9B"/>
    <w:rsid w:val="0066671B"/>
    <w:rsid w:val="00666E55"/>
    <w:rsid w:val="00667B9A"/>
    <w:rsid w:val="00670C72"/>
    <w:rsid w:val="00670D63"/>
    <w:rsid w:val="006721C9"/>
    <w:rsid w:val="00673719"/>
    <w:rsid w:val="006745B8"/>
    <w:rsid w:val="006748C9"/>
    <w:rsid w:val="006820DF"/>
    <w:rsid w:val="0068236F"/>
    <w:rsid w:val="00682A1D"/>
    <w:rsid w:val="00682B40"/>
    <w:rsid w:val="0068356C"/>
    <w:rsid w:val="006840C6"/>
    <w:rsid w:val="0068556F"/>
    <w:rsid w:val="00686389"/>
    <w:rsid w:val="00686642"/>
    <w:rsid w:val="00686A25"/>
    <w:rsid w:val="0068780A"/>
    <w:rsid w:val="00687C50"/>
    <w:rsid w:val="006904DE"/>
    <w:rsid w:val="00693AF9"/>
    <w:rsid w:val="00693D04"/>
    <w:rsid w:val="00693E97"/>
    <w:rsid w:val="00695007"/>
    <w:rsid w:val="00695496"/>
    <w:rsid w:val="0069658E"/>
    <w:rsid w:val="00697E24"/>
    <w:rsid w:val="006A002F"/>
    <w:rsid w:val="006A0AAA"/>
    <w:rsid w:val="006A19B2"/>
    <w:rsid w:val="006A1E5A"/>
    <w:rsid w:val="006A265B"/>
    <w:rsid w:val="006A2CF3"/>
    <w:rsid w:val="006A3B36"/>
    <w:rsid w:val="006A723C"/>
    <w:rsid w:val="006A7AA0"/>
    <w:rsid w:val="006B0248"/>
    <w:rsid w:val="006B1E36"/>
    <w:rsid w:val="006B26DC"/>
    <w:rsid w:val="006B32C4"/>
    <w:rsid w:val="006B44B7"/>
    <w:rsid w:val="006B5756"/>
    <w:rsid w:val="006C0D8A"/>
    <w:rsid w:val="006C1C87"/>
    <w:rsid w:val="006C2F8B"/>
    <w:rsid w:val="006C3A08"/>
    <w:rsid w:val="006C3C52"/>
    <w:rsid w:val="006C401D"/>
    <w:rsid w:val="006C5103"/>
    <w:rsid w:val="006C5AD4"/>
    <w:rsid w:val="006C5BAA"/>
    <w:rsid w:val="006C7540"/>
    <w:rsid w:val="006C76A7"/>
    <w:rsid w:val="006C7724"/>
    <w:rsid w:val="006D12F4"/>
    <w:rsid w:val="006D3337"/>
    <w:rsid w:val="006D3625"/>
    <w:rsid w:val="006D430F"/>
    <w:rsid w:val="006D51B1"/>
    <w:rsid w:val="006D51F4"/>
    <w:rsid w:val="006D6D6B"/>
    <w:rsid w:val="006D6F6C"/>
    <w:rsid w:val="006D7381"/>
    <w:rsid w:val="006E04B2"/>
    <w:rsid w:val="006E1AB6"/>
    <w:rsid w:val="006E2709"/>
    <w:rsid w:val="006E3834"/>
    <w:rsid w:val="006E4717"/>
    <w:rsid w:val="006E4D67"/>
    <w:rsid w:val="006E4DD2"/>
    <w:rsid w:val="006E4E5F"/>
    <w:rsid w:val="006E5276"/>
    <w:rsid w:val="006E5948"/>
    <w:rsid w:val="006E67DB"/>
    <w:rsid w:val="006E6A51"/>
    <w:rsid w:val="006E6C2B"/>
    <w:rsid w:val="006F1F05"/>
    <w:rsid w:val="006F21B7"/>
    <w:rsid w:val="006F4EC1"/>
    <w:rsid w:val="006F5EB6"/>
    <w:rsid w:val="006F69F3"/>
    <w:rsid w:val="006F6A32"/>
    <w:rsid w:val="006F766A"/>
    <w:rsid w:val="006F774E"/>
    <w:rsid w:val="006F7C48"/>
    <w:rsid w:val="00700683"/>
    <w:rsid w:val="00701682"/>
    <w:rsid w:val="00702442"/>
    <w:rsid w:val="00703062"/>
    <w:rsid w:val="007049B8"/>
    <w:rsid w:val="0070636E"/>
    <w:rsid w:val="00706E8F"/>
    <w:rsid w:val="00707C83"/>
    <w:rsid w:val="007107C8"/>
    <w:rsid w:val="00710D3D"/>
    <w:rsid w:val="00710EB9"/>
    <w:rsid w:val="007135F9"/>
    <w:rsid w:val="00713750"/>
    <w:rsid w:val="0071401F"/>
    <w:rsid w:val="00714F80"/>
    <w:rsid w:val="007155C8"/>
    <w:rsid w:val="00715C0B"/>
    <w:rsid w:val="00716A58"/>
    <w:rsid w:val="00717633"/>
    <w:rsid w:val="0072093C"/>
    <w:rsid w:val="00723903"/>
    <w:rsid w:val="0072472B"/>
    <w:rsid w:val="00725111"/>
    <w:rsid w:val="00725DF6"/>
    <w:rsid w:val="00726AB8"/>
    <w:rsid w:val="007318EB"/>
    <w:rsid w:val="00732E77"/>
    <w:rsid w:val="007339C3"/>
    <w:rsid w:val="00733F1C"/>
    <w:rsid w:val="00734D63"/>
    <w:rsid w:val="00740323"/>
    <w:rsid w:val="0074408A"/>
    <w:rsid w:val="007440BB"/>
    <w:rsid w:val="007445B0"/>
    <w:rsid w:val="00745383"/>
    <w:rsid w:val="00745B5C"/>
    <w:rsid w:val="007501AC"/>
    <w:rsid w:val="00750458"/>
    <w:rsid w:val="00751896"/>
    <w:rsid w:val="0075485B"/>
    <w:rsid w:val="00755E9E"/>
    <w:rsid w:val="007560B5"/>
    <w:rsid w:val="007648B3"/>
    <w:rsid w:val="007656A7"/>
    <w:rsid w:val="00766854"/>
    <w:rsid w:val="007668F1"/>
    <w:rsid w:val="0077232F"/>
    <w:rsid w:val="00772561"/>
    <w:rsid w:val="00772705"/>
    <w:rsid w:val="00773116"/>
    <w:rsid w:val="0077470A"/>
    <w:rsid w:val="00774B85"/>
    <w:rsid w:val="00775DF8"/>
    <w:rsid w:val="007762D8"/>
    <w:rsid w:val="00776E6D"/>
    <w:rsid w:val="00777082"/>
    <w:rsid w:val="00782543"/>
    <w:rsid w:val="00786146"/>
    <w:rsid w:val="00791D6A"/>
    <w:rsid w:val="007932C4"/>
    <w:rsid w:val="00794BE4"/>
    <w:rsid w:val="0079616D"/>
    <w:rsid w:val="007965D1"/>
    <w:rsid w:val="00796983"/>
    <w:rsid w:val="007A03F5"/>
    <w:rsid w:val="007A05B2"/>
    <w:rsid w:val="007A067B"/>
    <w:rsid w:val="007A1FC0"/>
    <w:rsid w:val="007A417A"/>
    <w:rsid w:val="007A6539"/>
    <w:rsid w:val="007B0238"/>
    <w:rsid w:val="007B06D4"/>
    <w:rsid w:val="007B156F"/>
    <w:rsid w:val="007B1634"/>
    <w:rsid w:val="007B2070"/>
    <w:rsid w:val="007B25C1"/>
    <w:rsid w:val="007B2D65"/>
    <w:rsid w:val="007B343B"/>
    <w:rsid w:val="007B3493"/>
    <w:rsid w:val="007B3892"/>
    <w:rsid w:val="007B4651"/>
    <w:rsid w:val="007B5F9D"/>
    <w:rsid w:val="007B611E"/>
    <w:rsid w:val="007B63F9"/>
    <w:rsid w:val="007C0E82"/>
    <w:rsid w:val="007C1A81"/>
    <w:rsid w:val="007C2060"/>
    <w:rsid w:val="007C4DC7"/>
    <w:rsid w:val="007C528E"/>
    <w:rsid w:val="007C563E"/>
    <w:rsid w:val="007D0125"/>
    <w:rsid w:val="007D2BB1"/>
    <w:rsid w:val="007D4A21"/>
    <w:rsid w:val="007D5D26"/>
    <w:rsid w:val="007D7237"/>
    <w:rsid w:val="007D783E"/>
    <w:rsid w:val="007E0925"/>
    <w:rsid w:val="007E0E10"/>
    <w:rsid w:val="007E170E"/>
    <w:rsid w:val="007E35D0"/>
    <w:rsid w:val="007E36A9"/>
    <w:rsid w:val="007E3861"/>
    <w:rsid w:val="007E5253"/>
    <w:rsid w:val="007E6686"/>
    <w:rsid w:val="007E72E0"/>
    <w:rsid w:val="007F140D"/>
    <w:rsid w:val="007F2DF6"/>
    <w:rsid w:val="007F2EC2"/>
    <w:rsid w:val="007F3D4B"/>
    <w:rsid w:val="007F3F72"/>
    <w:rsid w:val="007F671B"/>
    <w:rsid w:val="007F718C"/>
    <w:rsid w:val="007F71F8"/>
    <w:rsid w:val="00800700"/>
    <w:rsid w:val="00802194"/>
    <w:rsid w:val="00805637"/>
    <w:rsid w:val="00805BD9"/>
    <w:rsid w:val="00806C36"/>
    <w:rsid w:val="00810BAF"/>
    <w:rsid w:val="008118C7"/>
    <w:rsid w:val="008122FC"/>
    <w:rsid w:val="00812EAB"/>
    <w:rsid w:val="008133B0"/>
    <w:rsid w:val="008135FB"/>
    <w:rsid w:val="00813DAB"/>
    <w:rsid w:val="00814600"/>
    <w:rsid w:val="00814855"/>
    <w:rsid w:val="00815042"/>
    <w:rsid w:val="00817280"/>
    <w:rsid w:val="008179CE"/>
    <w:rsid w:val="00821154"/>
    <w:rsid w:val="00821363"/>
    <w:rsid w:val="00822200"/>
    <w:rsid w:val="008230DB"/>
    <w:rsid w:val="008239C0"/>
    <w:rsid w:val="00824B5B"/>
    <w:rsid w:val="00824DE1"/>
    <w:rsid w:val="0082619D"/>
    <w:rsid w:val="00827A68"/>
    <w:rsid w:val="008322B7"/>
    <w:rsid w:val="00832E72"/>
    <w:rsid w:val="008330B4"/>
    <w:rsid w:val="0083463E"/>
    <w:rsid w:val="008363BE"/>
    <w:rsid w:val="00836985"/>
    <w:rsid w:val="00836F39"/>
    <w:rsid w:val="00837349"/>
    <w:rsid w:val="00837FF0"/>
    <w:rsid w:val="0084029B"/>
    <w:rsid w:val="00841578"/>
    <w:rsid w:val="008420BB"/>
    <w:rsid w:val="00842122"/>
    <w:rsid w:val="008424A2"/>
    <w:rsid w:val="008448C8"/>
    <w:rsid w:val="00844D99"/>
    <w:rsid w:val="008456BB"/>
    <w:rsid w:val="00845BC1"/>
    <w:rsid w:val="008463E6"/>
    <w:rsid w:val="00846EE8"/>
    <w:rsid w:val="00851B27"/>
    <w:rsid w:val="00853A66"/>
    <w:rsid w:val="00853EE6"/>
    <w:rsid w:val="008541FF"/>
    <w:rsid w:val="00854A53"/>
    <w:rsid w:val="00855D6D"/>
    <w:rsid w:val="00857237"/>
    <w:rsid w:val="00860A5C"/>
    <w:rsid w:val="0086321C"/>
    <w:rsid w:val="008640C4"/>
    <w:rsid w:val="00864B51"/>
    <w:rsid w:val="00865836"/>
    <w:rsid w:val="00871D48"/>
    <w:rsid w:val="00872A44"/>
    <w:rsid w:val="00873C79"/>
    <w:rsid w:val="00874306"/>
    <w:rsid w:val="008744A1"/>
    <w:rsid w:val="00874B62"/>
    <w:rsid w:val="008758A4"/>
    <w:rsid w:val="00876A93"/>
    <w:rsid w:val="008779CC"/>
    <w:rsid w:val="00880664"/>
    <w:rsid w:val="00881CA1"/>
    <w:rsid w:val="008825C4"/>
    <w:rsid w:val="00883E91"/>
    <w:rsid w:val="00884B62"/>
    <w:rsid w:val="008863CB"/>
    <w:rsid w:val="008864B1"/>
    <w:rsid w:val="008868A8"/>
    <w:rsid w:val="008877EC"/>
    <w:rsid w:val="00887A05"/>
    <w:rsid w:val="00890D26"/>
    <w:rsid w:val="008910E8"/>
    <w:rsid w:val="00891A04"/>
    <w:rsid w:val="0089296C"/>
    <w:rsid w:val="00892E7C"/>
    <w:rsid w:val="008942A1"/>
    <w:rsid w:val="008955A4"/>
    <w:rsid w:val="00897A9D"/>
    <w:rsid w:val="008A01FF"/>
    <w:rsid w:val="008A122E"/>
    <w:rsid w:val="008A1774"/>
    <w:rsid w:val="008A4343"/>
    <w:rsid w:val="008A48BC"/>
    <w:rsid w:val="008A53E4"/>
    <w:rsid w:val="008A5999"/>
    <w:rsid w:val="008A67A8"/>
    <w:rsid w:val="008B29B9"/>
    <w:rsid w:val="008B2AF8"/>
    <w:rsid w:val="008B3A63"/>
    <w:rsid w:val="008B4CBD"/>
    <w:rsid w:val="008B5BB7"/>
    <w:rsid w:val="008B6C9D"/>
    <w:rsid w:val="008C2594"/>
    <w:rsid w:val="008C28C2"/>
    <w:rsid w:val="008C2A52"/>
    <w:rsid w:val="008C2C6F"/>
    <w:rsid w:val="008C41C2"/>
    <w:rsid w:val="008C42C2"/>
    <w:rsid w:val="008C5873"/>
    <w:rsid w:val="008C5A29"/>
    <w:rsid w:val="008D108E"/>
    <w:rsid w:val="008D2459"/>
    <w:rsid w:val="008D313F"/>
    <w:rsid w:val="008D4366"/>
    <w:rsid w:val="008D5EB1"/>
    <w:rsid w:val="008D7739"/>
    <w:rsid w:val="008D7F80"/>
    <w:rsid w:val="008E1ADA"/>
    <w:rsid w:val="008E1E6B"/>
    <w:rsid w:val="008E1F13"/>
    <w:rsid w:val="008E2869"/>
    <w:rsid w:val="008E6297"/>
    <w:rsid w:val="008E643B"/>
    <w:rsid w:val="008E6B63"/>
    <w:rsid w:val="008E6EDD"/>
    <w:rsid w:val="008E737E"/>
    <w:rsid w:val="008E7F51"/>
    <w:rsid w:val="008F3621"/>
    <w:rsid w:val="008F36AB"/>
    <w:rsid w:val="008F3FBB"/>
    <w:rsid w:val="008F513E"/>
    <w:rsid w:val="008F7A84"/>
    <w:rsid w:val="008F7AE5"/>
    <w:rsid w:val="008F7C75"/>
    <w:rsid w:val="009003C0"/>
    <w:rsid w:val="009008A5"/>
    <w:rsid w:val="009026A6"/>
    <w:rsid w:val="00904B5D"/>
    <w:rsid w:val="00905A44"/>
    <w:rsid w:val="0091091D"/>
    <w:rsid w:val="00910B59"/>
    <w:rsid w:val="00911C30"/>
    <w:rsid w:val="00914C3F"/>
    <w:rsid w:val="00915242"/>
    <w:rsid w:val="00917482"/>
    <w:rsid w:val="00917532"/>
    <w:rsid w:val="009178C3"/>
    <w:rsid w:val="00920BE8"/>
    <w:rsid w:val="009223D2"/>
    <w:rsid w:val="00922904"/>
    <w:rsid w:val="00922C48"/>
    <w:rsid w:val="0092377C"/>
    <w:rsid w:val="0092393E"/>
    <w:rsid w:val="00924B90"/>
    <w:rsid w:val="00925928"/>
    <w:rsid w:val="00925D72"/>
    <w:rsid w:val="00927FB2"/>
    <w:rsid w:val="009311A6"/>
    <w:rsid w:val="0093150E"/>
    <w:rsid w:val="00932618"/>
    <w:rsid w:val="009341D4"/>
    <w:rsid w:val="00934BFC"/>
    <w:rsid w:val="0093645F"/>
    <w:rsid w:val="00936FD9"/>
    <w:rsid w:val="00937102"/>
    <w:rsid w:val="009410BD"/>
    <w:rsid w:val="00942AB0"/>
    <w:rsid w:val="00942EA5"/>
    <w:rsid w:val="00943FFE"/>
    <w:rsid w:val="00946493"/>
    <w:rsid w:val="00950D3A"/>
    <w:rsid w:val="009516C2"/>
    <w:rsid w:val="00952825"/>
    <w:rsid w:val="0095284D"/>
    <w:rsid w:val="00955355"/>
    <w:rsid w:val="00955427"/>
    <w:rsid w:val="009556EF"/>
    <w:rsid w:val="00956B2A"/>
    <w:rsid w:val="00956E9A"/>
    <w:rsid w:val="009570EF"/>
    <w:rsid w:val="00961B07"/>
    <w:rsid w:val="00964A63"/>
    <w:rsid w:val="009658C7"/>
    <w:rsid w:val="00965CD3"/>
    <w:rsid w:val="00966365"/>
    <w:rsid w:val="0096664A"/>
    <w:rsid w:val="0096683A"/>
    <w:rsid w:val="00966A33"/>
    <w:rsid w:val="00966A72"/>
    <w:rsid w:val="00967880"/>
    <w:rsid w:val="00967ECD"/>
    <w:rsid w:val="009715DB"/>
    <w:rsid w:val="009716C2"/>
    <w:rsid w:val="00971DCB"/>
    <w:rsid w:val="00972E26"/>
    <w:rsid w:val="00973202"/>
    <w:rsid w:val="00974865"/>
    <w:rsid w:val="00975E1D"/>
    <w:rsid w:val="0098397E"/>
    <w:rsid w:val="0098432F"/>
    <w:rsid w:val="009845D1"/>
    <w:rsid w:val="00985700"/>
    <w:rsid w:val="00985C46"/>
    <w:rsid w:val="00985F7A"/>
    <w:rsid w:val="009860C7"/>
    <w:rsid w:val="009868A7"/>
    <w:rsid w:val="00986F0A"/>
    <w:rsid w:val="00987427"/>
    <w:rsid w:val="009910C5"/>
    <w:rsid w:val="009916EC"/>
    <w:rsid w:val="00993191"/>
    <w:rsid w:val="00993C6D"/>
    <w:rsid w:val="0099420C"/>
    <w:rsid w:val="00994BF2"/>
    <w:rsid w:val="00996153"/>
    <w:rsid w:val="009A0747"/>
    <w:rsid w:val="009A0E38"/>
    <w:rsid w:val="009A1297"/>
    <w:rsid w:val="009A148A"/>
    <w:rsid w:val="009A25D7"/>
    <w:rsid w:val="009A47DD"/>
    <w:rsid w:val="009A6662"/>
    <w:rsid w:val="009B274F"/>
    <w:rsid w:val="009B486A"/>
    <w:rsid w:val="009B4A64"/>
    <w:rsid w:val="009B6AAB"/>
    <w:rsid w:val="009B7596"/>
    <w:rsid w:val="009B7638"/>
    <w:rsid w:val="009C1A82"/>
    <w:rsid w:val="009C4403"/>
    <w:rsid w:val="009C4942"/>
    <w:rsid w:val="009C4AF7"/>
    <w:rsid w:val="009C4DA8"/>
    <w:rsid w:val="009C63E7"/>
    <w:rsid w:val="009C6C13"/>
    <w:rsid w:val="009C7B1C"/>
    <w:rsid w:val="009C7F5B"/>
    <w:rsid w:val="009D0AEF"/>
    <w:rsid w:val="009D0E85"/>
    <w:rsid w:val="009D1BCD"/>
    <w:rsid w:val="009D22E8"/>
    <w:rsid w:val="009D255C"/>
    <w:rsid w:val="009D555C"/>
    <w:rsid w:val="009D6BF7"/>
    <w:rsid w:val="009D6F58"/>
    <w:rsid w:val="009E02F0"/>
    <w:rsid w:val="009E0FA0"/>
    <w:rsid w:val="009E2163"/>
    <w:rsid w:val="009E5DFF"/>
    <w:rsid w:val="009E6042"/>
    <w:rsid w:val="009E73EE"/>
    <w:rsid w:val="009F0471"/>
    <w:rsid w:val="009F18D8"/>
    <w:rsid w:val="009F1CD1"/>
    <w:rsid w:val="009F1FC5"/>
    <w:rsid w:val="009F2808"/>
    <w:rsid w:val="009F2F5D"/>
    <w:rsid w:val="009F31F9"/>
    <w:rsid w:val="00A0134D"/>
    <w:rsid w:val="00A02681"/>
    <w:rsid w:val="00A027CA"/>
    <w:rsid w:val="00A048A9"/>
    <w:rsid w:val="00A04C9D"/>
    <w:rsid w:val="00A1128B"/>
    <w:rsid w:val="00A11991"/>
    <w:rsid w:val="00A12C18"/>
    <w:rsid w:val="00A13C64"/>
    <w:rsid w:val="00A15166"/>
    <w:rsid w:val="00A16C39"/>
    <w:rsid w:val="00A17F4D"/>
    <w:rsid w:val="00A22044"/>
    <w:rsid w:val="00A2288D"/>
    <w:rsid w:val="00A235F9"/>
    <w:rsid w:val="00A27394"/>
    <w:rsid w:val="00A27B5D"/>
    <w:rsid w:val="00A30FE5"/>
    <w:rsid w:val="00A316B9"/>
    <w:rsid w:val="00A3192B"/>
    <w:rsid w:val="00A3199C"/>
    <w:rsid w:val="00A31CE0"/>
    <w:rsid w:val="00A334EB"/>
    <w:rsid w:val="00A348FB"/>
    <w:rsid w:val="00A35EFD"/>
    <w:rsid w:val="00A37144"/>
    <w:rsid w:val="00A4197E"/>
    <w:rsid w:val="00A42530"/>
    <w:rsid w:val="00A43003"/>
    <w:rsid w:val="00A44036"/>
    <w:rsid w:val="00A463D8"/>
    <w:rsid w:val="00A51158"/>
    <w:rsid w:val="00A51540"/>
    <w:rsid w:val="00A515F0"/>
    <w:rsid w:val="00A51A34"/>
    <w:rsid w:val="00A51B9E"/>
    <w:rsid w:val="00A5230D"/>
    <w:rsid w:val="00A535E0"/>
    <w:rsid w:val="00A53FA2"/>
    <w:rsid w:val="00A5598A"/>
    <w:rsid w:val="00A61340"/>
    <w:rsid w:val="00A61A5E"/>
    <w:rsid w:val="00A62069"/>
    <w:rsid w:val="00A64FE9"/>
    <w:rsid w:val="00A66A12"/>
    <w:rsid w:val="00A66D7C"/>
    <w:rsid w:val="00A67174"/>
    <w:rsid w:val="00A67212"/>
    <w:rsid w:val="00A70567"/>
    <w:rsid w:val="00A70DE3"/>
    <w:rsid w:val="00A738B7"/>
    <w:rsid w:val="00A7447A"/>
    <w:rsid w:val="00A74F18"/>
    <w:rsid w:val="00A80AD0"/>
    <w:rsid w:val="00A82EAB"/>
    <w:rsid w:val="00A836D3"/>
    <w:rsid w:val="00A859F2"/>
    <w:rsid w:val="00A85BB1"/>
    <w:rsid w:val="00A871BA"/>
    <w:rsid w:val="00A90347"/>
    <w:rsid w:val="00A90829"/>
    <w:rsid w:val="00A91743"/>
    <w:rsid w:val="00A921CE"/>
    <w:rsid w:val="00A967C2"/>
    <w:rsid w:val="00A97841"/>
    <w:rsid w:val="00AA1938"/>
    <w:rsid w:val="00AA2B9B"/>
    <w:rsid w:val="00AA3445"/>
    <w:rsid w:val="00AA4B2A"/>
    <w:rsid w:val="00AA5E57"/>
    <w:rsid w:val="00AA6378"/>
    <w:rsid w:val="00AA7891"/>
    <w:rsid w:val="00AA7DCD"/>
    <w:rsid w:val="00AB108D"/>
    <w:rsid w:val="00AB3031"/>
    <w:rsid w:val="00AB5F03"/>
    <w:rsid w:val="00AC0DB8"/>
    <w:rsid w:val="00AC1D5C"/>
    <w:rsid w:val="00AC1F8B"/>
    <w:rsid w:val="00AC2A67"/>
    <w:rsid w:val="00AC41F3"/>
    <w:rsid w:val="00AC45B4"/>
    <w:rsid w:val="00AC4E0F"/>
    <w:rsid w:val="00AC4F2D"/>
    <w:rsid w:val="00AC599E"/>
    <w:rsid w:val="00AC7F7C"/>
    <w:rsid w:val="00AD01FD"/>
    <w:rsid w:val="00AD259E"/>
    <w:rsid w:val="00AD3999"/>
    <w:rsid w:val="00AD5A21"/>
    <w:rsid w:val="00AD60D8"/>
    <w:rsid w:val="00AE1ED2"/>
    <w:rsid w:val="00AE2C6B"/>
    <w:rsid w:val="00AE2F40"/>
    <w:rsid w:val="00AE3C0C"/>
    <w:rsid w:val="00AE5AFB"/>
    <w:rsid w:val="00AE5E7B"/>
    <w:rsid w:val="00AE7232"/>
    <w:rsid w:val="00AF1A04"/>
    <w:rsid w:val="00AF3BF7"/>
    <w:rsid w:val="00AF5F71"/>
    <w:rsid w:val="00AF6326"/>
    <w:rsid w:val="00AF6C1C"/>
    <w:rsid w:val="00AF6D00"/>
    <w:rsid w:val="00B024F0"/>
    <w:rsid w:val="00B02A5A"/>
    <w:rsid w:val="00B035AB"/>
    <w:rsid w:val="00B047E4"/>
    <w:rsid w:val="00B05F39"/>
    <w:rsid w:val="00B07736"/>
    <w:rsid w:val="00B11D11"/>
    <w:rsid w:val="00B12857"/>
    <w:rsid w:val="00B129CF"/>
    <w:rsid w:val="00B13276"/>
    <w:rsid w:val="00B134A5"/>
    <w:rsid w:val="00B14DD9"/>
    <w:rsid w:val="00B1553C"/>
    <w:rsid w:val="00B1583B"/>
    <w:rsid w:val="00B16FCC"/>
    <w:rsid w:val="00B17965"/>
    <w:rsid w:val="00B17C32"/>
    <w:rsid w:val="00B20CE0"/>
    <w:rsid w:val="00B224A0"/>
    <w:rsid w:val="00B22A1E"/>
    <w:rsid w:val="00B22C09"/>
    <w:rsid w:val="00B22C79"/>
    <w:rsid w:val="00B249E9"/>
    <w:rsid w:val="00B24D57"/>
    <w:rsid w:val="00B25509"/>
    <w:rsid w:val="00B259BF"/>
    <w:rsid w:val="00B2616C"/>
    <w:rsid w:val="00B26F6F"/>
    <w:rsid w:val="00B272C7"/>
    <w:rsid w:val="00B27751"/>
    <w:rsid w:val="00B308A8"/>
    <w:rsid w:val="00B3090E"/>
    <w:rsid w:val="00B309EA"/>
    <w:rsid w:val="00B31447"/>
    <w:rsid w:val="00B32904"/>
    <w:rsid w:val="00B32F12"/>
    <w:rsid w:val="00B341D4"/>
    <w:rsid w:val="00B34C7C"/>
    <w:rsid w:val="00B360D6"/>
    <w:rsid w:val="00B37040"/>
    <w:rsid w:val="00B435A9"/>
    <w:rsid w:val="00B43F9D"/>
    <w:rsid w:val="00B50B9F"/>
    <w:rsid w:val="00B52B61"/>
    <w:rsid w:val="00B53702"/>
    <w:rsid w:val="00B55B52"/>
    <w:rsid w:val="00B56114"/>
    <w:rsid w:val="00B61BBA"/>
    <w:rsid w:val="00B64530"/>
    <w:rsid w:val="00B66518"/>
    <w:rsid w:val="00B66E56"/>
    <w:rsid w:val="00B66EC7"/>
    <w:rsid w:val="00B678C8"/>
    <w:rsid w:val="00B726CA"/>
    <w:rsid w:val="00B72B4A"/>
    <w:rsid w:val="00B74FAC"/>
    <w:rsid w:val="00B8111B"/>
    <w:rsid w:val="00B82512"/>
    <w:rsid w:val="00B833B7"/>
    <w:rsid w:val="00B83417"/>
    <w:rsid w:val="00B83757"/>
    <w:rsid w:val="00B84460"/>
    <w:rsid w:val="00B8602E"/>
    <w:rsid w:val="00B863AA"/>
    <w:rsid w:val="00B87F2A"/>
    <w:rsid w:val="00B9207D"/>
    <w:rsid w:val="00B940B1"/>
    <w:rsid w:val="00B94E39"/>
    <w:rsid w:val="00B952BA"/>
    <w:rsid w:val="00B95885"/>
    <w:rsid w:val="00B95A90"/>
    <w:rsid w:val="00B977EB"/>
    <w:rsid w:val="00BA016F"/>
    <w:rsid w:val="00BA1402"/>
    <w:rsid w:val="00BA3030"/>
    <w:rsid w:val="00BA475B"/>
    <w:rsid w:val="00BA534A"/>
    <w:rsid w:val="00BA53EC"/>
    <w:rsid w:val="00BA5DB8"/>
    <w:rsid w:val="00BB0028"/>
    <w:rsid w:val="00BB06E2"/>
    <w:rsid w:val="00BB1728"/>
    <w:rsid w:val="00BB449F"/>
    <w:rsid w:val="00BB4777"/>
    <w:rsid w:val="00BB713C"/>
    <w:rsid w:val="00BC032E"/>
    <w:rsid w:val="00BC05E0"/>
    <w:rsid w:val="00BC2C16"/>
    <w:rsid w:val="00BC35FB"/>
    <w:rsid w:val="00BC4F44"/>
    <w:rsid w:val="00BC5098"/>
    <w:rsid w:val="00BC5F70"/>
    <w:rsid w:val="00BC75BD"/>
    <w:rsid w:val="00BD0672"/>
    <w:rsid w:val="00BD1C2A"/>
    <w:rsid w:val="00BD2453"/>
    <w:rsid w:val="00BD2CC9"/>
    <w:rsid w:val="00BD30BF"/>
    <w:rsid w:val="00BD476A"/>
    <w:rsid w:val="00BD5D92"/>
    <w:rsid w:val="00BD65BF"/>
    <w:rsid w:val="00BD7C24"/>
    <w:rsid w:val="00BE0F17"/>
    <w:rsid w:val="00BE14FA"/>
    <w:rsid w:val="00BE1A88"/>
    <w:rsid w:val="00BE2298"/>
    <w:rsid w:val="00BE2870"/>
    <w:rsid w:val="00BE3813"/>
    <w:rsid w:val="00BE5068"/>
    <w:rsid w:val="00BE5B88"/>
    <w:rsid w:val="00BE66DD"/>
    <w:rsid w:val="00BE7407"/>
    <w:rsid w:val="00BF0160"/>
    <w:rsid w:val="00BF1DDC"/>
    <w:rsid w:val="00BF24BE"/>
    <w:rsid w:val="00BF311B"/>
    <w:rsid w:val="00BF3325"/>
    <w:rsid w:val="00BF4542"/>
    <w:rsid w:val="00BF6918"/>
    <w:rsid w:val="00BF6F85"/>
    <w:rsid w:val="00BF79A7"/>
    <w:rsid w:val="00C0056F"/>
    <w:rsid w:val="00C00BDA"/>
    <w:rsid w:val="00C00C92"/>
    <w:rsid w:val="00C010B1"/>
    <w:rsid w:val="00C010B9"/>
    <w:rsid w:val="00C043AF"/>
    <w:rsid w:val="00C04972"/>
    <w:rsid w:val="00C04F33"/>
    <w:rsid w:val="00C07361"/>
    <w:rsid w:val="00C07E3B"/>
    <w:rsid w:val="00C07EDF"/>
    <w:rsid w:val="00C11208"/>
    <w:rsid w:val="00C135B4"/>
    <w:rsid w:val="00C13F12"/>
    <w:rsid w:val="00C14850"/>
    <w:rsid w:val="00C14D84"/>
    <w:rsid w:val="00C169A2"/>
    <w:rsid w:val="00C17296"/>
    <w:rsid w:val="00C221E6"/>
    <w:rsid w:val="00C22A21"/>
    <w:rsid w:val="00C23833"/>
    <w:rsid w:val="00C2496A"/>
    <w:rsid w:val="00C31C91"/>
    <w:rsid w:val="00C32071"/>
    <w:rsid w:val="00C32C64"/>
    <w:rsid w:val="00C36C53"/>
    <w:rsid w:val="00C37D26"/>
    <w:rsid w:val="00C37F85"/>
    <w:rsid w:val="00C41609"/>
    <w:rsid w:val="00C4167C"/>
    <w:rsid w:val="00C42088"/>
    <w:rsid w:val="00C42DF8"/>
    <w:rsid w:val="00C4454B"/>
    <w:rsid w:val="00C44A6C"/>
    <w:rsid w:val="00C450A2"/>
    <w:rsid w:val="00C45D5A"/>
    <w:rsid w:val="00C52F73"/>
    <w:rsid w:val="00C57A15"/>
    <w:rsid w:val="00C57A81"/>
    <w:rsid w:val="00C57EBA"/>
    <w:rsid w:val="00C6006C"/>
    <w:rsid w:val="00C60082"/>
    <w:rsid w:val="00C617A0"/>
    <w:rsid w:val="00C62807"/>
    <w:rsid w:val="00C64932"/>
    <w:rsid w:val="00C64ED1"/>
    <w:rsid w:val="00C6531D"/>
    <w:rsid w:val="00C67A28"/>
    <w:rsid w:val="00C67DDA"/>
    <w:rsid w:val="00C71417"/>
    <w:rsid w:val="00C72567"/>
    <w:rsid w:val="00C739B8"/>
    <w:rsid w:val="00C75C7B"/>
    <w:rsid w:val="00C806FA"/>
    <w:rsid w:val="00C813CC"/>
    <w:rsid w:val="00C821E0"/>
    <w:rsid w:val="00C823C0"/>
    <w:rsid w:val="00C83CDB"/>
    <w:rsid w:val="00C83DEF"/>
    <w:rsid w:val="00C86767"/>
    <w:rsid w:val="00C86D90"/>
    <w:rsid w:val="00C87D55"/>
    <w:rsid w:val="00C90063"/>
    <w:rsid w:val="00C90EE8"/>
    <w:rsid w:val="00C915AD"/>
    <w:rsid w:val="00C9280D"/>
    <w:rsid w:val="00C95019"/>
    <w:rsid w:val="00C950BF"/>
    <w:rsid w:val="00C95C23"/>
    <w:rsid w:val="00C96036"/>
    <w:rsid w:val="00C9628A"/>
    <w:rsid w:val="00C96F21"/>
    <w:rsid w:val="00CA0216"/>
    <w:rsid w:val="00CA2EF4"/>
    <w:rsid w:val="00CA3662"/>
    <w:rsid w:val="00CA3DFE"/>
    <w:rsid w:val="00CA3EB5"/>
    <w:rsid w:val="00CA54C4"/>
    <w:rsid w:val="00CA54FF"/>
    <w:rsid w:val="00CB0504"/>
    <w:rsid w:val="00CB07A5"/>
    <w:rsid w:val="00CB11FF"/>
    <w:rsid w:val="00CB1931"/>
    <w:rsid w:val="00CB1AD8"/>
    <w:rsid w:val="00CB2764"/>
    <w:rsid w:val="00CB4303"/>
    <w:rsid w:val="00CB4CE1"/>
    <w:rsid w:val="00CC1672"/>
    <w:rsid w:val="00CC1FB8"/>
    <w:rsid w:val="00CC28E6"/>
    <w:rsid w:val="00CC3F36"/>
    <w:rsid w:val="00CC4797"/>
    <w:rsid w:val="00CC52FF"/>
    <w:rsid w:val="00CC5E30"/>
    <w:rsid w:val="00CC6EFF"/>
    <w:rsid w:val="00CD1D9A"/>
    <w:rsid w:val="00CD3D3A"/>
    <w:rsid w:val="00CD493C"/>
    <w:rsid w:val="00CD6DBC"/>
    <w:rsid w:val="00CD765F"/>
    <w:rsid w:val="00CE0C1C"/>
    <w:rsid w:val="00CE1CF2"/>
    <w:rsid w:val="00CE52E3"/>
    <w:rsid w:val="00CE54B4"/>
    <w:rsid w:val="00CE6749"/>
    <w:rsid w:val="00CE7289"/>
    <w:rsid w:val="00CE7AEA"/>
    <w:rsid w:val="00CF0B3D"/>
    <w:rsid w:val="00CF4BA2"/>
    <w:rsid w:val="00D00D72"/>
    <w:rsid w:val="00D00E0D"/>
    <w:rsid w:val="00D03280"/>
    <w:rsid w:val="00D04248"/>
    <w:rsid w:val="00D049C9"/>
    <w:rsid w:val="00D05EE8"/>
    <w:rsid w:val="00D10366"/>
    <w:rsid w:val="00D12D04"/>
    <w:rsid w:val="00D12D1E"/>
    <w:rsid w:val="00D17001"/>
    <w:rsid w:val="00D17D62"/>
    <w:rsid w:val="00D21AD4"/>
    <w:rsid w:val="00D2299A"/>
    <w:rsid w:val="00D24A07"/>
    <w:rsid w:val="00D255AB"/>
    <w:rsid w:val="00D26C22"/>
    <w:rsid w:val="00D26FCE"/>
    <w:rsid w:val="00D27EAE"/>
    <w:rsid w:val="00D32E64"/>
    <w:rsid w:val="00D33167"/>
    <w:rsid w:val="00D33533"/>
    <w:rsid w:val="00D33903"/>
    <w:rsid w:val="00D340FC"/>
    <w:rsid w:val="00D34A78"/>
    <w:rsid w:val="00D37269"/>
    <w:rsid w:val="00D37392"/>
    <w:rsid w:val="00D41531"/>
    <w:rsid w:val="00D4255C"/>
    <w:rsid w:val="00D4375E"/>
    <w:rsid w:val="00D442D9"/>
    <w:rsid w:val="00D44936"/>
    <w:rsid w:val="00D4558E"/>
    <w:rsid w:val="00D47223"/>
    <w:rsid w:val="00D47691"/>
    <w:rsid w:val="00D503B3"/>
    <w:rsid w:val="00D51611"/>
    <w:rsid w:val="00D54058"/>
    <w:rsid w:val="00D542D3"/>
    <w:rsid w:val="00D56421"/>
    <w:rsid w:val="00D567D7"/>
    <w:rsid w:val="00D56BAB"/>
    <w:rsid w:val="00D62651"/>
    <w:rsid w:val="00D62BDC"/>
    <w:rsid w:val="00D6441F"/>
    <w:rsid w:val="00D661D1"/>
    <w:rsid w:val="00D66E2C"/>
    <w:rsid w:val="00D67452"/>
    <w:rsid w:val="00D6756F"/>
    <w:rsid w:val="00D71D8B"/>
    <w:rsid w:val="00D73905"/>
    <w:rsid w:val="00D74686"/>
    <w:rsid w:val="00D75AF2"/>
    <w:rsid w:val="00D779B0"/>
    <w:rsid w:val="00D800D8"/>
    <w:rsid w:val="00D8039F"/>
    <w:rsid w:val="00D81601"/>
    <w:rsid w:val="00D81B2E"/>
    <w:rsid w:val="00D81C2A"/>
    <w:rsid w:val="00D81CDA"/>
    <w:rsid w:val="00D82DD2"/>
    <w:rsid w:val="00D859CD"/>
    <w:rsid w:val="00D85D4B"/>
    <w:rsid w:val="00D861EC"/>
    <w:rsid w:val="00D86CDA"/>
    <w:rsid w:val="00D912CC"/>
    <w:rsid w:val="00D940E9"/>
    <w:rsid w:val="00D94FA7"/>
    <w:rsid w:val="00DA3CC7"/>
    <w:rsid w:val="00DA4A51"/>
    <w:rsid w:val="00DA5A3C"/>
    <w:rsid w:val="00DA5CA6"/>
    <w:rsid w:val="00DA6D10"/>
    <w:rsid w:val="00DA7460"/>
    <w:rsid w:val="00DB0406"/>
    <w:rsid w:val="00DB1AEC"/>
    <w:rsid w:val="00DB24DD"/>
    <w:rsid w:val="00DB49C5"/>
    <w:rsid w:val="00DB6070"/>
    <w:rsid w:val="00DB6D38"/>
    <w:rsid w:val="00DC046A"/>
    <w:rsid w:val="00DC0B68"/>
    <w:rsid w:val="00DC189B"/>
    <w:rsid w:val="00DC23DF"/>
    <w:rsid w:val="00DC46D7"/>
    <w:rsid w:val="00DC4EEE"/>
    <w:rsid w:val="00DC674D"/>
    <w:rsid w:val="00DC714C"/>
    <w:rsid w:val="00DD18DB"/>
    <w:rsid w:val="00DD2891"/>
    <w:rsid w:val="00DD3325"/>
    <w:rsid w:val="00DE0A49"/>
    <w:rsid w:val="00DE250D"/>
    <w:rsid w:val="00DE2F7A"/>
    <w:rsid w:val="00DE3BFD"/>
    <w:rsid w:val="00DE5275"/>
    <w:rsid w:val="00DF06F0"/>
    <w:rsid w:val="00DF09D3"/>
    <w:rsid w:val="00DF1B9F"/>
    <w:rsid w:val="00DF2773"/>
    <w:rsid w:val="00DF3108"/>
    <w:rsid w:val="00DF3F52"/>
    <w:rsid w:val="00DF584B"/>
    <w:rsid w:val="00DF7E71"/>
    <w:rsid w:val="00E004C5"/>
    <w:rsid w:val="00E01D46"/>
    <w:rsid w:val="00E03A1D"/>
    <w:rsid w:val="00E0488E"/>
    <w:rsid w:val="00E067FE"/>
    <w:rsid w:val="00E071E2"/>
    <w:rsid w:val="00E07C6D"/>
    <w:rsid w:val="00E1070A"/>
    <w:rsid w:val="00E12304"/>
    <w:rsid w:val="00E1680B"/>
    <w:rsid w:val="00E16CF1"/>
    <w:rsid w:val="00E217FA"/>
    <w:rsid w:val="00E248EF"/>
    <w:rsid w:val="00E24D8E"/>
    <w:rsid w:val="00E25784"/>
    <w:rsid w:val="00E25F35"/>
    <w:rsid w:val="00E27844"/>
    <w:rsid w:val="00E27B52"/>
    <w:rsid w:val="00E27C54"/>
    <w:rsid w:val="00E27DEB"/>
    <w:rsid w:val="00E32167"/>
    <w:rsid w:val="00E33249"/>
    <w:rsid w:val="00E3406D"/>
    <w:rsid w:val="00E3473D"/>
    <w:rsid w:val="00E3489C"/>
    <w:rsid w:val="00E354AF"/>
    <w:rsid w:val="00E43D51"/>
    <w:rsid w:val="00E44875"/>
    <w:rsid w:val="00E450DA"/>
    <w:rsid w:val="00E46512"/>
    <w:rsid w:val="00E47E36"/>
    <w:rsid w:val="00E502A9"/>
    <w:rsid w:val="00E52BCA"/>
    <w:rsid w:val="00E5427F"/>
    <w:rsid w:val="00E546A9"/>
    <w:rsid w:val="00E55830"/>
    <w:rsid w:val="00E55EA4"/>
    <w:rsid w:val="00E56464"/>
    <w:rsid w:val="00E57CF7"/>
    <w:rsid w:val="00E60B13"/>
    <w:rsid w:val="00E642E6"/>
    <w:rsid w:val="00E660A4"/>
    <w:rsid w:val="00E706B6"/>
    <w:rsid w:val="00E718E3"/>
    <w:rsid w:val="00E71C9A"/>
    <w:rsid w:val="00E7201F"/>
    <w:rsid w:val="00E778DD"/>
    <w:rsid w:val="00E80691"/>
    <w:rsid w:val="00E813B7"/>
    <w:rsid w:val="00E829C2"/>
    <w:rsid w:val="00E84F5A"/>
    <w:rsid w:val="00E85282"/>
    <w:rsid w:val="00E85826"/>
    <w:rsid w:val="00E85831"/>
    <w:rsid w:val="00E85CE8"/>
    <w:rsid w:val="00E86E1F"/>
    <w:rsid w:val="00E8703B"/>
    <w:rsid w:val="00E872C3"/>
    <w:rsid w:val="00E90ACF"/>
    <w:rsid w:val="00E9279E"/>
    <w:rsid w:val="00E92EE2"/>
    <w:rsid w:val="00E938B7"/>
    <w:rsid w:val="00E93C71"/>
    <w:rsid w:val="00E9665E"/>
    <w:rsid w:val="00E9714C"/>
    <w:rsid w:val="00EA1075"/>
    <w:rsid w:val="00EA1C6C"/>
    <w:rsid w:val="00EA2123"/>
    <w:rsid w:val="00EA2D7D"/>
    <w:rsid w:val="00EA39FA"/>
    <w:rsid w:val="00EA4FA4"/>
    <w:rsid w:val="00EA52DF"/>
    <w:rsid w:val="00EB325E"/>
    <w:rsid w:val="00EB5269"/>
    <w:rsid w:val="00EB73BF"/>
    <w:rsid w:val="00EB7472"/>
    <w:rsid w:val="00EC015F"/>
    <w:rsid w:val="00EC124F"/>
    <w:rsid w:val="00EC16BF"/>
    <w:rsid w:val="00EC34AD"/>
    <w:rsid w:val="00EC447D"/>
    <w:rsid w:val="00EC4E74"/>
    <w:rsid w:val="00EC4FCA"/>
    <w:rsid w:val="00EC5131"/>
    <w:rsid w:val="00EC629F"/>
    <w:rsid w:val="00ED04AA"/>
    <w:rsid w:val="00ED086E"/>
    <w:rsid w:val="00ED1FCA"/>
    <w:rsid w:val="00ED57D7"/>
    <w:rsid w:val="00ED73B7"/>
    <w:rsid w:val="00EE1447"/>
    <w:rsid w:val="00EE1B44"/>
    <w:rsid w:val="00EE23CE"/>
    <w:rsid w:val="00EE5326"/>
    <w:rsid w:val="00EE5B3B"/>
    <w:rsid w:val="00EE5E0F"/>
    <w:rsid w:val="00EE6488"/>
    <w:rsid w:val="00EE6D29"/>
    <w:rsid w:val="00EF0837"/>
    <w:rsid w:val="00EF0BD3"/>
    <w:rsid w:val="00EF0BEE"/>
    <w:rsid w:val="00EF16B6"/>
    <w:rsid w:val="00EF19D9"/>
    <w:rsid w:val="00EF1C79"/>
    <w:rsid w:val="00EF2442"/>
    <w:rsid w:val="00EF2E81"/>
    <w:rsid w:val="00EF3D7E"/>
    <w:rsid w:val="00EF632D"/>
    <w:rsid w:val="00EF66F5"/>
    <w:rsid w:val="00EF6E63"/>
    <w:rsid w:val="00F00404"/>
    <w:rsid w:val="00F00FDA"/>
    <w:rsid w:val="00F01BA0"/>
    <w:rsid w:val="00F02018"/>
    <w:rsid w:val="00F02757"/>
    <w:rsid w:val="00F049B9"/>
    <w:rsid w:val="00F04CEE"/>
    <w:rsid w:val="00F05679"/>
    <w:rsid w:val="00F05DF7"/>
    <w:rsid w:val="00F06AD2"/>
    <w:rsid w:val="00F07A55"/>
    <w:rsid w:val="00F1090D"/>
    <w:rsid w:val="00F10CB8"/>
    <w:rsid w:val="00F11374"/>
    <w:rsid w:val="00F14A84"/>
    <w:rsid w:val="00F15717"/>
    <w:rsid w:val="00F16922"/>
    <w:rsid w:val="00F16BC5"/>
    <w:rsid w:val="00F20B8F"/>
    <w:rsid w:val="00F213BA"/>
    <w:rsid w:val="00F23B58"/>
    <w:rsid w:val="00F241BE"/>
    <w:rsid w:val="00F24211"/>
    <w:rsid w:val="00F24F2C"/>
    <w:rsid w:val="00F252FA"/>
    <w:rsid w:val="00F303A6"/>
    <w:rsid w:val="00F3147F"/>
    <w:rsid w:val="00F31E1D"/>
    <w:rsid w:val="00F3271D"/>
    <w:rsid w:val="00F32A71"/>
    <w:rsid w:val="00F33EF2"/>
    <w:rsid w:val="00F33F6F"/>
    <w:rsid w:val="00F3423B"/>
    <w:rsid w:val="00F37773"/>
    <w:rsid w:val="00F41CBF"/>
    <w:rsid w:val="00F41F9B"/>
    <w:rsid w:val="00F420D5"/>
    <w:rsid w:val="00F43500"/>
    <w:rsid w:val="00F43E10"/>
    <w:rsid w:val="00F45D08"/>
    <w:rsid w:val="00F4797E"/>
    <w:rsid w:val="00F5059D"/>
    <w:rsid w:val="00F51839"/>
    <w:rsid w:val="00F51C8E"/>
    <w:rsid w:val="00F528FD"/>
    <w:rsid w:val="00F52B0C"/>
    <w:rsid w:val="00F52FC2"/>
    <w:rsid w:val="00F532FC"/>
    <w:rsid w:val="00F53497"/>
    <w:rsid w:val="00F53E97"/>
    <w:rsid w:val="00F54780"/>
    <w:rsid w:val="00F5577A"/>
    <w:rsid w:val="00F563E6"/>
    <w:rsid w:val="00F60959"/>
    <w:rsid w:val="00F61822"/>
    <w:rsid w:val="00F63A02"/>
    <w:rsid w:val="00F6403E"/>
    <w:rsid w:val="00F64CF3"/>
    <w:rsid w:val="00F6699D"/>
    <w:rsid w:val="00F708EE"/>
    <w:rsid w:val="00F71644"/>
    <w:rsid w:val="00F73709"/>
    <w:rsid w:val="00F75D4C"/>
    <w:rsid w:val="00F8047E"/>
    <w:rsid w:val="00F80B8C"/>
    <w:rsid w:val="00F8269A"/>
    <w:rsid w:val="00F833E5"/>
    <w:rsid w:val="00F84D3A"/>
    <w:rsid w:val="00F8523A"/>
    <w:rsid w:val="00F86375"/>
    <w:rsid w:val="00F87292"/>
    <w:rsid w:val="00F87638"/>
    <w:rsid w:val="00F87BF6"/>
    <w:rsid w:val="00F90777"/>
    <w:rsid w:val="00F912BD"/>
    <w:rsid w:val="00F91389"/>
    <w:rsid w:val="00F92402"/>
    <w:rsid w:val="00F9257E"/>
    <w:rsid w:val="00F92D65"/>
    <w:rsid w:val="00F93810"/>
    <w:rsid w:val="00F949CD"/>
    <w:rsid w:val="00F94BFD"/>
    <w:rsid w:val="00F95343"/>
    <w:rsid w:val="00F96583"/>
    <w:rsid w:val="00F96DC4"/>
    <w:rsid w:val="00FA010A"/>
    <w:rsid w:val="00FA10CA"/>
    <w:rsid w:val="00FA3626"/>
    <w:rsid w:val="00FA4A69"/>
    <w:rsid w:val="00FA525D"/>
    <w:rsid w:val="00FA5B68"/>
    <w:rsid w:val="00FA7284"/>
    <w:rsid w:val="00FA74AC"/>
    <w:rsid w:val="00FA7711"/>
    <w:rsid w:val="00FA777A"/>
    <w:rsid w:val="00FA7F7E"/>
    <w:rsid w:val="00FB31BA"/>
    <w:rsid w:val="00FB45EC"/>
    <w:rsid w:val="00FB5118"/>
    <w:rsid w:val="00FB63E1"/>
    <w:rsid w:val="00FB6CBA"/>
    <w:rsid w:val="00FB7175"/>
    <w:rsid w:val="00FB7203"/>
    <w:rsid w:val="00FB7792"/>
    <w:rsid w:val="00FC07F4"/>
    <w:rsid w:val="00FC1D45"/>
    <w:rsid w:val="00FC311F"/>
    <w:rsid w:val="00FC3510"/>
    <w:rsid w:val="00FC4E6C"/>
    <w:rsid w:val="00FC563E"/>
    <w:rsid w:val="00FC64F8"/>
    <w:rsid w:val="00FD0704"/>
    <w:rsid w:val="00FD1328"/>
    <w:rsid w:val="00FD3021"/>
    <w:rsid w:val="00FD5E4B"/>
    <w:rsid w:val="00FD6AF8"/>
    <w:rsid w:val="00FE1484"/>
    <w:rsid w:val="00FE3D09"/>
    <w:rsid w:val="00FE42B6"/>
    <w:rsid w:val="00FE59A9"/>
    <w:rsid w:val="00FE5DFF"/>
    <w:rsid w:val="00FE629B"/>
    <w:rsid w:val="00FE758E"/>
    <w:rsid w:val="00FF11BC"/>
    <w:rsid w:val="00FF2FEC"/>
    <w:rsid w:val="00FF4B51"/>
    <w:rsid w:val="00FF5C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1438"/>
  <w15:docId w15:val="{5ACB6BD3-DBD2-4D40-80D9-20C1CF44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0503"/>
    <w:pPr>
      <w:suppressAutoHyphens/>
      <w:autoSpaceDN w:val="0"/>
      <w:spacing w:line="280" w:lineRule="exact"/>
      <w:textAlignment w:val="baseline"/>
    </w:pPr>
    <w:rPr>
      <w:rFonts w:ascii="Arial" w:hAnsi="Arial"/>
      <w:color w:val="000000"/>
      <w:spacing w:val="6"/>
      <w:sz w:val="18"/>
      <w:szCs w:val="18"/>
      <w:lang w:eastAsia="en-GB"/>
    </w:rPr>
  </w:style>
  <w:style w:type="paragraph" w:styleId="Heading1">
    <w:name w:val="heading 1"/>
    <w:basedOn w:val="Normal"/>
    <w:next w:val="Normal"/>
    <w:link w:val="Heading1Char"/>
    <w:uiPriority w:val="9"/>
    <w:qFormat/>
    <w:rsid w:val="00282525"/>
    <w:pPr>
      <w:keepNext/>
      <w:keepLines/>
      <w:spacing w:before="240"/>
      <w:outlineLvl w:val="0"/>
    </w:pPr>
    <w:rPr>
      <w:rFonts w:ascii="Times New Roman" w:eastAsiaTheme="majorEastAsia" w:hAnsi="Times New Roman" w:cstheme="majorBidi"/>
      <w:b/>
      <w:caps/>
      <w:color w:val="auto"/>
      <w:sz w:val="28"/>
      <w:szCs w:val="32"/>
    </w:rPr>
  </w:style>
  <w:style w:type="paragraph" w:styleId="Heading2">
    <w:name w:val="heading 2"/>
    <w:basedOn w:val="Normal"/>
    <w:next w:val="Normal"/>
    <w:link w:val="Heading2Char"/>
    <w:uiPriority w:val="9"/>
    <w:qFormat/>
    <w:rsid w:val="007B3892"/>
    <w:pPr>
      <w:keepNext/>
      <w:suppressAutoHyphens w:val="0"/>
      <w:autoSpaceDN/>
      <w:textAlignment w:val="auto"/>
      <w:outlineLvl w:val="1"/>
    </w:pPr>
    <w:rPr>
      <w:rFonts w:cs="Arial"/>
      <w:b/>
      <w:bCs/>
      <w:iCs/>
    </w:rPr>
  </w:style>
  <w:style w:type="paragraph" w:styleId="Heading3">
    <w:name w:val="heading 3"/>
    <w:basedOn w:val="Normal"/>
    <w:next w:val="Normal"/>
    <w:link w:val="Heading3Char"/>
    <w:uiPriority w:val="9"/>
    <w:qFormat/>
    <w:rsid w:val="007B3892"/>
    <w:pPr>
      <w:keepNext/>
      <w:suppressAutoHyphens w:val="0"/>
      <w:autoSpaceDN/>
      <w:spacing w:before="240" w:after="60"/>
      <w:textAlignment w:val="auto"/>
      <w:outlineLvl w:val="2"/>
    </w:pPr>
    <w:rPr>
      <w:rFonts w:cs="Arial"/>
      <w:b/>
      <w:bCs/>
      <w:sz w:val="26"/>
      <w:szCs w:val="26"/>
    </w:rPr>
  </w:style>
  <w:style w:type="paragraph" w:styleId="Heading4">
    <w:name w:val="heading 4"/>
    <w:basedOn w:val="Normal"/>
    <w:next w:val="Normal"/>
    <w:link w:val="Heading4Char"/>
    <w:uiPriority w:val="9"/>
    <w:semiHidden/>
    <w:unhideWhenUsed/>
    <w:rsid w:val="00594915"/>
    <w:pPr>
      <w:keepNext/>
      <w:keepLines/>
      <w:suppressAutoHyphens w:val="0"/>
      <w:autoSpaceDN/>
      <w:spacing w:before="40"/>
      <w:contextualSpacing/>
      <w:jc w:val="both"/>
      <w:textAlignment w:val="auto"/>
      <w:outlineLvl w:val="3"/>
    </w:pPr>
    <w:rPr>
      <w:rFonts w:asciiTheme="majorHAnsi" w:eastAsiaTheme="majorEastAsia" w:hAnsiTheme="majorHAnsi" w:cstheme="majorBidi"/>
      <w:i/>
      <w:iCs/>
      <w:color w:val="365F91" w:themeColor="accent1" w:themeShade="BF"/>
      <w:spacing w:val="0"/>
      <w:sz w:val="22"/>
      <w:szCs w:val="22"/>
      <w:lang w:eastAsia="en-US"/>
    </w:rPr>
  </w:style>
  <w:style w:type="paragraph" w:styleId="Heading5">
    <w:name w:val="heading 5"/>
    <w:basedOn w:val="Normal"/>
    <w:next w:val="Normal"/>
    <w:link w:val="Heading5Char"/>
    <w:uiPriority w:val="9"/>
    <w:semiHidden/>
    <w:unhideWhenUsed/>
    <w:qFormat/>
    <w:rsid w:val="00594915"/>
    <w:pPr>
      <w:keepNext/>
      <w:keepLines/>
      <w:suppressAutoHyphens w:val="0"/>
      <w:autoSpaceDN/>
      <w:spacing w:before="40"/>
      <w:contextualSpacing/>
      <w:jc w:val="both"/>
      <w:textAlignment w:val="auto"/>
      <w:outlineLvl w:val="4"/>
    </w:pPr>
    <w:rPr>
      <w:rFonts w:asciiTheme="majorHAnsi" w:eastAsiaTheme="majorEastAsia" w:hAnsiTheme="majorHAnsi" w:cstheme="majorBidi"/>
      <w:color w:val="365F91" w:themeColor="accent1" w:themeShade="BF"/>
      <w:spacing w:val="0"/>
      <w:sz w:val="22"/>
      <w:szCs w:val="22"/>
      <w:lang w:eastAsia="en-US"/>
    </w:rPr>
  </w:style>
  <w:style w:type="paragraph" w:styleId="Heading6">
    <w:name w:val="heading 6"/>
    <w:basedOn w:val="Normal"/>
    <w:next w:val="Normal"/>
    <w:link w:val="Heading6Char"/>
    <w:uiPriority w:val="9"/>
    <w:semiHidden/>
    <w:unhideWhenUsed/>
    <w:qFormat/>
    <w:rsid w:val="00594915"/>
    <w:pPr>
      <w:keepNext/>
      <w:keepLines/>
      <w:suppressAutoHyphens w:val="0"/>
      <w:autoSpaceDN/>
      <w:spacing w:before="40"/>
      <w:contextualSpacing/>
      <w:jc w:val="both"/>
      <w:textAlignment w:val="auto"/>
      <w:outlineLvl w:val="5"/>
    </w:pPr>
    <w:rPr>
      <w:rFonts w:asciiTheme="majorHAnsi" w:eastAsiaTheme="majorEastAsia" w:hAnsiTheme="majorHAnsi" w:cstheme="majorBidi"/>
      <w:color w:val="243F60" w:themeColor="accent1" w:themeShade="7F"/>
      <w:spacing w:val="0"/>
      <w:sz w:val="22"/>
      <w:szCs w:val="22"/>
      <w:lang w:eastAsia="en-US"/>
    </w:rPr>
  </w:style>
  <w:style w:type="paragraph" w:styleId="Heading7">
    <w:name w:val="heading 7"/>
    <w:basedOn w:val="Normal"/>
    <w:next w:val="Normal"/>
    <w:link w:val="Heading7Char"/>
    <w:uiPriority w:val="9"/>
    <w:semiHidden/>
    <w:unhideWhenUsed/>
    <w:qFormat/>
    <w:rsid w:val="00594915"/>
    <w:pPr>
      <w:keepNext/>
      <w:keepLines/>
      <w:suppressAutoHyphens w:val="0"/>
      <w:autoSpaceDN/>
      <w:spacing w:before="40"/>
      <w:contextualSpacing/>
      <w:jc w:val="both"/>
      <w:textAlignment w:val="auto"/>
      <w:outlineLvl w:val="6"/>
    </w:pPr>
    <w:rPr>
      <w:rFonts w:asciiTheme="majorHAnsi" w:eastAsiaTheme="majorEastAsia" w:hAnsiTheme="majorHAnsi" w:cstheme="majorBidi"/>
      <w:i/>
      <w:iCs/>
      <w:color w:val="243F60" w:themeColor="accent1" w:themeShade="7F"/>
      <w:spacing w:val="0"/>
      <w:sz w:val="22"/>
      <w:szCs w:val="22"/>
      <w:lang w:eastAsia="en-US"/>
    </w:rPr>
  </w:style>
  <w:style w:type="paragraph" w:styleId="Heading8">
    <w:name w:val="heading 8"/>
    <w:basedOn w:val="Normal"/>
    <w:next w:val="Normal"/>
    <w:link w:val="Heading8Char"/>
    <w:uiPriority w:val="9"/>
    <w:semiHidden/>
    <w:unhideWhenUsed/>
    <w:qFormat/>
    <w:rsid w:val="00594915"/>
    <w:pPr>
      <w:keepNext/>
      <w:keepLines/>
      <w:suppressAutoHyphens w:val="0"/>
      <w:autoSpaceDN/>
      <w:spacing w:before="40"/>
      <w:contextualSpacing/>
      <w:jc w:val="both"/>
      <w:textAlignment w:val="auto"/>
      <w:outlineLvl w:val="7"/>
    </w:pPr>
    <w:rPr>
      <w:rFonts w:asciiTheme="majorHAnsi" w:eastAsiaTheme="majorEastAsia" w:hAnsiTheme="majorHAnsi" w:cstheme="majorBidi"/>
      <w:color w:val="272727" w:themeColor="text1" w:themeTint="D8"/>
      <w:spacing w:val="0"/>
      <w:sz w:val="21"/>
      <w:szCs w:val="21"/>
      <w:lang w:eastAsia="en-US"/>
    </w:rPr>
  </w:style>
  <w:style w:type="paragraph" w:styleId="Heading9">
    <w:name w:val="heading 9"/>
    <w:basedOn w:val="Normal"/>
    <w:next w:val="Normal"/>
    <w:link w:val="Heading9Char"/>
    <w:uiPriority w:val="9"/>
    <w:semiHidden/>
    <w:unhideWhenUsed/>
    <w:qFormat/>
    <w:rsid w:val="00594915"/>
    <w:pPr>
      <w:keepNext/>
      <w:keepLines/>
      <w:suppressAutoHyphens w:val="0"/>
      <w:autoSpaceDN/>
      <w:spacing w:before="40"/>
      <w:contextualSpacing/>
      <w:jc w:val="both"/>
      <w:textAlignment w:val="auto"/>
      <w:outlineLvl w:val="8"/>
    </w:pPr>
    <w:rPr>
      <w:rFonts w:asciiTheme="majorHAnsi" w:eastAsiaTheme="majorEastAsia" w:hAnsiTheme="majorHAnsi" w:cstheme="majorBidi"/>
      <w:i/>
      <w:iCs/>
      <w:color w:val="272727" w:themeColor="text1" w:themeTint="D8"/>
      <w:spacing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BD0672"/>
    <w:rPr>
      <w:color w:val="auto"/>
      <w:sz w:val="14"/>
      <w:szCs w:val="14"/>
    </w:rPr>
  </w:style>
  <w:style w:type="paragraph" w:styleId="Header">
    <w:name w:val="header"/>
    <w:basedOn w:val="Normal"/>
    <w:link w:val="HeaderChar"/>
    <w:uiPriority w:val="99"/>
    <w:rsid w:val="00BD0672"/>
    <w:pPr>
      <w:tabs>
        <w:tab w:val="center" w:pos="4153"/>
        <w:tab w:val="right" w:pos="8306"/>
      </w:tabs>
    </w:pPr>
  </w:style>
  <w:style w:type="character" w:customStyle="1" w:styleId="FooterChar">
    <w:name w:val="Footer Char"/>
    <w:uiPriority w:val="99"/>
    <w:rsid w:val="00BD0672"/>
    <w:rPr>
      <w:rFonts w:ascii="Arial" w:hAnsi="Arial"/>
      <w:spacing w:val="6"/>
      <w:sz w:val="14"/>
      <w:szCs w:val="14"/>
      <w:lang w:val="en-GB" w:eastAsia="en-GB" w:bidi="ar-SA"/>
    </w:rPr>
  </w:style>
  <w:style w:type="character" w:styleId="Hyperlink">
    <w:name w:val="Hyperlink"/>
    <w:uiPriority w:val="99"/>
    <w:rsid w:val="00BD0672"/>
    <w:rPr>
      <w:color w:val="0000FF"/>
      <w:u w:val="single"/>
    </w:rPr>
  </w:style>
  <w:style w:type="paragraph" w:styleId="BalloonText">
    <w:name w:val="Balloon Text"/>
    <w:basedOn w:val="Normal"/>
    <w:link w:val="BalloonTextChar"/>
    <w:uiPriority w:val="99"/>
    <w:rsid w:val="00BD0672"/>
    <w:rPr>
      <w:rFonts w:ascii="Tahoma" w:hAnsi="Tahoma" w:cs="Tahoma"/>
      <w:sz w:val="16"/>
      <w:szCs w:val="16"/>
    </w:rPr>
  </w:style>
  <w:style w:type="character" w:styleId="CommentReference">
    <w:name w:val="annotation reference"/>
    <w:uiPriority w:val="99"/>
    <w:rsid w:val="00BD0672"/>
    <w:rPr>
      <w:sz w:val="16"/>
      <w:szCs w:val="16"/>
    </w:rPr>
  </w:style>
  <w:style w:type="paragraph" w:styleId="CommentText">
    <w:name w:val="annotation text"/>
    <w:basedOn w:val="Normal"/>
    <w:link w:val="CommentTextChar"/>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link w:val="CommentSubjectChar"/>
    <w:uiPriority w:val="99"/>
    <w:rsid w:val="00BD0672"/>
    <w:rPr>
      <w:b/>
      <w:bCs/>
    </w:rPr>
  </w:style>
  <w:style w:type="paragraph" w:customStyle="1" w:styleId="char">
    <w:name w:val="char"/>
    <w:basedOn w:val="Style"/>
    <w:rsid w:val="00BD0672"/>
  </w:style>
  <w:style w:type="paragraph" w:styleId="ListParagraph">
    <w:name w:val="List Paragraph"/>
    <w:basedOn w:val="Normal"/>
    <w:link w:val="ListParagraphChar"/>
    <w:uiPriority w:val="99"/>
    <w:qFormat/>
    <w:rsid w:val="00BD0672"/>
    <w:pPr>
      <w:ind w:left="720"/>
    </w:pPr>
  </w:style>
  <w:style w:type="paragraph" w:styleId="FootnoteText">
    <w:name w:val="footnote text"/>
    <w:aliases w:val="Footnote Text Char Char,Footnote Text Char1,fn Char"/>
    <w:basedOn w:val="Normal"/>
    <w:qFormat/>
    <w:rsid w:val="00BD0672"/>
    <w:rPr>
      <w:sz w:val="20"/>
      <w:szCs w:val="20"/>
    </w:rPr>
  </w:style>
  <w:style w:type="character" w:customStyle="1" w:styleId="FootnoteTextChar">
    <w:name w:val="Footnote Text Char"/>
    <w:aliases w:val="Footnote Text Char Char Char,Footnote Text Char1 Char,fn Char Char,Footnote Text Char Char Char1,Footnote Text Char1 Char1,fn Char Char1"/>
    <w:rsid w:val="00BD0672"/>
    <w:rPr>
      <w:rFonts w:ascii="Arial" w:hAnsi="Arial"/>
      <w:color w:val="000000"/>
      <w:spacing w:val="6"/>
      <w:lang w:eastAsia="en-GB"/>
    </w:rPr>
  </w:style>
  <w:style w:type="character" w:styleId="FootnoteReference">
    <w:name w:val="footnote reference"/>
    <w:aliases w:val="ftref"/>
    <w:qFormat/>
    <w:rsid w:val="00BD0672"/>
    <w:rPr>
      <w:position w:val="0"/>
      <w:vertAlign w:val="superscript"/>
    </w:rPr>
  </w:style>
  <w:style w:type="paragraph" w:styleId="Title">
    <w:name w:val="Title"/>
    <w:basedOn w:val="Normal"/>
    <w:uiPriority w:val="10"/>
    <w:qFormat/>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uiPriority w:val="10"/>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3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 w:type="paragraph" w:styleId="NormalWeb">
    <w:name w:val="Normal (Web)"/>
    <w:basedOn w:val="Normal"/>
    <w:uiPriority w:val="99"/>
    <w:unhideWhenUsed/>
    <w:rsid w:val="00A97841"/>
    <w:pPr>
      <w:suppressAutoHyphens w:val="0"/>
      <w:autoSpaceDN/>
      <w:spacing w:before="100" w:beforeAutospacing="1" w:after="100" w:afterAutospacing="1" w:line="240" w:lineRule="auto"/>
      <w:textAlignment w:val="auto"/>
    </w:pPr>
    <w:rPr>
      <w:rFonts w:ascii="Times New Roman" w:hAnsi="Times New Roman"/>
      <w:color w:val="auto"/>
      <w:spacing w:val="0"/>
      <w:sz w:val="24"/>
      <w:szCs w:val="24"/>
      <w:lang w:eastAsia="en-ZA"/>
    </w:rPr>
  </w:style>
  <w:style w:type="paragraph" w:customStyle="1" w:styleId="ResearchTitle">
    <w:name w:val="Research Title"/>
    <w:basedOn w:val="Normal"/>
    <w:link w:val="ResearchTitleChar"/>
    <w:rsid w:val="008A01FF"/>
    <w:pPr>
      <w:suppressAutoHyphens w:val="0"/>
      <w:autoSpaceDN/>
      <w:contextualSpacing/>
      <w:jc w:val="both"/>
      <w:textAlignment w:val="auto"/>
    </w:pPr>
    <w:rPr>
      <w:rFonts w:eastAsiaTheme="minorHAnsi" w:cstheme="minorBidi"/>
      <w:b/>
      <w:caps/>
      <w:color w:val="E36C0A" w:themeColor="accent6" w:themeShade="BF"/>
      <w:spacing w:val="0"/>
      <w:sz w:val="24"/>
      <w:szCs w:val="22"/>
      <w:lang w:eastAsia="en-US"/>
    </w:rPr>
  </w:style>
  <w:style w:type="character" w:customStyle="1" w:styleId="ResearchTitleChar">
    <w:name w:val="Research Title Char"/>
    <w:basedOn w:val="DefaultParagraphFont"/>
    <w:link w:val="ResearchTitle"/>
    <w:rsid w:val="008A01FF"/>
    <w:rPr>
      <w:rFonts w:ascii="Arial" w:eastAsiaTheme="minorHAnsi" w:hAnsi="Arial" w:cstheme="minorBidi"/>
      <w:b/>
      <w:caps/>
      <w:color w:val="E36C0A" w:themeColor="accent6" w:themeShade="BF"/>
      <w:sz w:val="24"/>
      <w:szCs w:val="22"/>
      <w:lang w:eastAsia="en-US"/>
    </w:rPr>
  </w:style>
  <w:style w:type="character" w:customStyle="1" w:styleId="Heading2Char">
    <w:name w:val="Heading 2 Char"/>
    <w:basedOn w:val="DefaultParagraphFont"/>
    <w:link w:val="Heading2"/>
    <w:uiPriority w:val="9"/>
    <w:rsid w:val="007B3892"/>
    <w:rPr>
      <w:rFonts w:ascii="Arial" w:hAnsi="Arial" w:cs="Arial"/>
      <w:b/>
      <w:bCs/>
      <w:iCs/>
      <w:color w:val="000000"/>
      <w:spacing w:val="6"/>
      <w:sz w:val="18"/>
      <w:szCs w:val="18"/>
      <w:lang w:eastAsia="en-GB"/>
    </w:rPr>
  </w:style>
  <w:style w:type="character" w:customStyle="1" w:styleId="Heading3Char">
    <w:name w:val="Heading 3 Char"/>
    <w:basedOn w:val="DefaultParagraphFont"/>
    <w:link w:val="Heading3"/>
    <w:uiPriority w:val="9"/>
    <w:rsid w:val="007B3892"/>
    <w:rPr>
      <w:rFonts w:ascii="Arial" w:hAnsi="Arial" w:cs="Arial"/>
      <w:b/>
      <w:bCs/>
      <w:color w:val="000000"/>
      <w:spacing w:val="6"/>
      <w:sz w:val="26"/>
      <w:szCs w:val="26"/>
      <w:lang w:eastAsia="en-GB"/>
    </w:rPr>
  </w:style>
  <w:style w:type="paragraph" w:styleId="Caption">
    <w:name w:val="caption"/>
    <w:basedOn w:val="Normal"/>
    <w:next w:val="Normal"/>
    <w:unhideWhenUsed/>
    <w:qFormat/>
    <w:rsid w:val="007B3892"/>
    <w:pPr>
      <w:suppressAutoHyphens w:val="0"/>
      <w:autoSpaceDN/>
      <w:textAlignment w:val="auto"/>
    </w:pPr>
    <w:rPr>
      <w:b/>
      <w:bCs/>
      <w:sz w:val="20"/>
      <w:szCs w:val="20"/>
    </w:rPr>
  </w:style>
  <w:style w:type="character" w:customStyle="1" w:styleId="Heading1Char">
    <w:name w:val="Heading 1 Char"/>
    <w:basedOn w:val="DefaultParagraphFont"/>
    <w:link w:val="Heading1"/>
    <w:uiPriority w:val="9"/>
    <w:rsid w:val="00282525"/>
    <w:rPr>
      <w:rFonts w:eastAsiaTheme="majorEastAsia" w:cstheme="majorBidi"/>
      <w:b/>
      <w:caps/>
      <w:spacing w:val="6"/>
      <w:sz w:val="28"/>
      <w:szCs w:val="32"/>
      <w:lang w:eastAsia="en-GB"/>
    </w:rPr>
  </w:style>
  <w:style w:type="numbering" w:customStyle="1" w:styleId="NoList1">
    <w:name w:val="No List1"/>
    <w:next w:val="NoList"/>
    <w:uiPriority w:val="99"/>
    <w:semiHidden/>
    <w:unhideWhenUsed/>
    <w:rsid w:val="004A1D73"/>
  </w:style>
  <w:style w:type="table" w:customStyle="1" w:styleId="TableNormal1">
    <w:name w:val="Table Normal1"/>
    <w:uiPriority w:val="2"/>
    <w:semiHidden/>
    <w:unhideWhenUsed/>
    <w:qFormat/>
    <w:rsid w:val="004A1D7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39"/>
    <w:qFormat/>
    <w:rsid w:val="004A1D73"/>
    <w:pPr>
      <w:widowControl w:val="0"/>
      <w:suppressAutoHyphens w:val="0"/>
      <w:autoSpaceDN/>
      <w:spacing w:before="2" w:line="240" w:lineRule="auto"/>
      <w:ind w:left="783" w:hanging="459"/>
      <w:textAlignment w:val="auto"/>
    </w:pPr>
    <w:rPr>
      <w:rFonts w:eastAsia="Arial" w:cstheme="minorBidi"/>
      <w:b/>
      <w:bCs/>
      <w:color w:val="auto"/>
      <w:spacing w:val="0"/>
      <w:sz w:val="24"/>
      <w:szCs w:val="24"/>
      <w:lang w:val="en-US" w:eastAsia="en-US"/>
    </w:rPr>
  </w:style>
  <w:style w:type="paragraph" w:styleId="TOC2">
    <w:name w:val="toc 2"/>
    <w:basedOn w:val="Normal"/>
    <w:uiPriority w:val="39"/>
    <w:qFormat/>
    <w:rsid w:val="004A1D73"/>
    <w:pPr>
      <w:widowControl w:val="0"/>
      <w:suppressAutoHyphens w:val="0"/>
      <w:autoSpaceDN/>
      <w:spacing w:before="28" w:line="240" w:lineRule="auto"/>
      <w:ind w:left="1222" w:hanging="660"/>
      <w:textAlignment w:val="auto"/>
    </w:pPr>
    <w:rPr>
      <w:rFonts w:eastAsia="Arial" w:cstheme="minorBidi"/>
      <w:color w:val="auto"/>
      <w:spacing w:val="0"/>
      <w:sz w:val="22"/>
      <w:szCs w:val="22"/>
      <w:lang w:val="en-US" w:eastAsia="en-US"/>
    </w:rPr>
  </w:style>
  <w:style w:type="paragraph" w:styleId="TOC3">
    <w:name w:val="toc 3"/>
    <w:basedOn w:val="Normal"/>
    <w:uiPriority w:val="39"/>
    <w:qFormat/>
    <w:rsid w:val="004A1D73"/>
    <w:pPr>
      <w:widowControl w:val="0"/>
      <w:suppressAutoHyphens w:val="0"/>
      <w:autoSpaceDN/>
      <w:spacing w:line="240" w:lineRule="auto"/>
      <w:ind w:left="1396" w:hanging="614"/>
      <w:textAlignment w:val="auto"/>
    </w:pPr>
    <w:rPr>
      <w:rFonts w:eastAsia="Arial" w:cstheme="minorBidi"/>
      <w:color w:val="auto"/>
      <w:spacing w:val="0"/>
      <w:sz w:val="22"/>
      <w:szCs w:val="22"/>
      <w:lang w:val="en-US" w:eastAsia="en-US"/>
    </w:rPr>
  </w:style>
  <w:style w:type="paragraph" w:styleId="BodyText">
    <w:name w:val="Body Text"/>
    <w:basedOn w:val="Normal"/>
    <w:link w:val="BodyTextChar"/>
    <w:uiPriority w:val="99"/>
    <w:qFormat/>
    <w:rsid w:val="004A1D73"/>
    <w:pPr>
      <w:widowControl w:val="0"/>
      <w:suppressAutoHyphens w:val="0"/>
      <w:autoSpaceDN/>
      <w:spacing w:line="240" w:lineRule="auto"/>
      <w:ind w:left="112"/>
      <w:textAlignment w:val="auto"/>
    </w:pPr>
    <w:rPr>
      <w:rFonts w:eastAsia="Arial" w:cstheme="minorBidi"/>
      <w:color w:val="auto"/>
      <w:spacing w:val="0"/>
      <w:sz w:val="22"/>
      <w:szCs w:val="22"/>
      <w:lang w:val="en-US" w:eastAsia="en-US"/>
    </w:rPr>
  </w:style>
  <w:style w:type="character" w:customStyle="1" w:styleId="BodyTextChar">
    <w:name w:val="Body Text Char"/>
    <w:basedOn w:val="DefaultParagraphFont"/>
    <w:link w:val="BodyText"/>
    <w:uiPriority w:val="99"/>
    <w:rsid w:val="004A1D73"/>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4A1D73"/>
    <w:pPr>
      <w:widowControl w:val="0"/>
      <w:suppressAutoHyphens w:val="0"/>
      <w:autoSpaceDN/>
      <w:spacing w:line="240" w:lineRule="auto"/>
      <w:textAlignment w:val="auto"/>
    </w:pPr>
    <w:rPr>
      <w:rFonts w:asciiTheme="minorHAnsi" w:eastAsiaTheme="minorHAnsi" w:hAnsiTheme="minorHAnsi" w:cstheme="minorBidi"/>
      <w:color w:val="auto"/>
      <w:spacing w:val="0"/>
      <w:sz w:val="22"/>
      <w:szCs w:val="22"/>
      <w:lang w:val="en-US" w:eastAsia="en-US"/>
    </w:rPr>
  </w:style>
  <w:style w:type="character" w:customStyle="1" w:styleId="BalloonTextChar">
    <w:name w:val="Balloon Text Char"/>
    <w:basedOn w:val="DefaultParagraphFont"/>
    <w:link w:val="BalloonText"/>
    <w:uiPriority w:val="99"/>
    <w:rsid w:val="004A1D73"/>
    <w:rPr>
      <w:rFonts w:ascii="Tahoma" w:hAnsi="Tahoma" w:cs="Tahoma"/>
      <w:color w:val="000000"/>
      <w:spacing w:val="6"/>
      <w:sz w:val="16"/>
      <w:szCs w:val="16"/>
      <w:lang w:eastAsia="en-GB"/>
    </w:rPr>
  </w:style>
  <w:style w:type="character" w:customStyle="1" w:styleId="HeaderChar">
    <w:name w:val="Header Char"/>
    <w:basedOn w:val="DefaultParagraphFont"/>
    <w:link w:val="Header"/>
    <w:uiPriority w:val="99"/>
    <w:rsid w:val="006E4DD2"/>
    <w:rPr>
      <w:rFonts w:ascii="Arial" w:hAnsi="Arial"/>
      <w:color w:val="000000"/>
      <w:spacing w:val="6"/>
      <w:sz w:val="18"/>
      <w:szCs w:val="18"/>
      <w:lang w:eastAsia="en-GB"/>
    </w:rPr>
  </w:style>
  <w:style w:type="character" w:customStyle="1" w:styleId="CommentTextChar">
    <w:name w:val="Comment Text Char"/>
    <w:basedOn w:val="DefaultParagraphFont"/>
    <w:link w:val="CommentText"/>
    <w:rsid w:val="006E4DD2"/>
    <w:rPr>
      <w:rFonts w:ascii="Arial" w:hAnsi="Arial"/>
      <w:color w:val="000000"/>
      <w:spacing w:val="6"/>
      <w:lang w:eastAsia="en-GB"/>
    </w:rPr>
  </w:style>
  <w:style w:type="character" w:customStyle="1" w:styleId="CommentSubjectChar">
    <w:name w:val="Comment Subject Char"/>
    <w:basedOn w:val="CommentTextChar"/>
    <w:link w:val="CommentSubject"/>
    <w:uiPriority w:val="99"/>
    <w:rsid w:val="006E4DD2"/>
    <w:rPr>
      <w:rFonts w:ascii="Arial" w:hAnsi="Arial"/>
      <w:b/>
      <w:bCs/>
      <w:color w:val="000000"/>
      <w:spacing w:val="6"/>
      <w:lang w:eastAsia="en-GB"/>
    </w:rPr>
  </w:style>
  <w:style w:type="table" w:styleId="PlainTable2">
    <w:name w:val="Plain Table 2"/>
    <w:basedOn w:val="TableNormal"/>
    <w:uiPriority w:val="42"/>
    <w:rsid w:val="004052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0D257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94915"/>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594915"/>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594915"/>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594915"/>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59491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94915"/>
    <w:rPr>
      <w:rFonts w:asciiTheme="majorHAnsi" w:eastAsiaTheme="majorEastAsia" w:hAnsiTheme="majorHAnsi" w:cstheme="majorBidi"/>
      <w:i/>
      <w:iCs/>
      <w:color w:val="272727" w:themeColor="text1" w:themeTint="D8"/>
      <w:sz w:val="21"/>
      <w:szCs w:val="21"/>
      <w:lang w:eastAsia="en-US"/>
    </w:rPr>
  </w:style>
  <w:style w:type="paragraph" w:customStyle="1" w:styleId="ReseachMainHeading">
    <w:name w:val="Reseach Main Heading"/>
    <w:basedOn w:val="ResearchTitle"/>
    <w:link w:val="ReseachMainHeadingChar"/>
    <w:rsid w:val="00594915"/>
  </w:style>
  <w:style w:type="paragraph" w:customStyle="1" w:styleId="ResearchSubheading">
    <w:name w:val="Research Sub heading"/>
    <w:basedOn w:val="ReseachMainHeading"/>
    <w:link w:val="ResearchSubheadingChar"/>
    <w:rsid w:val="00594915"/>
    <w:rPr>
      <w:b w:val="0"/>
      <w:caps w:val="0"/>
    </w:rPr>
  </w:style>
  <w:style w:type="character" w:customStyle="1" w:styleId="ReseachMainHeadingChar">
    <w:name w:val="Reseach Main Heading Char"/>
    <w:basedOn w:val="ResearchTitleChar"/>
    <w:link w:val="ReseachMainHeading"/>
    <w:rsid w:val="00594915"/>
    <w:rPr>
      <w:rFonts w:ascii="Arial" w:eastAsiaTheme="minorHAnsi" w:hAnsi="Arial" w:cstheme="minorBidi"/>
      <w:b/>
      <w:caps/>
      <w:color w:val="E36C0A" w:themeColor="accent6" w:themeShade="BF"/>
      <w:sz w:val="24"/>
      <w:szCs w:val="22"/>
      <w:lang w:eastAsia="en-US"/>
    </w:rPr>
  </w:style>
  <w:style w:type="character" w:customStyle="1" w:styleId="ResearchSubheadingChar">
    <w:name w:val="Research Sub heading Char"/>
    <w:basedOn w:val="ReseachMainHeadingChar"/>
    <w:link w:val="ResearchSubheading"/>
    <w:rsid w:val="00594915"/>
    <w:rPr>
      <w:rFonts w:ascii="Arial" w:eastAsiaTheme="minorHAnsi" w:hAnsi="Arial" w:cstheme="minorBidi"/>
      <w:b w:val="0"/>
      <w:caps w:val="0"/>
      <w:color w:val="E36C0A" w:themeColor="accent6" w:themeShade="BF"/>
      <w:sz w:val="24"/>
      <w:szCs w:val="22"/>
      <w:lang w:eastAsia="en-US"/>
    </w:rPr>
  </w:style>
  <w:style w:type="paragraph" w:styleId="TOCHeading">
    <w:name w:val="TOC Heading"/>
    <w:basedOn w:val="Heading1"/>
    <w:next w:val="Normal"/>
    <w:uiPriority w:val="39"/>
    <w:unhideWhenUsed/>
    <w:qFormat/>
    <w:rsid w:val="00594915"/>
    <w:pPr>
      <w:suppressAutoHyphens w:val="0"/>
      <w:autoSpaceDN/>
      <w:contextualSpacing/>
      <w:jc w:val="both"/>
      <w:textAlignment w:val="auto"/>
      <w:outlineLvl w:val="9"/>
    </w:pPr>
    <w:rPr>
      <w:rFonts w:ascii="Arial" w:hAnsi="Arial"/>
      <w:caps w:val="0"/>
      <w:color w:val="000000" w:themeColor="text1"/>
      <w:spacing w:val="0"/>
      <w:sz w:val="22"/>
      <w:lang w:val="en-US" w:eastAsia="en-US"/>
    </w:rPr>
  </w:style>
  <w:style w:type="paragraph" w:styleId="Subtitle">
    <w:name w:val="Subtitle"/>
    <w:basedOn w:val="Normal"/>
    <w:next w:val="Normal"/>
    <w:link w:val="SubtitleChar"/>
    <w:uiPriority w:val="11"/>
    <w:rsid w:val="00594915"/>
    <w:pPr>
      <w:numPr>
        <w:ilvl w:val="1"/>
      </w:numPr>
      <w:suppressAutoHyphens w:val="0"/>
      <w:autoSpaceDN/>
      <w:contextualSpacing/>
      <w:jc w:val="both"/>
      <w:textAlignment w:val="auto"/>
    </w:pPr>
    <w:rPr>
      <w:rFonts w:eastAsiaTheme="minorEastAsia"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594915"/>
    <w:rPr>
      <w:rFonts w:ascii="Arial" w:eastAsiaTheme="minorEastAsia" w:hAnsi="Arial" w:cstheme="minorBidi"/>
      <w:color w:val="5A5A5A" w:themeColor="text1" w:themeTint="A5"/>
      <w:spacing w:val="15"/>
      <w:sz w:val="22"/>
      <w:szCs w:val="22"/>
      <w:lang w:eastAsia="en-US"/>
    </w:rPr>
  </w:style>
  <w:style w:type="numbering" w:customStyle="1" w:styleId="Style1">
    <w:name w:val="Style1"/>
    <w:uiPriority w:val="99"/>
    <w:rsid w:val="00594915"/>
    <w:pPr>
      <w:numPr>
        <w:numId w:val="8"/>
      </w:numPr>
    </w:pPr>
  </w:style>
  <w:style w:type="character" w:styleId="FollowedHyperlink">
    <w:name w:val="FollowedHyperlink"/>
    <w:basedOn w:val="DefaultParagraphFont"/>
    <w:uiPriority w:val="99"/>
    <w:semiHidden/>
    <w:unhideWhenUsed/>
    <w:rsid w:val="00594915"/>
    <w:rPr>
      <w:color w:val="800080" w:themeColor="followedHyperlink"/>
      <w:u w:val="single"/>
    </w:rPr>
  </w:style>
  <w:style w:type="character" w:customStyle="1" w:styleId="ListParagraphChar">
    <w:name w:val="List Paragraph Char"/>
    <w:basedOn w:val="DefaultParagraphFont"/>
    <w:link w:val="ListParagraph"/>
    <w:uiPriority w:val="99"/>
    <w:locked/>
    <w:rsid w:val="00594915"/>
    <w:rPr>
      <w:rFonts w:ascii="Arial" w:hAnsi="Arial"/>
      <w:color w:val="000000"/>
      <w:spacing w:val="6"/>
      <w:sz w:val="18"/>
      <w:szCs w:val="18"/>
      <w:lang w:eastAsia="en-GB"/>
    </w:rPr>
  </w:style>
  <w:style w:type="table" w:styleId="GridTable4-Accent3">
    <w:name w:val="Grid Table 4 Accent 3"/>
    <w:basedOn w:val="TableNormal"/>
    <w:uiPriority w:val="49"/>
    <w:rsid w:val="00C07ED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8F7AE5"/>
    <w:rPr>
      <w:rFonts w:asciiTheme="minorHAnsi" w:eastAsiaTheme="minorHAnsi" w:hAnsiTheme="minorHAnsi" w:cstheme="minorBidi"/>
      <w:sz w:val="22"/>
      <w:szCs w:val="22"/>
      <w:lang w:eastAsia="en-US"/>
    </w:rPr>
  </w:style>
  <w:style w:type="table" w:styleId="GridTable5Dark-Accent3">
    <w:name w:val="Grid Table 5 Dark Accent 3"/>
    <w:basedOn w:val="TableNormal"/>
    <w:uiPriority w:val="50"/>
    <w:rsid w:val="00CE0C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52326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99">
      <w:bodyDiv w:val="1"/>
      <w:marLeft w:val="0"/>
      <w:marRight w:val="0"/>
      <w:marTop w:val="0"/>
      <w:marBottom w:val="0"/>
      <w:divBdr>
        <w:top w:val="none" w:sz="0" w:space="0" w:color="auto"/>
        <w:left w:val="none" w:sz="0" w:space="0" w:color="auto"/>
        <w:bottom w:val="none" w:sz="0" w:space="0" w:color="auto"/>
        <w:right w:val="none" w:sz="0" w:space="0" w:color="auto"/>
      </w:divBdr>
    </w:div>
    <w:div w:id="16977882">
      <w:bodyDiv w:val="1"/>
      <w:marLeft w:val="0"/>
      <w:marRight w:val="0"/>
      <w:marTop w:val="0"/>
      <w:marBottom w:val="0"/>
      <w:divBdr>
        <w:top w:val="none" w:sz="0" w:space="0" w:color="auto"/>
        <w:left w:val="none" w:sz="0" w:space="0" w:color="auto"/>
        <w:bottom w:val="none" w:sz="0" w:space="0" w:color="auto"/>
        <w:right w:val="none" w:sz="0" w:space="0" w:color="auto"/>
      </w:divBdr>
    </w:div>
    <w:div w:id="19863770">
      <w:bodyDiv w:val="1"/>
      <w:marLeft w:val="0"/>
      <w:marRight w:val="0"/>
      <w:marTop w:val="0"/>
      <w:marBottom w:val="0"/>
      <w:divBdr>
        <w:top w:val="none" w:sz="0" w:space="0" w:color="auto"/>
        <w:left w:val="none" w:sz="0" w:space="0" w:color="auto"/>
        <w:bottom w:val="none" w:sz="0" w:space="0" w:color="auto"/>
        <w:right w:val="none" w:sz="0" w:space="0" w:color="auto"/>
      </w:divBdr>
      <w:divsChild>
        <w:div w:id="1678145467">
          <w:marLeft w:val="274"/>
          <w:marRight w:val="0"/>
          <w:marTop w:val="0"/>
          <w:marBottom w:val="0"/>
          <w:divBdr>
            <w:top w:val="none" w:sz="0" w:space="0" w:color="auto"/>
            <w:left w:val="none" w:sz="0" w:space="0" w:color="auto"/>
            <w:bottom w:val="none" w:sz="0" w:space="0" w:color="auto"/>
            <w:right w:val="none" w:sz="0" w:space="0" w:color="auto"/>
          </w:divBdr>
        </w:div>
        <w:div w:id="744112815">
          <w:marLeft w:val="274"/>
          <w:marRight w:val="0"/>
          <w:marTop w:val="0"/>
          <w:marBottom w:val="0"/>
          <w:divBdr>
            <w:top w:val="none" w:sz="0" w:space="0" w:color="auto"/>
            <w:left w:val="none" w:sz="0" w:space="0" w:color="auto"/>
            <w:bottom w:val="none" w:sz="0" w:space="0" w:color="auto"/>
            <w:right w:val="none" w:sz="0" w:space="0" w:color="auto"/>
          </w:divBdr>
        </w:div>
        <w:div w:id="1414468145">
          <w:marLeft w:val="274"/>
          <w:marRight w:val="0"/>
          <w:marTop w:val="0"/>
          <w:marBottom w:val="0"/>
          <w:divBdr>
            <w:top w:val="none" w:sz="0" w:space="0" w:color="auto"/>
            <w:left w:val="none" w:sz="0" w:space="0" w:color="auto"/>
            <w:bottom w:val="none" w:sz="0" w:space="0" w:color="auto"/>
            <w:right w:val="none" w:sz="0" w:space="0" w:color="auto"/>
          </w:divBdr>
        </w:div>
        <w:div w:id="1754161369">
          <w:marLeft w:val="274"/>
          <w:marRight w:val="0"/>
          <w:marTop w:val="0"/>
          <w:marBottom w:val="0"/>
          <w:divBdr>
            <w:top w:val="none" w:sz="0" w:space="0" w:color="auto"/>
            <w:left w:val="none" w:sz="0" w:space="0" w:color="auto"/>
            <w:bottom w:val="none" w:sz="0" w:space="0" w:color="auto"/>
            <w:right w:val="none" w:sz="0" w:space="0" w:color="auto"/>
          </w:divBdr>
        </w:div>
      </w:divsChild>
    </w:div>
    <w:div w:id="21708570">
      <w:bodyDiv w:val="1"/>
      <w:marLeft w:val="0"/>
      <w:marRight w:val="0"/>
      <w:marTop w:val="0"/>
      <w:marBottom w:val="0"/>
      <w:divBdr>
        <w:top w:val="none" w:sz="0" w:space="0" w:color="auto"/>
        <w:left w:val="none" w:sz="0" w:space="0" w:color="auto"/>
        <w:bottom w:val="none" w:sz="0" w:space="0" w:color="auto"/>
        <w:right w:val="none" w:sz="0" w:space="0" w:color="auto"/>
      </w:divBdr>
    </w:div>
    <w:div w:id="27612496">
      <w:bodyDiv w:val="1"/>
      <w:marLeft w:val="0"/>
      <w:marRight w:val="0"/>
      <w:marTop w:val="0"/>
      <w:marBottom w:val="0"/>
      <w:divBdr>
        <w:top w:val="none" w:sz="0" w:space="0" w:color="auto"/>
        <w:left w:val="none" w:sz="0" w:space="0" w:color="auto"/>
        <w:bottom w:val="none" w:sz="0" w:space="0" w:color="auto"/>
        <w:right w:val="none" w:sz="0" w:space="0" w:color="auto"/>
      </w:divBdr>
    </w:div>
    <w:div w:id="36010433">
      <w:bodyDiv w:val="1"/>
      <w:marLeft w:val="0"/>
      <w:marRight w:val="0"/>
      <w:marTop w:val="0"/>
      <w:marBottom w:val="0"/>
      <w:divBdr>
        <w:top w:val="none" w:sz="0" w:space="0" w:color="auto"/>
        <w:left w:val="none" w:sz="0" w:space="0" w:color="auto"/>
        <w:bottom w:val="none" w:sz="0" w:space="0" w:color="auto"/>
        <w:right w:val="none" w:sz="0" w:space="0" w:color="auto"/>
      </w:divBdr>
    </w:div>
    <w:div w:id="50546017">
      <w:bodyDiv w:val="1"/>
      <w:marLeft w:val="0"/>
      <w:marRight w:val="0"/>
      <w:marTop w:val="0"/>
      <w:marBottom w:val="0"/>
      <w:divBdr>
        <w:top w:val="none" w:sz="0" w:space="0" w:color="auto"/>
        <w:left w:val="none" w:sz="0" w:space="0" w:color="auto"/>
        <w:bottom w:val="none" w:sz="0" w:space="0" w:color="auto"/>
        <w:right w:val="none" w:sz="0" w:space="0" w:color="auto"/>
      </w:divBdr>
    </w:div>
    <w:div w:id="62608264">
      <w:bodyDiv w:val="1"/>
      <w:marLeft w:val="0"/>
      <w:marRight w:val="0"/>
      <w:marTop w:val="0"/>
      <w:marBottom w:val="0"/>
      <w:divBdr>
        <w:top w:val="none" w:sz="0" w:space="0" w:color="auto"/>
        <w:left w:val="none" w:sz="0" w:space="0" w:color="auto"/>
        <w:bottom w:val="none" w:sz="0" w:space="0" w:color="auto"/>
        <w:right w:val="none" w:sz="0" w:space="0" w:color="auto"/>
      </w:divBdr>
      <w:divsChild>
        <w:div w:id="354161536">
          <w:marLeft w:val="446"/>
          <w:marRight w:val="0"/>
          <w:marTop w:val="0"/>
          <w:marBottom w:val="0"/>
          <w:divBdr>
            <w:top w:val="none" w:sz="0" w:space="0" w:color="auto"/>
            <w:left w:val="none" w:sz="0" w:space="0" w:color="auto"/>
            <w:bottom w:val="none" w:sz="0" w:space="0" w:color="auto"/>
            <w:right w:val="none" w:sz="0" w:space="0" w:color="auto"/>
          </w:divBdr>
        </w:div>
        <w:div w:id="111436451">
          <w:marLeft w:val="446"/>
          <w:marRight w:val="0"/>
          <w:marTop w:val="0"/>
          <w:marBottom w:val="0"/>
          <w:divBdr>
            <w:top w:val="none" w:sz="0" w:space="0" w:color="auto"/>
            <w:left w:val="none" w:sz="0" w:space="0" w:color="auto"/>
            <w:bottom w:val="none" w:sz="0" w:space="0" w:color="auto"/>
            <w:right w:val="none" w:sz="0" w:space="0" w:color="auto"/>
          </w:divBdr>
        </w:div>
        <w:div w:id="1799182171">
          <w:marLeft w:val="446"/>
          <w:marRight w:val="0"/>
          <w:marTop w:val="0"/>
          <w:marBottom w:val="0"/>
          <w:divBdr>
            <w:top w:val="none" w:sz="0" w:space="0" w:color="auto"/>
            <w:left w:val="none" w:sz="0" w:space="0" w:color="auto"/>
            <w:bottom w:val="none" w:sz="0" w:space="0" w:color="auto"/>
            <w:right w:val="none" w:sz="0" w:space="0" w:color="auto"/>
          </w:divBdr>
        </w:div>
        <w:div w:id="688719225">
          <w:marLeft w:val="446"/>
          <w:marRight w:val="0"/>
          <w:marTop w:val="0"/>
          <w:marBottom w:val="0"/>
          <w:divBdr>
            <w:top w:val="none" w:sz="0" w:space="0" w:color="auto"/>
            <w:left w:val="none" w:sz="0" w:space="0" w:color="auto"/>
            <w:bottom w:val="none" w:sz="0" w:space="0" w:color="auto"/>
            <w:right w:val="none" w:sz="0" w:space="0" w:color="auto"/>
          </w:divBdr>
        </w:div>
      </w:divsChild>
    </w:div>
    <w:div w:id="81999310">
      <w:bodyDiv w:val="1"/>
      <w:marLeft w:val="0"/>
      <w:marRight w:val="0"/>
      <w:marTop w:val="0"/>
      <w:marBottom w:val="0"/>
      <w:divBdr>
        <w:top w:val="none" w:sz="0" w:space="0" w:color="auto"/>
        <w:left w:val="none" w:sz="0" w:space="0" w:color="auto"/>
        <w:bottom w:val="none" w:sz="0" w:space="0" w:color="auto"/>
        <w:right w:val="none" w:sz="0" w:space="0" w:color="auto"/>
      </w:divBdr>
    </w:div>
    <w:div w:id="83770563">
      <w:bodyDiv w:val="1"/>
      <w:marLeft w:val="0"/>
      <w:marRight w:val="0"/>
      <w:marTop w:val="0"/>
      <w:marBottom w:val="0"/>
      <w:divBdr>
        <w:top w:val="none" w:sz="0" w:space="0" w:color="auto"/>
        <w:left w:val="none" w:sz="0" w:space="0" w:color="auto"/>
        <w:bottom w:val="none" w:sz="0" w:space="0" w:color="auto"/>
        <w:right w:val="none" w:sz="0" w:space="0" w:color="auto"/>
      </w:divBdr>
    </w:div>
    <w:div w:id="85465875">
      <w:bodyDiv w:val="1"/>
      <w:marLeft w:val="0"/>
      <w:marRight w:val="0"/>
      <w:marTop w:val="0"/>
      <w:marBottom w:val="0"/>
      <w:divBdr>
        <w:top w:val="none" w:sz="0" w:space="0" w:color="auto"/>
        <w:left w:val="none" w:sz="0" w:space="0" w:color="auto"/>
        <w:bottom w:val="none" w:sz="0" w:space="0" w:color="auto"/>
        <w:right w:val="none" w:sz="0" w:space="0" w:color="auto"/>
      </w:divBdr>
    </w:div>
    <w:div w:id="93480042">
      <w:bodyDiv w:val="1"/>
      <w:marLeft w:val="0"/>
      <w:marRight w:val="0"/>
      <w:marTop w:val="0"/>
      <w:marBottom w:val="0"/>
      <w:divBdr>
        <w:top w:val="none" w:sz="0" w:space="0" w:color="auto"/>
        <w:left w:val="none" w:sz="0" w:space="0" w:color="auto"/>
        <w:bottom w:val="none" w:sz="0" w:space="0" w:color="auto"/>
        <w:right w:val="none" w:sz="0" w:space="0" w:color="auto"/>
      </w:divBdr>
    </w:div>
    <w:div w:id="97258443">
      <w:bodyDiv w:val="1"/>
      <w:marLeft w:val="0"/>
      <w:marRight w:val="0"/>
      <w:marTop w:val="0"/>
      <w:marBottom w:val="0"/>
      <w:divBdr>
        <w:top w:val="none" w:sz="0" w:space="0" w:color="auto"/>
        <w:left w:val="none" w:sz="0" w:space="0" w:color="auto"/>
        <w:bottom w:val="none" w:sz="0" w:space="0" w:color="auto"/>
        <w:right w:val="none" w:sz="0" w:space="0" w:color="auto"/>
      </w:divBdr>
    </w:div>
    <w:div w:id="101537021">
      <w:bodyDiv w:val="1"/>
      <w:marLeft w:val="0"/>
      <w:marRight w:val="0"/>
      <w:marTop w:val="0"/>
      <w:marBottom w:val="0"/>
      <w:divBdr>
        <w:top w:val="none" w:sz="0" w:space="0" w:color="auto"/>
        <w:left w:val="none" w:sz="0" w:space="0" w:color="auto"/>
        <w:bottom w:val="none" w:sz="0" w:space="0" w:color="auto"/>
        <w:right w:val="none" w:sz="0" w:space="0" w:color="auto"/>
      </w:divBdr>
      <w:divsChild>
        <w:div w:id="308747068">
          <w:marLeft w:val="547"/>
          <w:marRight w:val="0"/>
          <w:marTop w:val="0"/>
          <w:marBottom w:val="0"/>
          <w:divBdr>
            <w:top w:val="none" w:sz="0" w:space="0" w:color="auto"/>
            <w:left w:val="none" w:sz="0" w:space="0" w:color="auto"/>
            <w:bottom w:val="none" w:sz="0" w:space="0" w:color="auto"/>
            <w:right w:val="none" w:sz="0" w:space="0" w:color="auto"/>
          </w:divBdr>
        </w:div>
        <w:div w:id="1649626435">
          <w:marLeft w:val="547"/>
          <w:marRight w:val="0"/>
          <w:marTop w:val="0"/>
          <w:marBottom w:val="0"/>
          <w:divBdr>
            <w:top w:val="none" w:sz="0" w:space="0" w:color="auto"/>
            <w:left w:val="none" w:sz="0" w:space="0" w:color="auto"/>
            <w:bottom w:val="none" w:sz="0" w:space="0" w:color="auto"/>
            <w:right w:val="none" w:sz="0" w:space="0" w:color="auto"/>
          </w:divBdr>
        </w:div>
        <w:div w:id="1155686941">
          <w:marLeft w:val="547"/>
          <w:marRight w:val="0"/>
          <w:marTop w:val="0"/>
          <w:marBottom w:val="200"/>
          <w:divBdr>
            <w:top w:val="none" w:sz="0" w:space="0" w:color="auto"/>
            <w:left w:val="none" w:sz="0" w:space="0" w:color="auto"/>
            <w:bottom w:val="none" w:sz="0" w:space="0" w:color="auto"/>
            <w:right w:val="none" w:sz="0" w:space="0" w:color="auto"/>
          </w:divBdr>
        </w:div>
      </w:divsChild>
    </w:div>
    <w:div w:id="116222201">
      <w:bodyDiv w:val="1"/>
      <w:marLeft w:val="0"/>
      <w:marRight w:val="0"/>
      <w:marTop w:val="0"/>
      <w:marBottom w:val="0"/>
      <w:divBdr>
        <w:top w:val="none" w:sz="0" w:space="0" w:color="auto"/>
        <w:left w:val="none" w:sz="0" w:space="0" w:color="auto"/>
        <w:bottom w:val="none" w:sz="0" w:space="0" w:color="auto"/>
        <w:right w:val="none" w:sz="0" w:space="0" w:color="auto"/>
      </w:divBdr>
      <w:divsChild>
        <w:div w:id="1736707228">
          <w:marLeft w:val="446"/>
          <w:marRight w:val="0"/>
          <w:marTop w:val="0"/>
          <w:marBottom w:val="0"/>
          <w:divBdr>
            <w:top w:val="none" w:sz="0" w:space="0" w:color="auto"/>
            <w:left w:val="none" w:sz="0" w:space="0" w:color="auto"/>
            <w:bottom w:val="none" w:sz="0" w:space="0" w:color="auto"/>
            <w:right w:val="none" w:sz="0" w:space="0" w:color="auto"/>
          </w:divBdr>
        </w:div>
        <w:div w:id="1828398562">
          <w:marLeft w:val="446"/>
          <w:marRight w:val="0"/>
          <w:marTop w:val="0"/>
          <w:marBottom w:val="0"/>
          <w:divBdr>
            <w:top w:val="none" w:sz="0" w:space="0" w:color="auto"/>
            <w:left w:val="none" w:sz="0" w:space="0" w:color="auto"/>
            <w:bottom w:val="none" w:sz="0" w:space="0" w:color="auto"/>
            <w:right w:val="none" w:sz="0" w:space="0" w:color="auto"/>
          </w:divBdr>
        </w:div>
        <w:div w:id="287976545">
          <w:marLeft w:val="446"/>
          <w:marRight w:val="0"/>
          <w:marTop w:val="0"/>
          <w:marBottom w:val="0"/>
          <w:divBdr>
            <w:top w:val="none" w:sz="0" w:space="0" w:color="auto"/>
            <w:left w:val="none" w:sz="0" w:space="0" w:color="auto"/>
            <w:bottom w:val="none" w:sz="0" w:space="0" w:color="auto"/>
            <w:right w:val="none" w:sz="0" w:space="0" w:color="auto"/>
          </w:divBdr>
        </w:div>
        <w:div w:id="657342283">
          <w:marLeft w:val="446"/>
          <w:marRight w:val="0"/>
          <w:marTop w:val="0"/>
          <w:marBottom w:val="0"/>
          <w:divBdr>
            <w:top w:val="none" w:sz="0" w:space="0" w:color="auto"/>
            <w:left w:val="none" w:sz="0" w:space="0" w:color="auto"/>
            <w:bottom w:val="none" w:sz="0" w:space="0" w:color="auto"/>
            <w:right w:val="none" w:sz="0" w:space="0" w:color="auto"/>
          </w:divBdr>
        </w:div>
      </w:divsChild>
    </w:div>
    <w:div w:id="120653159">
      <w:bodyDiv w:val="1"/>
      <w:marLeft w:val="0"/>
      <w:marRight w:val="0"/>
      <w:marTop w:val="0"/>
      <w:marBottom w:val="0"/>
      <w:divBdr>
        <w:top w:val="none" w:sz="0" w:space="0" w:color="auto"/>
        <w:left w:val="none" w:sz="0" w:space="0" w:color="auto"/>
        <w:bottom w:val="none" w:sz="0" w:space="0" w:color="auto"/>
        <w:right w:val="none" w:sz="0" w:space="0" w:color="auto"/>
      </w:divBdr>
    </w:div>
    <w:div w:id="155994693">
      <w:bodyDiv w:val="1"/>
      <w:marLeft w:val="0"/>
      <w:marRight w:val="0"/>
      <w:marTop w:val="0"/>
      <w:marBottom w:val="0"/>
      <w:divBdr>
        <w:top w:val="none" w:sz="0" w:space="0" w:color="auto"/>
        <w:left w:val="none" w:sz="0" w:space="0" w:color="auto"/>
        <w:bottom w:val="none" w:sz="0" w:space="0" w:color="auto"/>
        <w:right w:val="none" w:sz="0" w:space="0" w:color="auto"/>
      </w:divBdr>
    </w:div>
    <w:div w:id="156457625">
      <w:bodyDiv w:val="1"/>
      <w:marLeft w:val="0"/>
      <w:marRight w:val="0"/>
      <w:marTop w:val="0"/>
      <w:marBottom w:val="0"/>
      <w:divBdr>
        <w:top w:val="none" w:sz="0" w:space="0" w:color="auto"/>
        <w:left w:val="none" w:sz="0" w:space="0" w:color="auto"/>
        <w:bottom w:val="none" w:sz="0" w:space="0" w:color="auto"/>
        <w:right w:val="none" w:sz="0" w:space="0" w:color="auto"/>
      </w:divBdr>
    </w:div>
    <w:div w:id="160703641">
      <w:bodyDiv w:val="1"/>
      <w:marLeft w:val="0"/>
      <w:marRight w:val="0"/>
      <w:marTop w:val="0"/>
      <w:marBottom w:val="0"/>
      <w:divBdr>
        <w:top w:val="none" w:sz="0" w:space="0" w:color="auto"/>
        <w:left w:val="none" w:sz="0" w:space="0" w:color="auto"/>
        <w:bottom w:val="none" w:sz="0" w:space="0" w:color="auto"/>
        <w:right w:val="none" w:sz="0" w:space="0" w:color="auto"/>
      </w:divBdr>
    </w:div>
    <w:div w:id="160974441">
      <w:bodyDiv w:val="1"/>
      <w:marLeft w:val="0"/>
      <w:marRight w:val="0"/>
      <w:marTop w:val="0"/>
      <w:marBottom w:val="0"/>
      <w:divBdr>
        <w:top w:val="none" w:sz="0" w:space="0" w:color="auto"/>
        <w:left w:val="none" w:sz="0" w:space="0" w:color="auto"/>
        <w:bottom w:val="none" w:sz="0" w:space="0" w:color="auto"/>
        <w:right w:val="none" w:sz="0" w:space="0" w:color="auto"/>
      </w:divBdr>
      <w:divsChild>
        <w:div w:id="1943679502">
          <w:marLeft w:val="446"/>
          <w:marRight w:val="0"/>
          <w:marTop w:val="0"/>
          <w:marBottom w:val="0"/>
          <w:divBdr>
            <w:top w:val="none" w:sz="0" w:space="0" w:color="auto"/>
            <w:left w:val="none" w:sz="0" w:space="0" w:color="auto"/>
            <w:bottom w:val="none" w:sz="0" w:space="0" w:color="auto"/>
            <w:right w:val="none" w:sz="0" w:space="0" w:color="auto"/>
          </w:divBdr>
        </w:div>
        <w:div w:id="1269849779">
          <w:marLeft w:val="446"/>
          <w:marRight w:val="0"/>
          <w:marTop w:val="0"/>
          <w:marBottom w:val="0"/>
          <w:divBdr>
            <w:top w:val="none" w:sz="0" w:space="0" w:color="auto"/>
            <w:left w:val="none" w:sz="0" w:space="0" w:color="auto"/>
            <w:bottom w:val="none" w:sz="0" w:space="0" w:color="auto"/>
            <w:right w:val="none" w:sz="0" w:space="0" w:color="auto"/>
          </w:divBdr>
        </w:div>
        <w:div w:id="745303527">
          <w:marLeft w:val="1166"/>
          <w:marRight w:val="0"/>
          <w:marTop w:val="0"/>
          <w:marBottom w:val="0"/>
          <w:divBdr>
            <w:top w:val="none" w:sz="0" w:space="0" w:color="auto"/>
            <w:left w:val="none" w:sz="0" w:space="0" w:color="auto"/>
            <w:bottom w:val="none" w:sz="0" w:space="0" w:color="auto"/>
            <w:right w:val="none" w:sz="0" w:space="0" w:color="auto"/>
          </w:divBdr>
        </w:div>
        <w:div w:id="921721273">
          <w:marLeft w:val="1166"/>
          <w:marRight w:val="0"/>
          <w:marTop w:val="0"/>
          <w:marBottom w:val="0"/>
          <w:divBdr>
            <w:top w:val="none" w:sz="0" w:space="0" w:color="auto"/>
            <w:left w:val="none" w:sz="0" w:space="0" w:color="auto"/>
            <w:bottom w:val="none" w:sz="0" w:space="0" w:color="auto"/>
            <w:right w:val="none" w:sz="0" w:space="0" w:color="auto"/>
          </w:divBdr>
        </w:div>
        <w:div w:id="687607162">
          <w:marLeft w:val="1166"/>
          <w:marRight w:val="0"/>
          <w:marTop w:val="0"/>
          <w:marBottom w:val="0"/>
          <w:divBdr>
            <w:top w:val="none" w:sz="0" w:space="0" w:color="auto"/>
            <w:left w:val="none" w:sz="0" w:space="0" w:color="auto"/>
            <w:bottom w:val="none" w:sz="0" w:space="0" w:color="auto"/>
            <w:right w:val="none" w:sz="0" w:space="0" w:color="auto"/>
          </w:divBdr>
        </w:div>
        <w:div w:id="1886016328">
          <w:marLeft w:val="446"/>
          <w:marRight w:val="0"/>
          <w:marTop w:val="0"/>
          <w:marBottom w:val="0"/>
          <w:divBdr>
            <w:top w:val="none" w:sz="0" w:space="0" w:color="auto"/>
            <w:left w:val="none" w:sz="0" w:space="0" w:color="auto"/>
            <w:bottom w:val="none" w:sz="0" w:space="0" w:color="auto"/>
            <w:right w:val="none" w:sz="0" w:space="0" w:color="auto"/>
          </w:divBdr>
        </w:div>
        <w:div w:id="42022791">
          <w:marLeft w:val="446"/>
          <w:marRight w:val="0"/>
          <w:marTop w:val="0"/>
          <w:marBottom w:val="0"/>
          <w:divBdr>
            <w:top w:val="none" w:sz="0" w:space="0" w:color="auto"/>
            <w:left w:val="none" w:sz="0" w:space="0" w:color="auto"/>
            <w:bottom w:val="none" w:sz="0" w:space="0" w:color="auto"/>
            <w:right w:val="none" w:sz="0" w:space="0" w:color="auto"/>
          </w:divBdr>
        </w:div>
        <w:div w:id="71507220">
          <w:marLeft w:val="1166"/>
          <w:marRight w:val="0"/>
          <w:marTop w:val="0"/>
          <w:marBottom w:val="0"/>
          <w:divBdr>
            <w:top w:val="none" w:sz="0" w:space="0" w:color="auto"/>
            <w:left w:val="none" w:sz="0" w:space="0" w:color="auto"/>
            <w:bottom w:val="none" w:sz="0" w:space="0" w:color="auto"/>
            <w:right w:val="none" w:sz="0" w:space="0" w:color="auto"/>
          </w:divBdr>
        </w:div>
        <w:div w:id="537863617">
          <w:marLeft w:val="1166"/>
          <w:marRight w:val="0"/>
          <w:marTop w:val="0"/>
          <w:marBottom w:val="0"/>
          <w:divBdr>
            <w:top w:val="none" w:sz="0" w:space="0" w:color="auto"/>
            <w:left w:val="none" w:sz="0" w:space="0" w:color="auto"/>
            <w:bottom w:val="none" w:sz="0" w:space="0" w:color="auto"/>
            <w:right w:val="none" w:sz="0" w:space="0" w:color="auto"/>
          </w:divBdr>
        </w:div>
      </w:divsChild>
    </w:div>
    <w:div w:id="166096595">
      <w:bodyDiv w:val="1"/>
      <w:marLeft w:val="0"/>
      <w:marRight w:val="0"/>
      <w:marTop w:val="0"/>
      <w:marBottom w:val="0"/>
      <w:divBdr>
        <w:top w:val="none" w:sz="0" w:space="0" w:color="auto"/>
        <w:left w:val="none" w:sz="0" w:space="0" w:color="auto"/>
        <w:bottom w:val="none" w:sz="0" w:space="0" w:color="auto"/>
        <w:right w:val="none" w:sz="0" w:space="0" w:color="auto"/>
      </w:divBdr>
    </w:div>
    <w:div w:id="175971985">
      <w:bodyDiv w:val="1"/>
      <w:marLeft w:val="0"/>
      <w:marRight w:val="0"/>
      <w:marTop w:val="0"/>
      <w:marBottom w:val="0"/>
      <w:divBdr>
        <w:top w:val="none" w:sz="0" w:space="0" w:color="auto"/>
        <w:left w:val="none" w:sz="0" w:space="0" w:color="auto"/>
        <w:bottom w:val="none" w:sz="0" w:space="0" w:color="auto"/>
        <w:right w:val="none" w:sz="0" w:space="0" w:color="auto"/>
      </w:divBdr>
      <w:divsChild>
        <w:div w:id="1728992496">
          <w:marLeft w:val="274"/>
          <w:marRight w:val="0"/>
          <w:marTop w:val="0"/>
          <w:marBottom w:val="120"/>
          <w:divBdr>
            <w:top w:val="none" w:sz="0" w:space="0" w:color="auto"/>
            <w:left w:val="none" w:sz="0" w:space="0" w:color="auto"/>
            <w:bottom w:val="none" w:sz="0" w:space="0" w:color="auto"/>
            <w:right w:val="none" w:sz="0" w:space="0" w:color="auto"/>
          </w:divBdr>
        </w:div>
        <w:div w:id="1492864440">
          <w:marLeft w:val="274"/>
          <w:marRight w:val="0"/>
          <w:marTop w:val="0"/>
          <w:marBottom w:val="120"/>
          <w:divBdr>
            <w:top w:val="none" w:sz="0" w:space="0" w:color="auto"/>
            <w:left w:val="none" w:sz="0" w:space="0" w:color="auto"/>
            <w:bottom w:val="none" w:sz="0" w:space="0" w:color="auto"/>
            <w:right w:val="none" w:sz="0" w:space="0" w:color="auto"/>
          </w:divBdr>
        </w:div>
        <w:div w:id="1160583564">
          <w:marLeft w:val="274"/>
          <w:marRight w:val="0"/>
          <w:marTop w:val="0"/>
          <w:marBottom w:val="120"/>
          <w:divBdr>
            <w:top w:val="none" w:sz="0" w:space="0" w:color="auto"/>
            <w:left w:val="none" w:sz="0" w:space="0" w:color="auto"/>
            <w:bottom w:val="none" w:sz="0" w:space="0" w:color="auto"/>
            <w:right w:val="none" w:sz="0" w:space="0" w:color="auto"/>
          </w:divBdr>
        </w:div>
        <w:div w:id="2045516078">
          <w:marLeft w:val="360"/>
          <w:marRight w:val="0"/>
          <w:marTop w:val="0"/>
          <w:marBottom w:val="120"/>
          <w:divBdr>
            <w:top w:val="none" w:sz="0" w:space="0" w:color="auto"/>
            <w:left w:val="none" w:sz="0" w:space="0" w:color="auto"/>
            <w:bottom w:val="none" w:sz="0" w:space="0" w:color="auto"/>
            <w:right w:val="none" w:sz="0" w:space="0" w:color="auto"/>
          </w:divBdr>
        </w:div>
      </w:divsChild>
    </w:div>
    <w:div w:id="186218391">
      <w:bodyDiv w:val="1"/>
      <w:marLeft w:val="0"/>
      <w:marRight w:val="0"/>
      <w:marTop w:val="0"/>
      <w:marBottom w:val="0"/>
      <w:divBdr>
        <w:top w:val="none" w:sz="0" w:space="0" w:color="auto"/>
        <w:left w:val="none" w:sz="0" w:space="0" w:color="auto"/>
        <w:bottom w:val="none" w:sz="0" w:space="0" w:color="auto"/>
        <w:right w:val="none" w:sz="0" w:space="0" w:color="auto"/>
      </w:divBdr>
    </w:div>
    <w:div w:id="187917767">
      <w:bodyDiv w:val="1"/>
      <w:marLeft w:val="0"/>
      <w:marRight w:val="0"/>
      <w:marTop w:val="0"/>
      <w:marBottom w:val="0"/>
      <w:divBdr>
        <w:top w:val="none" w:sz="0" w:space="0" w:color="auto"/>
        <w:left w:val="none" w:sz="0" w:space="0" w:color="auto"/>
        <w:bottom w:val="none" w:sz="0" w:space="0" w:color="auto"/>
        <w:right w:val="none" w:sz="0" w:space="0" w:color="auto"/>
      </w:divBdr>
      <w:divsChild>
        <w:div w:id="1340424327">
          <w:marLeft w:val="360"/>
          <w:marRight w:val="0"/>
          <w:marTop w:val="0"/>
          <w:marBottom w:val="120"/>
          <w:divBdr>
            <w:top w:val="none" w:sz="0" w:space="0" w:color="auto"/>
            <w:left w:val="none" w:sz="0" w:space="0" w:color="auto"/>
            <w:bottom w:val="none" w:sz="0" w:space="0" w:color="auto"/>
            <w:right w:val="none" w:sz="0" w:space="0" w:color="auto"/>
          </w:divBdr>
        </w:div>
      </w:divsChild>
    </w:div>
    <w:div w:id="190268196">
      <w:bodyDiv w:val="1"/>
      <w:marLeft w:val="0"/>
      <w:marRight w:val="0"/>
      <w:marTop w:val="0"/>
      <w:marBottom w:val="0"/>
      <w:divBdr>
        <w:top w:val="none" w:sz="0" w:space="0" w:color="auto"/>
        <w:left w:val="none" w:sz="0" w:space="0" w:color="auto"/>
        <w:bottom w:val="none" w:sz="0" w:space="0" w:color="auto"/>
        <w:right w:val="none" w:sz="0" w:space="0" w:color="auto"/>
      </w:divBdr>
    </w:div>
    <w:div w:id="226110811">
      <w:bodyDiv w:val="1"/>
      <w:marLeft w:val="0"/>
      <w:marRight w:val="0"/>
      <w:marTop w:val="0"/>
      <w:marBottom w:val="0"/>
      <w:divBdr>
        <w:top w:val="none" w:sz="0" w:space="0" w:color="auto"/>
        <w:left w:val="none" w:sz="0" w:space="0" w:color="auto"/>
        <w:bottom w:val="none" w:sz="0" w:space="0" w:color="auto"/>
        <w:right w:val="none" w:sz="0" w:space="0" w:color="auto"/>
      </w:divBdr>
    </w:div>
    <w:div w:id="228810128">
      <w:bodyDiv w:val="1"/>
      <w:marLeft w:val="0"/>
      <w:marRight w:val="0"/>
      <w:marTop w:val="0"/>
      <w:marBottom w:val="0"/>
      <w:divBdr>
        <w:top w:val="none" w:sz="0" w:space="0" w:color="auto"/>
        <w:left w:val="none" w:sz="0" w:space="0" w:color="auto"/>
        <w:bottom w:val="none" w:sz="0" w:space="0" w:color="auto"/>
        <w:right w:val="none" w:sz="0" w:space="0" w:color="auto"/>
      </w:divBdr>
    </w:div>
    <w:div w:id="245261572">
      <w:bodyDiv w:val="1"/>
      <w:marLeft w:val="0"/>
      <w:marRight w:val="0"/>
      <w:marTop w:val="0"/>
      <w:marBottom w:val="0"/>
      <w:divBdr>
        <w:top w:val="none" w:sz="0" w:space="0" w:color="auto"/>
        <w:left w:val="none" w:sz="0" w:space="0" w:color="auto"/>
        <w:bottom w:val="none" w:sz="0" w:space="0" w:color="auto"/>
        <w:right w:val="none" w:sz="0" w:space="0" w:color="auto"/>
      </w:divBdr>
    </w:div>
    <w:div w:id="251934809">
      <w:bodyDiv w:val="1"/>
      <w:marLeft w:val="0"/>
      <w:marRight w:val="0"/>
      <w:marTop w:val="0"/>
      <w:marBottom w:val="0"/>
      <w:divBdr>
        <w:top w:val="none" w:sz="0" w:space="0" w:color="auto"/>
        <w:left w:val="none" w:sz="0" w:space="0" w:color="auto"/>
        <w:bottom w:val="none" w:sz="0" w:space="0" w:color="auto"/>
        <w:right w:val="none" w:sz="0" w:space="0" w:color="auto"/>
      </w:divBdr>
      <w:divsChild>
        <w:div w:id="1568959720">
          <w:marLeft w:val="547"/>
          <w:marRight w:val="0"/>
          <w:marTop w:val="67"/>
          <w:marBottom w:val="0"/>
          <w:divBdr>
            <w:top w:val="none" w:sz="0" w:space="0" w:color="auto"/>
            <w:left w:val="none" w:sz="0" w:space="0" w:color="auto"/>
            <w:bottom w:val="none" w:sz="0" w:space="0" w:color="auto"/>
            <w:right w:val="none" w:sz="0" w:space="0" w:color="auto"/>
          </w:divBdr>
        </w:div>
        <w:div w:id="807742234">
          <w:marLeft w:val="547"/>
          <w:marRight w:val="0"/>
          <w:marTop w:val="67"/>
          <w:marBottom w:val="0"/>
          <w:divBdr>
            <w:top w:val="none" w:sz="0" w:space="0" w:color="auto"/>
            <w:left w:val="none" w:sz="0" w:space="0" w:color="auto"/>
            <w:bottom w:val="none" w:sz="0" w:space="0" w:color="auto"/>
            <w:right w:val="none" w:sz="0" w:space="0" w:color="auto"/>
          </w:divBdr>
        </w:div>
        <w:div w:id="34626837">
          <w:marLeft w:val="547"/>
          <w:marRight w:val="0"/>
          <w:marTop w:val="67"/>
          <w:marBottom w:val="0"/>
          <w:divBdr>
            <w:top w:val="none" w:sz="0" w:space="0" w:color="auto"/>
            <w:left w:val="none" w:sz="0" w:space="0" w:color="auto"/>
            <w:bottom w:val="none" w:sz="0" w:space="0" w:color="auto"/>
            <w:right w:val="none" w:sz="0" w:space="0" w:color="auto"/>
          </w:divBdr>
        </w:div>
        <w:div w:id="1848591877">
          <w:marLeft w:val="547"/>
          <w:marRight w:val="0"/>
          <w:marTop w:val="67"/>
          <w:marBottom w:val="0"/>
          <w:divBdr>
            <w:top w:val="none" w:sz="0" w:space="0" w:color="auto"/>
            <w:left w:val="none" w:sz="0" w:space="0" w:color="auto"/>
            <w:bottom w:val="none" w:sz="0" w:space="0" w:color="auto"/>
            <w:right w:val="none" w:sz="0" w:space="0" w:color="auto"/>
          </w:divBdr>
        </w:div>
        <w:div w:id="1886141501">
          <w:marLeft w:val="547"/>
          <w:marRight w:val="0"/>
          <w:marTop w:val="67"/>
          <w:marBottom w:val="0"/>
          <w:divBdr>
            <w:top w:val="none" w:sz="0" w:space="0" w:color="auto"/>
            <w:left w:val="none" w:sz="0" w:space="0" w:color="auto"/>
            <w:bottom w:val="none" w:sz="0" w:space="0" w:color="auto"/>
            <w:right w:val="none" w:sz="0" w:space="0" w:color="auto"/>
          </w:divBdr>
        </w:div>
        <w:div w:id="2043246076">
          <w:marLeft w:val="547"/>
          <w:marRight w:val="0"/>
          <w:marTop w:val="67"/>
          <w:marBottom w:val="0"/>
          <w:divBdr>
            <w:top w:val="none" w:sz="0" w:space="0" w:color="auto"/>
            <w:left w:val="none" w:sz="0" w:space="0" w:color="auto"/>
            <w:bottom w:val="none" w:sz="0" w:space="0" w:color="auto"/>
            <w:right w:val="none" w:sz="0" w:space="0" w:color="auto"/>
          </w:divBdr>
        </w:div>
        <w:div w:id="226116259">
          <w:marLeft w:val="547"/>
          <w:marRight w:val="0"/>
          <w:marTop w:val="67"/>
          <w:marBottom w:val="0"/>
          <w:divBdr>
            <w:top w:val="none" w:sz="0" w:space="0" w:color="auto"/>
            <w:left w:val="none" w:sz="0" w:space="0" w:color="auto"/>
            <w:bottom w:val="none" w:sz="0" w:space="0" w:color="auto"/>
            <w:right w:val="none" w:sz="0" w:space="0" w:color="auto"/>
          </w:divBdr>
        </w:div>
      </w:divsChild>
    </w:div>
    <w:div w:id="252132680">
      <w:bodyDiv w:val="1"/>
      <w:marLeft w:val="0"/>
      <w:marRight w:val="0"/>
      <w:marTop w:val="0"/>
      <w:marBottom w:val="0"/>
      <w:divBdr>
        <w:top w:val="none" w:sz="0" w:space="0" w:color="auto"/>
        <w:left w:val="none" w:sz="0" w:space="0" w:color="auto"/>
        <w:bottom w:val="none" w:sz="0" w:space="0" w:color="auto"/>
        <w:right w:val="none" w:sz="0" w:space="0" w:color="auto"/>
      </w:divBdr>
    </w:div>
    <w:div w:id="255284622">
      <w:bodyDiv w:val="1"/>
      <w:marLeft w:val="0"/>
      <w:marRight w:val="0"/>
      <w:marTop w:val="0"/>
      <w:marBottom w:val="0"/>
      <w:divBdr>
        <w:top w:val="none" w:sz="0" w:space="0" w:color="auto"/>
        <w:left w:val="none" w:sz="0" w:space="0" w:color="auto"/>
        <w:bottom w:val="none" w:sz="0" w:space="0" w:color="auto"/>
        <w:right w:val="none" w:sz="0" w:space="0" w:color="auto"/>
      </w:divBdr>
    </w:div>
    <w:div w:id="258567793">
      <w:bodyDiv w:val="1"/>
      <w:marLeft w:val="0"/>
      <w:marRight w:val="0"/>
      <w:marTop w:val="0"/>
      <w:marBottom w:val="0"/>
      <w:divBdr>
        <w:top w:val="none" w:sz="0" w:space="0" w:color="auto"/>
        <w:left w:val="none" w:sz="0" w:space="0" w:color="auto"/>
        <w:bottom w:val="none" w:sz="0" w:space="0" w:color="auto"/>
        <w:right w:val="none" w:sz="0" w:space="0" w:color="auto"/>
      </w:divBdr>
    </w:div>
    <w:div w:id="261688367">
      <w:bodyDiv w:val="1"/>
      <w:marLeft w:val="0"/>
      <w:marRight w:val="0"/>
      <w:marTop w:val="0"/>
      <w:marBottom w:val="0"/>
      <w:divBdr>
        <w:top w:val="none" w:sz="0" w:space="0" w:color="auto"/>
        <w:left w:val="none" w:sz="0" w:space="0" w:color="auto"/>
        <w:bottom w:val="none" w:sz="0" w:space="0" w:color="auto"/>
        <w:right w:val="none" w:sz="0" w:space="0" w:color="auto"/>
      </w:divBdr>
    </w:div>
    <w:div w:id="272133073">
      <w:bodyDiv w:val="1"/>
      <w:marLeft w:val="0"/>
      <w:marRight w:val="0"/>
      <w:marTop w:val="0"/>
      <w:marBottom w:val="0"/>
      <w:divBdr>
        <w:top w:val="none" w:sz="0" w:space="0" w:color="auto"/>
        <w:left w:val="none" w:sz="0" w:space="0" w:color="auto"/>
        <w:bottom w:val="none" w:sz="0" w:space="0" w:color="auto"/>
        <w:right w:val="none" w:sz="0" w:space="0" w:color="auto"/>
      </w:divBdr>
    </w:div>
    <w:div w:id="285040338">
      <w:bodyDiv w:val="1"/>
      <w:marLeft w:val="0"/>
      <w:marRight w:val="0"/>
      <w:marTop w:val="0"/>
      <w:marBottom w:val="0"/>
      <w:divBdr>
        <w:top w:val="none" w:sz="0" w:space="0" w:color="auto"/>
        <w:left w:val="none" w:sz="0" w:space="0" w:color="auto"/>
        <w:bottom w:val="none" w:sz="0" w:space="0" w:color="auto"/>
        <w:right w:val="none" w:sz="0" w:space="0" w:color="auto"/>
      </w:divBdr>
    </w:div>
    <w:div w:id="287130295">
      <w:bodyDiv w:val="1"/>
      <w:marLeft w:val="0"/>
      <w:marRight w:val="0"/>
      <w:marTop w:val="0"/>
      <w:marBottom w:val="0"/>
      <w:divBdr>
        <w:top w:val="none" w:sz="0" w:space="0" w:color="auto"/>
        <w:left w:val="none" w:sz="0" w:space="0" w:color="auto"/>
        <w:bottom w:val="none" w:sz="0" w:space="0" w:color="auto"/>
        <w:right w:val="none" w:sz="0" w:space="0" w:color="auto"/>
      </w:divBdr>
    </w:div>
    <w:div w:id="293485748">
      <w:bodyDiv w:val="1"/>
      <w:marLeft w:val="0"/>
      <w:marRight w:val="0"/>
      <w:marTop w:val="0"/>
      <w:marBottom w:val="0"/>
      <w:divBdr>
        <w:top w:val="none" w:sz="0" w:space="0" w:color="auto"/>
        <w:left w:val="none" w:sz="0" w:space="0" w:color="auto"/>
        <w:bottom w:val="none" w:sz="0" w:space="0" w:color="auto"/>
        <w:right w:val="none" w:sz="0" w:space="0" w:color="auto"/>
      </w:divBdr>
    </w:div>
    <w:div w:id="293873888">
      <w:bodyDiv w:val="1"/>
      <w:marLeft w:val="0"/>
      <w:marRight w:val="0"/>
      <w:marTop w:val="0"/>
      <w:marBottom w:val="0"/>
      <w:divBdr>
        <w:top w:val="none" w:sz="0" w:space="0" w:color="auto"/>
        <w:left w:val="none" w:sz="0" w:space="0" w:color="auto"/>
        <w:bottom w:val="none" w:sz="0" w:space="0" w:color="auto"/>
        <w:right w:val="none" w:sz="0" w:space="0" w:color="auto"/>
      </w:divBdr>
      <w:divsChild>
        <w:div w:id="967274462">
          <w:marLeft w:val="360"/>
          <w:marRight w:val="0"/>
          <w:marTop w:val="0"/>
          <w:marBottom w:val="120"/>
          <w:divBdr>
            <w:top w:val="none" w:sz="0" w:space="0" w:color="auto"/>
            <w:left w:val="none" w:sz="0" w:space="0" w:color="auto"/>
            <w:bottom w:val="none" w:sz="0" w:space="0" w:color="auto"/>
            <w:right w:val="none" w:sz="0" w:space="0" w:color="auto"/>
          </w:divBdr>
        </w:div>
        <w:div w:id="1965455769">
          <w:marLeft w:val="360"/>
          <w:marRight w:val="0"/>
          <w:marTop w:val="0"/>
          <w:marBottom w:val="120"/>
          <w:divBdr>
            <w:top w:val="none" w:sz="0" w:space="0" w:color="auto"/>
            <w:left w:val="none" w:sz="0" w:space="0" w:color="auto"/>
            <w:bottom w:val="none" w:sz="0" w:space="0" w:color="auto"/>
            <w:right w:val="none" w:sz="0" w:space="0" w:color="auto"/>
          </w:divBdr>
        </w:div>
      </w:divsChild>
    </w:div>
    <w:div w:id="298220844">
      <w:bodyDiv w:val="1"/>
      <w:marLeft w:val="0"/>
      <w:marRight w:val="0"/>
      <w:marTop w:val="0"/>
      <w:marBottom w:val="0"/>
      <w:divBdr>
        <w:top w:val="none" w:sz="0" w:space="0" w:color="auto"/>
        <w:left w:val="none" w:sz="0" w:space="0" w:color="auto"/>
        <w:bottom w:val="none" w:sz="0" w:space="0" w:color="auto"/>
        <w:right w:val="none" w:sz="0" w:space="0" w:color="auto"/>
      </w:divBdr>
    </w:div>
    <w:div w:id="300505978">
      <w:bodyDiv w:val="1"/>
      <w:marLeft w:val="0"/>
      <w:marRight w:val="0"/>
      <w:marTop w:val="0"/>
      <w:marBottom w:val="0"/>
      <w:divBdr>
        <w:top w:val="none" w:sz="0" w:space="0" w:color="auto"/>
        <w:left w:val="none" w:sz="0" w:space="0" w:color="auto"/>
        <w:bottom w:val="none" w:sz="0" w:space="0" w:color="auto"/>
        <w:right w:val="none" w:sz="0" w:space="0" w:color="auto"/>
      </w:divBdr>
      <w:divsChild>
        <w:div w:id="521287743">
          <w:marLeft w:val="360"/>
          <w:marRight w:val="0"/>
          <w:marTop w:val="0"/>
          <w:marBottom w:val="120"/>
          <w:divBdr>
            <w:top w:val="none" w:sz="0" w:space="0" w:color="auto"/>
            <w:left w:val="none" w:sz="0" w:space="0" w:color="auto"/>
            <w:bottom w:val="none" w:sz="0" w:space="0" w:color="auto"/>
            <w:right w:val="none" w:sz="0" w:space="0" w:color="auto"/>
          </w:divBdr>
        </w:div>
      </w:divsChild>
    </w:div>
    <w:div w:id="300548482">
      <w:bodyDiv w:val="1"/>
      <w:marLeft w:val="0"/>
      <w:marRight w:val="0"/>
      <w:marTop w:val="0"/>
      <w:marBottom w:val="0"/>
      <w:divBdr>
        <w:top w:val="none" w:sz="0" w:space="0" w:color="auto"/>
        <w:left w:val="none" w:sz="0" w:space="0" w:color="auto"/>
        <w:bottom w:val="none" w:sz="0" w:space="0" w:color="auto"/>
        <w:right w:val="none" w:sz="0" w:space="0" w:color="auto"/>
      </w:divBdr>
    </w:div>
    <w:div w:id="313534590">
      <w:bodyDiv w:val="1"/>
      <w:marLeft w:val="0"/>
      <w:marRight w:val="0"/>
      <w:marTop w:val="0"/>
      <w:marBottom w:val="0"/>
      <w:divBdr>
        <w:top w:val="none" w:sz="0" w:space="0" w:color="auto"/>
        <w:left w:val="none" w:sz="0" w:space="0" w:color="auto"/>
        <w:bottom w:val="none" w:sz="0" w:space="0" w:color="auto"/>
        <w:right w:val="none" w:sz="0" w:space="0" w:color="auto"/>
      </w:divBdr>
    </w:div>
    <w:div w:id="316761492">
      <w:bodyDiv w:val="1"/>
      <w:marLeft w:val="0"/>
      <w:marRight w:val="0"/>
      <w:marTop w:val="0"/>
      <w:marBottom w:val="0"/>
      <w:divBdr>
        <w:top w:val="none" w:sz="0" w:space="0" w:color="auto"/>
        <w:left w:val="none" w:sz="0" w:space="0" w:color="auto"/>
        <w:bottom w:val="none" w:sz="0" w:space="0" w:color="auto"/>
        <w:right w:val="none" w:sz="0" w:space="0" w:color="auto"/>
      </w:divBdr>
    </w:div>
    <w:div w:id="330059884">
      <w:bodyDiv w:val="1"/>
      <w:marLeft w:val="0"/>
      <w:marRight w:val="0"/>
      <w:marTop w:val="0"/>
      <w:marBottom w:val="0"/>
      <w:divBdr>
        <w:top w:val="none" w:sz="0" w:space="0" w:color="auto"/>
        <w:left w:val="none" w:sz="0" w:space="0" w:color="auto"/>
        <w:bottom w:val="none" w:sz="0" w:space="0" w:color="auto"/>
        <w:right w:val="none" w:sz="0" w:space="0" w:color="auto"/>
      </w:divBdr>
    </w:div>
    <w:div w:id="331642190">
      <w:bodyDiv w:val="1"/>
      <w:marLeft w:val="0"/>
      <w:marRight w:val="0"/>
      <w:marTop w:val="0"/>
      <w:marBottom w:val="0"/>
      <w:divBdr>
        <w:top w:val="none" w:sz="0" w:space="0" w:color="auto"/>
        <w:left w:val="none" w:sz="0" w:space="0" w:color="auto"/>
        <w:bottom w:val="none" w:sz="0" w:space="0" w:color="auto"/>
        <w:right w:val="none" w:sz="0" w:space="0" w:color="auto"/>
      </w:divBdr>
    </w:div>
    <w:div w:id="339164804">
      <w:bodyDiv w:val="1"/>
      <w:marLeft w:val="0"/>
      <w:marRight w:val="0"/>
      <w:marTop w:val="0"/>
      <w:marBottom w:val="0"/>
      <w:divBdr>
        <w:top w:val="none" w:sz="0" w:space="0" w:color="auto"/>
        <w:left w:val="none" w:sz="0" w:space="0" w:color="auto"/>
        <w:bottom w:val="none" w:sz="0" w:space="0" w:color="auto"/>
        <w:right w:val="none" w:sz="0" w:space="0" w:color="auto"/>
      </w:divBdr>
    </w:div>
    <w:div w:id="340855516">
      <w:bodyDiv w:val="1"/>
      <w:marLeft w:val="0"/>
      <w:marRight w:val="0"/>
      <w:marTop w:val="0"/>
      <w:marBottom w:val="0"/>
      <w:divBdr>
        <w:top w:val="none" w:sz="0" w:space="0" w:color="auto"/>
        <w:left w:val="none" w:sz="0" w:space="0" w:color="auto"/>
        <w:bottom w:val="none" w:sz="0" w:space="0" w:color="auto"/>
        <w:right w:val="none" w:sz="0" w:space="0" w:color="auto"/>
      </w:divBdr>
    </w:div>
    <w:div w:id="342325373">
      <w:bodyDiv w:val="1"/>
      <w:marLeft w:val="0"/>
      <w:marRight w:val="0"/>
      <w:marTop w:val="0"/>
      <w:marBottom w:val="0"/>
      <w:divBdr>
        <w:top w:val="none" w:sz="0" w:space="0" w:color="auto"/>
        <w:left w:val="none" w:sz="0" w:space="0" w:color="auto"/>
        <w:bottom w:val="none" w:sz="0" w:space="0" w:color="auto"/>
        <w:right w:val="none" w:sz="0" w:space="0" w:color="auto"/>
      </w:divBdr>
      <w:divsChild>
        <w:div w:id="1065570267">
          <w:marLeft w:val="446"/>
          <w:marRight w:val="0"/>
          <w:marTop w:val="0"/>
          <w:marBottom w:val="0"/>
          <w:divBdr>
            <w:top w:val="none" w:sz="0" w:space="0" w:color="auto"/>
            <w:left w:val="none" w:sz="0" w:space="0" w:color="auto"/>
            <w:bottom w:val="none" w:sz="0" w:space="0" w:color="auto"/>
            <w:right w:val="none" w:sz="0" w:space="0" w:color="auto"/>
          </w:divBdr>
        </w:div>
        <w:div w:id="1160851149">
          <w:marLeft w:val="446"/>
          <w:marRight w:val="0"/>
          <w:marTop w:val="0"/>
          <w:marBottom w:val="0"/>
          <w:divBdr>
            <w:top w:val="none" w:sz="0" w:space="0" w:color="auto"/>
            <w:left w:val="none" w:sz="0" w:space="0" w:color="auto"/>
            <w:bottom w:val="none" w:sz="0" w:space="0" w:color="auto"/>
            <w:right w:val="none" w:sz="0" w:space="0" w:color="auto"/>
          </w:divBdr>
        </w:div>
        <w:div w:id="104158302">
          <w:marLeft w:val="1166"/>
          <w:marRight w:val="0"/>
          <w:marTop w:val="0"/>
          <w:marBottom w:val="0"/>
          <w:divBdr>
            <w:top w:val="none" w:sz="0" w:space="0" w:color="auto"/>
            <w:left w:val="none" w:sz="0" w:space="0" w:color="auto"/>
            <w:bottom w:val="none" w:sz="0" w:space="0" w:color="auto"/>
            <w:right w:val="none" w:sz="0" w:space="0" w:color="auto"/>
          </w:divBdr>
        </w:div>
        <w:div w:id="1053385298">
          <w:marLeft w:val="1166"/>
          <w:marRight w:val="0"/>
          <w:marTop w:val="0"/>
          <w:marBottom w:val="0"/>
          <w:divBdr>
            <w:top w:val="none" w:sz="0" w:space="0" w:color="auto"/>
            <w:left w:val="none" w:sz="0" w:space="0" w:color="auto"/>
            <w:bottom w:val="none" w:sz="0" w:space="0" w:color="auto"/>
            <w:right w:val="none" w:sz="0" w:space="0" w:color="auto"/>
          </w:divBdr>
        </w:div>
        <w:div w:id="802574892">
          <w:marLeft w:val="1166"/>
          <w:marRight w:val="0"/>
          <w:marTop w:val="0"/>
          <w:marBottom w:val="0"/>
          <w:divBdr>
            <w:top w:val="none" w:sz="0" w:space="0" w:color="auto"/>
            <w:left w:val="none" w:sz="0" w:space="0" w:color="auto"/>
            <w:bottom w:val="none" w:sz="0" w:space="0" w:color="auto"/>
            <w:right w:val="none" w:sz="0" w:space="0" w:color="auto"/>
          </w:divBdr>
        </w:div>
        <w:div w:id="606040988">
          <w:marLeft w:val="446"/>
          <w:marRight w:val="0"/>
          <w:marTop w:val="0"/>
          <w:marBottom w:val="0"/>
          <w:divBdr>
            <w:top w:val="none" w:sz="0" w:space="0" w:color="auto"/>
            <w:left w:val="none" w:sz="0" w:space="0" w:color="auto"/>
            <w:bottom w:val="none" w:sz="0" w:space="0" w:color="auto"/>
            <w:right w:val="none" w:sz="0" w:space="0" w:color="auto"/>
          </w:divBdr>
        </w:div>
        <w:div w:id="806048485">
          <w:marLeft w:val="446"/>
          <w:marRight w:val="0"/>
          <w:marTop w:val="0"/>
          <w:marBottom w:val="0"/>
          <w:divBdr>
            <w:top w:val="none" w:sz="0" w:space="0" w:color="auto"/>
            <w:left w:val="none" w:sz="0" w:space="0" w:color="auto"/>
            <w:bottom w:val="none" w:sz="0" w:space="0" w:color="auto"/>
            <w:right w:val="none" w:sz="0" w:space="0" w:color="auto"/>
          </w:divBdr>
        </w:div>
        <w:div w:id="1483153257">
          <w:marLeft w:val="1166"/>
          <w:marRight w:val="0"/>
          <w:marTop w:val="0"/>
          <w:marBottom w:val="0"/>
          <w:divBdr>
            <w:top w:val="none" w:sz="0" w:space="0" w:color="auto"/>
            <w:left w:val="none" w:sz="0" w:space="0" w:color="auto"/>
            <w:bottom w:val="none" w:sz="0" w:space="0" w:color="auto"/>
            <w:right w:val="none" w:sz="0" w:space="0" w:color="auto"/>
          </w:divBdr>
        </w:div>
        <w:div w:id="1085344593">
          <w:marLeft w:val="1166"/>
          <w:marRight w:val="0"/>
          <w:marTop w:val="0"/>
          <w:marBottom w:val="0"/>
          <w:divBdr>
            <w:top w:val="none" w:sz="0" w:space="0" w:color="auto"/>
            <w:left w:val="none" w:sz="0" w:space="0" w:color="auto"/>
            <w:bottom w:val="none" w:sz="0" w:space="0" w:color="auto"/>
            <w:right w:val="none" w:sz="0" w:space="0" w:color="auto"/>
          </w:divBdr>
        </w:div>
      </w:divsChild>
    </w:div>
    <w:div w:id="343291615">
      <w:bodyDiv w:val="1"/>
      <w:marLeft w:val="0"/>
      <w:marRight w:val="0"/>
      <w:marTop w:val="0"/>
      <w:marBottom w:val="0"/>
      <w:divBdr>
        <w:top w:val="none" w:sz="0" w:space="0" w:color="auto"/>
        <w:left w:val="none" w:sz="0" w:space="0" w:color="auto"/>
        <w:bottom w:val="none" w:sz="0" w:space="0" w:color="auto"/>
        <w:right w:val="none" w:sz="0" w:space="0" w:color="auto"/>
      </w:divBdr>
    </w:div>
    <w:div w:id="347484275">
      <w:bodyDiv w:val="1"/>
      <w:marLeft w:val="0"/>
      <w:marRight w:val="0"/>
      <w:marTop w:val="0"/>
      <w:marBottom w:val="0"/>
      <w:divBdr>
        <w:top w:val="none" w:sz="0" w:space="0" w:color="auto"/>
        <w:left w:val="none" w:sz="0" w:space="0" w:color="auto"/>
        <w:bottom w:val="none" w:sz="0" w:space="0" w:color="auto"/>
        <w:right w:val="none" w:sz="0" w:space="0" w:color="auto"/>
      </w:divBdr>
    </w:div>
    <w:div w:id="351808888">
      <w:bodyDiv w:val="1"/>
      <w:marLeft w:val="0"/>
      <w:marRight w:val="0"/>
      <w:marTop w:val="0"/>
      <w:marBottom w:val="0"/>
      <w:divBdr>
        <w:top w:val="none" w:sz="0" w:space="0" w:color="auto"/>
        <w:left w:val="none" w:sz="0" w:space="0" w:color="auto"/>
        <w:bottom w:val="none" w:sz="0" w:space="0" w:color="auto"/>
        <w:right w:val="none" w:sz="0" w:space="0" w:color="auto"/>
      </w:divBdr>
      <w:divsChild>
        <w:div w:id="653680993">
          <w:marLeft w:val="547"/>
          <w:marRight w:val="0"/>
          <w:marTop w:val="0"/>
          <w:marBottom w:val="0"/>
          <w:divBdr>
            <w:top w:val="none" w:sz="0" w:space="0" w:color="auto"/>
            <w:left w:val="none" w:sz="0" w:space="0" w:color="auto"/>
            <w:bottom w:val="none" w:sz="0" w:space="0" w:color="auto"/>
            <w:right w:val="none" w:sz="0" w:space="0" w:color="auto"/>
          </w:divBdr>
        </w:div>
        <w:div w:id="2025860991">
          <w:marLeft w:val="547"/>
          <w:marRight w:val="0"/>
          <w:marTop w:val="0"/>
          <w:marBottom w:val="0"/>
          <w:divBdr>
            <w:top w:val="none" w:sz="0" w:space="0" w:color="auto"/>
            <w:left w:val="none" w:sz="0" w:space="0" w:color="auto"/>
            <w:bottom w:val="none" w:sz="0" w:space="0" w:color="auto"/>
            <w:right w:val="none" w:sz="0" w:space="0" w:color="auto"/>
          </w:divBdr>
        </w:div>
        <w:div w:id="95558839">
          <w:marLeft w:val="446"/>
          <w:marRight w:val="0"/>
          <w:marTop w:val="0"/>
          <w:marBottom w:val="0"/>
          <w:divBdr>
            <w:top w:val="none" w:sz="0" w:space="0" w:color="auto"/>
            <w:left w:val="none" w:sz="0" w:space="0" w:color="auto"/>
            <w:bottom w:val="none" w:sz="0" w:space="0" w:color="auto"/>
            <w:right w:val="none" w:sz="0" w:space="0" w:color="auto"/>
          </w:divBdr>
        </w:div>
        <w:div w:id="1992630912">
          <w:marLeft w:val="446"/>
          <w:marRight w:val="0"/>
          <w:marTop w:val="0"/>
          <w:marBottom w:val="0"/>
          <w:divBdr>
            <w:top w:val="none" w:sz="0" w:space="0" w:color="auto"/>
            <w:left w:val="none" w:sz="0" w:space="0" w:color="auto"/>
            <w:bottom w:val="none" w:sz="0" w:space="0" w:color="auto"/>
            <w:right w:val="none" w:sz="0" w:space="0" w:color="auto"/>
          </w:divBdr>
        </w:div>
        <w:div w:id="1300185039">
          <w:marLeft w:val="446"/>
          <w:marRight w:val="0"/>
          <w:marTop w:val="0"/>
          <w:marBottom w:val="0"/>
          <w:divBdr>
            <w:top w:val="none" w:sz="0" w:space="0" w:color="auto"/>
            <w:left w:val="none" w:sz="0" w:space="0" w:color="auto"/>
            <w:bottom w:val="none" w:sz="0" w:space="0" w:color="auto"/>
            <w:right w:val="none" w:sz="0" w:space="0" w:color="auto"/>
          </w:divBdr>
        </w:div>
      </w:divsChild>
    </w:div>
    <w:div w:id="356321655">
      <w:bodyDiv w:val="1"/>
      <w:marLeft w:val="0"/>
      <w:marRight w:val="0"/>
      <w:marTop w:val="0"/>
      <w:marBottom w:val="0"/>
      <w:divBdr>
        <w:top w:val="none" w:sz="0" w:space="0" w:color="auto"/>
        <w:left w:val="none" w:sz="0" w:space="0" w:color="auto"/>
        <w:bottom w:val="none" w:sz="0" w:space="0" w:color="auto"/>
        <w:right w:val="none" w:sz="0" w:space="0" w:color="auto"/>
      </w:divBdr>
      <w:divsChild>
        <w:div w:id="1329359607">
          <w:marLeft w:val="446"/>
          <w:marRight w:val="0"/>
          <w:marTop w:val="0"/>
          <w:marBottom w:val="0"/>
          <w:divBdr>
            <w:top w:val="none" w:sz="0" w:space="0" w:color="auto"/>
            <w:left w:val="none" w:sz="0" w:space="0" w:color="auto"/>
            <w:bottom w:val="none" w:sz="0" w:space="0" w:color="auto"/>
            <w:right w:val="none" w:sz="0" w:space="0" w:color="auto"/>
          </w:divBdr>
        </w:div>
        <w:div w:id="928926996">
          <w:marLeft w:val="446"/>
          <w:marRight w:val="0"/>
          <w:marTop w:val="0"/>
          <w:marBottom w:val="0"/>
          <w:divBdr>
            <w:top w:val="none" w:sz="0" w:space="0" w:color="auto"/>
            <w:left w:val="none" w:sz="0" w:space="0" w:color="auto"/>
            <w:bottom w:val="none" w:sz="0" w:space="0" w:color="auto"/>
            <w:right w:val="none" w:sz="0" w:space="0" w:color="auto"/>
          </w:divBdr>
        </w:div>
        <w:div w:id="1026760443">
          <w:marLeft w:val="446"/>
          <w:marRight w:val="0"/>
          <w:marTop w:val="0"/>
          <w:marBottom w:val="0"/>
          <w:divBdr>
            <w:top w:val="none" w:sz="0" w:space="0" w:color="auto"/>
            <w:left w:val="none" w:sz="0" w:space="0" w:color="auto"/>
            <w:bottom w:val="none" w:sz="0" w:space="0" w:color="auto"/>
            <w:right w:val="none" w:sz="0" w:space="0" w:color="auto"/>
          </w:divBdr>
        </w:div>
        <w:div w:id="1216312193">
          <w:marLeft w:val="446"/>
          <w:marRight w:val="0"/>
          <w:marTop w:val="0"/>
          <w:marBottom w:val="0"/>
          <w:divBdr>
            <w:top w:val="none" w:sz="0" w:space="0" w:color="auto"/>
            <w:left w:val="none" w:sz="0" w:space="0" w:color="auto"/>
            <w:bottom w:val="none" w:sz="0" w:space="0" w:color="auto"/>
            <w:right w:val="none" w:sz="0" w:space="0" w:color="auto"/>
          </w:divBdr>
        </w:div>
        <w:div w:id="1683511496">
          <w:marLeft w:val="274"/>
          <w:marRight w:val="0"/>
          <w:marTop w:val="0"/>
          <w:marBottom w:val="0"/>
          <w:divBdr>
            <w:top w:val="none" w:sz="0" w:space="0" w:color="auto"/>
            <w:left w:val="none" w:sz="0" w:space="0" w:color="auto"/>
            <w:bottom w:val="none" w:sz="0" w:space="0" w:color="auto"/>
            <w:right w:val="none" w:sz="0" w:space="0" w:color="auto"/>
          </w:divBdr>
        </w:div>
        <w:div w:id="1285886397">
          <w:marLeft w:val="274"/>
          <w:marRight w:val="0"/>
          <w:marTop w:val="0"/>
          <w:marBottom w:val="0"/>
          <w:divBdr>
            <w:top w:val="none" w:sz="0" w:space="0" w:color="auto"/>
            <w:left w:val="none" w:sz="0" w:space="0" w:color="auto"/>
            <w:bottom w:val="none" w:sz="0" w:space="0" w:color="auto"/>
            <w:right w:val="none" w:sz="0" w:space="0" w:color="auto"/>
          </w:divBdr>
        </w:div>
        <w:div w:id="696470129">
          <w:marLeft w:val="274"/>
          <w:marRight w:val="0"/>
          <w:marTop w:val="0"/>
          <w:marBottom w:val="0"/>
          <w:divBdr>
            <w:top w:val="none" w:sz="0" w:space="0" w:color="auto"/>
            <w:left w:val="none" w:sz="0" w:space="0" w:color="auto"/>
            <w:bottom w:val="none" w:sz="0" w:space="0" w:color="auto"/>
            <w:right w:val="none" w:sz="0" w:space="0" w:color="auto"/>
          </w:divBdr>
        </w:div>
        <w:div w:id="1605764101">
          <w:marLeft w:val="274"/>
          <w:marRight w:val="0"/>
          <w:marTop w:val="53"/>
          <w:marBottom w:val="0"/>
          <w:divBdr>
            <w:top w:val="none" w:sz="0" w:space="0" w:color="auto"/>
            <w:left w:val="none" w:sz="0" w:space="0" w:color="auto"/>
            <w:bottom w:val="none" w:sz="0" w:space="0" w:color="auto"/>
            <w:right w:val="none" w:sz="0" w:space="0" w:color="auto"/>
          </w:divBdr>
        </w:div>
        <w:div w:id="1585069762">
          <w:marLeft w:val="274"/>
          <w:marRight w:val="0"/>
          <w:marTop w:val="53"/>
          <w:marBottom w:val="0"/>
          <w:divBdr>
            <w:top w:val="none" w:sz="0" w:space="0" w:color="auto"/>
            <w:left w:val="none" w:sz="0" w:space="0" w:color="auto"/>
            <w:bottom w:val="none" w:sz="0" w:space="0" w:color="auto"/>
            <w:right w:val="none" w:sz="0" w:space="0" w:color="auto"/>
          </w:divBdr>
        </w:div>
        <w:div w:id="644432301">
          <w:marLeft w:val="274"/>
          <w:marRight w:val="0"/>
          <w:marTop w:val="0"/>
          <w:marBottom w:val="0"/>
          <w:divBdr>
            <w:top w:val="none" w:sz="0" w:space="0" w:color="auto"/>
            <w:left w:val="none" w:sz="0" w:space="0" w:color="auto"/>
            <w:bottom w:val="none" w:sz="0" w:space="0" w:color="auto"/>
            <w:right w:val="none" w:sz="0" w:space="0" w:color="auto"/>
          </w:divBdr>
        </w:div>
        <w:div w:id="854030852">
          <w:marLeft w:val="274"/>
          <w:marRight w:val="0"/>
          <w:marTop w:val="0"/>
          <w:marBottom w:val="0"/>
          <w:divBdr>
            <w:top w:val="none" w:sz="0" w:space="0" w:color="auto"/>
            <w:left w:val="none" w:sz="0" w:space="0" w:color="auto"/>
            <w:bottom w:val="none" w:sz="0" w:space="0" w:color="auto"/>
            <w:right w:val="none" w:sz="0" w:space="0" w:color="auto"/>
          </w:divBdr>
        </w:div>
        <w:div w:id="226697131">
          <w:marLeft w:val="274"/>
          <w:marRight w:val="0"/>
          <w:marTop w:val="0"/>
          <w:marBottom w:val="0"/>
          <w:divBdr>
            <w:top w:val="none" w:sz="0" w:space="0" w:color="auto"/>
            <w:left w:val="none" w:sz="0" w:space="0" w:color="auto"/>
            <w:bottom w:val="none" w:sz="0" w:space="0" w:color="auto"/>
            <w:right w:val="none" w:sz="0" w:space="0" w:color="auto"/>
          </w:divBdr>
        </w:div>
      </w:divsChild>
    </w:div>
    <w:div w:id="359934619">
      <w:bodyDiv w:val="1"/>
      <w:marLeft w:val="0"/>
      <w:marRight w:val="0"/>
      <w:marTop w:val="0"/>
      <w:marBottom w:val="0"/>
      <w:divBdr>
        <w:top w:val="none" w:sz="0" w:space="0" w:color="auto"/>
        <w:left w:val="none" w:sz="0" w:space="0" w:color="auto"/>
        <w:bottom w:val="none" w:sz="0" w:space="0" w:color="auto"/>
        <w:right w:val="none" w:sz="0" w:space="0" w:color="auto"/>
      </w:divBdr>
      <w:divsChild>
        <w:div w:id="2009400003">
          <w:marLeft w:val="446"/>
          <w:marRight w:val="0"/>
          <w:marTop w:val="0"/>
          <w:marBottom w:val="0"/>
          <w:divBdr>
            <w:top w:val="none" w:sz="0" w:space="0" w:color="auto"/>
            <w:left w:val="none" w:sz="0" w:space="0" w:color="auto"/>
            <w:bottom w:val="none" w:sz="0" w:space="0" w:color="auto"/>
            <w:right w:val="none" w:sz="0" w:space="0" w:color="auto"/>
          </w:divBdr>
        </w:div>
        <w:div w:id="902527520">
          <w:marLeft w:val="446"/>
          <w:marRight w:val="0"/>
          <w:marTop w:val="0"/>
          <w:marBottom w:val="0"/>
          <w:divBdr>
            <w:top w:val="none" w:sz="0" w:space="0" w:color="auto"/>
            <w:left w:val="none" w:sz="0" w:space="0" w:color="auto"/>
            <w:bottom w:val="none" w:sz="0" w:space="0" w:color="auto"/>
            <w:right w:val="none" w:sz="0" w:space="0" w:color="auto"/>
          </w:divBdr>
        </w:div>
        <w:div w:id="1960453728">
          <w:marLeft w:val="1166"/>
          <w:marRight w:val="0"/>
          <w:marTop w:val="0"/>
          <w:marBottom w:val="0"/>
          <w:divBdr>
            <w:top w:val="none" w:sz="0" w:space="0" w:color="auto"/>
            <w:left w:val="none" w:sz="0" w:space="0" w:color="auto"/>
            <w:bottom w:val="none" w:sz="0" w:space="0" w:color="auto"/>
            <w:right w:val="none" w:sz="0" w:space="0" w:color="auto"/>
          </w:divBdr>
        </w:div>
        <w:div w:id="477573480">
          <w:marLeft w:val="1166"/>
          <w:marRight w:val="0"/>
          <w:marTop w:val="0"/>
          <w:marBottom w:val="0"/>
          <w:divBdr>
            <w:top w:val="none" w:sz="0" w:space="0" w:color="auto"/>
            <w:left w:val="none" w:sz="0" w:space="0" w:color="auto"/>
            <w:bottom w:val="none" w:sz="0" w:space="0" w:color="auto"/>
            <w:right w:val="none" w:sz="0" w:space="0" w:color="auto"/>
          </w:divBdr>
        </w:div>
        <w:div w:id="993407891">
          <w:marLeft w:val="1166"/>
          <w:marRight w:val="0"/>
          <w:marTop w:val="0"/>
          <w:marBottom w:val="0"/>
          <w:divBdr>
            <w:top w:val="none" w:sz="0" w:space="0" w:color="auto"/>
            <w:left w:val="none" w:sz="0" w:space="0" w:color="auto"/>
            <w:bottom w:val="none" w:sz="0" w:space="0" w:color="auto"/>
            <w:right w:val="none" w:sz="0" w:space="0" w:color="auto"/>
          </w:divBdr>
        </w:div>
        <w:div w:id="961687411">
          <w:marLeft w:val="446"/>
          <w:marRight w:val="0"/>
          <w:marTop w:val="0"/>
          <w:marBottom w:val="0"/>
          <w:divBdr>
            <w:top w:val="none" w:sz="0" w:space="0" w:color="auto"/>
            <w:left w:val="none" w:sz="0" w:space="0" w:color="auto"/>
            <w:bottom w:val="none" w:sz="0" w:space="0" w:color="auto"/>
            <w:right w:val="none" w:sz="0" w:space="0" w:color="auto"/>
          </w:divBdr>
        </w:div>
        <w:div w:id="667947814">
          <w:marLeft w:val="446"/>
          <w:marRight w:val="0"/>
          <w:marTop w:val="0"/>
          <w:marBottom w:val="0"/>
          <w:divBdr>
            <w:top w:val="none" w:sz="0" w:space="0" w:color="auto"/>
            <w:left w:val="none" w:sz="0" w:space="0" w:color="auto"/>
            <w:bottom w:val="none" w:sz="0" w:space="0" w:color="auto"/>
            <w:right w:val="none" w:sz="0" w:space="0" w:color="auto"/>
          </w:divBdr>
        </w:div>
        <w:div w:id="592713964">
          <w:marLeft w:val="1166"/>
          <w:marRight w:val="0"/>
          <w:marTop w:val="0"/>
          <w:marBottom w:val="0"/>
          <w:divBdr>
            <w:top w:val="none" w:sz="0" w:space="0" w:color="auto"/>
            <w:left w:val="none" w:sz="0" w:space="0" w:color="auto"/>
            <w:bottom w:val="none" w:sz="0" w:space="0" w:color="auto"/>
            <w:right w:val="none" w:sz="0" w:space="0" w:color="auto"/>
          </w:divBdr>
        </w:div>
        <w:div w:id="1474181587">
          <w:marLeft w:val="1166"/>
          <w:marRight w:val="0"/>
          <w:marTop w:val="0"/>
          <w:marBottom w:val="0"/>
          <w:divBdr>
            <w:top w:val="none" w:sz="0" w:space="0" w:color="auto"/>
            <w:left w:val="none" w:sz="0" w:space="0" w:color="auto"/>
            <w:bottom w:val="none" w:sz="0" w:space="0" w:color="auto"/>
            <w:right w:val="none" w:sz="0" w:space="0" w:color="auto"/>
          </w:divBdr>
        </w:div>
      </w:divsChild>
    </w:div>
    <w:div w:id="372002060">
      <w:bodyDiv w:val="1"/>
      <w:marLeft w:val="0"/>
      <w:marRight w:val="0"/>
      <w:marTop w:val="0"/>
      <w:marBottom w:val="0"/>
      <w:divBdr>
        <w:top w:val="none" w:sz="0" w:space="0" w:color="auto"/>
        <w:left w:val="none" w:sz="0" w:space="0" w:color="auto"/>
        <w:bottom w:val="none" w:sz="0" w:space="0" w:color="auto"/>
        <w:right w:val="none" w:sz="0" w:space="0" w:color="auto"/>
      </w:divBdr>
    </w:div>
    <w:div w:id="383260737">
      <w:bodyDiv w:val="1"/>
      <w:marLeft w:val="0"/>
      <w:marRight w:val="0"/>
      <w:marTop w:val="0"/>
      <w:marBottom w:val="0"/>
      <w:divBdr>
        <w:top w:val="none" w:sz="0" w:space="0" w:color="auto"/>
        <w:left w:val="none" w:sz="0" w:space="0" w:color="auto"/>
        <w:bottom w:val="none" w:sz="0" w:space="0" w:color="auto"/>
        <w:right w:val="none" w:sz="0" w:space="0" w:color="auto"/>
      </w:divBdr>
      <w:divsChild>
        <w:div w:id="1376928402">
          <w:marLeft w:val="547"/>
          <w:marRight w:val="0"/>
          <w:marTop w:val="0"/>
          <w:marBottom w:val="0"/>
          <w:divBdr>
            <w:top w:val="none" w:sz="0" w:space="0" w:color="auto"/>
            <w:left w:val="none" w:sz="0" w:space="0" w:color="auto"/>
            <w:bottom w:val="none" w:sz="0" w:space="0" w:color="auto"/>
            <w:right w:val="none" w:sz="0" w:space="0" w:color="auto"/>
          </w:divBdr>
        </w:div>
        <w:div w:id="1272080817">
          <w:marLeft w:val="547"/>
          <w:marRight w:val="0"/>
          <w:marTop w:val="0"/>
          <w:marBottom w:val="0"/>
          <w:divBdr>
            <w:top w:val="none" w:sz="0" w:space="0" w:color="auto"/>
            <w:left w:val="none" w:sz="0" w:space="0" w:color="auto"/>
            <w:bottom w:val="none" w:sz="0" w:space="0" w:color="auto"/>
            <w:right w:val="none" w:sz="0" w:space="0" w:color="auto"/>
          </w:divBdr>
        </w:div>
        <w:div w:id="1871843157">
          <w:marLeft w:val="547"/>
          <w:marRight w:val="0"/>
          <w:marTop w:val="0"/>
          <w:marBottom w:val="0"/>
          <w:divBdr>
            <w:top w:val="none" w:sz="0" w:space="0" w:color="auto"/>
            <w:left w:val="none" w:sz="0" w:space="0" w:color="auto"/>
            <w:bottom w:val="none" w:sz="0" w:space="0" w:color="auto"/>
            <w:right w:val="none" w:sz="0" w:space="0" w:color="auto"/>
          </w:divBdr>
        </w:div>
        <w:div w:id="15036859">
          <w:marLeft w:val="547"/>
          <w:marRight w:val="0"/>
          <w:marTop w:val="0"/>
          <w:marBottom w:val="0"/>
          <w:divBdr>
            <w:top w:val="none" w:sz="0" w:space="0" w:color="auto"/>
            <w:left w:val="none" w:sz="0" w:space="0" w:color="auto"/>
            <w:bottom w:val="none" w:sz="0" w:space="0" w:color="auto"/>
            <w:right w:val="none" w:sz="0" w:space="0" w:color="auto"/>
          </w:divBdr>
        </w:div>
        <w:div w:id="1189566877">
          <w:marLeft w:val="547"/>
          <w:marRight w:val="0"/>
          <w:marTop w:val="0"/>
          <w:marBottom w:val="200"/>
          <w:divBdr>
            <w:top w:val="none" w:sz="0" w:space="0" w:color="auto"/>
            <w:left w:val="none" w:sz="0" w:space="0" w:color="auto"/>
            <w:bottom w:val="none" w:sz="0" w:space="0" w:color="auto"/>
            <w:right w:val="none" w:sz="0" w:space="0" w:color="auto"/>
          </w:divBdr>
        </w:div>
      </w:divsChild>
    </w:div>
    <w:div w:id="397559181">
      <w:bodyDiv w:val="1"/>
      <w:marLeft w:val="0"/>
      <w:marRight w:val="0"/>
      <w:marTop w:val="0"/>
      <w:marBottom w:val="0"/>
      <w:divBdr>
        <w:top w:val="none" w:sz="0" w:space="0" w:color="auto"/>
        <w:left w:val="none" w:sz="0" w:space="0" w:color="auto"/>
        <w:bottom w:val="none" w:sz="0" w:space="0" w:color="auto"/>
        <w:right w:val="none" w:sz="0" w:space="0" w:color="auto"/>
      </w:divBdr>
      <w:divsChild>
        <w:div w:id="151068583">
          <w:marLeft w:val="547"/>
          <w:marRight w:val="0"/>
          <w:marTop w:val="0"/>
          <w:marBottom w:val="0"/>
          <w:divBdr>
            <w:top w:val="none" w:sz="0" w:space="0" w:color="auto"/>
            <w:left w:val="none" w:sz="0" w:space="0" w:color="auto"/>
            <w:bottom w:val="none" w:sz="0" w:space="0" w:color="auto"/>
            <w:right w:val="none" w:sz="0" w:space="0" w:color="auto"/>
          </w:divBdr>
        </w:div>
        <w:div w:id="1143933236">
          <w:marLeft w:val="547"/>
          <w:marRight w:val="0"/>
          <w:marTop w:val="0"/>
          <w:marBottom w:val="0"/>
          <w:divBdr>
            <w:top w:val="none" w:sz="0" w:space="0" w:color="auto"/>
            <w:left w:val="none" w:sz="0" w:space="0" w:color="auto"/>
            <w:bottom w:val="none" w:sz="0" w:space="0" w:color="auto"/>
            <w:right w:val="none" w:sz="0" w:space="0" w:color="auto"/>
          </w:divBdr>
        </w:div>
      </w:divsChild>
    </w:div>
    <w:div w:id="397944041">
      <w:bodyDiv w:val="1"/>
      <w:marLeft w:val="0"/>
      <w:marRight w:val="0"/>
      <w:marTop w:val="0"/>
      <w:marBottom w:val="0"/>
      <w:divBdr>
        <w:top w:val="none" w:sz="0" w:space="0" w:color="auto"/>
        <w:left w:val="none" w:sz="0" w:space="0" w:color="auto"/>
        <w:bottom w:val="none" w:sz="0" w:space="0" w:color="auto"/>
        <w:right w:val="none" w:sz="0" w:space="0" w:color="auto"/>
      </w:divBdr>
    </w:div>
    <w:div w:id="415786223">
      <w:bodyDiv w:val="1"/>
      <w:marLeft w:val="0"/>
      <w:marRight w:val="0"/>
      <w:marTop w:val="0"/>
      <w:marBottom w:val="0"/>
      <w:divBdr>
        <w:top w:val="none" w:sz="0" w:space="0" w:color="auto"/>
        <w:left w:val="none" w:sz="0" w:space="0" w:color="auto"/>
        <w:bottom w:val="none" w:sz="0" w:space="0" w:color="auto"/>
        <w:right w:val="none" w:sz="0" w:space="0" w:color="auto"/>
      </w:divBdr>
    </w:div>
    <w:div w:id="425198937">
      <w:bodyDiv w:val="1"/>
      <w:marLeft w:val="0"/>
      <w:marRight w:val="0"/>
      <w:marTop w:val="0"/>
      <w:marBottom w:val="0"/>
      <w:divBdr>
        <w:top w:val="none" w:sz="0" w:space="0" w:color="auto"/>
        <w:left w:val="none" w:sz="0" w:space="0" w:color="auto"/>
        <w:bottom w:val="none" w:sz="0" w:space="0" w:color="auto"/>
        <w:right w:val="none" w:sz="0" w:space="0" w:color="auto"/>
      </w:divBdr>
    </w:div>
    <w:div w:id="430593784">
      <w:bodyDiv w:val="1"/>
      <w:marLeft w:val="0"/>
      <w:marRight w:val="0"/>
      <w:marTop w:val="0"/>
      <w:marBottom w:val="0"/>
      <w:divBdr>
        <w:top w:val="none" w:sz="0" w:space="0" w:color="auto"/>
        <w:left w:val="none" w:sz="0" w:space="0" w:color="auto"/>
        <w:bottom w:val="none" w:sz="0" w:space="0" w:color="auto"/>
        <w:right w:val="none" w:sz="0" w:space="0" w:color="auto"/>
      </w:divBdr>
    </w:div>
    <w:div w:id="431123072">
      <w:bodyDiv w:val="1"/>
      <w:marLeft w:val="0"/>
      <w:marRight w:val="0"/>
      <w:marTop w:val="0"/>
      <w:marBottom w:val="0"/>
      <w:divBdr>
        <w:top w:val="none" w:sz="0" w:space="0" w:color="auto"/>
        <w:left w:val="none" w:sz="0" w:space="0" w:color="auto"/>
        <w:bottom w:val="none" w:sz="0" w:space="0" w:color="auto"/>
        <w:right w:val="none" w:sz="0" w:space="0" w:color="auto"/>
      </w:divBdr>
    </w:div>
    <w:div w:id="435294021">
      <w:bodyDiv w:val="1"/>
      <w:marLeft w:val="0"/>
      <w:marRight w:val="0"/>
      <w:marTop w:val="0"/>
      <w:marBottom w:val="0"/>
      <w:divBdr>
        <w:top w:val="none" w:sz="0" w:space="0" w:color="auto"/>
        <w:left w:val="none" w:sz="0" w:space="0" w:color="auto"/>
        <w:bottom w:val="none" w:sz="0" w:space="0" w:color="auto"/>
        <w:right w:val="none" w:sz="0" w:space="0" w:color="auto"/>
      </w:divBdr>
    </w:div>
    <w:div w:id="448016552">
      <w:bodyDiv w:val="1"/>
      <w:marLeft w:val="0"/>
      <w:marRight w:val="0"/>
      <w:marTop w:val="0"/>
      <w:marBottom w:val="0"/>
      <w:divBdr>
        <w:top w:val="none" w:sz="0" w:space="0" w:color="auto"/>
        <w:left w:val="none" w:sz="0" w:space="0" w:color="auto"/>
        <w:bottom w:val="none" w:sz="0" w:space="0" w:color="auto"/>
        <w:right w:val="none" w:sz="0" w:space="0" w:color="auto"/>
      </w:divBdr>
    </w:div>
    <w:div w:id="468284879">
      <w:bodyDiv w:val="1"/>
      <w:marLeft w:val="0"/>
      <w:marRight w:val="0"/>
      <w:marTop w:val="0"/>
      <w:marBottom w:val="0"/>
      <w:divBdr>
        <w:top w:val="none" w:sz="0" w:space="0" w:color="auto"/>
        <w:left w:val="none" w:sz="0" w:space="0" w:color="auto"/>
        <w:bottom w:val="none" w:sz="0" w:space="0" w:color="auto"/>
        <w:right w:val="none" w:sz="0" w:space="0" w:color="auto"/>
      </w:divBdr>
    </w:div>
    <w:div w:id="475530843">
      <w:bodyDiv w:val="1"/>
      <w:marLeft w:val="0"/>
      <w:marRight w:val="0"/>
      <w:marTop w:val="0"/>
      <w:marBottom w:val="0"/>
      <w:divBdr>
        <w:top w:val="none" w:sz="0" w:space="0" w:color="auto"/>
        <w:left w:val="none" w:sz="0" w:space="0" w:color="auto"/>
        <w:bottom w:val="none" w:sz="0" w:space="0" w:color="auto"/>
        <w:right w:val="none" w:sz="0" w:space="0" w:color="auto"/>
      </w:divBdr>
    </w:div>
    <w:div w:id="478576618">
      <w:bodyDiv w:val="1"/>
      <w:marLeft w:val="0"/>
      <w:marRight w:val="0"/>
      <w:marTop w:val="0"/>
      <w:marBottom w:val="0"/>
      <w:divBdr>
        <w:top w:val="none" w:sz="0" w:space="0" w:color="auto"/>
        <w:left w:val="none" w:sz="0" w:space="0" w:color="auto"/>
        <w:bottom w:val="none" w:sz="0" w:space="0" w:color="auto"/>
        <w:right w:val="none" w:sz="0" w:space="0" w:color="auto"/>
      </w:divBdr>
    </w:div>
    <w:div w:id="480733668">
      <w:bodyDiv w:val="1"/>
      <w:marLeft w:val="0"/>
      <w:marRight w:val="0"/>
      <w:marTop w:val="0"/>
      <w:marBottom w:val="0"/>
      <w:divBdr>
        <w:top w:val="none" w:sz="0" w:space="0" w:color="auto"/>
        <w:left w:val="none" w:sz="0" w:space="0" w:color="auto"/>
        <w:bottom w:val="none" w:sz="0" w:space="0" w:color="auto"/>
        <w:right w:val="none" w:sz="0" w:space="0" w:color="auto"/>
      </w:divBdr>
    </w:div>
    <w:div w:id="485510535">
      <w:bodyDiv w:val="1"/>
      <w:marLeft w:val="0"/>
      <w:marRight w:val="0"/>
      <w:marTop w:val="0"/>
      <w:marBottom w:val="0"/>
      <w:divBdr>
        <w:top w:val="none" w:sz="0" w:space="0" w:color="auto"/>
        <w:left w:val="none" w:sz="0" w:space="0" w:color="auto"/>
        <w:bottom w:val="none" w:sz="0" w:space="0" w:color="auto"/>
        <w:right w:val="none" w:sz="0" w:space="0" w:color="auto"/>
      </w:divBdr>
    </w:div>
    <w:div w:id="487284122">
      <w:bodyDiv w:val="1"/>
      <w:marLeft w:val="0"/>
      <w:marRight w:val="0"/>
      <w:marTop w:val="0"/>
      <w:marBottom w:val="0"/>
      <w:divBdr>
        <w:top w:val="none" w:sz="0" w:space="0" w:color="auto"/>
        <w:left w:val="none" w:sz="0" w:space="0" w:color="auto"/>
        <w:bottom w:val="none" w:sz="0" w:space="0" w:color="auto"/>
        <w:right w:val="none" w:sz="0" w:space="0" w:color="auto"/>
      </w:divBdr>
      <w:divsChild>
        <w:div w:id="1179352127">
          <w:marLeft w:val="274"/>
          <w:marRight w:val="0"/>
          <w:marTop w:val="0"/>
          <w:marBottom w:val="0"/>
          <w:divBdr>
            <w:top w:val="none" w:sz="0" w:space="0" w:color="auto"/>
            <w:left w:val="none" w:sz="0" w:space="0" w:color="auto"/>
            <w:bottom w:val="none" w:sz="0" w:space="0" w:color="auto"/>
            <w:right w:val="none" w:sz="0" w:space="0" w:color="auto"/>
          </w:divBdr>
        </w:div>
        <w:div w:id="386563225">
          <w:marLeft w:val="274"/>
          <w:marRight w:val="0"/>
          <w:marTop w:val="0"/>
          <w:marBottom w:val="0"/>
          <w:divBdr>
            <w:top w:val="none" w:sz="0" w:space="0" w:color="auto"/>
            <w:left w:val="none" w:sz="0" w:space="0" w:color="auto"/>
            <w:bottom w:val="none" w:sz="0" w:space="0" w:color="auto"/>
            <w:right w:val="none" w:sz="0" w:space="0" w:color="auto"/>
          </w:divBdr>
        </w:div>
        <w:div w:id="3365950">
          <w:marLeft w:val="274"/>
          <w:marRight w:val="0"/>
          <w:marTop w:val="0"/>
          <w:marBottom w:val="0"/>
          <w:divBdr>
            <w:top w:val="none" w:sz="0" w:space="0" w:color="auto"/>
            <w:left w:val="none" w:sz="0" w:space="0" w:color="auto"/>
            <w:bottom w:val="none" w:sz="0" w:space="0" w:color="auto"/>
            <w:right w:val="none" w:sz="0" w:space="0" w:color="auto"/>
          </w:divBdr>
        </w:div>
        <w:div w:id="415715332">
          <w:marLeft w:val="274"/>
          <w:marRight w:val="0"/>
          <w:marTop w:val="0"/>
          <w:marBottom w:val="0"/>
          <w:divBdr>
            <w:top w:val="none" w:sz="0" w:space="0" w:color="auto"/>
            <w:left w:val="none" w:sz="0" w:space="0" w:color="auto"/>
            <w:bottom w:val="none" w:sz="0" w:space="0" w:color="auto"/>
            <w:right w:val="none" w:sz="0" w:space="0" w:color="auto"/>
          </w:divBdr>
        </w:div>
        <w:div w:id="310330043">
          <w:marLeft w:val="274"/>
          <w:marRight w:val="0"/>
          <w:marTop w:val="0"/>
          <w:marBottom w:val="0"/>
          <w:divBdr>
            <w:top w:val="none" w:sz="0" w:space="0" w:color="auto"/>
            <w:left w:val="none" w:sz="0" w:space="0" w:color="auto"/>
            <w:bottom w:val="none" w:sz="0" w:space="0" w:color="auto"/>
            <w:right w:val="none" w:sz="0" w:space="0" w:color="auto"/>
          </w:divBdr>
        </w:div>
      </w:divsChild>
    </w:div>
    <w:div w:id="487788190">
      <w:bodyDiv w:val="1"/>
      <w:marLeft w:val="0"/>
      <w:marRight w:val="0"/>
      <w:marTop w:val="0"/>
      <w:marBottom w:val="0"/>
      <w:divBdr>
        <w:top w:val="none" w:sz="0" w:space="0" w:color="auto"/>
        <w:left w:val="none" w:sz="0" w:space="0" w:color="auto"/>
        <w:bottom w:val="none" w:sz="0" w:space="0" w:color="auto"/>
        <w:right w:val="none" w:sz="0" w:space="0" w:color="auto"/>
      </w:divBdr>
    </w:div>
    <w:div w:id="496194481">
      <w:bodyDiv w:val="1"/>
      <w:marLeft w:val="0"/>
      <w:marRight w:val="0"/>
      <w:marTop w:val="0"/>
      <w:marBottom w:val="0"/>
      <w:divBdr>
        <w:top w:val="none" w:sz="0" w:space="0" w:color="auto"/>
        <w:left w:val="none" w:sz="0" w:space="0" w:color="auto"/>
        <w:bottom w:val="none" w:sz="0" w:space="0" w:color="auto"/>
        <w:right w:val="none" w:sz="0" w:space="0" w:color="auto"/>
      </w:divBdr>
    </w:div>
    <w:div w:id="500974295">
      <w:bodyDiv w:val="1"/>
      <w:marLeft w:val="0"/>
      <w:marRight w:val="0"/>
      <w:marTop w:val="0"/>
      <w:marBottom w:val="0"/>
      <w:divBdr>
        <w:top w:val="none" w:sz="0" w:space="0" w:color="auto"/>
        <w:left w:val="none" w:sz="0" w:space="0" w:color="auto"/>
        <w:bottom w:val="none" w:sz="0" w:space="0" w:color="auto"/>
        <w:right w:val="none" w:sz="0" w:space="0" w:color="auto"/>
      </w:divBdr>
    </w:div>
    <w:div w:id="503471730">
      <w:bodyDiv w:val="1"/>
      <w:marLeft w:val="0"/>
      <w:marRight w:val="0"/>
      <w:marTop w:val="0"/>
      <w:marBottom w:val="0"/>
      <w:divBdr>
        <w:top w:val="none" w:sz="0" w:space="0" w:color="auto"/>
        <w:left w:val="none" w:sz="0" w:space="0" w:color="auto"/>
        <w:bottom w:val="none" w:sz="0" w:space="0" w:color="auto"/>
        <w:right w:val="none" w:sz="0" w:space="0" w:color="auto"/>
      </w:divBdr>
    </w:div>
    <w:div w:id="533155510">
      <w:bodyDiv w:val="1"/>
      <w:marLeft w:val="0"/>
      <w:marRight w:val="0"/>
      <w:marTop w:val="0"/>
      <w:marBottom w:val="0"/>
      <w:divBdr>
        <w:top w:val="none" w:sz="0" w:space="0" w:color="auto"/>
        <w:left w:val="none" w:sz="0" w:space="0" w:color="auto"/>
        <w:bottom w:val="none" w:sz="0" w:space="0" w:color="auto"/>
        <w:right w:val="none" w:sz="0" w:space="0" w:color="auto"/>
      </w:divBdr>
    </w:div>
    <w:div w:id="554974015">
      <w:bodyDiv w:val="1"/>
      <w:marLeft w:val="0"/>
      <w:marRight w:val="0"/>
      <w:marTop w:val="0"/>
      <w:marBottom w:val="0"/>
      <w:divBdr>
        <w:top w:val="none" w:sz="0" w:space="0" w:color="auto"/>
        <w:left w:val="none" w:sz="0" w:space="0" w:color="auto"/>
        <w:bottom w:val="none" w:sz="0" w:space="0" w:color="auto"/>
        <w:right w:val="none" w:sz="0" w:space="0" w:color="auto"/>
      </w:divBdr>
    </w:div>
    <w:div w:id="557009082">
      <w:bodyDiv w:val="1"/>
      <w:marLeft w:val="0"/>
      <w:marRight w:val="0"/>
      <w:marTop w:val="0"/>
      <w:marBottom w:val="0"/>
      <w:divBdr>
        <w:top w:val="none" w:sz="0" w:space="0" w:color="auto"/>
        <w:left w:val="none" w:sz="0" w:space="0" w:color="auto"/>
        <w:bottom w:val="none" w:sz="0" w:space="0" w:color="auto"/>
        <w:right w:val="none" w:sz="0" w:space="0" w:color="auto"/>
      </w:divBdr>
    </w:div>
    <w:div w:id="563832904">
      <w:bodyDiv w:val="1"/>
      <w:marLeft w:val="0"/>
      <w:marRight w:val="0"/>
      <w:marTop w:val="0"/>
      <w:marBottom w:val="0"/>
      <w:divBdr>
        <w:top w:val="none" w:sz="0" w:space="0" w:color="auto"/>
        <w:left w:val="none" w:sz="0" w:space="0" w:color="auto"/>
        <w:bottom w:val="none" w:sz="0" w:space="0" w:color="auto"/>
        <w:right w:val="none" w:sz="0" w:space="0" w:color="auto"/>
      </w:divBdr>
    </w:div>
    <w:div w:id="564268792">
      <w:bodyDiv w:val="1"/>
      <w:marLeft w:val="0"/>
      <w:marRight w:val="0"/>
      <w:marTop w:val="0"/>
      <w:marBottom w:val="0"/>
      <w:divBdr>
        <w:top w:val="none" w:sz="0" w:space="0" w:color="auto"/>
        <w:left w:val="none" w:sz="0" w:space="0" w:color="auto"/>
        <w:bottom w:val="none" w:sz="0" w:space="0" w:color="auto"/>
        <w:right w:val="none" w:sz="0" w:space="0" w:color="auto"/>
      </w:divBdr>
    </w:div>
    <w:div w:id="586691430">
      <w:bodyDiv w:val="1"/>
      <w:marLeft w:val="0"/>
      <w:marRight w:val="0"/>
      <w:marTop w:val="0"/>
      <w:marBottom w:val="0"/>
      <w:divBdr>
        <w:top w:val="none" w:sz="0" w:space="0" w:color="auto"/>
        <w:left w:val="none" w:sz="0" w:space="0" w:color="auto"/>
        <w:bottom w:val="none" w:sz="0" w:space="0" w:color="auto"/>
        <w:right w:val="none" w:sz="0" w:space="0" w:color="auto"/>
      </w:divBdr>
    </w:div>
    <w:div w:id="597447279">
      <w:bodyDiv w:val="1"/>
      <w:marLeft w:val="0"/>
      <w:marRight w:val="0"/>
      <w:marTop w:val="0"/>
      <w:marBottom w:val="0"/>
      <w:divBdr>
        <w:top w:val="none" w:sz="0" w:space="0" w:color="auto"/>
        <w:left w:val="none" w:sz="0" w:space="0" w:color="auto"/>
        <w:bottom w:val="none" w:sz="0" w:space="0" w:color="auto"/>
        <w:right w:val="none" w:sz="0" w:space="0" w:color="auto"/>
      </w:divBdr>
    </w:div>
    <w:div w:id="600994358">
      <w:bodyDiv w:val="1"/>
      <w:marLeft w:val="0"/>
      <w:marRight w:val="0"/>
      <w:marTop w:val="0"/>
      <w:marBottom w:val="0"/>
      <w:divBdr>
        <w:top w:val="none" w:sz="0" w:space="0" w:color="auto"/>
        <w:left w:val="none" w:sz="0" w:space="0" w:color="auto"/>
        <w:bottom w:val="none" w:sz="0" w:space="0" w:color="auto"/>
        <w:right w:val="none" w:sz="0" w:space="0" w:color="auto"/>
      </w:divBdr>
    </w:div>
    <w:div w:id="611715246">
      <w:bodyDiv w:val="1"/>
      <w:marLeft w:val="0"/>
      <w:marRight w:val="0"/>
      <w:marTop w:val="0"/>
      <w:marBottom w:val="0"/>
      <w:divBdr>
        <w:top w:val="none" w:sz="0" w:space="0" w:color="auto"/>
        <w:left w:val="none" w:sz="0" w:space="0" w:color="auto"/>
        <w:bottom w:val="none" w:sz="0" w:space="0" w:color="auto"/>
        <w:right w:val="none" w:sz="0" w:space="0" w:color="auto"/>
      </w:divBdr>
    </w:div>
    <w:div w:id="612444794">
      <w:bodyDiv w:val="1"/>
      <w:marLeft w:val="0"/>
      <w:marRight w:val="0"/>
      <w:marTop w:val="0"/>
      <w:marBottom w:val="0"/>
      <w:divBdr>
        <w:top w:val="none" w:sz="0" w:space="0" w:color="auto"/>
        <w:left w:val="none" w:sz="0" w:space="0" w:color="auto"/>
        <w:bottom w:val="none" w:sz="0" w:space="0" w:color="auto"/>
        <w:right w:val="none" w:sz="0" w:space="0" w:color="auto"/>
      </w:divBdr>
    </w:div>
    <w:div w:id="620185499">
      <w:bodyDiv w:val="1"/>
      <w:marLeft w:val="0"/>
      <w:marRight w:val="0"/>
      <w:marTop w:val="0"/>
      <w:marBottom w:val="0"/>
      <w:divBdr>
        <w:top w:val="none" w:sz="0" w:space="0" w:color="auto"/>
        <w:left w:val="none" w:sz="0" w:space="0" w:color="auto"/>
        <w:bottom w:val="none" w:sz="0" w:space="0" w:color="auto"/>
        <w:right w:val="none" w:sz="0" w:space="0" w:color="auto"/>
      </w:divBdr>
    </w:div>
    <w:div w:id="633751619">
      <w:bodyDiv w:val="1"/>
      <w:marLeft w:val="0"/>
      <w:marRight w:val="0"/>
      <w:marTop w:val="0"/>
      <w:marBottom w:val="0"/>
      <w:divBdr>
        <w:top w:val="none" w:sz="0" w:space="0" w:color="auto"/>
        <w:left w:val="none" w:sz="0" w:space="0" w:color="auto"/>
        <w:bottom w:val="none" w:sz="0" w:space="0" w:color="auto"/>
        <w:right w:val="none" w:sz="0" w:space="0" w:color="auto"/>
      </w:divBdr>
    </w:div>
    <w:div w:id="643967221">
      <w:bodyDiv w:val="1"/>
      <w:marLeft w:val="0"/>
      <w:marRight w:val="0"/>
      <w:marTop w:val="0"/>
      <w:marBottom w:val="0"/>
      <w:divBdr>
        <w:top w:val="none" w:sz="0" w:space="0" w:color="auto"/>
        <w:left w:val="none" w:sz="0" w:space="0" w:color="auto"/>
        <w:bottom w:val="none" w:sz="0" w:space="0" w:color="auto"/>
        <w:right w:val="none" w:sz="0" w:space="0" w:color="auto"/>
      </w:divBdr>
      <w:divsChild>
        <w:div w:id="1206984760">
          <w:marLeft w:val="360"/>
          <w:marRight w:val="0"/>
          <w:marTop w:val="120"/>
          <w:marBottom w:val="0"/>
          <w:divBdr>
            <w:top w:val="none" w:sz="0" w:space="0" w:color="auto"/>
            <w:left w:val="none" w:sz="0" w:space="0" w:color="auto"/>
            <w:bottom w:val="none" w:sz="0" w:space="0" w:color="auto"/>
            <w:right w:val="none" w:sz="0" w:space="0" w:color="auto"/>
          </w:divBdr>
        </w:div>
        <w:div w:id="289940383">
          <w:marLeft w:val="360"/>
          <w:marRight w:val="0"/>
          <w:marTop w:val="120"/>
          <w:marBottom w:val="0"/>
          <w:divBdr>
            <w:top w:val="none" w:sz="0" w:space="0" w:color="auto"/>
            <w:left w:val="none" w:sz="0" w:space="0" w:color="auto"/>
            <w:bottom w:val="none" w:sz="0" w:space="0" w:color="auto"/>
            <w:right w:val="none" w:sz="0" w:space="0" w:color="auto"/>
          </w:divBdr>
        </w:div>
        <w:div w:id="163130650">
          <w:marLeft w:val="360"/>
          <w:marRight w:val="0"/>
          <w:marTop w:val="120"/>
          <w:marBottom w:val="0"/>
          <w:divBdr>
            <w:top w:val="none" w:sz="0" w:space="0" w:color="auto"/>
            <w:left w:val="none" w:sz="0" w:space="0" w:color="auto"/>
            <w:bottom w:val="none" w:sz="0" w:space="0" w:color="auto"/>
            <w:right w:val="none" w:sz="0" w:space="0" w:color="auto"/>
          </w:divBdr>
        </w:div>
        <w:div w:id="517886094">
          <w:marLeft w:val="1267"/>
          <w:marRight w:val="0"/>
          <w:marTop w:val="120"/>
          <w:marBottom w:val="0"/>
          <w:divBdr>
            <w:top w:val="none" w:sz="0" w:space="0" w:color="auto"/>
            <w:left w:val="none" w:sz="0" w:space="0" w:color="auto"/>
            <w:bottom w:val="none" w:sz="0" w:space="0" w:color="auto"/>
            <w:right w:val="none" w:sz="0" w:space="0" w:color="auto"/>
          </w:divBdr>
        </w:div>
        <w:div w:id="402876846">
          <w:marLeft w:val="1267"/>
          <w:marRight w:val="0"/>
          <w:marTop w:val="120"/>
          <w:marBottom w:val="0"/>
          <w:divBdr>
            <w:top w:val="none" w:sz="0" w:space="0" w:color="auto"/>
            <w:left w:val="none" w:sz="0" w:space="0" w:color="auto"/>
            <w:bottom w:val="none" w:sz="0" w:space="0" w:color="auto"/>
            <w:right w:val="none" w:sz="0" w:space="0" w:color="auto"/>
          </w:divBdr>
        </w:div>
        <w:div w:id="1434133251">
          <w:marLeft w:val="1267"/>
          <w:marRight w:val="0"/>
          <w:marTop w:val="120"/>
          <w:marBottom w:val="0"/>
          <w:divBdr>
            <w:top w:val="none" w:sz="0" w:space="0" w:color="auto"/>
            <w:left w:val="none" w:sz="0" w:space="0" w:color="auto"/>
            <w:bottom w:val="none" w:sz="0" w:space="0" w:color="auto"/>
            <w:right w:val="none" w:sz="0" w:space="0" w:color="auto"/>
          </w:divBdr>
        </w:div>
        <w:div w:id="1745688720">
          <w:marLeft w:val="1267"/>
          <w:marRight w:val="0"/>
          <w:marTop w:val="120"/>
          <w:marBottom w:val="0"/>
          <w:divBdr>
            <w:top w:val="none" w:sz="0" w:space="0" w:color="auto"/>
            <w:left w:val="none" w:sz="0" w:space="0" w:color="auto"/>
            <w:bottom w:val="none" w:sz="0" w:space="0" w:color="auto"/>
            <w:right w:val="none" w:sz="0" w:space="0" w:color="auto"/>
          </w:divBdr>
        </w:div>
        <w:div w:id="145633024">
          <w:marLeft w:val="1267"/>
          <w:marRight w:val="0"/>
          <w:marTop w:val="120"/>
          <w:marBottom w:val="0"/>
          <w:divBdr>
            <w:top w:val="none" w:sz="0" w:space="0" w:color="auto"/>
            <w:left w:val="none" w:sz="0" w:space="0" w:color="auto"/>
            <w:bottom w:val="none" w:sz="0" w:space="0" w:color="auto"/>
            <w:right w:val="none" w:sz="0" w:space="0" w:color="auto"/>
          </w:divBdr>
        </w:div>
        <w:div w:id="566841994">
          <w:marLeft w:val="1267"/>
          <w:marRight w:val="0"/>
          <w:marTop w:val="120"/>
          <w:marBottom w:val="0"/>
          <w:divBdr>
            <w:top w:val="none" w:sz="0" w:space="0" w:color="auto"/>
            <w:left w:val="none" w:sz="0" w:space="0" w:color="auto"/>
            <w:bottom w:val="none" w:sz="0" w:space="0" w:color="auto"/>
            <w:right w:val="none" w:sz="0" w:space="0" w:color="auto"/>
          </w:divBdr>
        </w:div>
      </w:divsChild>
    </w:div>
    <w:div w:id="669254048">
      <w:bodyDiv w:val="1"/>
      <w:marLeft w:val="0"/>
      <w:marRight w:val="0"/>
      <w:marTop w:val="0"/>
      <w:marBottom w:val="0"/>
      <w:divBdr>
        <w:top w:val="none" w:sz="0" w:space="0" w:color="auto"/>
        <w:left w:val="none" w:sz="0" w:space="0" w:color="auto"/>
        <w:bottom w:val="none" w:sz="0" w:space="0" w:color="auto"/>
        <w:right w:val="none" w:sz="0" w:space="0" w:color="auto"/>
      </w:divBdr>
    </w:div>
    <w:div w:id="687759087">
      <w:bodyDiv w:val="1"/>
      <w:marLeft w:val="0"/>
      <w:marRight w:val="0"/>
      <w:marTop w:val="0"/>
      <w:marBottom w:val="0"/>
      <w:divBdr>
        <w:top w:val="none" w:sz="0" w:space="0" w:color="auto"/>
        <w:left w:val="none" w:sz="0" w:space="0" w:color="auto"/>
        <w:bottom w:val="none" w:sz="0" w:space="0" w:color="auto"/>
        <w:right w:val="none" w:sz="0" w:space="0" w:color="auto"/>
      </w:divBdr>
    </w:div>
    <w:div w:id="709958925">
      <w:bodyDiv w:val="1"/>
      <w:marLeft w:val="0"/>
      <w:marRight w:val="0"/>
      <w:marTop w:val="0"/>
      <w:marBottom w:val="0"/>
      <w:divBdr>
        <w:top w:val="none" w:sz="0" w:space="0" w:color="auto"/>
        <w:left w:val="none" w:sz="0" w:space="0" w:color="auto"/>
        <w:bottom w:val="none" w:sz="0" w:space="0" w:color="auto"/>
        <w:right w:val="none" w:sz="0" w:space="0" w:color="auto"/>
      </w:divBdr>
      <w:divsChild>
        <w:div w:id="1443916764">
          <w:marLeft w:val="547"/>
          <w:marRight w:val="0"/>
          <w:marTop w:val="0"/>
          <w:marBottom w:val="0"/>
          <w:divBdr>
            <w:top w:val="none" w:sz="0" w:space="0" w:color="auto"/>
            <w:left w:val="none" w:sz="0" w:space="0" w:color="auto"/>
            <w:bottom w:val="none" w:sz="0" w:space="0" w:color="auto"/>
            <w:right w:val="none" w:sz="0" w:space="0" w:color="auto"/>
          </w:divBdr>
        </w:div>
        <w:div w:id="407272008">
          <w:marLeft w:val="547"/>
          <w:marRight w:val="0"/>
          <w:marTop w:val="0"/>
          <w:marBottom w:val="0"/>
          <w:divBdr>
            <w:top w:val="none" w:sz="0" w:space="0" w:color="auto"/>
            <w:left w:val="none" w:sz="0" w:space="0" w:color="auto"/>
            <w:bottom w:val="none" w:sz="0" w:space="0" w:color="auto"/>
            <w:right w:val="none" w:sz="0" w:space="0" w:color="auto"/>
          </w:divBdr>
        </w:div>
        <w:div w:id="547297573">
          <w:marLeft w:val="547"/>
          <w:marRight w:val="0"/>
          <w:marTop w:val="0"/>
          <w:marBottom w:val="0"/>
          <w:divBdr>
            <w:top w:val="none" w:sz="0" w:space="0" w:color="auto"/>
            <w:left w:val="none" w:sz="0" w:space="0" w:color="auto"/>
            <w:bottom w:val="none" w:sz="0" w:space="0" w:color="auto"/>
            <w:right w:val="none" w:sz="0" w:space="0" w:color="auto"/>
          </w:divBdr>
        </w:div>
        <w:div w:id="1937711861">
          <w:marLeft w:val="547"/>
          <w:marRight w:val="0"/>
          <w:marTop w:val="0"/>
          <w:marBottom w:val="0"/>
          <w:divBdr>
            <w:top w:val="none" w:sz="0" w:space="0" w:color="auto"/>
            <w:left w:val="none" w:sz="0" w:space="0" w:color="auto"/>
            <w:bottom w:val="none" w:sz="0" w:space="0" w:color="auto"/>
            <w:right w:val="none" w:sz="0" w:space="0" w:color="auto"/>
          </w:divBdr>
        </w:div>
        <w:div w:id="1301229321">
          <w:marLeft w:val="547"/>
          <w:marRight w:val="0"/>
          <w:marTop w:val="0"/>
          <w:marBottom w:val="0"/>
          <w:divBdr>
            <w:top w:val="none" w:sz="0" w:space="0" w:color="auto"/>
            <w:left w:val="none" w:sz="0" w:space="0" w:color="auto"/>
            <w:bottom w:val="none" w:sz="0" w:space="0" w:color="auto"/>
            <w:right w:val="none" w:sz="0" w:space="0" w:color="auto"/>
          </w:divBdr>
        </w:div>
        <w:div w:id="670182059">
          <w:marLeft w:val="547"/>
          <w:marRight w:val="0"/>
          <w:marTop w:val="0"/>
          <w:marBottom w:val="200"/>
          <w:divBdr>
            <w:top w:val="none" w:sz="0" w:space="0" w:color="auto"/>
            <w:left w:val="none" w:sz="0" w:space="0" w:color="auto"/>
            <w:bottom w:val="none" w:sz="0" w:space="0" w:color="auto"/>
            <w:right w:val="none" w:sz="0" w:space="0" w:color="auto"/>
          </w:divBdr>
        </w:div>
        <w:div w:id="301622800">
          <w:marLeft w:val="547"/>
          <w:marRight w:val="0"/>
          <w:marTop w:val="0"/>
          <w:marBottom w:val="0"/>
          <w:divBdr>
            <w:top w:val="none" w:sz="0" w:space="0" w:color="auto"/>
            <w:left w:val="none" w:sz="0" w:space="0" w:color="auto"/>
            <w:bottom w:val="none" w:sz="0" w:space="0" w:color="auto"/>
            <w:right w:val="none" w:sz="0" w:space="0" w:color="auto"/>
          </w:divBdr>
        </w:div>
        <w:div w:id="2129659912">
          <w:marLeft w:val="547"/>
          <w:marRight w:val="0"/>
          <w:marTop w:val="0"/>
          <w:marBottom w:val="0"/>
          <w:divBdr>
            <w:top w:val="none" w:sz="0" w:space="0" w:color="auto"/>
            <w:left w:val="none" w:sz="0" w:space="0" w:color="auto"/>
            <w:bottom w:val="none" w:sz="0" w:space="0" w:color="auto"/>
            <w:right w:val="none" w:sz="0" w:space="0" w:color="auto"/>
          </w:divBdr>
        </w:div>
      </w:divsChild>
    </w:div>
    <w:div w:id="732435942">
      <w:bodyDiv w:val="1"/>
      <w:marLeft w:val="0"/>
      <w:marRight w:val="0"/>
      <w:marTop w:val="0"/>
      <w:marBottom w:val="0"/>
      <w:divBdr>
        <w:top w:val="none" w:sz="0" w:space="0" w:color="auto"/>
        <w:left w:val="none" w:sz="0" w:space="0" w:color="auto"/>
        <w:bottom w:val="none" w:sz="0" w:space="0" w:color="auto"/>
        <w:right w:val="none" w:sz="0" w:space="0" w:color="auto"/>
      </w:divBdr>
      <w:divsChild>
        <w:div w:id="1034766983">
          <w:marLeft w:val="360"/>
          <w:marRight w:val="0"/>
          <w:marTop w:val="0"/>
          <w:marBottom w:val="120"/>
          <w:divBdr>
            <w:top w:val="none" w:sz="0" w:space="0" w:color="auto"/>
            <w:left w:val="none" w:sz="0" w:space="0" w:color="auto"/>
            <w:bottom w:val="none" w:sz="0" w:space="0" w:color="auto"/>
            <w:right w:val="none" w:sz="0" w:space="0" w:color="auto"/>
          </w:divBdr>
        </w:div>
        <w:div w:id="1754400511">
          <w:marLeft w:val="360"/>
          <w:marRight w:val="0"/>
          <w:marTop w:val="0"/>
          <w:marBottom w:val="120"/>
          <w:divBdr>
            <w:top w:val="none" w:sz="0" w:space="0" w:color="auto"/>
            <w:left w:val="none" w:sz="0" w:space="0" w:color="auto"/>
            <w:bottom w:val="none" w:sz="0" w:space="0" w:color="auto"/>
            <w:right w:val="none" w:sz="0" w:space="0" w:color="auto"/>
          </w:divBdr>
        </w:div>
        <w:div w:id="49958435">
          <w:marLeft w:val="360"/>
          <w:marRight w:val="0"/>
          <w:marTop w:val="0"/>
          <w:marBottom w:val="120"/>
          <w:divBdr>
            <w:top w:val="none" w:sz="0" w:space="0" w:color="auto"/>
            <w:left w:val="none" w:sz="0" w:space="0" w:color="auto"/>
            <w:bottom w:val="none" w:sz="0" w:space="0" w:color="auto"/>
            <w:right w:val="none" w:sz="0" w:space="0" w:color="auto"/>
          </w:divBdr>
        </w:div>
      </w:divsChild>
    </w:div>
    <w:div w:id="749694623">
      <w:bodyDiv w:val="1"/>
      <w:marLeft w:val="0"/>
      <w:marRight w:val="0"/>
      <w:marTop w:val="0"/>
      <w:marBottom w:val="0"/>
      <w:divBdr>
        <w:top w:val="none" w:sz="0" w:space="0" w:color="auto"/>
        <w:left w:val="none" w:sz="0" w:space="0" w:color="auto"/>
        <w:bottom w:val="none" w:sz="0" w:space="0" w:color="auto"/>
        <w:right w:val="none" w:sz="0" w:space="0" w:color="auto"/>
      </w:divBdr>
    </w:div>
    <w:div w:id="760106430">
      <w:bodyDiv w:val="1"/>
      <w:marLeft w:val="0"/>
      <w:marRight w:val="0"/>
      <w:marTop w:val="0"/>
      <w:marBottom w:val="0"/>
      <w:divBdr>
        <w:top w:val="none" w:sz="0" w:space="0" w:color="auto"/>
        <w:left w:val="none" w:sz="0" w:space="0" w:color="auto"/>
        <w:bottom w:val="none" w:sz="0" w:space="0" w:color="auto"/>
        <w:right w:val="none" w:sz="0" w:space="0" w:color="auto"/>
      </w:divBdr>
    </w:div>
    <w:div w:id="771586867">
      <w:bodyDiv w:val="1"/>
      <w:marLeft w:val="0"/>
      <w:marRight w:val="0"/>
      <w:marTop w:val="0"/>
      <w:marBottom w:val="0"/>
      <w:divBdr>
        <w:top w:val="none" w:sz="0" w:space="0" w:color="auto"/>
        <w:left w:val="none" w:sz="0" w:space="0" w:color="auto"/>
        <w:bottom w:val="none" w:sz="0" w:space="0" w:color="auto"/>
        <w:right w:val="none" w:sz="0" w:space="0" w:color="auto"/>
      </w:divBdr>
    </w:div>
    <w:div w:id="772433973">
      <w:bodyDiv w:val="1"/>
      <w:marLeft w:val="0"/>
      <w:marRight w:val="0"/>
      <w:marTop w:val="0"/>
      <w:marBottom w:val="0"/>
      <w:divBdr>
        <w:top w:val="none" w:sz="0" w:space="0" w:color="auto"/>
        <w:left w:val="none" w:sz="0" w:space="0" w:color="auto"/>
        <w:bottom w:val="none" w:sz="0" w:space="0" w:color="auto"/>
        <w:right w:val="none" w:sz="0" w:space="0" w:color="auto"/>
      </w:divBdr>
    </w:div>
    <w:div w:id="773285039">
      <w:bodyDiv w:val="1"/>
      <w:marLeft w:val="0"/>
      <w:marRight w:val="0"/>
      <w:marTop w:val="0"/>
      <w:marBottom w:val="0"/>
      <w:divBdr>
        <w:top w:val="none" w:sz="0" w:space="0" w:color="auto"/>
        <w:left w:val="none" w:sz="0" w:space="0" w:color="auto"/>
        <w:bottom w:val="none" w:sz="0" w:space="0" w:color="auto"/>
        <w:right w:val="none" w:sz="0" w:space="0" w:color="auto"/>
      </w:divBdr>
      <w:divsChild>
        <w:div w:id="1180195552">
          <w:marLeft w:val="547"/>
          <w:marRight w:val="0"/>
          <w:marTop w:val="120"/>
          <w:marBottom w:val="120"/>
          <w:divBdr>
            <w:top w:val="none" w:sz="0" w:space="0" w:color="auto"/>
            <w:left w:val="none" w:sz="0" w:space="0" w:color="auto"/>
            <w:bottom w:val="none" w:sz="0" w:space="0" w:color="auto"/>
            <w:right w:val="none" w:sz="0" w:space="0" w:color="auto"/>
          </w:divBdr>
        </w:div>
        <w:div w:id="965618173">
          <w:marLeft w:val="1267"/>
          <w:marRight w:val="0"/>
          <w:marTop w:val="120"/>
          <w:marBottom w:val="120"/>
          <w:divBdr>
            <w:top w:val="none" w:sz="0" w:space="0" w:color="auto"/>
            <w:left w:val="none" w:sz="0" w:space="0" w:color="auto"/>
            <w:bottom w:val="none" w:sz="0" w:space="0" w:color="auto"/>
            <w:right w:val="none" w:sz="0" w:space="0" w:color="auto"/>
          </w:divBdr>
        </w:div>
        <w:div w:id="800223490">
          <w:marLeft w:val="1267"/>
          <w:marRight w:val="0"/>
          <w:marTop w:val="120"/>
          <w:marBottom w:val="120"/>
          <w:divBdr>
            <w:top w:val="none" w:sz="0" w:space="0" w:color="auto"/>
            <w:left w:val="none" w:sz="0" w:space="0" w:color="auto"/>
            <w:bottom w:val="none" w:sz="0" w:space="0" w:color="auto"/>
            <w:right w:val="none" w:sz="0" w:space="0" w:color="auto"/>
          </w:divBdr>
        </w:div>
        <w:div w:id="705645761">
          <w:marLeft w:val="1267"/>
          <w:marRight w:val="0"/>
          <w:marTop w:val="120"/>
          <w:marBottom w:val="120"/>
          <w:divBdr>
            <w:top w:val="none" w:sz="0" w:space="0" w:color="auto"/>
            <w:left w:val="none" w:sz="0" w:space="0" w:color="auto"/>
            <w:bottom w:val="none" w:sz="0" w:space="0" w:color="auto"/>
            <w:right w:val="none" w:sz="0" w:space="0" w:color="auto"/>
          </w:divBdr>
        </w:div>
        <w:div w:id="554707013">
          <w:marLeft w:val="1267"/>
          <w:marRight w:val="0"/>
          <w:marTop w:val="120"/>
          <w:marBottom w:val="120"/>
          <w:divBdr>
            <w:top w:val="none" w:sz="0" w:space="0" w:color="auto"/>
            <w:left w:val="none" w:sz="0" w:space="0" w:color="auto"/>
            <w:bottom w:val="none" w:sz="0" w:space="0" w:color="auto"/>
            <w:right w:val="none" w:sz="0" w:space="0" w:color="auto"/>
          </w:divBdr>
        </w:div>
        <w:div w:id="1073966635">
          <w:marLeft w:val="1267"/>
          <w:marRight w:val="0"/>
          <w:marTop w:val="120"/>
          <w:marBottom w:val="120"/>
          <w:divBdr>
            <w:top w:val="none" w:sz="0" w:space="0" w:color="auto"/>
            <w:left w:val="none" w:sz="0" w:space="0" w:color="auto"/>
            <w:bottom w:val="none" w:sz="0" w:space="0" w:color="auto"/>
            <w:right w:val="none" w:sz="0" w:space="0" w:color="auto"/>
          </w:divBdr>
        </w:div>
        <w:div w:id="1607230265">
          <w:marLeft w:val="1267"/>
          <w:marRight w:val="0"/>
          <w:marTop w:val="120"/>
          <w:marBottom w:val="120"/>
          <w:divBdr>
            <w:top w:val="none" w:sz="0" w:space="0" w:color="auto"/>
            <w:left w:val="none" w:sz="0" w:space="0" w:color="auto"/>
            <w:bottom w:val="none" w:sz="0" w:space="0" w:color="auto"/>
            <w:right w:val="none" w:sz="0" w:space="0" w:color="auto"/>
          </w:divBdr>
        </w:div>
        <w:div w:id="1671790257">
          <w:marLeft w:val="1267"/>
          <w:marRight w:val="0"/>
          <w:marTop w:val="120"/>
          <w:marBottom w:val="120"/>
          <w:divBdr>
            <w:top w:val="none" w:sz="0" w:space="0" w:color="auto"/>
            <w:left w:val="none" w:sz="0" w:space="0" w:color="auto"/>
            <w:bottom w:val="none" w:sz="0" w:space="0" w:color="auto"/>
            <w:right w:val="none" w:sz="0" w:space="0" w:color="auto"/>
          </w:divBdr>
        </w:div>
        <w:div w:id="1929463173">
          <w:marLeft w:val="1267"/>
          <w:marRight w:val="0"/>
          <w:marTop w:val="120"/>
          <w:marBottom w:val="120"/>
          <w:divBdr>
            <w:top w:val="none" w:sz="0" w:space="0" w:color="auto"/>
            <w:left w:val="none" w:sz="0" w:space="0" w:color="auto"/>
            <w:bottom w:val="none" w:sz="0" w:space="0" w:color="auto"/>
            <w:right w:val="none" w:sz="0" w:space="0" w:color="auto"/>
          </w:divBdr>
        </w:div>
        <w:div w:id="800422485">
          <w:marLeft w:val="1267"/>
          <w:marRight w:val="0"/>
          <w:marTop w:val="120"/>
          <w:marBottom w:val="120"/>
          <w:divBdr>
            <w:top w:val="none" w:sz="0" w:space="0" w:color="auto"/>
            <w:left w:val="none" w:sz="0" w:space="0" w:color="auto"/>
            <w:bottom w:val="none" w:sz="0" w:space="0" w:color="auto"/>
            <w:right w:val="none" w:sz="0" w:space="0" w:color="auto"/>
          </w:divBdr>
        </w:div>
      </w:divsChild>
    </w:div>
    <w:div w:id="789590260">
      <w:bodyDiv w:val="1"/>
      <w:marLeft w:val="0"/>
      <w:marRight w:val="0"/>
      <w:marTop w:val="0"/>
      <w:marBottom w:val="0"/>
      <w:divBdr>
        <w:top w:val="none" w:sz="0" w:space="0" w:color="auto"/>
        <w:left w:val="none" w:sz="0" w:space="0" w:color="auto"/>
        <w:bottom w:val="none" w:sz="0" w:space="0" w:color="auto"/>
        <w:right w:val="none" w:sz="0" w:space="0" w:color="auto"/>
      </w:divBdr>
      <w:divsChild>
        <w:div w:id="879167794">
          <w:marLeft w:val="547"/>
          <w:marRight w:val="0"/>
          <w:marTop w:val="0"/>
          <w:marBottom w:val="0"/>
          <w:divBdr>
            <w:top w:val="none" w:sz="0" w:space="0" w:color="auto"/>
            <w:left w:val="none" w:sz="0" w:space="0" w:color="auto"/>
            <w:bottom w:val="none" w:sz="0" w:space="0" w:color="auto"/>
            <w:right w:val="none" w:sz="0" w:space="0" w:color="auto"/>
          </w:divBdr>
        </w:div>
        <w:div w:id="4594685">
          <w:marLeft w:val="1166"/>
          <w:marRight w:val="0"/>
          <w:marTop w:val="0"/>
          <w:marBottom w:val="0"/>
          <w:divBdr>
            <w:top w:val="none" w:sz="0" w:space="0" w:color="auto"/>
            <w:left w:val="none" w:sz="0" w:space="0" w:color="auto"/>
            <w:bottom w:val="none" w:sz="0" w:space="0" w:color="auto"/>
            <w:right w:val="none" w:sz="0" w:space="0" w:color="auto"/>
          </w:divBdr>
        </w:div>
        <w:div w:id="2044592379">
          <w:marLeft w:val="1166"/>
          <w:marRight w:val="0"/>
          <w:marTop w:val="0"/>
          <w:marBottom w:val="0"/>
          <w:divBdr>
            <w:top w:val="none" w:sz="0" w:space="0" w:color="auto"/>
            <w:left w:val="none" w:sz="0" w:space="0" w:color="auto"/>
            <w:bottom w:val="none" w:sz="0" w:space="0" w:color="auto"/>
            <w:right w:val="none" w:sz="0" w:space="0" w:color="auto"/>
          </w:divBdr>
        </w:div>
        <w:div w:id="1260874981">
          <w:marLeft w:val="1166"/>
          <w:marRight w:val="0"/>
          <w:marTop w:val="0"/>
          <w:marBottom w:val="0"/>
          <w:divBdr>
            <w:top w:val="none" w:sz="0" w:space="0" w:color="auto"/>
            <w:left w:val="none" w:sz="0" w:space="0" w:color="auto"/>
            <w:bottom w:val="none" w:sz="0" w:space="0" w:color="auto"/>
            <w:right w:val="none" w:sz="0" w:space="0" w:color="auto"/>
          </w:divBdr>
        </w:div>
        <w:div w:id="1225414015">
          <w:marLeft w:val="1166"/>
          <w:marRight w:val="0"/>
          <w:marTop w:val="0"/>
          <w:marBottom w:val="0"/>
          <w:divBdr>
            <w:top w:val="none" w:sz="0" w:space="0" w:color="auto"/>
            <w:left w:val="none" w:sz="0" w:space="0" w:color="auto"/>
            <w:bottom w:val="none" w:sz="0" w:space="0" w:color="auto"/>
            <w:right w:val="none" w:sz="0" w:space="0" w:color="auto"/>
          </w:divBdr>
        </w:div>
        <w:div w:id="1492480172">
          <w:marLeft w:val="1166"/>
          <w:marRight w:val="0"/>
          <w:marTop w:val="0"/>
          <w:marBottom w:val="0"/>
          <w:divBdr>
            <w:top w:val="none" w:sz="0" w:space="0" w:color="auto"/>
            <w:left w:val="none" w:sz="0" w:space="0" w:color="auto"/>
            <w:bottom w:val="none" w:sz="0" w:space="0" w:color="auto"/>
            <w:right w:val="none" w:sz="0" w:space="0" w:color="auto"/>
          </w:divBdr>
        </w:div>
        <w:div w:id="1632784276">
          <w:marLeft w:val="1166"/>
          <w:marRight w:val="0"/>
          <w:marTop w:val="0"/>
          <w:marBottom w:val="0"/>
          <w:divBdr>
            <w:top w:val="none" w:sz="0" w:space="0" w:color="auto"/>
            <w:left w:val="none" w:sz="0" w:space="0" w:color="auto"/>
            <w:bottom w:val="none" w:sz="0" w:space="0" w:color="auto"/>
            <w:right w:val="none" w:sz="0" w:space="0" w:color="auto"/>
          </w:divBdr>
        </w:div>
        <w:div w:id="1052001012">
          <w:marLeft w:val="1166"/>
          <w:marRight w:val="0"/>
          <w:marTop w:val="0"/>
          <w:marBottom w:val="0"/>
          <w:divBdr>
            <w:top w:val="none" w:sz="0" w:space="0" w:color="auto"/>
            <w:left w:val="none" w:sz="0" w:space="0" w:color="auto"/>
            <w:bottom w:val="none" w:sz="0" w:space="0" w:color="auto"/>
            <w:right w:val="none" w:sz="0" w:space="0" w:color="auto"/>
          </w:divBdr>
        </w:div>
        <w:div w:id="1830099930">
          <w:marLeft w:val="1166"/>
          <w:marRight w:val="0"/>
          <w:marTop w:val="0"/>
          <w:marBottom w:val="0"/>
          <w:divBdr>
            <w:top w:val="none" w:sz="0" w:space="0" w:color="auto"/>
            <w:left w:val="none" w:sz="0" w:space="0" w:color="auto"/>
            <w:bottom w:val="none" w:sz="0" w:space="0" w:color="auto"/>
            <w:right w:val="none" w:sz="0" w:space="0" w:color="auto"/>
          </w:divBdr>
        </w:div>
        <w:div w:id="502431632">
          <w:marLeft w:val="1166"/>
          <w:marRight w:val="0"/>
          <w:marTop w:val="0"/>
          <w:marBottom w:val="0"/>
          <w:divBdr>
            <w:top w:val="none" w:sz="0" w:space="0" w:color="auto"/>
            <w:left w:val="none" w:sz="0" w:space="0" w:color="auto"/>
            <w:bottom w:val="none" w:sz="0" w:space="0" w:color="auto"/>
            <w:right w:val="none" w:sz="0" w:space="0" w:color="auto"/>
          </w:divBdr>
        </w:div>
        <w:div w:id="268052174">
          <w:marLeft w:val="1166"/>
          <w:marRight w:val="0"/>
          <w:marTop w:val="0"/>
          <w:marBottom w:val="0"/>
          <w:divBdr>
            <w:top w:val="none" w:sz="0" w:space="0" w:color="auto"/>
            <w:left w:val="none" w:sz="0" w:space="0" w:color="auto"/>
            <w:bottom w:val="none" w:sz="0" w:space="0" w:color="auto"/>
            <w:right w:val="none" w:sz="0" w:space="0" w:color="auto"/>
          </w:divBdr>
        </w:div>
      </w:divsChild>
    </w:div>
    <w:div w:id="800731942">
      <w:bodyDiv w:val="1"/>
      <w:marLeft w:val="0"/>
      <w:marRight w:val="0"/>
      <w:marTop w:val="0"/>
      <w:marBottom w:val="0"/>
      <w:divBdr>
        <w:top w:val="none" w:sz="0" w:space="0" w:color="auto"/>
        <w:left w:val="none" w:sz="0" w:space="0" w:color="auto"/>
        <w:bottom w:val="none" w:sz="0" w:space="0" w:color="auto"/>
        <w:right w:val="none" w:sz="0" w:space="0" w:color="auto"/>
      </w:divBdr>
    </w:div>
    <w:div w:id="809438661">
      <w:bodyDiv w:val="1"/>
      <w:marLeft w:val="0"/>
      <w:marRight w:val="0"/>
      <w:marTop w:val="0"/>
      <w:marBottom w:val="0"/>
      <w:divBdr>
        <w:top w:val="none" w:sz="0" w:space="0" w:color="auto"/>
        <w:left w:val="none" w:sz="0" w:space="0" w:color="auto"/>
        <w:bottom w:val="none" w:sz="0" w:space="0" w:color="auto"/>
        <w:right w:val="none" w:sz="0" w:space="0" w:color="auto"/>
      </w:divBdr>
      <w:divsChild>
        <w:div w:id="272831052">
          <w:marLeft w:val="274"/>
          <w:marRight w:val="0"/>
          <w:marTop w:val="0"/>
          <w:marBottom w:val="0"/>
          <w:divBdr>
            <w:top w:val="none" w:sz="0" w:space="0" w:color="auto"/>
            <w:left w:val="none" w:sz="0" w:space="0" w:color="auto"/>
            <w:bottom w:val="none" w:sz="0" w:space="0" w:color="auto"/>
            <w:right w:val="none" w:sz="0" w:space="0" w:color="auto"/>
          </w:divBdr>
        </w:div>
        <w:div w:id="1617981047">
          <w:marLeft w:val="274"/>
          <w:marRight w:val="0"/>
          <w:marTop w:val="0"/>
          <w:marBottom w:val="0"/>
          <w:divBdr>
            <w:top w:val="none" w:sz="0" w:space="0" w:color="auto"/>
            <w:left w:val="none" w:sz="0" w:space="0" w:color="auto"/>
            <w:bottom w:val="none" w:sz="0" w:space="0" w:color="auto"/>
            <w:right w:val="none" w:sz="0" w:space="0" w:color="auto"/>
          </w:divBdr>
        </w:div>
        <w:div w:id="335767528">
          <w:marLeft w:val="274"/>
          <w:marRight w:val="0"/>
          <w:marTop w:val="0"/>
          <w:marBottom w:val="0"/>
          <w:divBdr>
            <w:top w:val="none" w:sz="0" w:space="0" w:color="auto"/>
            <w:left w:val="none" w:sz="0" w:space="0" w:color="auto"/>
            <w:bottom w:val="none" w:sz="0" w:space="0" w:color="auto"/>
            <w:right w:val="none" w:sz="0" w:space="0" w:color="auto"/>
          </w:divBdr>
        </w:div>
        <w:div w:id="2098938705">
          <w:marLeft w:val="274"/>
          <w:marRight w:val="0"/>
          <w:marTop w:val="0"/>
          <w:marBottom w:val="0"/>
          <w:divBdr>
            <w:top w:val="none" w:sz="0" w:space="0" w:color="auto"/>
            <w:left w:val="none" w:sz="0" w:space="0" w:color="auto"/>
            <w:bottom w:val="none" w:sz="0" w:space="0" w:color="auto"/>
            <w:right w:val="none" w:sz="0" w:space="0" w:color="auto"/>
          </w:divBdr>
        </w:div>
        <w:div w:id="1274677823">
          <w:marLeft w:val="274"/>
          <w:marRight w:val="0"/>
          <w:marTop w:val="0"/>
          <w:marBottom w:val="0"/>
          <w:divBdr>
            <w:top w:val="none" w:sz="0" w:space="0" w:color="auto"/>
            <w:left w:val="none" w:sz="0" w:space="0" w:color="auto"/>
            <w:bottom w:val="none" w:sz="0" w:space="0" w:color="auto"/>
            <w:right w:val="none" w:sz="0" w:space="0" w:color="auto"/>
          </w:divBdr>
        </w:div>
      </w:divsChild>
    </w:div>
    <w:div w:id="809714032">
      <w:bodyDiv w:val="1"/>
      <w:marLeft w:val="0"/>
      <w:marRight w:val="0"/>
      <w:marTop w:val="0"/>
      <w:marBottom w:val="0"/>
      <w:divBdr>
        <w:top w:val="none" w:sz="0" w:space="0" w:color="auto"/>
        <w:left w:val="none" w:sz="0" w:space="0" w:color="auto"/>
        <w:bottom w:val="none" w:sz="0" w:space="0" w:color="auto"/>
        <w:right w:val="none" w:sz="0" w:space="0" w:color="auto"/>
      </w:divBdr>
    </w:div>
    <w:div w:id="813105718">
      <w:bodyDiv w:val="1"/>
      <w:marLeft w:val="0"/>
      <w:marRight w:val="0"/>
      <w:marTop w:val="0"/>
      <w:marBottom w:val="0"/>
      <w:divBdr>
        <w:top w:val="none" w:sz="0" w:space="0" w:color="auto"/>
        <w:left w:val="none" w:sz="0" w:space="0" w:color="auto"/>
        <w:bottom w:val="none" w:sz="0" w:space="0" w:color="auto"/>
        <w:right w:val="none" w:sz="0" w:space="0" w:color="auto"/>
      </w:divBdr>
    </w:div>
    <w:div w:id="825785526">
      <w:bodyDiv w:val="1"/>
      <w:marLeft w:val="0"/>
      <w:marRight w:val="0"/>
      <w:marTop w:val="0"/>
      <w:marBottom w:val="0"/>
      <w:divBdr>
        <w:top w:val="none" w:sz="0" w:space="0" w:color="auto"/>
        <w:left w:val="none" w:sz="0" w:space="0" w:color="auto"/>
        <w:bottom w:val="none" w:sz="0" w:space="0" w:color="auto"/>
        <w:right w:val="none" w:sz="0" w:space="0" w:color="auto"/>
      </w:divBdr>
      <w:divsChild>
        <w:div w:id="654265881">
          <w:marLeft w:val="274"/>
          <w:marRight w:val="0"/>
          <w:marTop w:val="0"/>
          <w:marBottom w:val="0"/>
          <w:divBdr>
            <w:top w:val="none" w:sz="0" w:space="0" w:color="auto"/>
            <w:left w:val="none" w:sz="0" w:space="0" w:color="auto"/>
            <w:bottom w:val="none" w:sz="0" w:space="0" w:color="auto"/>
            <w:right w:val="none" w:sz="0" w:space="0" w:color="auto"/>
          </w:divBdr>
        </w:div>
        <w:div w:id="1926184732">
          <w:marLeft w:val="274"/>
          <w:marRight w:val="0"/>
          <w:marTop w:val="0"/>
          <w:marBottom w:val="0"/>
          <w:divBdr>
            <w:top w:val="none" w:sz="0" w:space="0" w:color="auto"/>
            <w:left w:val="none" w:sz="0" w:space="0" w:color="auto"/>
            <w:bottom w:val="none" w:sz="0" w:space="0" w:color="auto"/>
            <w:right w:val="none" w:sz="0" w:space="0" w:color="auto"/>
          </w:divBdr>
        </w:div>
        <w:div w:id="1406993808">
          <w:marLeft w:val="274"/>
          <w:marRight w:val="0"/>
          <w:marTop w:val="0"/>
          <w:marBottom w:val="0"/>
          <w:divBdr>
            <w:top w:val="none" w:sz="0" w:space="0" w:color="auto"/>
            <w:left w:val="none" w:sz="0" w:space="0" w:color="auto"/>
            <w:bottom w:val="none" w:sz="0" w:space="0" w:color="auto"/>
            <w:right w:val="none" w:sz="0" w:space="0" w:color="auto"/>
          </w:divBdr>
        </w:div>
        <w:div w:id="654452403">
          <w:marLeft w:val="274"/>
          <w:marRight w:val="0"/>
          <w:marTop w:val="0"/>
          <w:marBottom w:val="0"/>
          <w:divBdr>
            <w:top w:val="none" w:sz="0" w:space="0" w:color="auto"/>
            <w:left w:val="none" w:sz="0" w:space="0" w:color="auto"/>
            <w:bottom w:val="none" w:sz="0" w:space="0" w:color="auto"/>
            <w:right w:val="none" w:sz="0" w:space="0" w:color="auto"/>
          </w:divBdr>
        </w:div>
        <w:div w:id="1748651418">
          <w:marLeft w:val="274"/>
          <w:marRight w:val="0"/>
          <w:marTop w:val="0"/>
          <w:marBottom w:val="0"/>
          <w:divBdr>
            <w:top w:val="none" w:sz="0" w:space="0" w:color="auto"/>
            <w:left w:val="none" w:sz="0" w:space="0" w:color="auto"/>
            <w:bottom w:val="none" w:sz="0" w:space="0" w:color="auto"/>
            <w:right w:val="none" w:sz="0" w:space="0" w:color="auto"/>
          </w:divBdr>
        </w:div>
      </w:divsChild>
    </w:div>
    <w:div w:id="831482064">
      <w:bodyDiv w:val="1"/>
      <w:marLeft w:val="0"/>
      <w:marRight w:val="0"/>
      <w:marTop w:val="0"/>
      <w:marBottom w:val="0"/>
      <w:divBdr>
        <w:top w:val="none" w:sz="0" w:space="0" w:color="auto"/>
        <w:left w:val="none" w:sz="0" w:space="0" w:color="auto"/>
        <w:bottom w:val="none" w:sz="0" w:space="0" w:color="auto"/>
        <w:right w:val="none" w:sz="0" w:space="0" w:color="auto"/>
      </w:divBdr>
    </w:div>
    <w:div w:id="837574261">
      <w:bodyDiv w:val="1"/>
      <w:marLeft w:val="0"/>
      <w:marRight w:val="0"/>
      <w:marTop w:val="0"/>
      <w:marBottom w:val="0"/>
      <w:divBdr>
        <w:top w:val="none" w:sz="0" w:space="0" w:color="auto"/>
        <w:left w:val="none" w:sz="0" w:space="0" w:color="auto"/>
        <w:bottom w:val="none" w:sz="0" w:space="0" w:color="auto"/>
        <w:right w:val="none" w:sz="0" w:space="0" w:color="auto"/>
      </w:divBdr>
    </w:div>
    <w:div w:id="846864632">
      <w:bodyDiv w:val="1"/>
      <w:marLeft w:val="0"/>
      <w:marRight w:val="0"/>
      <w:marTop w:val="0"/>
      <w:marBottom w:val="0"/>
      <w:divBdr>
        <w:top w:val="none" w:sz="0" w:space="0" w:color="auto"/>
        <w:left w:val="none" w:sz="0" w:space="0" w:color="auto"/>
        <w:bottom w:val="none" w:sz="0" w:space="0" w:color="auto"/>
        <w:right w:val="none" w:sz="0" w:space="0" w:color="auto"/>
      </w:divBdr>
      <w:divsChild>
        <w:div w:id="325669571">
          <w:marLeft w:val="0"/>
          <w:marRight w:val="0"/>
          <w:marTop w:val="0"/>
          <w:marBottom w:val="0"/>
          <w:divBdr>
            <w:top w:val="none" w:sz="0" w:space="0" w:color="auto"/>
            <w:left w:val="none" w:sz="0" w:space="0" w:color="auto"/>
            <w:bottom w:val="none" w:sz="0" w:space="0" w:color="auto"/>
            <w:right w:val="none" w:sz="0" w:space="0" w:color="auto"/>
          </w:divBdr>
        </w:div>
        <w:div w:id="719331288">
          <w:marLeft w:val="0"/>
          <w:marRight w:val="0"/>
          <w:marTop w:val="0"/>
          <w:marBottom w:val="0"/>
          <w:divBdr>
            <w:top w:val="none" w:sz="0" w:space="0" w:color="auto"/>
            <w:left w:val="none" w:sz="0" w:space="0" w:color="auto"/>
            <w:bottom w:val="none" w:sz="0" w:space="0" w:color="auto"/>
            <w:right w:val="none" w:sz="0" w:space="0" w:color="auto"/>
          </w:divBdr>
        </w:div>
        <w:div w:id="971011620">
          <w:marLeft w:val="0"/>
          <w:marRight w:val="0"/>
          <w:marTop w:val="0"/>
          <w:marBottom w:val="0"/>
          <w:divBdr>
            <w:top w:val="none" w:sz="0" w:space="0" w:color="auto"/>
            <w:left w:val="none" w:sz="0" w:space="0" w:color="auto"/>
            <w:bottom w:val="none" w:sz="0" w:space="0" w:color="auto"/>
            <w:right w:val="none" w:sz="0" w:space="0" w:color="auto"/>
          </w:divBdr>
        </w:div>
        <w:div w:id="2016571147">
          <w:marLeft w:val="0"/>
          <w:marRight w:val="0"/>
          <w:marTop w:val="0"/>
          <w:marBottom w:val="0"/>
          <w:divBdr>
            <w:top w:val="none" w:sz="0" w:space="0" w:color="auto"/>
            <w:left w:val="none" w:sz="0" w:space="0" w:color="auto"/>
            <w:bottom w:val="none" w:sz="0" w:space="0" w:color="auto"/>
            <w:right w:val="none" w:sz="0" w:space="0" w:color="auto"/>
          </w:divBdr>
        </w:div>
        <w:div w:id="667556758">
          <w:marLeft w:val="0"/>
          <w:marRight w:val="0"/>
          <w:marTop w:val="0"/>
          <w:marBottom w:val="0"/>
          <w:divBdr>
            <w:top w:val="none" w:sz="0" w:space="0" w:color="auto"/>
            <w:left w:val="none" w:sz="0" w:space="0" w:color="auto"/>
            <w:bottom w:val="none" w:sz="0" w:space="0" w:color="auto"/>
            <w:right w:val="none" w:sz="0" w:space="0" w:color="auto"/>
          </w:divBdr>
        </w:div>
        <w:div w:id="1658535464">
          <w:marLeft w:val="0"/>
          <w:marRight w:val="0"/>
          <w:marTop w:val="0"/>
          <w:marBottom w:val="0"/>
          <w:divBdr>
            <w:top w:val="none" w:sz="0" w:space="0" w:color="auto"/>
            <w:left w:val="none" w:sz="0" w:space="0" w:color="auto"/>
            <w:bottom w:val="none" w:sz="0" w:space="0" w:color="auto"/>
            <w:right w:val="none" w:sz="0" w:space="0" w:color="auto"/>
          </w:divBdr>
        </w:div>
        <w:div w:id="606238599">
          <w:marLeft w:val="0"/>
          <w:marRight w:val="0"/>
          <w:marTop w:val="0"/>
          <w:marBottom w:val="0"/>
          <w:divBdr>
            <w:top w:val="none" w:sz="0" w:space="0" w:color="auto"/>
            <w:left w:val="none" w:sz="0" w:space="0" w:color="auto"/>
            <w:bottom w:val="none" w:sz="0" w:space="0" w:color="auto"/>
            <w:right w:val="none" w:sz="0" w:space="0" w:color="auto"/>
          </w:divBdr>
        </w:div>
        <w:div w:id="793913198">
          <w:marLeft w:val="0"/>
          <w:marRight w:val="0"/>
          <w:marTop w:val="0"/>
          <w:marBottom w:val="0"/>
          <w:divBdr>
            <w:top w:val="none" w:sz="0" w:space="0" w:color="auto"/>
            <w:left w:val="none" w:sz="0" w:space="0" w:color="auto"/>
            <w:bottom w:val="none" w:sz="0" w:space="0" w:color="auto"/>
            <w:right w:val="none" w:sz="0" w:space="0" w:color="auto"/>
          </w:divBdr>
        </w:div>
      </w:divsChild>
    </w:div>
    <w:div w:id="851067540">
      <w:bodyDiv w:val="1"/>
      <w:marLeft w:val="0"/>
      <w:marRight w:val="0"/>
      <w:marTop w:val="0"/>
      <w:marBottom w:val="0"/>
      <w:divBdr>
        <w:top w:val="none" w:sz="0" w:space="0" w:color="auto"/>
        <w:left w:val="none" w:sz="0" w:space="0" w:color="auto"/>
        <w:bottom w:val="none" w:sz="0" w:space="0" w:color="auto"/>
        <w:right w:val="none" w:sz="0" w:space="0" w:color="auto"/>
      </w:divBdr>
    </w:div>
    <w:div w:id="854148805">
      <w:bodyDiv w:val="1"/>
      <w:marLeft w:val="0"/>
      <w:marRight w:val="0"/>
      <w:marTop w:val="0"/>
      <w:marBottom w:val="0"/>
      <w:divBdr>
        <w:top w:val="none" w:sz="0" w:space="0" w:color="auto"/>
        <w:left w:val="none" w:sz="0" w:space="0" w:color="auto"/>
        <w:bottom w:val="none" w:sz="0" w:space="0" w:color="auto"/>
        <w:right w:val="none" w:sz="0" w:space="0" w:color="auto"/>
      </w:divBdr>
    </w:div>
    <w:div w:id="858275187">
      <w:bodyDiv w:val="1"/>
      <w:marLeft w:val="0"/>
      <w:marRight w:val="0"/>
      <w:marTop w:val="0"/>
      <w:marBottom w:val="0"/>
      <w:divBdr>
        <w:top w:val="none" w:sz="0" w:space="0" w:color="auto"/>
        <w:left w:val="none" w:sz="0" w:space="0" w:color="auto"/>
        <w:bottom w:val="none" w:sz="0" w:space="0" w:color="auto"/>
        <w:right w:val="none" w:sz="0" w:space="0" w:color="auto"/>
      </w:divBdr>
    </w:div>
    <w:div w:id="868757224">
      <w:bodyDiv w:val="1"/>
      <w:marLeft w:val="0"/>
      <w:marRight w:val="0"/>
      <w:marTop w:val="0"/>
      <w:marBottom w:val="0"/>
      <w:divBdr>
        <w:top w:val="none" w:sz="0" w:space="0" w:color="auto"/>
        <w:left w:val="none" w:sz="0" w:space="0" w:color="auto"/>
        <w:bottom w:val="none" w:sz="0" w:space="0" w:color="auto"/>
        <w:right w:val="none" w:sz="0" w:space="0" w:color="auto"/>
      </w:divBdr>
    </w:div>
    <w:div w:id="880627536">
      <w:bodyDiv w:val="1"/>
      <w:marLeft w:val="0"/>
      <w:marRight w:val="0"/>
      <w:marTop w:val="0"/>
      <w:marBottom w:val="0"/>
      <w:divBdr>
        <w:top w:val="none" w:sz="0" w:space="0" w:color="auto"/>
        <w:left w:val="none" w:sz="0" w:space="0" w:color="auto"/>
        <w:bottom w:val="none" w:sz="0" w:space="0" w:color="auto"/>
        <w:right w:val="none" w:sz="0" w:space="0" w:color="auto"/>
      </w:divBdr>
    </w:div>
    <w:div w:id="881131703">
      <w:bodyDiv w:val="1"/>
      <w:marLeft w:val="0"/>
      <w:marRight w:val="0"/>
      <w:marTop w:val="0"/>
      <w:marBottom w:val="0"/>
      <w:divBdr>
        <w:top w:val="none" w:sz="0" w:space="0" w:color="auto"/>
        <w:left w:val="none" w:sz="0" w:space="0" w:color="auto"/>
        <w:bottom w:val="none" w:sz="0" w:space="0" w:color="auto"/>
        <w:right w:val="none" w:sz="0" w:space="0" w:color="auto"/>
      </w:divBdr>
      <w:divsChild>
        <w:div w:id="1288973443">
          <w:marLeft w:val="547"/>
          <w:marRight w:val="0"/>
          <w:marTop w:val="0"/>
          <w:marBottom w:val="0"/>
          <w:divBdr>
            <w:top w:val="none" w:sz="0" w:space="0" w:color="auto"/>
            <w:left w:val="none" w:sz="0" w:space="0" w:color="auto"/>
            <w:bottom w:val="none" w:sz="0" w:space="0" w:color="auto"/>
            <w:right w:val="none" w:sz="0" w:space="0" w:color="auto"/>
          </w:divBdr>
        </w:div>
      </w:divsChild>
    </w:div>
    <w:div w:id="885412794">
      <w:bodyDiv w:val="1"/>
      <w:marLeft w:val="0"/>
      <w:marRight w:val="0"/>
      <w:marTop w:val="0"/>
      <w:marBottom w:val="0"/>
      <w:divBdr>
        <w:top w:val="none" w:sz="0" w:space="0" w:color="auto"/>
        <w:left w:val="none" w:sz="0" w:space="0" w:color="auto"/>
        <w:bottom w:val="none" w:sz="0" w:space="0" w:color="auto"/>
        <w:right w:val="none" w:sz="0" w:space="0" w:color="auto"/>
      </w:divBdr>
    </w:div>
    <w:div w:id="886603190">
      <w:bodyDiv w:val="1"/>
      <w:marLeft w:val="0"/>
      <w:marRight w:val="0"/>
      <w:marTop w:val="0"/>
      <w:marBottom w:val="0"/>
      <w:divBdr>
        <w:top w:val="none" w:sz="0" w:space="0" w:color="auto"/>
        <w:left w:val="none" w:sz="0" w:space="0" w:color="auto"/>
        <w:bottom w:val="none" w:sz="0" w:space="0" w:color="auto"/>
        <w:right w:val="none" w:sz="0" w:space="0" w:color="auto"/>
      </w:divBdr>
      <w:divsChild>
        <w:div w:id="303242093">
          <w:marLeft w:val="547"/>
          <w:marRight w:val="0"/>
          <w:marTop w:val="0"/>
          <w:marBottom w:val="0"/>
          <w:divBdr>
            <w:top w:val="none" w:sz="0" w:space="0" w:color="auto"/>
            <w:left w:val="none" w:sz="0" w:space="0" w:color="auto"/>
            <w:bottom w:val="none" w:sz="0" w:space="0" w:color="auto"/>
            <w:right w:val="none" w:sz="0" w:space="0" w:color="auto"/>
          </w:divBdr>
        </w:div>
      </w:divsChild>
    </w:div>
    <w:div w:id="892037852">
      <w:bodyDiv w:val="1"/>
      <w:marLeft w:val="0"/>
      <w:marRight w:val="0"/>
      <w:marTop w:val="0"/>
      <w:marBottom w:val="0"/>
      <w:divBdr>
        <w:top w:val="none" w:sz="0" w:space="0" w:color="auto"/>
        <w:left w:val="none" w:sz="0" w:space="0" w:color="auto"/>
        <w:bottom w:val="none" w:sz="0" w:space="0" w:color="auto"/>
        <w:right w:val="none" w:sz="0" w:space="0" w:color="auto"/>
      </w:divBdr>
    </w:div>
    <w:div w:id="896745647">
      <w:bodyDiv w:val="1"/>
      <w:marLeft w:val="0"/>
      <w:marRight w:val="0"/>
      <w:marTop w:val="0"/>
      <w:marBottom w:val="0"/>
      <w:divBdr>
        <w:top w:val="none" w:sz="0" w:space="0" w:color="auto"/>
        <w:left w:val="none" w:sz="0" w:space="0" w:color="auto"/>
        <w:bottom w:val="none" w:sz="0" w:space="0" w:color="auto"/>
        <w:right w:val="none" w:sz="0" w:space="0" w:color="auto"/>
      </w:divBdr>
      <w:divsChild>
        <w:div w:id="1423376802">
          <w:marLeft w:val="547"/>
          <w:marRight w:val="0"/>
          <w:marTop w:val="0"/>
          <w:marBottom w:val="0"/>
          <w:divBdr>
            <w:top w:val="none" w:sz="0" w:space="0" w:color="auto"/>
            <w:left w:val="none" w:sz="0" w:space="0" w:color="auto"/>
            <w:bottom w:val="none" w:sz="0" w:space="0" w:color="auto"/>
            <w:right w:val="none" w:sz="0" w:space="0" w:color="auto"/>
          </w:divBdr>
        </w:div>
      </w:divsChild>
    </w:div>
    <w:div w:id="908466678">
      <w:bodyDiv w:val="1"/>
      <w:marLeft w:val="0"/>
      <w:marRight w:val="0"/>
      <w:marTop w:val="0"/>
      <w:marBottom w:val="0"/>
      <w:divBdr>
        <w:top w:val="none" w:sz="0" w:space="0" w:color="auto"/>
        <w:left w:val="none" w:sz="0" w:space="0" w:color="auto"/>
        <w:bottom w:val="none" w:sz="0" w:space="0" w:color="auto"/>
        <w:right w:val="none" w:sz="0" w:space="0" w:color="auto"/>
      </w:divBdr>
    </w:div>
    <w:div w:id="910623332">
      <w:bodyDiv w:val="1"/>
      <w:marLeft w:val="0"/>
      <w:marRight w:val="0"/>
      <w:marTop w:val="0"/>
      <w:marBottom w:val="0"/>
      <w:divBdr>
        <w:top w:val="none" w:sz="0" w:space="0" w:color="auto"/>
        <w:left w:val="none" w:sz="0" w:space="0" w:color="auto"/>
        <w:bottom w:val="none" w:sz="0" w:space="0" w:color="auto"/>
        <w:right w:val="none" w:sz="0" w:space="0" w:color="auto"/>
      </w:divBdr>
    </w:div>
    <w:div w:id="924994034">
      <w:bodyDiv w:val="1"/>
      <w:marLeft w:val="0"/>
      <w:marRight w:val="0"/>
      <w:marTop w:val="0"/>
      <w:marBottom w:val="0"/>
      <w:divBdr>
        <w:top w:val="none" w:sz="0" w:space="0" w:color="auto"/>
        <w:left w:val="none" w:sz="0" w:space="0" w:color="auto"/>
        <w:bottom w:val="none" w:sz="0" w:space="0" w:color="auto"/>
        <w:right w:val="none" w:sz="0" w:space="0" w:color="auto"/>
      </w:divBdr>
    </w:div>
    <w:div w:id="929506585">
      <w:bodyDiv w:val="1"/>
      <w:marLeft w:val="0"/>
      <w:marRight w:val="0"/>
      <w:marTop w:val="0"/>
      <w:marBottom w:val="0"/>
      <w:divBdr>
        <w:top w:val="none" w:sz="0" w:space="0" w:color="auto"/>
        <w:left w:val="none" w:sz="0" w:space="0" w:color="auto"/>
        <w:bottom w:val="none" w:sz="0" w:space="0" w:color="auto"/>
        <w:right w:val="none" w:sz="0" w:space="0" w:color="auto"/>
      </w:divBdr>
      <w:divsChild>
        <w:div w:id="1112169453">
          <w:marLeft w:val="446"/>
          <w:marRight w:val="0"/>
          <w:marTop w:val="0"/>
          <w:marBottom w:val="0"/>
          <w:divBdr>
            <w:top w:val="none" w:sz="0" w:space="0" w:color="auto"/>
            <w:left w:val="none" w:sz="0" w:space="0" w:color="auto"/>
            <w:bottom w:val="none" w:sz="0" w:space="0" w:color="auto"/>
            <w:right w:val="none" w:sz="0" w:space="0" w:color="auto"/>
          </w:divBdr>
        </w:div>
        <w:div w:id="649671938">
          <w:marLeft w:val="446"/>
          <w:marRight w:val="0"/>
          <w:marTop w:val="0"/>
          <w:marBottom w:val="0"/>
          <w:divBdr>
            <w:top w:val="none" w:sz="0" w:space="0" w:color="auto"/>
            <w:left w:val="none" w:sz="0" w:space="0" w:color="auto"/>
            <w:bottom w:val="none" w:sz="0" w:space="0" w:color="auto"/>
            <w:right w:val="none" w:sz="0" w:space="0" w:color="auto"/>
          </w:divBdr>
        </w:div>
        <w:div w:id="1735591093">
          <w:marLeft w:val="446"/>
          <w:marRight w:val="0"/>
          <w:marTop w:val="0"/>
          <w:marBottom w:val="0"/>
          <w:divBdr>
            <w:top w:val="none" w:sz="0" w:space="0" w:color="auto"/>
            <w:left w:val="none" w:sz="0" w:space="0" w:color="auto"/>
            <w:bottom w:val="none" w:sz="0" w:space="0" w:color="auto"/>
            <w:right w:val="none" w:sz="0" w:space="0" w:color="auto"/>
          </w:divBdr>
        </w:div>
        <w:div w:id="1762681531">
          <w:marLeft w:val="446"/>
          <w:marRight w:val="0"/>
          <w:marTop w:val="0"/>
          <w:marBottom w:val="0"/>
          <w:divBdr>
            <w:top w:val="none" w:sz="0" w:space="0" w:color="auto"/>
            <w:left w:val="none" w:sz="0" w:space="0" w:color="auto"/>
            <w:bottom w:val="none" w:sz="0" w:space="0" w:color="auto"/>
            <w:right w:val="none" w:sz="0" w:space="0" w:color="auto"/>
          </w:divBdr>
        </w:div>
        <w:div w:id="701443935">
          <w:marLeft w:val="446"/>
          <w:marRight w:val="0"/>
          <w:marTop w:val="0"/>
          <w:marBottom w:val="0"/>
          <w:divBdr>
            <w:top w:val="none" w:sz="0" w:space="0" w:color="auto"/>
            <w:left w:val="none" w:sz="0" w:space="0" w:color="auto"/>
            <w:bottom w:val="none" w:sz="0" w:space="0" w:color="auto"/>
            <w:right w:val="none" w:sz="0" w:space="0" w:color="auto"/>
          </w:divBdr>
        </w:div>
      </w:divsChild>
    </w:div>
    <w:div w:id="931552557">
      <w:bodyDiv w:val="1"/>
      <w:marLeft w:val="0"/>
      <w:marRight w:val="0"/>
      <w:marTop w:val="0"/>
      <w:marBottom w:val="0"/>
      <w:divBdr>
        <w:top w:val="none" w:sz="0" w:space="0" w:color="auto"/>
        <w:left w:val="none" w:sz="0" w:space="0" w:color="auto"/>
        <w:bottom w:val="none" w:sz="0" w:space="0" w:color="auto"/>
        <w:right w:val="none" w:sz="0" w:space="0" w:color="auto"/>
      </w:divBdr>
    </w:div>
    <w:div w:id="939530801">
      <w:bodyDiv w:val="1"/>
      <w:marLeft w:val="0"/>
      <w:marRight w:val="0"/>
      <w:marTop w:val="0"/>
      <w:marBottom w:val="0"/>
      <w:divBdr>
        <w:top w:val="none" w:sz="0" w:space="0" w:color="auto"/>
        <w:left w:val="none" w:sz="0" w:space="0" w:color="auto"/>
        <w:bottom w:val="none" w:sz="0" w:space="0" w:color="auto"/>
        <w:right w:val="none" w:sz="0" w:space="0" w:color="auto"/>
      </w:divBdr>
    </w:div>
    <w:div w:id="942881191">
      <w:bodyDiv w:val="1"/>
      <w:marLeft w:val="0"/>
      <w:marRight w:val="0"/>
      <w:marTop w:val="0"/>
      <w:marBottom w:val="0"/>
      <w:divBdr>
        <w:top w:val="none" w:sz="0" w:space="0" w:color="auto"/>
        <w:left w:val="none" w:sz="0" w:space="0" w:color="auto"/>
        <w:bottom w:val="none" w:sz="0" w:space="0" w:color="auto"/>
        <w:right w:val="none" w:sz="0" w:space="0" w:color="auto"/>
      </w:divBdr>
    </w:div>
    <w:div w:id="950552756">
      <w:bodyDiv w:val="1"/>
      <w:marLeft w:val="0"/>
      <w:marRight w:val="0"/>
      <w:marTop w:val="0"/>
      <w:marBottom w:val="0"/>
      <w:divBdr>
        <w:top w:val="none" w:sz="0" w:space="0" w:color="auto"/>
        <w:left w:val="none" w:sz="0" w:space="0" w:color="auto"/>
        <w:bottom w:val="none" w:sz="0" w:space="0" w:color="auto"/>
        <w:right w:val="none" w:sz="0" w:space="0" w:color="auto"/>
      </w:divBdr>
      <w:divsChild>
        <w:div w:id="1843279005">
          <w:marLeft w:val="0"/>
          <w:marRight w:val="0"/>
          <w:marTop w:val="0"/>
          <w:marBottom w:val="0"/>
          <w:divBdr>
            <w:top w:val="none" w:sz="0" w:space="0" w:color="auto"/>
            <w:left w:val="none" w:sz="0" w:space="0" w:color="auto"/>
            <w:bottom w:val="none" w:sz="0" w:space="0" w:color="auto"/>
            <w:right w:val="none" w:sz="0" w:space="0" w:color="auto"/>
          </w:divBdr>
        </w:div>
        <w:div w:id="1925797267">
          <w:marLeft w:val="0"/>
          <w:marRight w:val="0"/>
          <w:marTop w:val="0"/>
          <w:marBottom w:val="0"/>
          <w:divBdr>
            <w:top w:val="none" w:sz="0" w:space="0" w:color="auto"/>
            <w:left w:val="none" w:sz="0" w:space="0" w:color="auto"/>
            <w:bottom w:val="none" w:sz="0" w:space="0" w:color="auto"/>
            <w:right w:val="none" w:sz="0" w:space="0" w:color="auto"/>
          </w:divBdr>
        </w:div>
        <w:div w:id="398019962">
          <w:marLeft w:val="0"/>
          <w:marRight w:val="0"/>
          <w:marTop w:val="0"/>
          <w:marBottom w:val="0"/>
          <w:divBdr>
            <w:top w:val="none" w:sz="0" w:space="0" w:color="auto"/>
            <w:left w:val="none" w:sz="0" w:space="0" w:color="auto"/>
            <w:bottom w:val="none" w:sz="0" w:space="0" w:color="auto"/>
            <w:right w:val="none" w:sz="0" w:space="0" w:color="auto"/>
          </w:divBdr>
        </w:div>
        <w:div w:id="1912349650">
          <w:marLeft w:val="0"/>
          <w:marRight w:val="0"/>
          <w:marTop w:val="0"/>
          <w:marBottom w:val="0"/>
          <w:divBdr>
            <w:top w:val="none" w:sz="0" w:space="0" w:color="auto"/>
            <w:left w:val="none" w:sz="0" w:space="0" w:color="auto"/>
            <w:bottom w:val="none" w:sz="0" w:space="0" w:color="auto"/>
            <w:right w:val="none" w:sz="0" w:space="0" w:color="auto"/>
          </w:divBdr>
        </w:div>
        <w:div w:id="861867854">
          <w:marLeft w:val="0"/>
          <w:marRight w:val="0"/>
          <w:marTop w:val="0"/>
          <w:marBottom w:val="0"/>
          <w:divBdr>
            <w:top w:val="none" w:sz="0" w:space="0" w:color="auto"/>
            <w:left w:val="none" w:sz="0" w:space="0" w:color="auto"/>
            <w:bottom w:val="none" w:sz="0" w:space="0" w:color="auto"/>
            <w:right w:val="none" w:sz="0" w:space="0" w:color="auto"/>
          </w:divBdr>
        </w:div>
        <w:div w:id="578441593">
          <w:marLeft w:val="0"/>
          <w:marRight w:val="0"/>
          <w:marTop w:val="0"/>
          <w:marBottom w:val="0"/>
          <w:divBdr>
            <w:top w:val="none" w:sz="0" w:space="0" w:color="auto"/>
            <w:left w:val="none" w:sz="0" w:space="0" w:color="auto"/>
            <w:bottom w:val="none" w:sz="0" w:space="0" w:color="auto"/>
            <w:right w:val="none" w:sz="0" w:space="0" w:color="auto"/>
          </w:divBdr>
        </w:div>
        <w:div w:id="508521613">
          <w:marLeft w:val="0"/>
          <w:marRight w:val="0"/>
          <w:marTop w:val="0"/>
          <w:marBottom w:val="0"/>
          <w:divBdr>
            <w:top w:val="none" w:sz="0" w:space="0" w:color="auto"/>
            <w:left w:val="none" w:sz="0" w:space="0" w:color="auto"/>
            <w:bottom w:val="none" w:sz="0" w:space="0" w:color="auto"/>
            <w:right w:val="none" w:sz="0" w:space="0" w:color="auto"/>
          </w:divBdr>
        </w:div>
        <w:div w:id="213321163">
          <w:marLeft w:val="0"/>
          <w:marRight w:val="0"/>
          <w:marTop w:val="0"/>
          <w:marBottom w:val="0"/>
          <w:divBdr>
            <w:top w:val="none" w:sz="0" w:space="0" w:color="auto"/>
            <w:left w:val="none" w:sz="0" w:space="0" w:color="auto"/>
            <w:bottom w:val="none" w:sz="0" w:space="0" w:color="auto"/>
            <w:right w:val="none" w:sz="0" w:space="0" w:color="auto"/>
          </w:divBdr>
        </w:div>
      </w:divsChild>
    </w:div>
    <w:div w:id="961496742">
      <w:bodyDiv w:val="1"/>
      <w:marLeft w:val="0"/>
      <w:marRight w:val="0"/>
      <w:marTop w:val="0"/>
      <w:marBottom w:val="0"/>
      <w:divBdr>
        <w:top w:val="none" w:sz="0" w:space="0" w:color="auto"/>
        <w:left w:val="none" w:sz="0" w:space="0" w:color="auto"/>
        <w:bottom w:val="none" w:sz="0" w:space="0" w:color="auto"/>
        <w:right w:val="none" w:sz="0" w:space="0" w:color="auto"/>
      </w:divBdr>
    </w:div>
    <w:div w:id="966012834">
      <w:bodyDiv w:val="1"/>
      <w:marLeft w:val="0"/>
      <w:marRight w:val="0"/>
      <w:marTop w:val="0"/>
      <w:marBottom w:val="0"/>
      <w:divBdr>
        <w:top w:val="none" w:sz="0" w:space="0" w:color="auto"/>
        <w:left w:val="none" w:sz="0" w:space="0" w:color="auto"/>
        <w:bottom w:val="none" w:sz="0" w:space="0" w:color="auto"/>
        <w:right w:val="none" w:sz="0" w:space="0" w:color="auto"/>
      </w:divBdr>
    </w:div>
    <w:div w:id="1008555201">
      <w:bodyDiv w:val="1"/>
      <w:marLeft w:val="0"/>
      <w:marRight w:val="0"/>
      <w:marTop w:val="0"/>
      <w:marBottom w:val="0"/>
      <w:divBdr>
        <w:top w:val="none" w:sz="0" w:space="0" w:color="auto"/>
        <w:left w:val="none" w:sz="0" w:space="0" w:color="auto"/>
        <w:bottom w:val="none" w:sz="0" w:space="0" w:color="auto"/>
        <w:right w:val="none" w:sz="0" w:space="0" w:color="auto"/>
      </w:divBdr>
    </w:div>
    <w:div w:id="1014498361">
      <w:bodyDiv w:val="1"/>
      <w:marLeft w:val="0"/>
      <w:marRight w:val="0"/>
      <w:marTop w:val="0"/>
      <w:marBottom w:val="0"/>
      <w:divBdr>
        <w:top w:val="none" w:sz="0" w:space="0" w:color="auto"/>
        <w:left w:val="none" w:sz="0" w:space="0" w:color="auto"/>
        <w:bottom w:val="none" w:sz="0" w:space="0" w:color="auto"/>
        <w:right w:val="none" w:sz="0" w:space="0" w:color="auto"/>
      </w:divBdr>
      <w:divsChild>
        <w:div w:id="1901669925">
          <w:marLeft w:val="360"/>
          <w:marRight w:val="0"/>
          <w:marTop w:val="0"/>
          <w:marBottom w:val="120"/>
          <w:divBdr>
            <w:top w:val="none" w:sz="0" w:space="0" w:color="auto"/>
            <w:left w:val="none" w:sz="0" w:space="0" w:color="auto"/>
            <w:bottom w:val="none" w:sz="0" w:space="0" w:color="auto"/>
            <w:right w:val="none" w:sz="0" w:space="0" w:color="auto"/>
          </w:divBdr>
        </w:div>
        <w:div w:id="1694578142">
          <w:marLeft w:val="360"/>
          <w:marRight w:val="0"/>
          <w:marTop w:val="0"/>
          <w:marBottom w:val="120"/>
          <w:divBdr>
            <w:top w:val="none" w:sz="0" w:space="0" w:color="auto"/>
            <w:left w:val="none" w:sz="0" w:space="0" w:color="auto"/>
            <w:bottom w:val="none" w:sz="0" w:space="0" w:color="auto"/>
            <w:right w:val="none" w:sz="0" w:space="0" w:color="auto"/>
          </w:divBdr>
        </w:div>
        <w:div w:id="1868129936">
          <w:marLeft w:val="360"/>
          <w:marRight w:val="0"/>
          <w:marTop w:val="0"/>
          <w:marBottom w:val="120"/>
          <w:divBdr>
            <w:top w:val="none" w:sz="0" w:space="0" w:color="auto"/>
            <w:left w:val="none" w:sz="0" w:space="0" w:color="auto"/>
            <w:bottom w:val="none" w:sz="0" w:space="0" w:color="auto"/>
            <w:right w:val="none" w:sz="0" w:space="0" w:color="auto"/>
          </w:divBdr>
        </w:div>
      </w:divsChild>
    </w:div>
    <w:div w:id="1020929485">
      <w:bodyDiv w:val="1"/>
      <w:marLeft w:val="0"/>
      <w:marRight w:val="0"/>
      <w:marTop w:val="0"/>
      <w:marBottom w:val="0"/>
      <w:divBdr>
        <w:top w:val="none" w:sz="0" w:space="0" w:color="auto"/>
        <w:left w:val="none" w:sz="0" w:space="0" w:color="auto"/>
        <w:bottom w:val="none" w:sz="0" w:space="0" w:color="auto"/>
        <w:right w:val="none" w:sz="0" w:space="0" w:color="auto"/>
      </w:divBdr>
    </w:div>
    <w:div w:id="1021972219">
      <w:bodyDiv w:val="1"/>
      <w:marLeft w:val="0"/>
      <w:marRight w:val="0"/>
      <w:marTop w:val="0"/>
      <w:marBottom w:val="0"/>
      <w:divBdr>
        <w:top w:val="none" w:sz="0" w:space="0" w:color="auto"/>
        <w:left w:val="none" w:sz="0" w:space="0" w:color="auto"/>
        <w:bottom w:val="none" w:sz="0" w:space="0" w:color="auto"/>
        <w:right w:val="none" w:sz="0" w:space="0" w:color="auto"/>
      </w:divBdr>
      <w:divsChild>
        <w:div w:id="1174688180">
          <w:marLeft w:val="274"/>
          <w:marRight w:val="0"/>
          <w:marTop w:val="0"/>
          <w:marBottom w:val="0"/>
          <w:divBdr>
            <w:top w:val="none" w:sz="0" w:space="0" w:color="auto"/>
            <w:left w:val="none" w:sz="0" w:space="0" w:color="auto"/>
            <w:bottom w:val="none" w:sz="0" w:space="0" w:color="auto"/>
            <w:right w:val="none" w:sz="0" w:space="0" w:color="auto"/>
          </w:divBdr>
        </w:div>
        <w:div w:id="1223567356">
          <w:marLeft w:val="274"/>
          <w:marRight w:val="0"/>
          <w:marTop w:val="0"/>
          <w:marBottom w:val="0"/>
          <w:divBdr>
            <w:top w:val="none" w:sz="0" w:space="0" w:color="auto"/>
            <w:left w:val="none" w:sz="0" w:space="0" w:color="auto"/>
            <w:bottom w:val="none" w:sz="0" w:space="0" w:color="auto"/>
            <w:right w:val="none" w:sz="0" w:space="0" w:color="auto"/>
          </w:divBdr>
        </w:div>
        <w:div w:id="1722902164">
          <w:marLeft w:val="274"/>
          <w:marRight w:val="0"/>
          <w:marTop w:val="0"/>
          <w:marBottom w:val="0"/>
          <w:divBdr>
            <w:top w:val="none" w:sz="0" w:space="0" w:color="auto"/>
            <w:left w:val="none" w:sz="0" w:space="0" w:color="auto"/>
            <w:bottom w:val="none" w:sz="0" w:space="0" w:color="auto"/>
            <w:right w:val="none" w:sz="0" w:space="0" w:color="auto"/>
          </w:divBdr>
        </w:div>
        <w:div w:id="749892804">
          <w:marLeft w:val="274"/>
          <w:marRight w:val="0"/>
          <w:marTop w:val="0"/>
          <w:marBottom w:val="0"/>
          <w:divBdr>
            <w:top w:val="none" w:sz="0" w:space="0" w:color="auto"/>
            <w:left w:val="none" w:sz="0" w:space="0" w:color="auto"/>
            <w:bottom w:val="none" w:sz="0" w:space="0" w:color="auto"/>
            <w:right w:val="none" w:sz="0" w:space="0" w:color="auto"/>
          </w:divBdr>
        </w:div>
        <w:div w:id="676538294">
          <w:marLeft w:val="274"/>
          <w:marRight w:val="0"/>
          <w:marTop w:val="0"/>
          <w:marBottom w:val="0"/>
          <w:divBdr>
            <w:top w:val="none" w:sz="0" w:space="0" w:color="auto"/>
            <w:left w:val="none" w:sz="0" w:space="0" w:color="auto"/>
            <w:bottom w:val="none" w:sz="0" w:space="0" w:color="auto"/>
            <w:right w:val="none" w:sz="0" w:space="0" w:color="auto"/>
          </w:divBdr>
        </w:div>
        <w:div w:id="2107342760">
          <w:marLeft w:val="274"/>
          <w:marRight w:val="0"/>
          <w:marTop w:val="0"/>
          <w:marBottom w:val="0"/>
          <w:divBdr>
            <w:top w:val="none" w:sz="0" w:space="0" w:color="auto"/>
            <w:left w:val="none" w:sz="0" w:space="0" w:color="auto"/>
            <w:bottom w:val="none" w:sz="0" w:space="0" w:color="auto"/>
            <w:right w:val="none" w:sz="0" w:space="0" w:color="auto"/>
          </w:divBdr>
        </w:div>
        <w:div w:id="30688185">
          <w:marLeft w:val="274"/>
          <w:marRight w:val="0"/>
          <w:marTop w:val="0"/>
          <w:marBottom w:val="0"/>
          <w:divBdr>
            <w:top w:val="none" w:sz="0" w:space="0" w:color="auto"/>
            <w:left w:val="none" w:sz="0" w:space="0" w:color="auto"/>
            <w:bottom w:val="none" w:sz="0" w:space="0" w:color="auto"/>
            <w:right w:val="none" w:sz="0" w:space="0" w:color="auto"/>
          </w:divBdr>
        </w:div>
      </w:divsChild>
    </w:div>
    <w:div w:id="1026909272">
      <w:bodyDiv w:val="1"/>
      <w:marLeft w:val="0"/>
      <w:marRight w:val="0"/>
      <w:marTop w:val="0"/>
      <w:marBottom w:val="0"/>
      <w:divBdr>
        <w:top w:val="none" w:sz="0" w:space="0" w:color="auto"/>
        <w:left w:val="none" w:sz="0" w:space="0" w:color="auto"/>
        <w:bottom w:val="none" w:sz="0" w:space="0" w:color="auto"/>
        <w:right w:val="none" w:sz="0" w:space="0" w:color="auto"/>
      </w:divBdr>
    </w:div>
    <w:div w:id="1029835832">
      <w:bodyDiv w:val="1"/>
      <w:marLeft w:val="0"/>
      <w:marRight w:val="0"/>
      <w:marTop w:val="0"/>
      <w:marBottom w:val="0"/>
      <w:divBdr>
        <w:top w:val="none" w:sz="0" w:space="0" w:color="auto"/>
        <w:left w:val="none" w:sz="0" w:space="0" w:color="auto"/>
        <w:bottom w:val="none" w:sz="0" w:space="0" w:color="auto"/>
        <w:right w:val="none" w:sz="0" w:space="0" w:color="auto"/>
      </w:divBdr>
    </w:div>
    <w:div w:id="1029840396">
      <w:bodyDiv w:val="1"/>
      <w:marLeft w:val="0"/>
      <w:marRight w:val="0"/>
      <w:marTop w:val="0"/>
      <w:marBottom w:val="0"/>
      <w:divBdr>
        <w:top w:val="none" w:sz="0" w:space="0" w:color="auto"/>
        <w:left w:val="none" w:sz="0" w:space="0" w:color="auto"/>
        <w:bottom w:val="none" w:sz="0" w:space="0" w:color="auto"/>
        <w:right w:val="none" w:sz="0" w:space="0" w:color="auto"/>
      </w:divBdr>
    </w:div>
    <w:div w:id="1030570902">
      <w:bodyDiv w:val="1"/>
      <w:marLeft w:val="0"/>
      <w:marRight w:val="0"/>
      <w:marTop w:val="0"/>
      <w:marBottom w:val="0"/>
      <w:divBdr>
        <w:top w:val="none" w:sz="0" w:space="0" w:color="auto"/>
        <w:left w:val="none" w:sz="0" w:space="0" w:color="auto"/>
        <w:bottom w:val="none" w:sz="0" w:space="0" w:color="auto"/>
        <w:right w:val="none" w:sz="0" w:space="0" w:color="auto"/>
      </w:divBdr>
      <w:divsChild>
        <w:div w:id="2030788159">
          <w:marLeft w:val="547"/>
          <w:marRight w:val="0"/>
          <w:marTop w:val="0"/>
          <w:marBottom w:val="0"/>
          <w:divBdr>
            <w:top w:val="none" w:sz="0" w:space="0" w:color="auto"/>
            <w:left w:val="none" w:sz="0" w:space="0" w:color="auto"/>
            <w:bottom w:val="none" w:sz="0" w:space="0" w:color="auto"/>
            <w:right w:val="none" w:sz="0" w:space="0" w:color="auto"/>
          </w:divBdr>
        </w:div>
      </w:divsChild>
    </w:div>
    <w:div w:id="1033110724">
      <w:bodyDiv w:val="1"/>
      <w:marLeft w:val="0"/>
      <w:marRight w:val="0"/>
      <w:marTop w:val="0"/>
      <w:marBottom w:val="0"/>
      <w:divBdr>
        <w:top w:val="none" w:sz="0" w:space="0" w:color="auto"/>
        <w:left w:val="none" w:sz="0" w:space="0" w:color="auto"/>
        <w:bottom w:val="none" w:sz="0" w:space="0" w:color="auto"/>
        <w:right w:val="none" w:sz="0" w:space="0" w:color="auto"/>
      </w:divBdr>
    </w:div>
    <w:div w:id="1039890080">
      <w:bodyDiv w:val="1"/>
      <w:marLeft w:val="0"/>
      <w:marRight w:val="0"/>
      <w:marTop w:val="0"/>
      <w:marBottom w:val="0"/>
      <w:divBdr>
        <w:top w:val="none" w:sz="0" w:space="0" w:color="auto"/>
        <w:left w:val="none" w:sz="0" w:space="0" w:color="auto"/>
        <w:bottom w:val="none" w:sz="0" w:space="0" w:color="auto"/>
        <w:right w:val="none" w:sz="0" w:space="0" w:color="auto"/>
      </w:divBdr>
    </w:div>
    <w:div w:id="1051734033">
      <w:bodyDiv w:val="1"/>
      <w:marLeft w:val="0"/>
      <w:marRight w:val="0"/>
      <w:marTop w:val="0"/>
      <w:marBottom w:val="0"/>
      <w:divBdr>
        <w:top w:val="none" w:sz="0" w:space="0" w:color="auto"/>
        <w:left w:val="none" w:sz="0" w:space="0" w:color="auto"/>
        <w:bottom w:val="none" w:sz="0" w:space="0" w:color="auto"/>
        <w:right w:val="none" w:sz="0" w:space="0" w:color="auto"/>
      </w:divBdr>
      <w:divsChild>
        <w:div w:id="2107581001">
          <w:marLeft w:val="547"/>
          <w:marRight w:val="0"/>
          <w:marTop w:val="86"/>
          <w:marBottom w:val="0"/>
          <w:divBdr>
            <w:top w:val="none" w:sz="0" w:space="0" w:color="auto"/>
            <w:left w:val="none" w:sz="0" w:space="0" w:color="auto"/>
            <w:bottom w:val="none" w:sz="0" w:space="0" w:color="auto"/>
            <w:right w:val="none" w:sz="0" w:space="0" w:color="auto"/>
          </w:divBdr>
        </w:div>
        <w:div w:id="2137140724">
          <w:marLeft w:val="547"/>
          <w:marRight w:val="0"/>
          <w:marTop w:val="86"/>
          <w:marBottom w:val="0"/>
          <w:divBdr>
            <w:top w:val="none" w:sz="0" w:space="0" w:color="auto"/>
            <w:left w:val="none" w:sz="0" w:space="0" w:color="auto"/>
            <w:bottom w:val="none" w:sz="0" w:space="0" w:color="auto"/>
            <w:right w:val="none" w:sz="0" w:space="0" w:color="auto"/>
          </w:divBdr>
        </w:div>
        <w:div w:id="2115510600">
          <w:marLeft w:val="446"/>
          <w:marRight w:val="0"/>
          <w:marTop w:val="0"/>
          <w:marBottom w:val="0"/>
          <w:divBdr>
            <w:top w:val="none" w:sz="0" w:space="0" w:color="auto"/>
            <w:left w:val="none" w:sz="0" w:space="0" w:color="auto"/>
            <w:bottom w:val="none" w:sz="0" w:space="0" w:color="auto"/>
            <w:right w:val="none" w:sz="0" w:space="0" w:color="auto"/>
          </w:divBdr>
        </w:div>
        <w:div w:id="784156799">
          <w:marLeft w:val="446"/>
          <w:marRight w:val="0"/>
          <w:marTop w:val="0"/>
          <w:marBottom w:val="0"/>
          <w:divBdr>
            <w:top w:val="none" w:sz="0" w:space="0" w:color="auto"/>
            <w:left w:val="none" w:sz="0" w:space="0" w:color="auto"/>
            <w:bottom w:val="none" w:sz="0" w:space="0" w:color="auto"/>
            <w:right w:val="none" w:sz="0" w:space="0" w:color="auto"/>
          </w:divBdr>
        </w:div>
      </w:divsChild>
    </w:div>
    <w:div w:id="1057169525">
      <w:bodyDiv w:val="1"/>
      <w:marLeft w:val="0"/>
      <w:marRight w:val="0"/>
      <w:marTop w:val="0"/>
      <w:marBottom w:val="0"/>
      <w:divBdr>
        <w:top w:val="none" w:sz="0" w:space="0" w:color="auto"/>
        <w:left w:val="none" w:sz="0" w:space="0" w:color="auto"/>
        <w:bottom w:val="none" w:sz="0" w:space="0" w:color="auto"/>
        <w:right w:val="none" w:sz="0" w:space="0" w:color="auto"/>
      </w:divBdr>
    </w:div>
    <w:div w:id="1064645314">
      <w:bodyDiv w:val="1"/>
      <w:marLeft w:val="0"/>
      <w:marRight w:val="0"/>
      <w:marTop w:val="0"/>
      <w:marBottom w:val="0"/>
      <w:divBdr>
        <w:top w:val="none" w:sz="0" w:space="0" w:color="auto"/>
        <w:left w:val="none" w:sz="0" w:space="0" w:color="auto"/>
        <w:bottom w:val="none" w:sz="0" w:space="0" w:color="auto"/>
        <w:right w:val="none" w:sz="0" w:space="0" w:color="auto"/>
      </w:divBdr>
    </w:div>
    <w:div w:id="1065639663">
      <w:bodyDiv w:val="1"/>
      <w:marLeft w:val="0"/>
      <w:marRight w:val="0"/>
      <w:marTop w:val="0"/>
      <w:marBottom w:val="0"/>
      <w:divBdr>
        <w:top w:val="none" w:sz="0" w:space="0" w:color="auto"/>
        <w:left w:val="none" w:sz="0" w:space="0" w:color="auto"/>
        <w:bottom w:val="none" w:sz="0" w:space="0" w:color="auto"/>
        <w:right w:val="none" w:sz="0" w:space="0" w:color="auto"/>
      </w:divBdr>
      <w:divsChild>
        <w:div w:id="699277706">
          <w:marLeft w:val="446"/>
          <w:marRight w:val="0"/>
          <w:marTop w:val="120"/>
          <w:marBottom w:val="120"/>
          <w:divBdr>
            <w:top w:val="none" w:sz="0" w:space="0" w:color="auto"/>
            <w:left w:val="none" w:sz="0" w:space="0" w:color="auto"/>
            <w:bottom w:val="none" w:sz="0" w:space="0" w:color="auto"/>
            <w:right w:val="none" w:sz="0" w:space="0" w:color="auto"/>
          </w:divBdr>
        </w:div>
      </w:divsChild>
    </w:div>
    <w:div w:id="1067998270">
      <w:bodyDiv w:val="1"/>
      <w:marLeft w:val="0"/>
      <w:marRight w:val="0"/>
      <w:marTop w:val="0"/>
      <w:marBottom w:val="0"/>
      <w:divBdr>
        <w:top w:val="none" w:sz="0" w:space="0" w:color="auto"/>
        <w:left w:val="none" w:sz="0" w:space="0" w:color="auto"/>
        <w:bottom w:val="none" w:sz="0" w:space="0" w:color="auto"/>
        <w:right w:val="none" w:sz="0" w:space="0" w:color="auto"/>
      </w:divBdr>
    </w:div>
    <w:div w:id="1084960283">
      <w:bodyDiv w:val="1"/>
      <w:marLeft w:val="0"/>
      <w:marRight w:val="0"/>
      <w:marTop w:val="0"/>
      <w:marBottom w:val="0"/>
      <w:divBdr>
        <w:top w:val="none" w:sz="0" w:space="0" w:color="auto"/>
        <w:left w:val="none" w:sz="0" w:space="0" w:color="auto"/>
        <w:bottom w:val="none" w:sz="0" w:space="0" w:color="auto"/>
        <w:right w:val="none" w:sz="0" w:space="0" w:color="auto"/>
      </w:divBdr>
      <w:divsChild>
        <w:div w:id="362100375">
          <w:marLeft w:val="907"/>
          <w:marRight w:val="0"/>
          <w:marTop w:val="0"/>
          <w:marBottom w:val="360"/>
          <w:divBdr>
            <w:top w:val="none" w:sz="0" w:space="0" w:color="auto"/>
            <w:left w:val="none" w:sz="0" w:space="0" w:color="auto"/>
            <w:bottom w:val="none" w:sz="0" w:space="0" w:color="auto"/>
            <w:right w:val="none" w:sz="0" w:space="0" w:color="auto"/>
          </w:divBdr>
        </w:div>
        <w:div w:id="743838805">
          <w:marLeft w:val="907"/>
          <w:marRight w:val="0"/>
          <w:marTop w:val="0"/>
          <w:marBottom w:val="360"/>
          <w:divBdr>
            <w:top w:val="none" w:sz="0" w:space="0" w:color="auto"/>
            <w:left w:val="none" w:sz="0" w:space="0" w:color="auto"/>
            <w:bottom w:val="none" w:sz="0" w:space="0" w:color="auto"/>
            <w:right w:val="none" w:sz="0" w:space="0" w:color="auto"/>
          </w:divBdr>
        </w:div>
        <w:div w:id="1400597216">
          <w:marLeft w:val="907"/>
          <w:marRight w:val="0"/>
          <w:marTop w:val="0"/>
          <w:marBottom w:val="360"/>
          <w:divBdr>
            <w:top w:val="none" w:sz="0" w:space="0" w:color="auto"/>
            <w:left w:val="none" w:sz="0" w:space="0" w:color="auto"/>
            <w:bottom w:val="none" w:sz="0" w:space="0" w:color="auto"/>
            <w:right w:val="none" w:sz="0" w:space="0" w:color="auto"/>
          </w:divBdr>
        </w:div>
        <w:div w:id="1727218508">
          <w:marLeft w:val="907"/>
          <w:marRight w:val="0"/>
          <w:marTop w:val="0"/>
          <w:marBottom w:val="360"/>
          <w:divBdr>
            <w:top w:val="none" w:sz="0" w:space="0" w:color="auto"/>
            <w:left w:val="none" w:sz="0" w:space="0" w:color="auto"/>
            <w:bottom w:val="none" w:sz="0" w:space="0" w:color="auto"/>
            <w:right w:val="none" w:sz="0" w:space="0" w:color="auto"/>
          </w:divBdr>
        </w:div>
      </w:divsChild>
    </w:div>
    <w:div w:id="1086415928">
      <w:bodyDiv w:val="1"/>
      <w:marLeft w:val="0"/>
      <w:marRight w:val="0"/>
      <w:marTop w:val="0"/>
      <w:marBottom w:val="0"/>
      <w:divBdr>
        <w:top w:val="none" w:sz="0" w:space="0" w:color="auto"/>
        <w:left w:val="none" w:sz="0" w:space="0" w:color="auto"/>
        <w:bottom w:val="none" w:sz="0" w:space="0" w:color="auto"/>
        <w:right w:val="none" w:sz="0" w:space="0" w:color="auto"/>
      </w:divBdr>
    </w:div>
    <w:div w:id="1099526204">
      <w:bodyDiv w:val="1"/>
      <w:marLeft w:val="0"/>
      <w:marRight w:val="0"/>
      <w:marTop w:val="0"/>
      <w:marBottom w:val="0"/>
      <w:divBdr>
        <w:top w:val="none" w:sz="0" w:space="0" w:color="auto"/>
        <w:left w:val="none" w:sz="0" w:space="0" w:color="auto"/>
        <w:bottom w:val="none" w:sz="0" w:space="0" w:color="auto"/>
        <w:right w:val="none" w:sz="0" w:space="0" w:color="auto"/>
      </w:divBdr>
    </w:div>
    <w:div w:id="1109856160">
      <w:bodyDiv w:val="1"/>
      <w:marLeft w:val="0"/>
      <w:marRight w:val="0"/>
      <w:marTop w:val="0"/>
      <w:marBottom w:val="0"/>
      <w:divBdr>
        <w:top w:val="none" w:sz="0" w:space="0" w:color="auto"/>
        <w:left w:val="none" w:sz="0" w:space="0" w:color="auto"/>
        <w:bottom w:val="none" w:sz="0" w:space="0" w:color="auto"/>
        <w:right w:val="none" w:sz="0" w:space="0" w:color="auto"/>
      </w:divBdr>
    </w:div>
    <w:div w:id="1130048925">
      <w:bodyDiv w:val="1"/>
      <w:marLeft w:val="0"/>
      <w:marRight w:val="0"/>
      <w:marTop w:val="0"/>
      <w:marBottom w:val="0"/>
      <w:divBdr>
        <w:top w:val="none" w:sz="0" w:space="0" w:color="auto"/>
        <w:left w:val="none" w:sz="0" w:space="0" w:color="auto"/>
        <w:bottom w:val="none" w:sz="0" w:space="0" w:color="auto"/>
        <w:right w:val="none" w:sz="0" w:space="0" w:color="auto"/>
      </w:divBdr>
    </w:div>
    <w:div w:id="1130168475">
      <w:bodyDiv w:val="1"/>
      <w:marLeft w:val="0"/>
      <w:marRight w:val="0"/>
      <w:marTop w:val="0"/>
      <w:marBottom w:val="0"/>
      <w:divBdr>
        <w:top w:val="none" w:sz="0" w:space="0" w:color="auto"/>
        <w:left w:val="none" w:sz="0" w:space="0" w:color="auto"/>
        <w:bottom w:val="none" w:sz="0" w:space="0" w:color="auto"/>
        <w:right w:val="none" w:sz="0" w:space="0" w:color="auto"/>
      </w:divBdr>
    </w:div>
    <w:div w:id="1135680632">
      <w:bodyDiv w:val="1"/>
      <w:marLeft w:val="0"/>
      <w:marRight w:val="0"/>
      <w:marTop w:val="0"/>
      <w:marBottom w:val="0"/>
      <w:divBdr>
        <w:top w:val="none" w:sz="0" w:space="0" w:color="auto"/>
        <w:left w:val="none" w:sz="0" w:space="0" w:color="auto"/>
        <w:bottom w:val="none" w:sz="0" w:space="0" w:color="auto"/>
        <w:right w:val="none" w:sz="0" w:space="0" w:color="auto"/>
      </w:divBdr>
    </w:div>
    <w:div w:id="1150516131">
      <w:bodyDiv w:val="1"/>
      <w:marLeft w:val="0"/>
      <w:marRight w:val="0"/>
      <w:marTop w:val="0"/>
      <w:marBottom w:val="0"/>
      <w:divBdr>
        <w:top w:val="none" w:sz="0" w:space="0" w:color="auto"/>
        <w:left w:val="none" w:sz="0" w:space="0" w:color="auto"/>
        <w:bottom w:val="none" w:sz="0" w:space="0" w:color="auto"/>
        <w:right w:val="none" w:sz="0" w:space="0" w:color="auto"/>
      </w:divBdr>
    </w:div>
    <w:div w:id="1150900629">
      <w:bodyDiv w:val="1"/>
      <w:marLeft w:val="0"/>
      <w:marRight w:val="0"/>
      <w:marTop w:val="0"/>
      <w:marBottom w:val="0"/>
      <w:divBdr>
        <w:top w:val="none" w:sz="0" w:space="0" w:color="auto"/>
        <w:left w:val="none" w:sz="0" w:space="0" w:color="auto"/>
        <w:bottom w:val="none" w:sz="0" w:space="0" w:color="auto"/>
        <w:right w:val="none" w:sz="0" w:space="0" w:color="auto"/>
      </w:divBdr>
      <w:divsChild>
        <w:div w:id="1126041979">
          <w:marLeft w:val="446"/>
          <w:marRight w:val="0"/>
          <w:marTop w:val="0"/>
          <w:marBottom w:val="0"/>
          <w:divBdr>
            <w:top w:val="none" w:sz="0" w:space="0" w:color="auto"/>
            <w:left w:val="none" w:sz="0" w:space="0" w:color="auto"/>
            <w:bottom w:val="none" w:sz="0" w:space="0" w:color="auto"/>
            <w:right w:val="none" w:sz="0" w:space="0" w:color="auto"/>
          </w:divBdr>
        </w:div>
        <w:div w:id="1795904131">
          <w:marLeft w:val="446"/>
          <w:marRight w:val="0"/>
          <w:marTop w:val="0"/>
          <w:marBottom w:val="0"/>
          <w:divBdr>
            <w:top w:val="none" w:sz="0" w:space="0" w:color="auto"/>
            <w:left w:val="none" w:sz="0" w:space="0" w:color="auto"/>
            <w:bottom w:val="none" w:sz="0" w:space="0" w:color="auto"/>
            <w:right w:val="none" w:sz="0" w:space="0" w:color="auto"/>
          </w:divBdr>
        </w:div>
        <w:div w:id="379524284">
          <w:marLeft w:val="446"/>
          <w:marRight w:val="0"/>
          <w:marTop w:val="0"/>
          <w:marBottom w:val="0"/>
          <w:divBdr>
            <w:top w:val="none" w:sz="0" w:space="0" w:color="auto"/>
            <w:left w:val="none" w:sz="0" w:space="0" w:color="auto"/>
            <w:bottom w:val="none" w:sz="0" w:space="0" w:color="auto"/>
            <w:right w:val="none" w:sz="0" w:space="0" w:color="auto"/>
          </w:divBdr>
        </w:div>
        <w:div w:id="1410495143">
          <w:marLeft w:val="446"/>
          <w:marRight w:val="0"/>
          <w:marTop w:val="0"/>
          <w:marBottom w:val="0"/>
          <w:divBdr>
            <w:top w:val="none" w:sz="0" w:space="0" w:color="auto"/>
            <w:left w:val="none" w:sz="0" w:space="0" w:color="auto"/>
            <w:bottom w:val="none" w:sz="0" w:space="0" w:color="auto"/>
            <w:right w:val="none" w:sz="0" w:space="0" w:color="auto"/>
          </w:divBdr>
        </w:div>
        <w:div w:id="1927104701">
          <w:marLeft w:val="446"/>
          <w:marRight w:val="0"/>
          <w:marTop w:val="0"/>
          <w:marBottom w:val="0"/>
          <w:divBdr>
            <w:top w:val="none" w:sz="0" w:space="0" w:color="auto"/>
            <w:left w:val="none" w:sz="0" w:space="0" w:color="auto"/>
            <w:bottom w:val="none" w:sz="0" w:space="0" w:color="auto"/>
            <w:right w:val="none" w:sz="0" w:space="0" w:color="auto"/>
          </w:divBdr>
        </w:div>
        <w:div w:id="112792283">
          <w:marLeft w:val="446"/>
          <w:marRight w:val="0"/>
          <w:marTop w:val="0"/>
          <w:marBottom w:val="0"/>
          <w:divBdr>
            <w:top w:val="none" w:sz="0" w:space="0" w:color="auto"/>
            <w:left w:val="none" w:sz="0" w:space="0" w:color="auto"/>
            <w:bottom w:val="none" w:sz="0" w:space="0" w:color="auto"/>
            <w:right w:val="none" w:sz="0" w:space="0" w:color="auto"/>
          </w:divBdr>
        </w:div>
      </w:divsChild>
    </w:div>
    <w:div w:id="1160851465">
      <w:bodyDiv w:val="1"/>
      <w:marLeft w:val="0"/>
      <w:marRight w:val="0"/>
      <w:marTop w:val="0"/>
      <w:marBottom w:val="0"/>
      <w:divBdr>
        <w:top w:val="none" w:sz="0" w:space="0" w:color="auto"/>
        <w:left w:val="none" w:sz="0" w:space="0" w:color="auto"/>
        <w:bottom w:val="none" w:sz="0" w:space="0" w:color="auto"/>
        <w:right w:val="none" w:sz="0" w:space="0" w:color="auto"/>
      </w:divBdr>
    </w:div>
    <w:div w:id="1175536249">
      <w:bodyDiv w:val="1"/>
      <w:marLeft w:val="0"/>
      <w:marRight w:val="0"/>
      <w:marTop w:val="0"/>
      <w:marBottom w:val="0"/>
      <w:divBdr>
        <w:top w:val="none" w:sz="0" w:space="0" w:color="auto"/>
        <w:left w:val="none" w:sz="0" w:space="0" w:color="auto"/>
        <w:bottom w:val="none" w:sz="0" w:space="0" w:color="auto"/>
        <w:right w:val="none" w:sz="0" w:space="0" w:color="auto"/>
      </w:divBdr>
    </w:div>
    <w:div w:id="1176454957">
      <w:bodyDiv w:val="1"/>
      <w:marLeft w:val="0"/>
      <w:marRight w:val="0"/>
      <w:marTop w:val="0"/>
      <w:marBottom w:val="0"/>
      <w:divBdr>
        <w:top w:val="none" w:sz="0" w:space="0" w:color="auto"/>
        <w:left w:val="none" w:sz="0" w:space="0" w:color="auto"/>
        <w:bottom w:val="none" w:sz="0" w:space="0" w:color="auto"/>
        <w:right w:val="none" w:sz="0" w:space="0" w:color="auto"/>
      </w:divBdr>
    </w:div>
    <w:div w:id="1179390055">
      <w:bodyDiv w:val="1"/>
      <w:marLeft w:val="0"/>
      <w:marRight w:val="0"/>
      <w:marTop w:val="0"/>
      <w:marBottom w:val="0"/>
      <w:divBdr>
        <w:top w:val="none" w:sz="0" w:space="0" w:color="auto"/>
        <w:left w:val="none" w:sz="0" w:space="0" w:color="auto"/>
        <w:bottom w:val="none" w:sz="0" w:space="0" w:color="auto"/>
        <w:right w:val="none" w:sz="0" w:space="0" w:color="auto"/>
      </w:divBdr>
      <w:divsChild>
        <w:div w:id="1707490446">
          <w:marLeft w:val="360"/>
          <w:marRight w:val="0"/>
          <w:marTop w:val="0"/>
          <w:marBottom w:val="120"/>
          <w:divBdr>
            <w:top w:val="none" w:sz="0" w:space="0" w:color="auto"/>
            <w:left w:val="none" w:sz="0" w:space="0" w:color="auto"/>
            <w:bottom w:val="none" w:sz="0" w:space="0" w:color="auto"/>
            <w:right w:val="none" w:sz="0" w:space="0" w:color="auto"/>
          </w:divBdr>
        </w:div>
        <w:div w:id="834498185">
          <w:marLeft w:val="360"/>
          <w:marRight w:val="0"/>
          <w:marTop w:val="0"/>
          <w:marBottom w:val="120"/>
          <w:divBdr>
            <w:top w:val="none" w:sz="0" w:space="0" w:color="auto"/>
            <w:left w:val="none" w:sz="0" w:space="0" w:color="auto"/>
            <w:bottom w:val="none" w:sz="0" w:space="0" w:color="auto"/>
            <w:right w:val="none" w:sz="0" w:space="0" w:color="auto"/>
          </w:divBdr>
        </w:div>
        <w:div w:id="1464616043">
          <w:marLeft w:val="360"/>
          <w:marRight w:val="0"/>
          <w:marTop w:val="0"/>
          <w:marBottom w:val="120"/>
          <w:divBdr>
            <w:top w:val="none" w:sz="0" w:space="0" w:color="auto"/>
            <w:left w:val="none" w:sz="0" w:space="0" w:color="auto"/>
            <w:bottom w:val="none" w:sz="0" w:space="0" w:color="auto"/>
            <w:right w:val="none" w:sz="0" w:space="0" w:color="auto"/>
          </w:divBdr>
        </w:div>
        <w:div w:id="662853616">
          <w:marLeft w:val="360"/>
          <w:marRight w:val="0"/>
          <w:marTop w:val="0"/>
          <w:marBottom w:val="120"/>
          <w:divBdr>
            <w:top w:val="none" w:sz="0" w:space="0" w:color="auto"/>
            <w:left w:val="none" w:sz="0" w:space="0" w:color="auto"/>
            <w:bottom w:val="none" w:sz="0" w:space="0" w:color="auto"/>
            <w:right w:val="none" w:sz="0" w:space="0" w:color="auto"/>
          </w:divBdr>
        </w:div>
        <w:div w:id="2030835839">
          <w:marLeft w:val="360"/>
          <w:marRight w:val="0"/>
          <w:marTop w:val="0"/>
          <w:marBottom w:val="120"/>
          <w:divBdr>
            <w:top w:val="none" w:sz="0" w:space="0" w:color="auto"/>
            <w:left w:val="none" w:sz="0" w:space="0" w:color="auto"/>
            <w:bottom w:val="none" w:sz="0" w:space="0" w:color="auto"/>
            <w:right w:val="none" w:sz="0" w:space="0" w:color="auto"/>
          </w:divBdr>
        </w:div>
        <w:div w:id="633948675">
          <w:marLeft w:val="360"/>
          <w:marRight w:val="0"/>
          <w:marTop w:val="0"/>
          <w:marBottom w:val="120"/>
          <w:divBdr>
            <w:top w:val="none" w:sz="0" w:space="0" w:color="auto"/>
            <w:left w:val="none" w:sz="0" w:space="0" w:color="auto"/>
            <w:bottom w:val="none" w:sz="0" w:space="0" w:color="auto"/>
            <w:right w:val="none" w:sz="0" w:space="0" w:color="auto"/>
          </w:divBdr>
        </w:div>
        <w:div w:id="1203789837">
          <w:marLeft w:val="360"/>
          <w:marRight w:val="0"/>
          <w:marTop w:val="0"/>
          <w:marBottom w:val="120"/>
          <w:divBdr>
            <w:top w:val="none" w:sz="0" w:space="0" w:color="auto"/>
            <w:left w:val="none" w:sz="0" w:space="0" w:color="auto"/>
            <w:bottom w:val="none" w:sz="0" w:space="0" w:color="auto"/>
            <w:right w:val="none" w:sz="0" w:space="0" w:color="auto"/>
          </w:divBdr>
        </w:div>
        <w:div w:id="1338850931">
          <w:marLeft w:val="360"/>
          <w:marRight w:val="0"/>
          <w:marTop w:val="0"/>
          <w:marBottom w:val="120"/>
          <w:divBdr>
            <w:top w:val="none" w:sz="0" w:space="0" w:color="auto"/>
            <w:left w:val="none" w:sz="0" w:space="0" w:color="auto"/>
            <w:bottom w:val="none" w:sz="0" w:space="0" w:color="auto"/>
            <w:right w:val="none" w:sz="0" w:space="0" w:color="auto"/>
          </w:divBdr>
        </w:div>
        <w:div w:id="1944726224">
          <w:marLeft w:val="274"/>
          <w:marRight w:val="0"/>
          <w:marTop w:val="0"/>
          <w:marBottom w:val="120"/>
          <w:divBdr>
            <w:top w:val="none" w:sz="0" w:space="0" w:color="auto"/>
            <w:left w:val="none" w:sz="0" w:space="0" w:color="auto"/>
            <w:bottom w:val="none" w:sz="0" w:space="0" w:color="auto"/>
            <w:right w:val="none" w:sz="0" w:space="0" w:color="auto"/>
          </w:divBdr>
        </w:div>
        <w:div w:id="1593396767">
          <w:marLeft w:val="274"/>
          <w:marRight w:val="0"/>
          <w:marTop w:val="0"/>
          <w:marBottom w:val="120"/>
          <w:divBdr>
            <w:top w:val="none" w:sz="0" w:space="0" w:color="auto"/>
            <w:left w:val="none" w:sz="0" w:space="0" w:color="auto"/>
            <w:bottom w:val="none" w:sz="0" w:space="0" w:color="auto"/>
            <w:right w:val="none" w:sz="0" w:space="0" w:color="auto"/>
          </w:divBdr>
        </w:div>
        <w:div w:id="2018338904">
          <w:marLeft w:val="274"/>
          <w:marRight w:val="0"/>
          <w:marTop w:val="0"/>
          <w:marBottom w:val="120"/>
          <w:divBdr>
            <w:top w:val="none" w:sz="0" w:space="0" w:color="auto"/>
            <w:left w:val="none" w:sz="0" w:space="0" w:color="auto"/>
            <w:bottom w:val="none" w:sz="0" w:space="0" w:color="auto"/>
            <w:right w:val="none" w:sz="0" w:space="0" w:color="auto"/>
          </w:divBdr>
        </w:div>
        <w:div w:id="622007421">
          <w:marLeft w:val="360"/>
          <w:marRight w:val="0"/>
          <w:marTop w:val="0"/>
          <w:marBottom w:val="120"/>
          <w:divBdr>
            <w:top w:val="none" w:sz="0" w:space="0" w:color="auto"/>
            <w:left w:val="none" w:sz="0" w:space="0" w:color="auto"/>
            <w:bottom w:val="none" w:sz="0" w:space="0" w:color="auto"/>
            <w:right w:val="none" w:sz="0" w:space="0" w:color="auto"/>
          </w:divBdr>
        </w:div>
      </w:divsChild>
    </w:div>
    <w:div w:id="1189374471">
      <w:bodyDiv w:val="1"/>
      <w:marLeft w:val="0"/>
      <w:marRight w:val="0"/>
      <w:marTop w:val="0"/>
      <w:marBottom w:val="0"/>
      <w:divBdr>
        <w:top w:val="none" w:sz="0" w:space="0" w:color="auto"/>
        <w:left w:val="none" w:sz="0" w:space="0" w:color="auto"/>
        <w:bottom w:val="none" w:sz="0" w:space="0" w:color="auto"/>
        <w:right w:val="none" w:sz="0" w:space="0" w:color="auto"/>
      </w:divBdr>
    </w:div>
    <w:div w:id="1204099183">
      <w:bodyDiv w:val="1"/>
      <w:marLeft w:val="0"/>
      <w:marRight w:val="0"/>
      <w:marTop w:val="0"/>
      <w:marBottom w:val="0"/>
      <w:divBdr>
        <w:top w:val="none" w:sz="0" w:space="0" w:color="auto"/>
        <w:left w:val="none" w:sz="0" w:space="0" w:color="auto"/>
        <w:bottom w:val="none" w:sz="0" w:space="0" w:color="auto"/>
        <w:right w:val="none" w:sz="0" w:space="0" w:color="auto"/>
      </w:divBdr>
    </w:div>
    <w:div w:id="1227060424">
      <w:bodyDiv w:val="1"/>
      <w:marLeft w:val="0"/>
      <w:marRight w:val="0"/>
      <w:marTop w:val="0"/>
      <w:marBottom w:val="0"/>
      <w:divBdr>
        <w:top w:val="none" w:sz="0" w:space="0" w:color="auto"/>
        <w:left w:val="none" w:sz="0" w:space="0" w:color="auto"/>
        <w:bottom w:val="none" w:sz="0" w:space="0" w:color="auto"/>
        <w:right w:val="none" w:sz="0" w:space="0" w:color="auto"/>
      </w:divBdr>
    </w:div>
    <w:div w:id="1253929021">
      <w:bodyDiv w:val="1"/>
      <w:marLeft w:val="0"/>
      <w:marRight w:val="0"/>
      <w:marTop w:val="0"/>
      <w:marBottom w:val="0"/>
      <w:divBdr>
        <w:top w:val="none" w:sz="0" w:space="0" w:color="auto"/>
        <w:left w:val="none" w:sz="0" w:space="0" w:color="auto"/>
        <w:bottom w:val="none" w:sz="0" w:space="0" w:color="auto"/>
        <w:right w:val="none" w:sz="0" w:space="0" w:color="auto"/>
      </w:divBdr>
    </w:div>
    <w:div w:id="1258977953">
      <w:bodyDiv w:val="1"/>
      <w:marLeft w:val="0"/>
      <w:marRight w:val="0"/>
      <w:marTop w:val="0"/>
      <w:marBottom w:val="0"/>
      <w:divBdr>
        <w:top w:val="none" w:sz="0" w:space="0" w:color="auto"/>
        <w:left w:val="none" w:sz="0" w:space="0" w:color="auto"/>
        <w:bottom w:val="none" w:sz="0" w:space="0" w:color="auto"/>
        <w:right w:val="none" w:sz="0" w:space="0" w:color="auto"/>
      </w:divBdr>
    </w:div>
    <w:div w:id="1263608498">
      <w:bodyDiv w:val="1"/>
      <w:marLeft w:val="0"/>
      <w:marRight w:val="0"/>
      <w:marTop w:val="0"/>
      <w:marBottom w:val="0"/>
      <w:divBdr>
        <w:top w:val="none" w:sz="0" w:space="0" w:color="auto"/>
        <w:left w:val="none" w:sz="0" w:space="0" w:color="auto"/>
        <w:bottom w:val="none" w:sz="0" w:space="0" w:color="auto"/>
        <w:right w:val="none" w:sz="0" w:space="0" w:color="auto"/>
      </w:divBdr>
    </w:div>
    <w:div w:id="1266383878">
      <w:bodyDiv w:val="1"/>
      <w:marLeft w:val="0"/>
      <w:marRight w:val="0"/>
      <w:marTop w:val="0"/>
      <w:marBottom w:val="0"/>
      <w:divBdr>
        <w:top w:val="none" w:sz="0" w:space="0" w:color="auto"/>
        <w:left w:val="none" w:sz="0" w:space="0" w:color="auto"/>
        <w:bottom w:val="none" w:sz="0" w:space="0" w:color="auto"/>
        <w:right w:val="none" w:sz="0" w:space="0" w:color="auto"/>
      </w:divBdr>
    </w:div>
    <w:div w:id="1280800263">
      <w:bodyDiv w:val="1"/>
      <w:marLeft w:val="0"/>
      <w:marRight w:val="0"/>
      <w:marTop w:val="0"/>
      <w:marBottom w:val="0"/>
      <w:divBdr>
        <w:top w:val="none" w:sz="0" w:space="0" w:color="auto"/>
        <w:left w:val="none" w:sz="0" w:space="0" w:color="auto"/>
        <w:bottom w:val="none" w:sz="0" w:space="0" w:color="auto"/>
        <w:right w:val="none" w:sz="0" w:space="0" w:color="auto"/>
      </w:divBdr>
    </w:div>
    <w:div w:id="1281299892">
      <w:bodyDiv w:val="1"/>
      <w:marLeft w:val="0"/>
      <w:marRight w:val="0"/>
      <w:marTop w:val="0"/>
      <w:marBottom w:val="0"/>
      <w:divBdr>
        <w:top w:val="none" w:sz="0" w:space="0" w:color="auto"/>
        <w:left w:val="none" w:sz="0" w:space="0" w:color="auto"/>
        <w:bottom w:val="none" w:sz="0" w:space="0" w:color="auto"/>
        <w:right w:val="none" w:sz="0" w:space="0" w:color="auto"/>
      </w:divBdr>
    </w:div>
    <w:div w:id="1291789567">
      <w:bodyDiv w:val="1"/>
      <w:marLeft w:val="0"/>
      <w:marRight w:val="0"/>
      <w:marTop w:val="0"/>
      <w:marBottom w:val="0"/>
      <w:divBdr>
        <w:top w:val="none" w:sz="0" w:space="0" w:color="auto"/>
        <w:left w:val="none" w:sz="0" w:space="0" w:color="auto"/>
        <w:bottom w:val="none" w:sz="0" w:space="0" w:color="auto"/>
        <w:right w:val="none" w:sz="0" w:space="0" w:color="auto"/>
      </w:divBdr>
    </w:div>
    <w:div w:id="1297565059">
      <w:bodyDiv w:val="1"/>
      <w:marLeft w:val="0"/>
      <w:marRight w:val="0"/>
      <w:marTop w:val="0"/>
      <w:marBottom w:val="0"/>
      <w:divBdr>
        <w:top w:val="none" w:sz="0" w:space="0" w:color="auto"/>
        <w:left w:val="none" w:sz="0" w:space="0" w:color="auto"/>
        <w:bottom w:val="none" w:sz="0" w:space="0" w:color="auto"/>
        <w:right w:val="none" w:sz="0" w:space="0" w:color="auto"/>
      </w:divBdr>
    </w:div>
    <w:div w:id="1298030022">
      <w:bodyDiv w:val="1"/>
      <w:marLeft w:val="0"/>
      <w:marRight w:val="0"/>
      <w:marTop w:val="0"/>
      <w:marBottom w:val="0"/>
      <w:divBdr>
        <w:top w:val="none" w:sz="0" w:space="0" w:color="auto"/>
        <w:left w:val="none" w:sz="0" w:space="0" w:color="auto"/>
        <w:bottom w:val="none" w:sz="0" w:space="0" w:color="auto"/>
        <w:right w:val="none" w:sz="0" w:space="0" w:color="auto"/>
      </w:divBdr>
    </w:div>
    <w:div w:id="1325082838">
      <w:bodyDiv w:val="1"/>
      <w:marLeft w:val="0"/>
      <w:marRight w:val="0"/>
      <w:marTop w:val="0"/>
      <w:marBottom w:val="0"/>
      <w:divBdr>
        <w:top w:val="none" w:sz="0" w:space="0" w:color="auto"/>
        <w:left w:val="none" w:sz="0" w:space="0" w:color="auto"/>
        <w:bottom w:val="none" w:sz="0" w:space="0" w:color="auto"/>
        <w:right w:val="none" w:sz="0" w:space="0" w:color="auto"/>
      </w:divBdr>
      <w:divsChild>
        <w:div w:id="484517943">
          <w:marLeft w:val="446"/>
          <w:marRight w:val="0"/>
          <w:marTop w:val="0"/>
          <w:marBottom w:val="0"/>
          <w:divBdr>
            <w:top w:val="none" w:sz="0" w:space="0" w:color="auto"/>
            <w:left w:val="none" w:sz="0" w:space="0" w:color="auto"/>
            <w:bottom w:val="none" w:sz="0" w:space="0" w:color="auto"/>
            <w:right w:val="none" w:sz="0" w:space="0" w:color="auto"/>
          </w:divBdr>
        </w:div>
        <w:div w:id="140537154">
          <w:marLeft w:val="446"/>
          <w:marRight w:val="0"/>
          <w:marTop w:val="0"/>
          <w:marBottom w:val="0"/>
          <w:divBdr>
            <w:top w:val="none" w:sz="0" w:space="0" w:color="auto"/>
            <w:left w:val="none" w:sz="0" w:space="0" w:color="auto"/>
            <w:bottom w:val="none" w:sz="0" w:space="0" w:color="auto"/>
            <w:right w:val="none" w:sz="0" w:space="0" w:color="auto"/>
          </w:divBdr>
        </w:div>
        <w:div w:id="1414817707">
          <w:marLeft w:val="1166"/>
          <w:marRight w:val="0"/>
          <w:marTop w:val="0"/>
          <w:marBottom w:val="0"/>
          <w:divBdr>
            <w:top w:val="none" w:sz="0" w:space="0" w:color="auto"/>
            <w:left w:val="none" w:sz="0" w:space="0" w:color="auto"/>
            <w:bottom w:val="none" w:sz="0" w:space="0" w:color="auto"/>
            <w:right w:val="none" w:sz="0" w:space="0" w:color="auto"/>
          </w:divBdr>
        </w:div>
        <w:div w:id="96483543">
          <w:marLeft w:val="1166"/>
          <w:marRight w:val="0"/>
          <w:marTop w:val="0"/>
          <w:marBottom w:val="0"/>
          <w:divBdr>
            <w:top w:val="none" w:sz="0" w:space="0" w:color="auto"/>
            <w:left w:val="none" w:sz="0" w:space="0" w:color="auto"/>
            <w:bottom w:val="none" w:sz="0" w:space="0" w:color="auto"/>
            <w:right w:val="none" w:sz="0" w:space="0" w:color="auto"/>
          </w:divBdr>
        </w:div>
        <w:div w:id="994838814">
          <w:marLeft w:val="1166"/>
          <w:marRight w:val="0"/>
          <w:marTop w:val="0"/>
          <w:marBottom w:val="0"/>
          <w:divBdr>
            <w:top w:val="none" w:sz="0" w:space="0" w:color="auto"/>
            <w:left w:val="none" w:sz="0" w:space="0" w:color="auto"/>
            <w:bottom w:val="none" w:sz="0" w:space="0" w:color="auto"/>
            <w:right w:val="none" w:sz="0" w:space="0" w:color="auto"/>
          </w:divBdr>
        </w:div>
        <w:div w:id="1639527517">
          <w:marLeft w:val="446"/>
          <w:marRight w:val="0"/>
          <w:marTop w:val="0"/>
          <w:marBottom w:val="0"/>
          <w:divBdr>
            <w:top w:val="none" w:sz="0" w:space="0" w:color="auto"/>
            <w:left w:val="none" w:sz="0" w:space="0" w:color="auto"/>
            <w:bottom w:val="none" w:sz="0" w:space="0" w:color="auto"/>
            <w:right w:val="none" w:sz="0" w:space="0" w:color="auto"/>
          </w:divBdr>
        </w:div>
        <w:div w:id="1914508938">
          <w:marLeft w:val="446"/>
          <w:marRight w:val="0"/>
          <w:marTop w:val="0"/>
          <w:marBottom w:val="0"/>
          <w:divBdr>
            <w:top w:val="none" w:sz="0" w:space="0" w:color="auto"/>
            <w:left w:val="none" w:sz="0" w:space="0" w:color="auto"/>
            <w:bottom w:val="none" w:sz="0" w:space="0" w:color="auto"/>
            <w:right w:val="none" w:sz="0" w:space="0" w:color="auto"/>
          </w:divBdr>
        </w:div>
        <w:div w:id="263002520">
          <w:marLeft w:val="1166"/>
          <w:marRight w:val="0"/>
          <w:marTop w:val="0"/>
          <w:marBottom w:val="0"/>
          <w:divBdr>
            <w:top w:val="none" w:sz="0" w:space="0" w:color="auto"/>
            <w:left w:val="none" w:sz="0" w:space="0" w:color="auto"/>
            <w:bottom w:val="none" w:sz="0" w:space="0" w:color="auto"/>
            <w:right w:val="none" w:sz="0" w:space="0" w:color="auto"/>
          </w:divBdr>
        </w:div>
        <w:div w:id="193077276">
          <w:marLeft w:val="1166"/>
          <w:marRight w:val="0"/>
          <w:marTop w:val="0"/>
          <w:marBottom w:val="0"/>
          <w:divBdr>
            <w:top w:val="none" w:sz="0" w:space="0" w:color="auto"/>
            <w:left w:val="none" w:sz="0" w:space="0" w:color="auto"/>
            <w:bottom w:val="none" w:sz="0" w:space="0" w:color="auto"/>
            <w:right w:val="none" w:sz="0" w:space="0" w:color="auto"/>
          </w:divBdr>
        </w:div>
      </w:divsChild>
    </w:div>
    <w:div w:id="1333336468">
      <w:bodyDiv w:val="1"/>
      <w:marLeft w:val="0"/>
      <w:marRight w:val="0"/>
      <w:marTop w:val="0"/>
      <w:marBottom w:val="0"/>
      <w:divBdr>
        <w:top w:val="none" w:sz="0" w:space="0" w:color="auto"/>
        <w:left w:val="none" w:sz="0" w:space="0" w:color="auto"/>
        <w:bottom w:val="none" w:sz="0" w:space="0" w:color="auto"/>
        <w:right w:val="none" w:sz="0" w:space="0" w:color="auto"/>
      </w:divBdr>
      <w:divsChild>
        <w:div w:id="752314400">
          <w:marLeft w:val="1166"/>
          <w:marRight w:val="0"/>
          <w:marTop w:val="62"/>
          <w:marBottom w:val="0"/>
          <w:divBdr>
            <w:top w:val="none" w:sz="0" w:space="0" w:color="auto"/>
            <w:left w:val="none" w:sz="0" w:space="0" w:color="auto"/>
            <w:bottom w:val="none" w:sz="0" w:space="0" w:color="auto"/>
            <w:right w:val="none" w:sz="0" w:space="0" w:color="auto"/>
          </w:divBdr>
        </w:div>
        <w:div w:id="25178072">
          <w:marLeft w:val="1166"/>
          <w:marRight w:val="0"/>
          <w:marTop w:val="62"/>
          <w:marBottom w:val="0"/>
          <w:divBdr>
            <w:top w:val="none" w:sz="0" w:space="0" w:color="auto"/>
            <w:left w:val="none" w:sz="0" w:space="0" w:color="auto"/>
            <w:bottom w:val="none" w:sz="0" w:space="0" w:color="auto"/>
            <w:right w:val="none" w:sz="0" w:space="0" w:color="auto"/>
          </w:divBdr>
        </w:div>
        <w:div w:id="1821145760">
          <w:marLeft w:val="1166"/>
          <w:marRight w:val="0"/>
          <w:marTop w:val="62"/>
          <w:marBottom w:val="0"/>
          <w:divBdr>
            <w:top w:val="none" w:sz="0" w:space="0" w:color="auto"/>
            <w:left w:val="none" w:sz="0" w:space="0" w:color="auto"/>
            <w:bottom w:val="none" w:sz="0" w:space="0" w:color="auto"/>
            <w:right w:val="none" w:sz="0" w:space="0" w:color="auto"/>
          </w:divBdr>
        </w:div>
        <w:div w:id="1617759811">
          <w:marLeft w:val="1166"/>
          <w:marRight w:val="0"/>
          <w:marTop w:val="62"/>
          <w:marBottom w:val="0"/>
          <w:divBdr>
            <w:top w:val="none" w:sz="0" w:space="0" w:color="auto"/>
            <w:left w:val="none" w:sz="0" w:space="0" w:color="auto"/>
            <w:bottom w:val="none" w:sz="0" w:space="0" w:color="auto"/>
            <w:right w:val="none" w:sz="0" w:space="0" w:color="auto"/>
          </w:divBdr>
        </w:div>
        <w:div w:id="735586678">
          <w:marLeft w:val="1166"/>
          <w:marRight w:val="0"/>
          <w:marTop w:val="62"/>
          <w:marBottom w:val="0"/>
          <w:divBdr>
            <w:top w:val="none" w:sz="0" w:space="0" w:color="auto"/>
            <w:left w:val="none" w:sz="0" w:space="0" w:color="auto"/>
            <w:bottom w:val="none" w:sz="0" w:space="0" w:color="auto"/>
            <w:right w:val="none" w:sz="0" w:space="0" w:color="auto"/>
          </w:divBdr>
        </w:div>
        <w:div w:id="1697539179">
          <w:marLeft w:val="1166"/>
          <w:marRight w:val="0"/>
          <w:marTop w:val="62"/>
          <w:marBottom w:val="0"/>
          <w:divBdr>
            <w:top w:val="none" w:sz="0" w:space="0" w:color="auto"/>
            <w:left w:val="none" w:sz="0" w:space="0" w:color="auto"/>
            <w:bottom w:val="none" w:sz="0" w:space="0" w:color="auto"/>
            <w:right w:val="none" w:sz="0" w:space="0" w:color="auto"/>
          </w:divBdr>
        </w:div>
        <w:div w:id="1209564256">
          <w:marLeft w:val="1166"/>
          <w:marRight w:val="0"/>
          <w:marTop w:val="62"/>
          <w:marBottom w:val="0"/>
          <w:divBdr>
            <w:top w:val="none" w:sz="0" w:space="0" w:color="auto"/>
            <w:left w:val="none" w:sz="0" w:space="0" w:color="auto"/>
            <w:bottom w:val="none" w:sz="0" w:space="0" w:color="auto"/>
            <w:right w:val="none" w:sz="0" w:space="0" w:color="auto"/>
          </w:divBdr>
        </w:div>
        <w:div w:id="358432289">
          <w:marLeft w:val="1166"/>
          <w:marRight w:val="0"/>
          <w:marTop w:val="62"/>
          <w:marBottom w:val="0"/>
          <w:divBdr>
            <w:top w:val="none" w:sz="0" w:space="0" w:color="auto"/>
            <w:left w:val="none" w:sz="0" w:space="0" w:color="auto"/>
            <w:bottom w:val="none" w:sz="0" w:space="0" w:color="auto"/>
            <w:right w:val="none" w:sz="0" w:space="0" w:color="auto"/>
          </w:divBdr>
        </w:div>
        <w:div w:id="1251621342">
          <w:marLeft w:val="1166"/>
          <w:marRight w:val="0"/>
          <w:marTop w:val="62"/>
          <w:marBottom w:val="0"/>
          <w:divBdr>
            <w:top w:val="none" w:sz="0" w:space="0" w:color="auto"/>
            <w:left w:val="none" w:sz="0" w:space="0" w:color="auto"/>
            <w:bottom w:val="none" w:sz="0" w:space="0" w:color="auto"/>
            <w:right w:val="none" w:sz="0" w:space="0" w:color="auto"/>
          </w:divBdr>
        </w:div>
        <w:div w:id="1248270328">
          <w:marLeft w:val="1166"/>
          <w:marRight w:val="0"/>
          <w:marTop w:val="62"/>
          <w:marBottom w:val="0"/>
          <w:divBdr>
            <w:top w:val="none" w:sz="0" w:space="0" w:color="auto"/>
            <w:left w:val="none" w:sz="0" w:space="0" w:color="auto"/>
            <w:bottom w:val="none" w:sz="0" w:space="0" w:color="auto"/>
            <w:right w:val="none" w:sz="0" w:space="0" w:color="auto"/>
          </w:divBdr>
        </w:div>
        <w:div w:id="1756046264">
          <w:marLeft w:val="1166"/>
          <w:marRight w:val="0"/>
          <w:marTop w:val="62"/>
          <w:marBottom w:val="0"/>
          <w:divBdr>
            <w:top w:val="none" w:sz="0" w:space="0" w:color="auto"/>
            <w:left w:val="none" w:sz="0" w:space="0" w:color="auto"/>
            <w:bottom w:val="none" w:sz="0" w:space="0" w:color="auto"/>
            <w:right w:val="none" w:sz="0" w:space="0" w:color="auto"/>
          </w:divBdr>
        </w:div>
      </w:divsChild>
    </w:div>
    <w:div w:id="1343624055">
      <w:bodyDiv w:val="1"/>
      <w:marLeft w:val="0"/>
      <w:marRight w:val="0"/>
      <w:marTop w:val="0"/>
      <w:marBottom w:val="0"/>
      <w:divBdr>
        <w:top w:val="none" w:sz="0" w:space="0" w:color="auto"/>
        <w:left w:val="none" w:sz="0" w:space="0" w:color="auto"/>
        <w:bottom w:val="none" w:sz="0" w:space="0" w:color="auto"/>
        <w:right w:val="none" w:sz="0" w:space="0" w:color="auto"/>
      </w:divBdr>
    </w:div>
    <w:div w:id="1343706299">
      <w:bodyDiv w:val="1"/>
      <w:marLeft w:val="0"/>
      <w:marRight w:val="0"/>
      <w:marTop w:val="0"/>
      <w:marBottom w:val="0"/>
      <w:divBdr>
        <w:top w:val="none" w:sz="0" w:space="0" w:color="auto"/>
        <w:left w:val="none" w:sz="0" w:space="0" w:color="auto"/>
        <w:bottom w:val="none" w:sz="0" w:space="0" w:color="auto"/>
        <w:right w:val="none" w:sz="0" w:space="0" w:color="auto"/>
      </w:divBdr>
    </w:div>
    <w:div w:id="1347899968">
      <w:bodyDiv w:val="1"/>
      <w:marLeft w:val="0"/>
      <w:marRight w:val="0"/>
      <w:marTop w:val="0"/>
      <w:marBottom w:val="0"/>
      <w:divBdr>
        <w:top w:val="none" w:sz="0" w:space="0" w:color="auto"/>
        <w:left w:val="none" w:sz="0" w:space="0" w:color="auto"/>
        <w:bottom w:val="none" w:sz="0" w:space="0" w:color="auto"/>
        <w:right w:val="none" w:sz="0" w:space="0" w:color="auto"/>
      </w:divBdr>
      <w:divsChild>
        <w:div w:id="1299802656">
          <w:marLeft w:val="274"/>
          <w:marRight w:val="0"/>
          <w:marTop w:val="0"/>
          <w:marBottom w:val="0"/>
          <w:divBdr>
            <w:top w:val="none" w:sz="0" w:space="0" w:color="auto"/>
            <w:left w:val="none" w:sz="0" w:space="0" w:color="auto"/>
            <w:bottom w:val="none" w:sz="0" w:space="0" w:color="auto"/>
            <w:right w:val="none" w:sz="0" w:space="0" w:color="auto"/>
          </w:divBdr>
        </w:div>
        <w:div w:id="262762750">
          <w:marLeft w:val="274"/>
          <w:marRight w:val="0"/>
          <w:marTop w:val="0"/>
          <w:marBottom w:val="0"/>
          <w:divBdr>
            <w:top w:val="none" w:sz="0" w:space="0" w:color="auto"/>
            <w:left w:val="none" w:sz="0" w:space="0" w:color="auto"/>
            <w:bottom w:val="none" w:sz="0" w:space="0" w:color="auto"/>
            <w:right w:val="none" w:sz="0" w:space="0" w:color="auto"/>
          </w:divBdr>
        </w:div>
        <w:div w:id="1008828305">
          <w:marLeft w:val="274"/>
          <w:marRight w:val="0"/>
          <w:marTop w:val="0"/>
          <w:marBottom w:val="0"/>
          <w:divBdr>
            <w:top w:val="none" w:sz="0" w:space="0" w:color="auto"/>
            <w:left w:val="none" w:sz="0" w:space="0" w:color="auto"/>
            <w:bottom w:val="none" w:sz="0" w:space="0" w:color="auto"/>
            <w:right w:val="none" w:sz="0" w:space="0" w:color="auto"/>
          </w:divBdr>
        </w:div>
        <w:div w:id="644160779">
          <w:marLeft w:val="274"/>
          <w:marRight w:val="0"/>
          <w:marTop w:val="0"/>
          <w:marBottom w:val="0"/>
          <w:divBdr>
            <w:top w:val="none" w:sz="0" w:space="0" w:color="auto"/>
            <w:left w:val="none" w:sz="0" w:space="0" w:color="auto"/>
            <w:bottom w:val="none" w:sz="0" w:space="0" w:color="auto"/>
            <w:right w:val="none" w:sz="0" w:space="0" w:color="auto"/>
          </w:divBdr>
        </w:div>
      </w:divsChild>
    </w:div>
    <w:div w:id="1359044023">
      <w:bodyDiv w:val="1"/>
      <w:marLeft w:val="0"/>
      <w:marRight w:val="0"/>
      <w:marTop w:val="0"/>
      <w:marBottom w:val="0"/>
      <w:divBdr>
        <w:top w:val="none" w:sz="0" w:space="0" w:color="auto"/>
        <w:left w:val="none" w:sz="0" w:space="0" w:color="auto"/>
        <w:bottom w:val="none" w:sz="0" w:space="0" w:color="auto"/>
        <w:right w:val="none" w:sz="0" w:space="0" w:color="auto"/>
      </w:divBdr>
    </w:div>
    <w:div w:id="1419256206">
      <w:bodyDiv w:val="1"/>
      <w:marLeft w:val="0"/>
      <w:marRight w:val="0"/>
      <w:marTop w:val="0"/>
      <w:marBottom w:val="0"/>
      <w:divBdr>
        <w:top w:val="none" w:sz="0" w:space="0" w:color="auto"/>
        <w:left w:val="none" w:sz="0" w:space="0" w:color="auto"/>
        <w:bottom w:val="none" w:sz="0" w:space="0" w:color="auto"/>
        <w:right w:val="none" w:sz="0" w:space="0" w:color="auto"/>
      </w:divBdr>
      <w:divsChild>
        <w:div w:id="700126887">
          <w:marLeft w:val="547"/>
          <w:marRight w:val="0"/>
          <w:marTop w:val="0"/>
          <w:marBottom w:val="0"/>
          <w:divBdr>
            <w:top w:val="none" w:sz="0" w:space="0" w:color="auto"/>
            <w:left w:val="none" w:sz="0" w:space="0" w:color="auto"/>
            <w:bottom w:val="none" w:sz="0" w:space="0" w:color="auto"/>
            <w:right w:val="none" w:sz="0" w:space="0" w:color="auto"/>
          </w:divBdr>
        </w:div>
        <w:div w:id="175964881">
          <w:marLeft w:val="547"/>
          <w:marRight w:val="0"/>
          <w:marTop w:val="0"/>
          <w:marBottom w:val="0"/>
          <w:divBdr>
            <w:top w:val="none" w:sz="0" w:space="0" w:color="auto"/>
            <w:left w:val="none" w:sz="0" w:space="0" w:color="auto"/>
            <w:bottom w:val="none" w:sz="0" w:space="0" w:color="auto"/>
            <w:right w:val="none" w:sz="0" w:space="0" w:color="auto"/>
          </w:divBdr>
        </w:div>
        <w:div w:id="885793773">
          <w:marLeft w:val="1267"/>
          <w:marRight w:val="0"/>
          <w:marTop w:val="120"/>
          <w:marBottom w:val="0"/>
          <w:divBdr>
            <w:top w:val="none" w:sz="0" w:space="0" w:color="auto"/>
            <w:left w:val="none" w:sz="0" w:space="0" w:color="auto"/>
            <w:bottom w:val="none" w:sz="0" w:space="0" w:color="auto"/>
            <w:right w:val="none" w:sz="0" w:space="0" w:color="auto"/>
          </w:divBdr>
        </w:div>
        <w:div w:id="1585601566">
          <w:marLeft w:val="1267"/>
          <w:marRight w:val="0"/>
          <w:marTop w:val="120"/>
          <w:marBottom w:val="0"/>
          <w:divBdr>
            <w:top w:val="none" w:sz="0" w:space="0" w:color="auto"/>
            <w:left w:val="none" w:sz="0" w:space="0" w:color="auto"/>
            <w:bottom w:val="none" w:sz="0" w:space="0" w:color="auto"/>
            <w:right w:val="none" w:sz="0" w:space="0" w:color="auto"/>
          </w:divBdr>
        </w:div>
        <w:div w:id="1417938574">
          <w:marLeft w:val="1886"/>
          <w:marRight w:val="0"/>
          <w:marTop w:val="0"/>
          <w:marBottom w:val="0"/>
          <w:divBdr>
            <w:top w:val="none" w:sz="0" w:space="0" w:color="auto"/>
            <w:left w:val="none" w:sz="0" w:space="0" w:color="auto"/>
            <w:bottom w:val="none" w:sz="0" w:space="0" w:color="auto"/>
            <w:right w:val="none" w:sz="0" w:space="0" w:color="auto"/>
          </w:divBdr>
        </w:div>
        <w:div w:id="695428130">
          <w:marLeft w:val="1886"/>
          <w:marRight w:val="0"/>
          <w:marTop w:val="0"/>
          <w:marBottom w:val="0"/>
          <w:divBdr>
            <w:top w:val="none" w:sz="0" w:space="0" w:color="auto"/>
            <w:left w:val="none" w:sz="0" w:space="0" w:color="auto"/>
            <w:bottom w:val="none" w:sz="0" w:space="0" w:color="auto"/>
            <w:right w:val="none" w:sz="0" w:space="0" w:color="auto"/>
          </w:divBdr>
        </w:div>
        <w:div w:id="263392051">
          <w:marLeft w:val="1886"/>
          <w:marRight w:val="0"/>
          <w:marTop w:val="0"/>
          <w:marBottom w:val="0"/>
          <w:divBdr>
            <w:top w:val="none" w:sz="0" w:space="0" w:color="auto"/>
            <w:left w:val="none" w:sz="0" w:space="0" w:color="auto"/>
            <w:bottom w:val="none" w:sz="0" w:space="0" w:color="auto"/>
            <w:right w:val="none" w:sz="0" w:space="0" w:color="auto"/>
          </w:divBdr>
        </w:div>
        <w:div w:id="958730117">
          <w:marLeft w:val="1886"/>
          <w:marRight w:val="0"/>
          <w:marTop w:val="0"/>
          <w:marBottom w:val="0"/>
          <w:divBdr>
            <w:top w:val="none" w:sz="0" w:space="0" w:color="auto"/>
            <w:left w:val="none" w:sz="0" w:space="0" w:color="auto"/>
            <w:bottom w:val="none" w:sz="0" w:space="0" w:color="auto"/>
            <w:right w:val="none" w:sz="0" w:space="0" w:color="auto"/>
          </w:divBdr>
        </w:div>
        <w:div w:id="498740240">
          <w:marLeft w:val="1886"/>
          <w:marRight w:val="0"/>
          <w:marTop w:val="0"/>
          <w:marBottom w:val="0"/>
          <w:divBdr>
            <w:top w:val="none" w:sz="0" w:space="0" w:color="auto"/>
            <w:left w:val="none" w:sz="0" w:space="0" w:color="auto"/>
            <w:bottom w:val="none" w:sz="0" w:space="0" w:color="auto"/>
            <w:right w:val="none" w:sz="0" w:space="0" w:color="auto"/>
          </w:divBdr>
        </w:div>
        <w:div w:id="503588726">
          <w:marLeft w:val="1886"/>
          <w:marRight w:val="0"/>
          <w:marTop w:val="0"/>
          <w:marBottom w:val="0"/>
          <w:divBdr>
            <w:top w:val="none" w:sz="0" w:space="0" w:color="auto"/>
            <w:left w:val="none" w:sz="0" w:space="0" w:color="auto"/>
            <w:bottom w:val="none" w:sz="0" w:space="0" w:color="auto"/>
            <w:right w:val="none" w:sz="0" w:space="0" w:color="auto"/>
          </w:divBdr>
        </w:div>
        <w:div w:id="1319459936">
          <w:marLeft w:val="1886"/>
          <w:marRight w:val="0"/>
          <w:marTop w:val="0"/>
          <w:marBottom w:val="0"/>
          <w:divBdr>
            <w:top w:val="none" w:sz="0" w:space="0" w:color="auto"/>
            <w:left w:val="none" w:sz="0" w:space="0" w:color="auto"/>
            <w:bottom w:val="none" w:sz="0" w:space="0" w:color="auto"/>
            <w:right w:val="none" w:sz="0" w:space="0" w:color="auto"/>
          </w:divBdr>
        </w:div>
        <w:div w:id="1269312559">
          <w:marLeft w:val="1886"/>
          <w:marRight w:val="0"/>
          <w:marTop w:val="0"/>
          <w:marBottom w:val="0"/>
          <w:divBdr>
            <w:top w:val="none" w:sz="0" w:space="0" w:color="auto"/>
            <w:left w:val="none" w:sz="0" w:space="0" w:color="auto"/>
            <w:bottom w:val="none" w:sz="0" w:space="0" w:color="auto"/>
            <w:right w:val="none" w:sz="0" w:space="0" w:color="auto"/>
          </w:divBdr>
        </w:div>
        <w:div w:id="969939725">
          <w:marLeft w:val="1267"/>
          <w:marRight w:val="0"/>
          <w:marTop w:val="120"/>
          <w:marBottom w:val="0"/>
          <w:divBdr>
            <w:top w:val="none" w:sz="0" w:space="0" w:color="auto"/>
            <w:left w:val="none" w:sz="0" w:space="0" w:color="auto"/>
            <w:bottom w:val="none" w:sz="0" w:space="0" w:color="auto"/>
            <w:right w:val="none" w:sz="0" w:space="0" w:color="auto"/>
          </w:divBdr>
        </w:div>
      </w:divsChild>
    </w:div>
    <w:div w:id="1427338378">
      <w:bodyDiv w:val="1"/>
      <w:marLeft w:val="0"/>
      <w:marRight w:val="0"/>
      <w:marTop w:val="0"/>
      <w:marBottom w:val="0"/>
      <w:divBdr>
        <w:top w:val="none" w:sz="0" w:space="0" w:color="auto"/>
        <w:left w:val="none" w:sz="0" w:space="0" w:color="auto"/>
        <w:bottom w:val="none" w:sz="0" w:space="0" w:color="auto"/>
        <w:right w:val="none" w:sz="0" w:space="0" w:color="auto"/>
      </w:divBdr>
    </w:div>
    <w:div w:id="1448086439">
      <w:bodyDiv w:val="1"/>
      <w:marLeft w:val="0"/>
      <w:marRight w:val="0"/>
      <w:marTop w:val="0"/>
      <w:marBottom w:val="0"/>
      <w:divBdr>
        <w:top w:val="none" w:sz="0" w:space="0" w:color="auto"/>
        <w:left w:val="none" w:sz="0" w:space="0" w:color="auto"/>
        <w:bottom w:val="none" w:sz="0" w:space="0" w:color="auto"/>
        <w:right w:val="none" w:sz="0" w:space="0" w:color="auto"/>
      </w:divBdr>
    </w:div>
    <w:div w:id="1448310618">
      <w:bodyDiv w:val="1"/>
      <w:marLeft w:val="0"/>
      <w:marRight w:val="0"/>
      <w:marTop w:val="0"/>
      <w:marBottom w:val="0"/>
      <w:divBdr>
        <w:top w:val="none" w:sz="0" w:space="0" w:color="auto"/>
        <w:left w:val="none" w:sz="0" w:space="0" w:color="auto"/>
        <w:bottom w:val="none" w:sz="0" w:space="0" w:color="auto"/>
        <w:right w:val="none" w:sz="0" w:space="0" w:color="auto"/>
      </w:divBdr>
    </w:div>
    <w:div w:id="1450660808">
      <w:bodyDiv w:val="1"/>
      <w:marLeft w:val="0"/>
      <w:marRight w:val="0"/>
      <w:marTop w:val="0"/>
      <w:marBottom w:val="0"/>
      <w:divBdr>
        <w:top w:val="none" w:sz="0" w:space="0" w:color="auto"/>
        <w:left w:val="none" w:sz="0" w:space="0" w:color="auto"/>
        <w:bottom w:val="none" w:sz="0" w:space="0" w:color="auto"/>
        <w:right w:val="none" w:sz="0" w:space="0" w:color="auto"/>
      </w:divBdr>
    </w:div>
    <w:div w:id="1451047961">
      <w:bodyDiv w:val="1"/>
      <w:marLeft w:val="0"/>
      <w:marRight w:val="0"/>
      <w:marTop w:val="0"/>
      <w:marBottom w:val="0"/>
      <w:divBdr>
        <w:top w:val="none" w:sz="0" w:space="0" w:color="auto"/>
        <w:left w:val="none" w:sz="0" w:space="0" w:color="auto"/>
        <w:bottom w:val="none" w:sz="0" w:space="0" w:color="auto"/>
        <w:right w:val="none" w:sz="0" w:space="0" w:color="auto"/>
      </w:divBdr>
    </w:div>
    <w:div w:id="1451240391">
      <w:bodyDiv w:val="1"/>
      <w:marLeft w:val="0"/>
      <w:marRight w:val="0"/>
      <w:marTop w:val="0"/>
      <w:marBottom w:val="0"/>
      <w:divBdr>
        <w:top w:val="none" w:sz="0" w:space="0" w:color="auto"/>
        <w:left w:val="none" w:sz="0" w:space="0" w:color="auto"/>
        <w:bottom w:val="none" w:sz="0" w:space="0" w:color="auto"/>
        <w:right w:val="none" w:sz="0" w:space="0" w:color="auto"/>
      </w:divBdr>
    </w:div>
    <w:div w:id="1457218542">
      <w:bodyDiv w:val="1"/>
      <w:marLeft w:val="0"/>
      <w:marRight w:val="0"/>
      <w:marTop w:val="0"/>
      <w:marBottom w:val="0"/>
      <w:divBdr>
        <w:top w:val="none" w:sz="0" w:space="0" w:color="auto"/>
        <w:left w:val="none" w:sz="0" w:space="0" w:color="auto"/>
        <w:bottom w:val="none" w:sz="0" w:space="0" w:color="auto"/>
        <w:right w:val="none" w:sz="0" w:space="0" w:color="auto"/>
      </w:divBdr>
    </w:div>
    <w:div w:id="1474985482">
      <w:bodyDiv w:val="1"/>
      <w:marLeft w:val="0"/>
      <w:marRight w:val="0"/>
      <w:marTop w:val="0"/>
      <w:marBottom w:val="0"/>
      <w:divBdr>
        <w:top w:val="none" w:sz="0" w:space="0" w:color="auto"/>
        <w:left w:val="none" w:sz="0" w:space="0" w:color="auto"/>
        <w:bottom w:val="none" w:sz="0" w:space="0" w:color="auto"/>
        <w:right w:val="none" w:sz="0" w:space="0" w:color="auto"/>
      </w:divBdr>
    </w:div>
    <w:div w:id="1476683117">
      <w:bodyDiv w:val="1"/>
      <w:marLeft w:val="0"/>
      <w:marRight w:val="0"/>
      <w:marTop w:val="0"/>
      <w:marBottom w:val="0"/>
      <w:divBdr>
        <w:top w:val="none" w:sz="0" w:space="0" w:color="auto"/>
        <w:left w:val="none" w:sz="0" w:space="0" w:color="auto"/>
        <w:bottom w:val="none" w:sz="0" w:space="0" w:color="auto"/>
        <w:right w:val="none" w:sz="0" w:space="0" w:color="auto"/>
      </w:divBdr>
    </w:div>
    <w:div w:id="1482233248">
      <w:bodyDiv w:val="1"/>
      <w:marLeft w:val="0"/>
      <w:marRight w:val="0"/>
      <w:marTop w:val="0"/>
      <w:marBottom w:val="0"/>
      <w:divBdr>
        <w:top w:val="none" w:sz="0" w:space="0" w:color="auto"/>
        <w:left w:val="none" w:sz="0" w:space="0" w:color="auto"/>
        <w:bottom w:val="none" w:sz="0" w:space="0" w:color="auto"/>
        <w:right w:val="none" w:sz="0" w:space="0" w:color="auto"/>
      </w:divBdr>
      <w:divsChild>
        <w:div w:id="785387862">
          <w:marLeft w:val="547"/>
          <w:marRight w:val="0"/>
          <w:marTop w:val="72"/>
          <w:marBottom w:val="0"/>
          <w:divBdr>
            <w:top w:val="none" w:sz="0" w:space="0" w:color="auto"/>
            <w:left w:val="none" w:sz="0" w:space="0" w:color="auto"/>
            <w:bottom w:val="none" w:sz="0" w:space="0" w:color="auto"/>
            <w:right w:val="none" w:sz="0" w:space="0" w:color="auto"/>
          </w:divBdr>
        </w:div>
        <w:div w:id="1513959664">
          <w:marLeft w:val="547"/>
          <w:marRight w:val="0"/>
          <w:marTop w:val="72"/>
          <w:marBottom w:val="0"/>
          <w:divBdr>
            <w:top w:val="none" w:sz="0" w:space="0" w:color="auto"/>
            <w:left w:val="none" w:sz="0" w:space="0" w:color="auto"/>
            <w:bottom w:val="none" w:sz="0" w:space="0" w:color="auto"/>
            <w:right w:val="none" w:sz="0" w:space="0" w:color="auto"/>
          </w:divBdr>
        </w:div>
        <w:div w:id="1093088552">
          <w:marLeft w:val="547"/>
          <w:marRight w:val="0"/>
          <w:marTop w:val="72"/>
          <w:marBottom w:val="0"/>
          <w:divBdr>
            <w:top w:val="none" w:sz="0" w:space="0" w:color="auto"/>
            <w:left w:val="none" w:sz="0" w:space="0" w:color="auto"/>
            <w:bottom w:val="none" w:sz="0" w:space="0" w:color="auto"/>
            <w:right w:val="none" w:sz="0" w:space="0" w:color="auto"/>
          </w:divBdr>
        </w:div>
        <w:div w:id="625500734">
          <w:marLeft w:val="547"/>
          <w:marRight w:val="0"/>
          <w:marTop w:val="72"/>
          <w:marBottom w:val="0"/>
          <w:divBdr>
            <w:top w:val="none" w:sz="0" w:space="0" w:color="auto"/>
            <w:left w:val="none" w:sz="0" w:space="0" w:color="auto"/>
            <w:bottom w:val="none" w:sz="0" w:space="0" w:color="auto"/>
            <w:right w:val="none" w:sz="0" w:space="0" w:color="auto"/>
          </w:divBdr>
        </w:div>
        <w:div w:id="1128934312">
          <w:marLeft w:val="547"/>
          <w:marRight w:val="0"/>
          <w:marTop w:val="72"/>
          <w:marBottom w:val="0"/>
          <w:divBdr>
            <w:top w:val="none" w:sz="0" w:space="0" w:color="auto"/>
            <w:left w:val="none" w:sz="0" w:space="0" w:color="auto"/>
            <w:bottom w:val="none" w:sz="0" w:space="0" w:color="auto"/>
            <w:right w:val="none" w:sz="0" w:space="0" w:color="auto"/>
          </w:divBdr>
        </w:div>
      </w:divsChild>
    </w:div>
    <w:div w:id="1484931072">
      <w:bodyDiv w:val="1"/>
      <w:marLeft w:val="0"/>
      <w:marRight w:val="0"/>
      <w:marTop w:val="0"/>
      <w:marBottom w:val="0"/>
      <w:divBdr>
        <w:top w:val="none" w:sz="0" w:space="0" w:color="auto"/>
        <w:left w:val="none" w:sz="0" w:space="0" w:color="auto"/>
        <w:bottom w:val="none" w:sz="0" w:space="0" w:color="auto"/>
        <w:right w:val="none" w:sz="0" w:space="0" w:color="auto"/>
      </w:divBdr>
    </w:div>
    <w:div w:id="1517387034">
      <w:bodyDiv w:val="1"/>
      <w:marLeft w:val="0"/>
      <w:marRight w:val="0"/>
      <w:marTop w:val="0"/>
      <w:marBottom w:val="0"/>
      <w:divBdr>
        <w:top w:val="none" w:sz="0" w:space="0" w:color="auto"/>
        <w:left w:val="none" w:sz="0" w:space="0" w:color="auto"/>
        <w:bottom w:val="none" w:sz="0" w:space="0" w:color="auto"/>
        <w:right w:val="none" w:sz="0" w:space="0" w:color="auto"/>
      </w:divBdr>
      <w:divsChild>
        <w:div w:id="286275136">
          <w:marLeft w:val="576"/>
          <w:marRight w:val="0"/>
          <w:marTop w:val="60"/>
          <w:marBottom w:val="0"/>
          <w:divBdr>
            <w:top w:val="none" w:sz="0" w:space="0" w:color="auto"/>
            <w:left w:val="none" w:sz="0" w:space="0" w:color="auto"/>
            <w:bottom w:val="none" w:sz="0" w:space="0" w:color="auto"/>
            <w:right w:val="none" w:sz="0" w:space="0" w:color="auto"/>
          </w:divBdr>
        </w:div>
        <w:div w:id="1157302085">
          <w:marLeft w:val="576"/>
          <w:marRight w:val="0"/>
          <w:marTop w:val="60"/>
          <w:marBottom w:val="0"/>
          <w:divBdr>
            <w:top w:val="none" w:sz="0" w:space="0" w:color="auto"/>
            <w:left w:val="none" w:sz="0" w:space="0" w:color="auto"/>
            <w:bottom w:val="none" w:sz="0" w:space="0" w:color="auto"/>
            <w:right w:val="none" w:sz="0" w:space="0" w:color="auto"/>
          </w:divBdr>
        </w:div>
      </w:divsChild>
    </w:div>
    <w:div w:id="1518422938">
      <w:bodyDiv w:val="1"/>
      <w:marLeft w:val="0"/>
      <w:marRight w:val="0"/>
      <w:marTop w:val="0"/>
      <w:marBottom w:val="0"/>
      <w:divBdr>
        <w:top w:val="none" w:sz="0" w:space="0" w:color="auto"/>
        <w:left w:val="none" w:sz="0" w:space="0" w:color="auto"/>
        <w:bottom w:val="none" w:sz="0" w:space="0" w:color="auto"/>
        <w:right w:val="none" w:sz="0" w:space="0" w:color="auto"/>
      </w:divBdr>
    </w:div>
    <w:div w:id="1522477061">
      <w:bodyDiv w:val="1"/>
      <w:marLeft w:val="0"/>
      <w:marRight w:val="0"/>
      <w:marTop w:val="0"/>
      <w:marBottom w:val="0"/>
      <w:divBdr>
        <w:top w:val="none" w:sz="0" w:space="0" w:color="auto"/>
        <w:left w:val="none" w:sz="0" w:space="0" w:color="auto"/>
        <w:bottom w:val="none" w:sz="0" w:space="0" w:color="auto"/>
        <w:right w:val="none" w:sz="0" w:space="0" w:color="auto"/>
      </w:divBdr>
    </w:div>
    <w:div w:id="1522738523">
      <w:bodyDiv w:val="1"/>
      <w:marLeft w:val="0"/>
      <w:marRight w:val="0"/>
      <w:marTop w:val="0"/>
      <w:marBottom w:val="0"/>
      <w:divBdr>
        <w:top w:val="none" w:sz="0" w:space="0" w:color="auto"/>
        <w:left w:val="none" w:sz="0" w:space="0" w:color="auto"/>
        <w:bottom w:val="none" w:sz="0" w:space="0" w:color="auto"/>
        <w:right w:val="none" w:sz="0" w:space="0" w:color="auto"/>
      </w:divBdr>
    </w:div>
    <w:div w:id="1532839522">
      <w:bodyDiv w:val="1"/>
      <w:marLeft w:val="0"/>
      <w:marRight w:val="0"/>
      <w:marTop w:val="0"/>
      <w:marBottom w:val="0"/>
      <w:divBdr>
        <w:top w:val="none" w:sz="0" w:space="0" w:color="auto"/>
        <w:left w:val="none" w:sz="0" w:space="0" w:color="auto"/>
        <w:bottom w:val="none" w:sz="0" w:space="0" w:color="auto"/>
        <w:right w:val="none" w:sz="0" w:space="0" w:color="auto"/>
      </w:divBdr>
    </w:div>
    <w:div w:id="1560824988">
      <w:bodyDiv w:val="1"/>
      <w:marLeft w:val="0"/>
      <w:marRight w:val="0"/>
      <w:marTop w:val="0"/>
      <w:marBottom w:val="0"/>
      <w:divBdr>
        <w:top w:val="none" w:sz="0" w:space="0" w:color="auto"/>
        <w:left w:val="none" w:sz="0" w:space="0" w:color="auto"/>
        <w:bottom w:val="none" w:sz="0" w:space="0" w:color="auto"/>
        <w:right w:val="none" w:sz="0" w:space="0" w:color="auto"/>
      </w:divBdr>
    </w:div>
    <w:div w:id="1566180487">
      <w:bodyDiv w:val="1"/>
      <w:marLeft w:val="0"/>
      <w:marRight w:val="0"/>
      <w:marTop w:val="0"/>
      <w:marBottom w:val="0"/>
      <w:divBdr>
        <w:top w:val="none" w:sz="0" w:space="0" w:color="auto"/>
        <w:left w:val="none" w:sz="0" w:space="0" w:color="auto"/>
        <w:bottom w:val="none" w:sz="0" w:space="0" w:color="auto"/>
        <w:right w:val="none" w:sz="0" w:space="0" w:color="auto"/>
      </w:divBdr>
    </w:div>
    <w:div w:id="1568570528">
      <w:bodyDiv w:val="1"/>
      <w:marLeft w:val="0"/>
      <w:marRight w:val="0"/>
      <w:marTop w:val="0"/>
      <w:marBottom w:val="0"/>
      <w:divBdr>
        <w:top w:val="none" w:sz="0" w:space="0" w:color="auto"/>
        <w:left w:val="none" w:sz="0" w:space="0" w:color="auto"/>
        <w:bottom w:val="none" w:sz="0" w:space="0" w:color="auto"/>
        <w:right w:val="none" w:sz="0" w:space="0" w:color="auto"/>
      </w:divBdr>
    </w:div>
    <w:div w:id="1575699344">
      <w:bodyDiv w:val="1"/>
      <w:marLeft w:val="0"/>
      <w:marRight w:val="0"/>
      <w:marTop w:val="0"/>
      <w:marBottom w:val="0"/>
      <w:divBdr>
        <w:top w:val="none" w:sz="0" w:space="0" w:color="auto"/>
        <w:left w:val="none" w:sz="0" w:space="0" w:color="auto"/>
        <w:bottom w:val="none" w:sz="0" w:space="0" w:color="auto"/>
        <w:right w:val="none" w:sz="0" w:space="0" w:color="auto"/>
      </w:divBdr>
    </w:div>
    <w:div w:id="1592275029">
      <w:bodyDiv w:val="1"/>
      <w:marLeft w:val="0"/>
      <w:marRight w:val="0"/>
      <w:marTop w:val="0"/>
      <w:marBottom w:val="0"/>
      <w:divBdr>
        <w:top w:val="none" w:sz="0" w:space="0" w:color="auto"/>
        <w:left w:val="none" w:sz="0" w:space="0" w:color="auto"/>
        <w:bottom w:val="none" w:sz="0" w:space="0" w:color="auto"/>
        <w:right w:val="none" w:sz="0" w:space="0" w:color="auto"/>
      </w:divBdr>
    </w:div>
    <w:div w:id="1616210191">
      <w:bodyDiv w:val="1"/>
      <w:marLeft w:val="0"/>
      <w:marRight w:val="0"/>
      <w:marTop w:val="0"/>
      <w:marBottom w:val="0"/>
      <w:divBdr>
        <w:top w:val="none" w:sz="0" w:space="0" w:color="auto"/>
        <w:left w:val="none" w:sz="0" w:space="0" w:color="auto"/>
        <w:bottom w:val="none" w:sz="0" w:space="0" w:color="auto"/>
        <w:right w:val="none" w:sz="0" w:space="0" w:color="auto"/>
      </w:divBdr>
    </w:div>
    <w:div w:id="1619795494">
      <w:bodyDiv w:val="1"/>
      <w:marLeft w:val="0"/>
      <w:marRight w:val="0"/>
      <w:marTop w:val="0"/>
      <w:marBottom w:val="0"/>
      <w:divBdr>
        <w:top w:val="none" w:sz="0" w:space="0" w:color="auto"/>
        <w:left w:val="none" w:sz="0" w:space="0" w:color="auto"/>
        <w:bottom w:val="none" w:sz="0" w:space="0" w:color="auto"/>
        <w:right w:val="none" w:sz="0" w:space="0" w:color="auto"/>
      </w:divBdr>
    </w:div>
    <w:div w:id="1624847020">
      <w:bodyDiv w:val="1"/>
      <w:marLeft w:val="0"/>
      <w:marRight w:val="0"/>
      <w:marTop w:val="0"/>
      <w:marBottom w:val="0"/>
      <w:divBdr>
        <w:top w:val="none" w:sz="0" w:space="0" w:color="auto"/>
        <w:left w:val="none" w:sz="0" w:space="0" w:color="auto"/>
        <w:bottom w:val="none" w:sz="0" w:space="0" w:color="auto"/>
        <w:right w:val="none" w:sz="0" w:space="0" w:color="auto"/>
      </w:divBdr>
      <w:divsChild>
        <w:div w:id="299266064">
          <w:marLeft w:val="547"/>
          <w:marRight w:val="0"/>
          <w:marTop w:val="0"/>
          <w:marBottom w:val="0"/>
          <w:divBdr>
            <w:top w:val="none" w:sz="0" w:space="0" w:color="auto"/>
            <w:left w:val="none" w:sz="0" w:space="0" w:color="auto"/>
            <w:bottom w:val="none" w:sz="0" w:space="0" w:color="auto"/>
            <w:right w:val="none" w:sz="0" w:space="0" w:color="auto"/>
          </w:divBdr>
        </w:div>
        <w:div w:id="1731079962">
          <w:marLeft w:val="547"/>
          <w:marRight w:val="0"/>
          <w:marTop w:val="0"/>
          <w:marBottom w:val="0"/>
          <w:divBdr>
            <w:top w:val="none" w:sz="0" w:space="0" w:color="auto"/>
            <w:left w:val="none" w:sz="0" w:space="0" w:color="auto"/>
            <w:bottom w:val="none" w:sz="0" w:space="0" w:color="auto"/>
            <w:right w:val="none" w:sz="0" w:space="0" w:color="auto"/>
          </w:divBdr>
        </w:div>
        <w:div w:id="1968974613">
          <w:marLeft w:val="547"/>
          <w:marRight w:val="0"/>
          <w:marTop w:val="0"/>
          <w:marBottom w:val="0"/>
          <w:divBdr>
            <w:top w:val="none" w:sz="0" w:space="0" w:color="auto"/>
            <w:left w:val="none" w:sz="0" w:space="0" w:color="auto"/>
            <w:bottom w:val="none" w:sz="0" w:space="0" w:color="auto"/>
            <w:right w:val="none" w:sz="0" w:space="0" w:color="auto"/>
          </w:divBdr>
        </w:div>
      </w:divsChild>
    </w:div>
    <w:div w:id="1626545621">
      <w:bodyDiv w:val="1"/>
      <w:marLeft w:val="0"/>
      <w:marRight w:val="0"/>
      <w:marTop w:val="0"/>
      <w:marBottom w:val="0"/>
      <w:divBdr>
        <w:top w:val="none" w:sz="0" w:space="0" w:color="auto"/>
        <w:left w:val="none" w:sz="0" w:space="0" w:color="auto"/>
        <w:bottom w:val="none" w:sz="0" w:space="0" w:color="auto"/>
        <w:right w:val="none" w:sz="0" w:space="0" w:color="auto"/>
      </w:divBdr>
    </w:div>
    <w:div w:id="1630893849">
      <w:bodyDiv w:val="1"/>
      <w:marLeft w:val="0"/>
      <w:marRight w:val="0"/>
      <w:marTop w:val="0"/>
      <w:marBottom w:val="0"/>
      <w:divBdr>
        <w:top w:val="none" w:sz="0" w:space="0" w:color="auto"/>
        <w:left w:val="none" w:sz="0" w:space="0" w:color="auto"/>
        <w:bottom w:val="none" w:sz="0" w:space="0" w:color="auto"/>
        <w:right w:val="none" w:sz="0" w:space="0" w:color="auto"/>
      </w:divBdr>
    </w:div>
    <w:div w:id="1634942497">
      <w:bodyDiv w:val="1"/>
      <w:marLeft w:val="0"/>
      <w:marRight w:val="0"/>
      <w:marTop w:val="0"/>
      <w:marBottom w:val="0"/>
      <w:divBdr>
        <w:top w:val="none" w:sz="0" w:space="0" w:color="auto"/>
        <w:left w:val="none" w:sz="0" w:space="0" w:color="auto"/>
        <w:bottom w:val="none" w:sz="0" w:space="0" w:color="auto"/>
        <w:right w:val="none" w:sz="0" w:space="0" w:color="auto"/>
      </w:divBdr>
    </w:div>
    <w:div w:id="1639142999">
      <w:bodyDiv w:val="1"/>
      <w:marLeft w:val="0"/>
      <w:marRight w:val="0"/>
      <w:marTop w:val="0"/>
      <w:marBottom w:val="0"/>
      <w:divBdr>
        <w:top w:val="none" w:sz="0" w:space="0" w:color="auto"/>
        <w:left w:val="none" w:sz="0" w:space="0" w:color="auto"/>
        <w:bottom w:val="none" w:sz="0" w:space="0" w:color="auto"/>
        <w:right w:val="none" w:sz="0" w:space="0" w:color="auto"/>
      </w:divBdr>
    </w:div>
    <w:div w:id="1661885816">
      <w:bodyDiv w:val="1"/>
      <w:marLeft w:val="0"/>
      <w:marRight w:val="0"/>
      <w:marTop w:val="0"/>
      <w:marBottom w:val="0"/>
      <w:divBdr>
        <w:top w:val="none" w:sz="0" w:space="0" w:color="auto"/>
        <w:left w:val="none" w:sz="0" w:space="0" w:color="auto"/>
        <w:bottom w:val="none" w:sz="0" w:space="0" w:color="auto"/>
        <w:right w:val="none" w:sz="0" w:space="0" w:color="auto"/>
      </w:divBdr>
    </w:div>
    <w:div w:id="1662588114">
      <w:bodyDiv w:val="1"/>
      <w:marLeft w:val="0"/>
      <w:marRight w:val="0"/>
      <w:marTop w:val="0"/>
      <w:marBottom w:val="0"/>
      <w:divBdr>
        <w:top w:val="none" w:sz="0" w:space="0" w:color="auto"/>
        <w:left w:val="none" w:sz="0" w:space="0" w:color="auto"/>
        <w:bottom w:val="none" w:sz="0" w:space="0" w:color="auto"/>
        <w:right w:val="none" w:sz="0" w:space="0" w:color="auto"/>
      </w:divBdr>
    </w:div>
    <w:div w:id="1664818550">
      <w:bodyDiv w:val="1"/>
      <w:marLeft w:val="0"/>
      <w:marRight w:val="0"/>
      <w:marTop w:val="0"/>
      <w:marBottom w:val="0"/>
      <w:divBdr>
        <w:top w:val="none" w:sz="0" w:space="0" w:color="auto"/>
        <w:left w:val="none" w:sz="0" w:space="0" w:color="auto"/>
        <w:bottom w:val="none" w:sz="0" w:space="0" w:color="auto"/>
        <w:right w:val="none" w:sz="0" w:space="0" w:color="auto"/>
      </w:divBdr>
    </w:div>
    <w:div w:id="1679652999">
      <w:bodyDiv w:val="1"/>
      <w:marLeft w:val="0"/>
      <w:marRight w:val="0"/>
      <w:marTop w:val="0"/>
      <w:marBottom w:val="0"/>
      <w:divBdr>
        <w:top w:val="none" w:sz="0" w:space="0" w:color="auto"/>
        <w:left w:val="none" w:sz="0" w:space="0" w:color="auto"/>
        <w:bottom w:val="none" w:sz="0" w:space="0" w:color="auto"/>
        <w:right w:val="none" w:sz="0" w:space="0" w:color="auto"/>
      </w:divBdr>
    </w:div>
    <w:div w:id="1690764748">
      <w:bodyDiv w:val="1"/>
      <w:marLeft w:val="0"/>
      <w:marRight w:val="0"/>
      <w:marTop w:val="0"/>
      <w:marBottom w:val="0"/>
      <w:divBdr>
        <w:top w:val="none" w:sz="0" w:space="0" w:color="auto"/>
        <w:left w:val="none" w:sz="0" w:space="0" w:color="auto"/>
        <w:bottom w:val="none" w:sz="0" w:space="0" w:color="auto"/>
        <w:right w:val="none" w:sz="0" w:space="0" w:color="auto"/>
      </w:divBdr>
      <w:divsChild>
        <w:div w:id="1014846563">
          <w:marLeft w:val="547"/>
          <w:marRight w:val="0"/>
          <w:marTop w:val="0"/>
          <w:marBottom w:val="0"/>
          <w:divBdr>
            <w:top w:val="none" w:sz="0" w:space="0" w:color="auto"/>
            <w:left w:val="none" w:sz="0" w:space="0" w:color="auto"/>
            <w:bottom w:val="none" w:sz="0" w:space="0" w:color="auto"/>
            <w:right w:val="none" w:sz="0" w:space="0" w:color="auto"/>
          </w:divBdr>
        </w:div>
        <w:div w:id="267128593">
          <w:marLeft w:val="547"/>
          <w:marRight w:val="0"/>
          <w:marTop w:val="0"/>
          <w:marBottom w:val="0"/>
          <w:divBdr>
            <w:top w:val="none" w:sz="0" w:space="0" w:color="auto"/>
            <w:left w:val="none" w:sz="0" w:space="0" w:color="auto"/>
            <w:bottom w:val="none" w:sz="0" w:space="0" w:color="auto"/>
            <w:right w:val="none" w:sz="0" w:space="0" w:color="auto"/>
          </w:divBdr>
        </w:div>
        <w:div w:id="230429730">
          <w:marLeft w:val="547"/>
          <w:marRight w:val="0"/>
          <w:marTop w:val="0"/>
          <w:marBottom w:val="0"/>
          <w:divBdr>
            <w:top w:val="none" w:sz="0" w:space="0" w:color="auto"/>
            <w:left w:val="none" w:sz="0" w:space="0" w:color="auto"/>
            <w:bottom w:val="none" w:sz="0" w:space="0" w:color="auto"/>
            <w:right w:val="none" w:sz="0" w:space="0" w:color="auto"/>
          </w:divBdr>
        </w:div>
      </w:divsChild>
    </w:div>
    <w:div w:id="1701202526">
      <w:bodyDiv w:val="1"/>
      <w:marLeft w:val="0"/>
      <w:marRight w:val="0"/>
      <w:marTop w:val="0"/>
      <w:marBottom w:val="0"/>
      <w:divBdr>
        <w:top w:val="none" w:sz="0" w:space="0" w:color="auto"/>
        <w:left w:val="none" w:sz="0" w:space="0" w:color="auto"/>
        <w:bottom w:val="none" w:sz="0" w:space="0" w:color="auto"/>
        <w:right w:val="none" w:sz="0" w:space="0" w:color="auto"/>
      </w:divBdr>
    </w:div>
    <w:div w:id="1711605931">
      <w:bodyDiv w:val="1"/>
      <w:marLeft w:val="0"/>
      <w:marRight w:val="0"/>
      <w:marTop w:val="0"/>
      <w:marBottom w:val="0"/>
      <w:divBdr>
        <w:top w:val="none" w:sz="0" w:space="0" w:color="auto"/>
        <w:left w:val="none" w:sz="0" w:space="0" w:color="auto"/>
        <w:bottom w:val="none" w:sz="0" w:space="0" w:color="auto"/>
        <w:right w:val="none" w:sz="0" w:space="0" w:color="auto"/>
      </w:divBdr>
      <w:divsChild>
        <w:div w:id="128743502">
          <w:marLeft w:val="274"/>
          <w:marRight w:val="0"/>
          <w:marTop w:val="0"/>
          <w:marBottom w:val="0"/>
          <w:divBdr>
            <w:top w:val="none" w:sz="0" w:space="0" w:color="auto"/>
            <w:left w:val="none" w:sz="0" w:space="0" w:color="auto"/>
            <w:bottom w:val="none" w:sz="0" w:space="0" w:color="auto"/>
            <w:right w:val="none" w:sz="0" w:space="0" w:color="auto"/>
          </w:divBdr>
        </w:div>
        <w:div w:id="1077049442">
          <w:marLeft w:val="274"/>
          <w:marRight w:val="0"/>
          <w:marTop w:val="0"/>
          <w:marBottom w:val="0"/>
          <w:divBdr>
            <w:top w:val="none" w:sz="0" w:space="0" w:color="auto"/>
            <w:left w:val="none" w:sz="0" w:space="0" w:color="auto"/>
            <w:bottom w:val="none" w:sz="0" w:space="0" w:color="auto"/>
            <w:right w:val="none" w:sz="0" w:space="0" w:color="auto"/>
          </w:divBdr>
        </w:div>
        <w:div w:id="266933058">
          <w:marLeft w:val="274"/>
          <w:marRight w:val="0"/>
          <w:marTop w:val="0"/>
          <w:marBottom w:val="0"/>
          <w:divBdr>
            <w:top w:val="none" w:sz="0" w:space="0" w:color="auto"/>
            <w:left w:val="none" w:sz="0" w:space="0" w:color="auto"/>
            <w:bottom w:val="none" w:sz="0" w:space="0" w:color="auto"/>
            <w:right w:val="none" w:sz="0" w:space="0" w:color="auto"/>
          </w:divBdr>
        </w:div>
        <w:div w:id="439616184">
          <w:marLeft w:val="274"/>
          <w:marRight w:val="0"/>
          <w:marTop w:val="0"/>
          <w:marBottom w:val="0"/>
          <w:divBdr>
            <w:top w:val="none" w:sz="0" w:space="0" w:color="auto"/>
            <w:left w:val="none" w:sz="0" w:space="0" w:color="auto"/>
            <w:bottom w:val="none" w:sz="0" w:space="0" w:color="auto"/>
            <w:right w:val="none" w:sz="0" w:space="0" w:color="auto"/>
          </w:divBdr>
        </w:div>
      </w:divsChild>
    </w:div>
    <w:div w:id="1751999853">
      <w:bodyDiv w:val="1"/>
      <w:marLeft w:val="0"/>
      <w:marRight w:val="0"/>
      <w:marTop w:val="0"/>
      <w:marBottom w:val="0"/>
      <w:divBdr>
        <w:top w:val="none" w:sz="0" w:space="0" w:color="auto"/>
        <w:left w:val="none" w:sz="0" w:space="0" w:color="auto"/>
        <w:bottom w:val="none" w:sz="0" w:space="0" w:color="auto"/>
        <w:right w:val="none" w:sz="0" w:space="0" w:color="auto"/>
      </w:divBdr>
      <w:divsChild>
        <w:div w:id="278032124">
          <w:marLeft w:val="547"/>
          <w:marRight w:val="0"/>
          <w:marTop w:val="0"/>
          <w:marBottom w:val="0"/>
          <w:divBdr>
            <w:top w:val="none" w:sz="0" w:space="0" w:color="auto"/>
            <w:left w:val="none" w:sz="0" w:space="0" w:color="auto"/>
            <w:bottom w:val="none" w:sz="0" w:space="0" w:color="auto"/>
            <w:right w:val="none" w:sz="0" w:space="0" w:color="auto"/>
          </w:divBdr>
        </w:div>
        <w:div w:id="841549777">
          <w:marLeft w:val="547"/>
          <w:marRight w:val="0"/>
          <w:marTop w:val="72"/>
          <w:marBottom w:val="0"/>
          <w:divBdr>
            <w:top w:val="none" w:sz="0" w:space="0" w:color="auto"/>
            <w:left w:val="none" w:sz="0" w:space="0" w:color="auto"/>
            <w:bottom w:val="none" w:sz="0" w:space="0" w:color="auto"/>
            <w:right w:val="none" w:sz="0" w:space="0" w:color="auto"/>
          </w:divBdr>
        </w:div>
        <w:div w:id="886839226">
          <w:marLeft w:val="547"/>
          <w:marRight w:val="0"/>
          <w:marTop w:val="72"/>
          <w:marBottom w:val="0"/>
          <w:divBdr>
            <w:top w:val="none" w:sz="0" w:space="0" w:color="auto"/>
            <w:left w:val="none" w:sz="0" w:space="0" w:color="auto"/>
            <w:bottom w:val="none" w:sz="0" w:space="0" w:color="auto"/>
            <w:right w:val="none" w:sz="0" w:space="0" w:color="auto"/>
          </w:divBdr>
        </w:div>
        <w:div w:id="1376856980">
          <w:marLeft w:val="547"/>
          <w:marRight w:val="0"/>
          <w:marTop w:val="72"/>
          <w:marBottom w:val="0"/>
          <w:divBdr>
            <w:top w:val="none" w:sz="0" w:space="0" w:color="auto"/>
            <w:left w:val="none" w:sz="0" w:space="0" w:color="auto"/>
            <w:bottom w:val="none" w:sz="0" w:space="0" w:color="auto"/>
            <w:right w:val="none" w:sz="0" w:space="0" w:color="auto"/>
          </w:divBdr>
        </w:div>
      </w:divsChild>
    </w:div>
    <w:div w:id="1758473971">
      <w:bodyDiv w:val="1"/>
      <w:marLeft w:val="0"/>
      <w:marRight w:val="0"/>
      <w:marTop w:val="0"/>
      <w:marBottom w:val="0"/>
      <w:divBdr>
        <w:top w:val="none" w:sz="0" w:space="0" w:color="auto"/>
        <w:left w:val="none" w:sz="0" w:space="0" w:color="auto"/>
        <w:bottom w:val="none" w:sz="0" w:space="0" w:color="auto"/>
        <w:right w:val="none" w:sz="0" w:space="0" w:color="auto"/>
      </w:divBdr>
    </w:div>
    <w:div w:id="1774782871">
      <w:bodyDiv w:val="1"/>
      <w:marLeft w:val="0"/>
      <w:marRight w:val="0"/>
      <w:marTop w:val="0"/>
      <w:marBottom w:val="0"/>
      <w:divBdr>
        <w:top w:val="none" w:sz="0" w:space="0" w:color="auto"/>
        <w:left w:val="none" w:sz="0" w:space="0" w:color="auto"/>
        <w:bottom w:val="none" w:sz="0" w:space="0" w:color="auto"/>
        <w:right w:val="none" w:sz="0" w:space="0" w:color="auto"/>
      </w:divBdr>
      <w:divsChild>
        <w:div w:id="2058699016">
          <w:marLeft w:val="360"/>
          <w:marRight w:val="0"/>
          <w:marTop w:val="0"/>
          <w:marBottom w:val="120"/>
          <w:divBdr>
            <w:top w:val="none" w:sz="0" w:space="0" w:color="auto"/>
            <w:left w:val="none" w:sz="0" w:space="0" w:color="auto"/>
            <w:bottom w:val="none" w:sz="0" w:space="0" w:color="auto"/>
            <w:right w:val="none" w:sz="0" w:space="0" w:color="auto"/>
          </w:divBdr>
        </w:div>
      </w:divsChild>
    </w:div>
    <w:div w:id="1811170917">
      <w:bodyDiv w:val="1"/>
      <w:marLeft w:val="0"/>
      <w:marRight w:val="0"/>
      <w:marTop w:val="0"/>
      <w:marBottom w:val="0"/>
      <w:divBdr>
        <w:top w:val="none" w:sz="0" w:space="0" w:color="auto"/>
        <w:left w:val="none" w:sz="0" w:space="0" w:color="auto"/>
        <w:bottom w:val="none" w:sz="0" w:space="0" w:color="auto"/>
        <w:right w:val="none" w:sz="0" w:space="0" w:color="auto"/>
      </w:divBdr>
      <w:divsChild>
        <w:div w:id="651641173">
          <w:marLeft w:val="547"/>
          <w:marRight w:val="0"/>
          <w:marTop w:val="86"/>
          <w:marBottom w:val="0"/>
          <w:divBdr>
            <w:top w:val="none" w:sz="0" w:space="0" w:color="auto"/>
            <w:left w:val="none" w:sz="0" w:space="0" w:color="auto"/>
            <w:bottom w:val="none" w:sz="0" w:space="0" w:color="auto"/>
            <w:right w:val="none" w:sz="0" w:space="0" w:color="auto"/>
          </w:divBdr>
        </w:div>
        <w:div w:id="642275040">
          <w:marLeft w:val="547"/>
          <w:marRight w:val="0"/>
          <w:marTop w:val="86"/>
          <w:marBottom w:val="0"/>
          <w:divBdr>
            <w:top w:val="none" w:sz="0" w:space="0" w:color="auto"/>
            <w:left w:val="none" w:sz="0" w:space="0" w:color="auto"/>
            <w:bottom w:val="none" w:sz="0" w:space="0" w:color="auto"/>
            <w:right w:val="none" w:sz="0" w:space="0" w:color="auto"/>
          </w:divBdr>
        </w:div>
        <w:div w:id="822425615">
          <w:marLeft w:val="446"/>
          <w:marRight w:val="0"/>
          <w:marTop w:val="0"/>
          <w:marBottom w:val="0"/>
          <w:divBdr>
            <w:top w:val="none" w:sz="0" w:space="0" w:color="auto"/>
            <w:left w:val="none" w:sz="0" w:space="0" w:color="auto"/>
            <w:bottom w:val="none" w:sz="0" w:space="0" w:color="auto"/>
            <w:right w:val="none" w:sz="0" w:space="0" w:color="auto"/>
          </w:divBdr>
        </w:div>
        <w:div w:id="1901987269">
          <w:marLeft w:val="446"/>
          <w:marRight w:val="0"/>
          <w:marTop w:val="0"/>
          <w:marBottom w:val="0"/>
          <w:divBdr>
            <w:top w:val="none" w:sz="0" w:space="0" w:color="auto"/>
            <w:left w:val="none" w:sz="0" w:space="0" w:color="auto"/>
            <w:bottom w:val="none" w:sz="0" w:space="0" w:color="auto"/>
            <w:right w:val="none" w:sz="0" w:space="0" w:color="auto"/>
          </w:divBdr>
        </w:div>
      </w:divsChild>
    </w:div>
    <w:div w:id="1815751304">
      <w:bodyDiv w:val="1"/>
      <w:marLeft w:val="0"/>
      <w:marRight w:val="0"/>
      <w:marTop w:val="0"/>
      <w:marBottom w:val="0"/>
      <w:divBdr>
        <w:top w:val="none" w:sz="0" w:space="0" w:color="auto"/>
        <w:left w:val="none" w:sz="0" w:space="0" w:color="auto"/>
        <w:bottom w:val="none" w:sz="0" w:space="0" w:color="auto"/>
        <w:right w:val="none" w:sz="0" w:space="0" w:color="auto"/>
      </w:divBdr>
      <w:divsChild>
        <w:div w:id="1492981771">
          <w:marLeft w:val="547"/>
          <w:marRight w:val="0"/>
          <w:marTop w:val="120"/>
          <w:marBottom w:val="120"/>
          <w:divBdr>
            <w:top w:val="none" w:sz="0" w:space="0" w:color="auto"/>
            <w:left w:val="none" w:sz="0" w:space="0" w:color="auto"/>
            <w:bottom w:val="none" w:sz="0" w:space="0" w:color="auto"/>
            <w:right w:val="none" w:sz="0" w:space="0" w:color="auto"/>
          </w:divBdr>
        </w:div>
        <w:div w:id="516119605">
          <w:marLeft w:val="1267"/>
          <w:marRight w:val="0"/>
          <w:marTop w:val="120"/>
          <w:marBottom w:val="120"/>
          <w:divBdr>
            <w:top w:val="none" w:sz="0" w:space="0" w:color="auto"/>
            <w:left w:val="none" w:sz="0" w:space="0" w:color="auto"/>
            <w:bottom w:val="none" w:sz="0" w:space="0" w:color="auto"/>
            <w:right w:val="none" w:sz="0" w:space="0" w:color="auto"/>
          </w:divBdr>
        </w:div>
        <w:div w:id="1994291412">
          <w:marLeft w:val="1267"/>
          <w:marRight w:val="0"/>
          <w:marTop w:val="120"/>
          <w:marBottom w:val="120"/>
          <w:divBdr>
            <w:top w:val="none" w:sz="0" w:space="0" w:color="auto"/>
            <w:left w:val="none" w:sz="0" w:space="0" w:color="auto"/>
            <w:bottom w:val="none" w:sz="0" w:space="0" w:color="auto"/>
            <w:right w:val="none" w:sz="0" w:space="0" w:color="auto"/>
          </w:divBdr>
        </w:div>
        <w:div w:id="44722292">
          <w:marLeft w:val="1267"/>
          <w:marRight w:val="0"/>
          <w:marTop w:val="120"/>
          <w:marBottom w:val="120"/>
          <w:divBdr>
            <w:top w:val="none" w:sz="0" w:space="0" w:color="auto"/>
            <w:left w:val="none" w:sz="0" w:space="0" w:color="auto"/>
            <w:bottom w:val="none" w:sz="0" w:space="0" w:color="auto"/>
            <w:right w:val="none" w:sz="0" w:space="0" w:color="auto"/>
          </w:divBdr>
        </w:div>
        <w:div w:id="1419907283">
          <w:marLeft w:val="1267"/>
          <w:marRight w:val="0"/>
          <w:marTop w:val="120"/>
          <w:marBottom w:val="120"/>
          <w:divBdr>
            <w:top w:val="none" w:sz="0" w:space="0" w:color="auto"/>
            <w:left w:val="none" w:sz="0" w:space="0" w:color="auto"/>
            <w:bottom w:val="none" w:sz="0" w:space="0" w:color="auto"/>
            <w:right w:val="none" w:sz="0" w:space="0" w:color="auto"/>
          </w:divBdr>
        </w:div>
        <w:div w:id="674648621">
          <w:marLeft w:val="1267"/>
          <w:marRight w:val="0"/>
          <w:marTop w:val="120"/>
          <w:marBottom w:val="120"/>
          <w:divBdr>
            <w:top w:val="none" w:sz="0" w:space="0" w:color="auto"/>
            <w:left w:val="none" w:sz="0" w:space="0" w:color="auto"/>
            <w:bottom w:val="none" w:sz="0" w:space="0" w:color="auto"/>
            <w:right w:val="none" w:sz="0" w:space="0" w:color="auto"/>
          </w:divBdr>
        </w:div>
        <w:div w:id="621690031">
          <w:marLeft w:val="1267"/>
          <w:marRight w:val="0"/>
          <w:marTop w:val="120"/>
          <w:marBottom w:val="120"/>
          <w:divBdr>
            <w:top w:val="none" w:sz="0" w:space="0" w:color="auto"/>
            <w:left w:val="none" w:sz="0" w:space="0" w:color="auto"/>
            <w:bottom w:val="none" w:sz="0" w:space="0" w:color="auto"/>
            <w:right w:val="none" w:sz="0" w:space="0" w:color="auto"/>
          </w:divBdr>
        </w:div>
        <w:div w:id="428738283">
          <w:marLeft w:val="1267"/>
          <w:marRight w:val="0"/>
          <w:marTop w:val="120"/>
          <w:marBottom w:val="120"/>
          <w:divBdr>
            <w:top w:val="none" w:sz="0" w:space="0" w:color="auto"/>
            <w:left w:val="none" w:sz="0" w:space="0" w:color="auto"/>
            <w:bottom w:val="none" w:sz="0" w:space="0" w:color="auto"/>
            <w:right w:val="none" w:sz="0" w:space="0" w:color="auto"/>
          </w:divBdr>
        </w:div>
        <w:div w:id="791285152">
          <w:marLeft w:val="1267"/>
          <w:marRight w:val="0"/>
          <w:marTop w:val="120"/>
          <w:marBottom w:val="120"/>
          <w:divBdr>
            <w:top w:val="none" w:sz="0" w:space="0" w:color="auto"/>
            <w:left w:val="none" w:sz="0" w:space="0" w:color="auto"/>
            <w:bottom w:val="none" w:sz="0" w:space="0" w:color="auto"/>
            <w:right w:val="none" w:sz="0" w:space="0" w:color="auto"/>
          </w:divBdr>
        </w:div>
        <w:div w:id="949241206">
          <w:marLeft w:val="1267"/>
          <w:marRight w:val="0"/>
          <w:marTop w:val="120"/>
          <w:marBottom w:val="120"/>
          <w:divBdr>
            <w:top w:val="none" w:sz="0" w:space="0" w:color="auto"/>
            <w:left w:val="none" w:sz="0" w:space="0" w:color="auto"/>
            <w:bottom w:val="none" w:sz="0" w:space="0" w:color="auto"/>
            <w:right w:val="none" w:sz="0" w:space="0" w:color="auto"/>
          </w:divBdr>
        </w:div>
      </w:divsChild>
    </w:div>
    <w:div w:id="1865286304">
      <w:bodyDiv w:val="1"/>
      <w:marLeft w:val="0"/>
      <w:marRight w:val="0"/>
      <w:marTop w:val="0"/>
      <w:marBottom w:val="0"/>
      <w:divBdr>
        <w:top w:val="none" w:sz="0" w:space="0" w:color="auto"/>
        <w:left w:val="none" w:sz="0" w:space="0" w:color="auto"/>
        <w:bottom w:val="none" w:sz="0" w:space="0" w:color="auto"/>
        <w:right w:val="none" w:sz="0" w:space="0" w:color="auto"/>
      </w:divBdr>
      <w:divsChild>
        <w:div w:id="2053576915">
          <w:marLeft w:val="547"/>
          <w:marRight w:val="0"/>
          <w:marTop w:val="0"/>
          <w:marBottom w:val="0"/>
          <w:divBdr>
            <w:top w:val="none" w:sz="0" w:space="0" w:color="auto"/>
            <w:left w:val="none" w:sz="0" w:space="0" w:color="auto"/>
            <w:bottom w:val="none" w:sz="0" w:space="0" w:color="auto"/>
            <w:right w:val="none" w:sz="0" w:space="0" w:color="auto"/>
          </w:divBdr>
        </w:div>
      </w:divsChild>
    </w:div>
    <w:div w:id="1885362408">
      <w:bodyDiv w:val="1"/>
      <w:marLeft w:val="0"/>
      <w:marRight w:val="0"/>
      <w:marTop w:val="0"/>
      <w:marBottom w:val="0"/>
      <w:divBdr>
        <w:top w:val="none" w:sz="0" w:space="0" w:color="auto"/>
        <w:left w:val="none" w:sz="0" w:space="0" w:color="auto"/>
        <w:bottom w:val="none" w:sz="0" w:space="0" w:color="auto"/>
        <w:right w:val="none" w:sz="0" w:space="0" w:color="auto"/>
      </w:divBdr>
      <w:divsChild>
        <w:div w:id="925306722">
          <w:marLeft w:val="446"/>
          <w:marRight w:val="0"/>
          <w:marTop w:val="120"/>
          <w:marBottom w:val="120"/>
          <w:divBdr>
            <w:top w:val="none" w:sz="0" w:space="0" w:color="auto"/>
            <w:left w:val="none" w:sz="0" w:space="0" w:color="auto"/>
            <w:bottom w:val="none" w:sz="0" w:space="0" w:color="auto"/>
            <w:right w:val="none" w:sz="0" w:space="0" w:color="auto"/>
          </w:divBdr>
        </w:div>
        <w:div w:id="1756434458">
          <w:marLeft w:val="446"/>
          <w:marRight w:val="0"/>
          <w:marTop w:val="120"/>
          <w:marBottom w:val="120"/>
          <w:divBdr>
            <w:top w:val="none" w:sz="0" w:space="0" w:color="auto"/>
            <w:left w:val="none" w:sz="0" w:space="0" w:color="auto"/>
            <w:bottom w:val="none" w:sz="0" w:space="0" w:color="auto"/>
            <w:right w:val="none" w:sz="0" w:space="0" w:color="auto"/>
          </w:divBdr>
        </w:div>
        <w:div w:id="350299239">
          <w:marLeft w:val="446"/>
          <w:marRight w:val="0"/>
          <w:marTop w:val="120"/>
          <w:marBottom w:val="120"/>
          <w:divBdr>
            <w:top w:val="none" w:sz="0" w:space="0" w:color="auto"/>
            <w:left w:val="none" w:sz="0" w:space="0" w:color="auto"/>
            <w:bottom w:val="none" w:sz="0" w:space="0" w:color="auto"/>
            <w:right w:val="none" w:sz="0" w:space="0" w:color="auto"/>
          </w:divBdr>
        </w:div>
        <w:div w:id="221448357">
          <w:marLeft w:val="446"/>
          <w:marRight w:val="0"/>
          <w:marTop w:val="120"/>
          <w:marBottom w:val="120"/>
          <w:divBdr>
            <w:top w:val="none" w:sz="0" w:space="0" w:color="auto"/>
            <w:left w:val="none" w:sz="0" w:space="0" w:color="auto"/>
            <w:bottom w:val="none" w:sz="0" w:space="0" w:color="auto"/>
            <w:right w:val="none" w:sz="0" w:space="0" w:color="auto"/>
          </w:divBdr>
        </w:div>
        <w:div w:id="303699225">
          <w:marLeft w:val="446"/>
          <w:marRight w:val="0"/>
          <w:marTop w:val="120"/>
          <w:marBottom w:val="120"/>
          <w:divBdr>
            <w:top w:val="none" w:sz="0" w:space="0" w:color="auto"/>
            <w:left w:val="none" w:sz="0" w:space="0" w:color="auto"/>
            <w:bottom w:val="none" w:sz="0" w:space="0" w:color="auto"/>
            <w:right w:val="none" w:sz="0" w:space="0" w:color="auto"/>
          </w:divBdr>
        </w:div>
      </w:divsChild>
    </w:div>
    <w:div w:id="1890648445">
      <w:bodyDiv w:val="1"/>
      <w:marLeft w:val="0"/>
      <w:marRight w:val="0"/>
      <w:marTop w:val="0"/>
      <w:marBottom w:val="0"/>
      <w:divBdr>
        <w:top w:val="none" w:sz="0" w:space="0" w:color="auto"/>
        <w:left w:val="none" w:sz="0" w:space="0" w:color="auto"/>
        <w:bottom w:val="none" w:sz="0" w:space="0" w:color="auto"/>
        <w:right w:val="none" w:sz="0" w:space="0" w:color="auto"/>
      </w:divBdr>
    </w:div>
    <w:div w:id="1903905282">
      <w:bodyDiv w:val="1"/>
      <w:marLeft w:val="0"/>
      <w:marRight w:val="0"/>
      <w:marTop w:val="0"/>
      <w:marBottom w:val="0"/>
      <w:divBdr>
        <w:top w:val="none" w:sz="0" w:space="0" w:color="auto"/>
        <w:left w:val="none" w:sz="0" w:space="0" w:color="auto"/>
        <w:bottom w:val="none" w:sz="0" w:space="0" w:color="auto"/>
        <w:right w:val="none" w:sz="0" w:space="0" w:color="auto"/>
      </w:divBdr>
    </w:div>
    <w:div w:id="1913813916">
      <w:bodyDiv w:val="1"/>
      <w:marLeft w:val="0"/>
      <w:marRight w:val="0"/>
      <w:marTop w:val="0"/>
      <w:marBottom w:val="0"/>
      <w:divBdr>
        <w:top w:val="none" w:sz="0" w:space="0" w:color="auto"/>
        <w:left w:val="none" w:sz="0" w:space="0" w:color="auto"/>
        <w:bottom w:val="none" w:sz="0" w:space="0" w:color="auto"/>
        <w:right w:val="none" w:sz="0" w:space="0" w:color="auto"/>
      </w:divBdr>
      <w:divsChild>
        <w:div w:id="85806161">
          <w:marLeft w:val="274"/>
          <w:marRight w:val="0"/>
          <w:marTop w:val="0"/>
          <w:marBottom w:val="0"/>
          <w:divBdr>
            <w:top w:val="none" w:sz="0" w:space="0" w:color="auto"/>
            <w:left w:val="none" w:sz="0" w:space="0" w:color="auto"/>
            <w:bottom w:val="none" w:sz="0" w:space="0" w:color="auto"/>
            <w:right w:val="none" w:sz="0" w:space="0" w:color="auto"/>
          </w:divBdr>
        </w:div>
        <w:div w:id="1054430713">
          <w:marLeft w:val="274"/>
          <w:marRight w:val="0"/>
          <w:marTop w:val="0"/>
          <w:marBottom w:val="0"/>
          <w:divBdr>
            <w:top w:val="none" w:sz="0" w:space="0" w:color="auto"/>
            <w:left w:val="none" w:sz="0" w:space="0" w:color="auto"/>
            <w:bottom w:val="none" w:sz="0" w:space="0" w:color="auto"/>
            <w:right w:val="none" w:sz="0" w:space="0" w:color="auto"/>
          </w:divBdr>
        </w:div>
        <w:div w:id="598176207">
          <w:marLeft w:val="274"/>
          <w:marRight w:val="0"/>
          <w:marTop w:val="0"/>
          <w:marBottom w:val="0"/>
          <w:divBdr>
            <w:top w:val="none" w:sz="0" w:space="0" w:color="auto"/>
            <w:left w:val="none" w:sz="0" w:space="0" w:color="auto"/>
            <w:bottom w:val="none" w:sz="0" w:space="0" w:color="auto"/>
            <w:right w:val="none" w:sz="0" w:space="0" w:color="auto"/>
          </w:divBdr>
        </w:div>
      </w:divsChild>
    </w:div>
    <w:div w:id="1934851374">
      <w:bodyDiv w:val="1"/>
      <w:marLeft w:val="0"/>
      <w:marRight w:val="0"/>
      <w:marTop w:val="0"/>
      <w:marBottom w:val="0"/>
      <w:divBdr>
        <w:top w:val="none" w:sz="0" w:space="0" w:color="auto"/>
        <w:left w:val="none" w:sz="0" w:space="0" w:color="auto"/>
        <w:bottom w:val="none" w:sz="0" w:space="0" w:color="auto"/>
        <w:right w:val="none" w:sz="0" w:space="0" w:color="auto"/>
      </w:divBdr>
      <w:divsChild>
        <w:div w:id="581066380">
          <w:marLeft w:val="461"/>
          <w:marRight w:val="0"/>
          <w:marTop w:val="0"/>
          <w:marBottom w:val="0"/>
          <w:divBdr>
            <w:top w:val="none" w:sz="0" w:space="0" w:color="auto"/>
            <w:left w:val="none" w:sz="0" w:space="0" w:color="auto"/>
            <w:bottom w:val="none" w:sz="0" w:space="0" w:color="auto"/>
            <w:right w:val="none" w:sz="0" w:space="0" w:color="auto"/>
          </w:divBdr>
        </w:div>
        <w:div w:id="294145545">
          <w:marLeft w:val="461"/>
          <w:marRight w:val="0"/>
          <w:marTop w:val="0"/>
          <w:marBottom w:val="0"/>
          <w:divBdr>
            <w:top w:val="none" w:sz="0" w:space="0" w:color="auto"/>
            <w:left w:val="none" w:sz="0" w:space="0" w:color="auto"/>
            <w:bottom w:val="none" w:sz="0" w:space="0" w:color="auto"/>
            <w:right w:val="none" w:sz="0" w:space="0" w:color="auto"/>
          </w:divBdr>
        </w:div>
        <w:div w:id="1782605779">
          <w:marLeft w:val="461"/>
          <w:marRight w:val="0"/>
          <w:marTop w:val="0"/>
          <w:marBottom w:val="0"/>
          <w:divBdr>
            <w:top w:val="none" w:sz="0" w:space="0" w:color="auto"/>
            <w:left w:val="none" w:sz="0" w:space="0" w:color="auto"/>
            <w:bottom w:val="none" w:sz="0" w:space="0" w:color="auto"/>
            <w:right w:val="none" w:sz="0" w:space="0" w:color="auto"/>
          </w:divBdr>
        </w:div>
        <w:div w:id="1729574257">
          <w:marLeft w:val="461"/>
          <w:marRight w:val="0"/>
          <w:marTop w:val="0"/>
          <w:marBottom w:val="0"/>
          <w:divBdr>
            <w:top w:val="none" w:sz="0" w:space="0" w:color="auto"/>
            <w:left w:val="none" w:sz="0" w:space="0" w:color="auto"/>
            <w:bottom w:val="none" w:sz="0" w:space="0" w:color="auto"/>
            <w:right w:val="none" w:sz="0" w:space="0" w:color="auto"/>
          </w:divBdr>
        </w:div>
        <w:div w:id="956910837">
          <w:marLeft w:val="461"/>
          <w:marRight w:val="0"/>
          <w:marTop w:val="0"/>
          <w:marBottom w:val="0"/>
          <w:divBdr>
            <w:top w:val="none" w:sz="0" w:space="0" w:color="auto"/>
            <w:left w:val="none" w:sz="0" w:space="0" w:color="auto"/>
            <w:bottom w:val="none" w:sz="0" w:space="0" w:color="auto"/>
            <w:right w:val="none" w:sz="0" w:space="0" w:color="auto"/>
          </w:divBdr>
        </w:div>
      </w:divsChild>
    </w:div>
    <w:div w:id="1956326498">
      <w:bodyDiv w:val="1"/>
      <w:marLeft w:val="0"/>
      <w:marRight w:val="0"/>
      <w:marTop w:val="0"/>
      <w:marBottom w:val="0"/>
      <w:divBdr>
        <w:top w:val="none" w:sz="0" w:space="0" w:color="auto"/>
        <w:left w:val="none" w:sz="0" w:space="0" w:color="auto"/>
        <w:bottom w:val="none" w:sz="0" w:space="0" w:color="auto"/>
        <w:right w:val="none" w:sz="0" w:space="0" w:color="auto"/>
      </w:divBdr>
    </w:div>
    <w:div w:id="1956521042">
      <w:bodyDiv w:val="1"/>
      <w:marLeft w:val="0"/>
      <w:marRight w:val="0"/>
      <w:marTop w:val="0"/>
      <w:marBottom w:val="0"/>
      <w:divBdr>
        <w:top w:val="none" w:sz="0" w:space="0" w:color="auto"/>
        <w:left w:val="none" w:sz="0" w:space="0" w:color="auto"/>
        <w:bottom w:val="none" w:sz="0" w:space="0" w:color="auto"/>
        <w:right w:val="none" w:sz="0" w:space="0" w:color="auto"/>
      </w:divBdr>
    </w:div>
    <w:div w:id="1962572075">
      <w:bodyDiv w:val="1"/>
      <w:marLeft w:val="0"/>
      <w:marRight w:val="0"/>
      <w:marTop w:val="0"/>
      <w:marBottom w:val="0"/>
      <w:divBdr>
        <w:top w:val="none" w:sz="0" w:space="0" w:color="auto"/>
        <w:left w:val="none" w:sz="0" w:space="0" w:color="auto"/>
        <w:bottom w:val="none" w:sz="0" w:space="0" w:color="auto"/>
        <w:right w:val="none" w:sz="0" w:space="0" w:color="auto"/>
      </w:divBdr>
    </w:div>
    <w:div w:id="1965892546">
      <w:bodyDiv w:val="1"/>
      <w:marLeft w:val="0"/>
      <w:marRight w:val="0"/>
      <w:marTop w:val="0"/>
      <w:marBottom w:val="0"/>
      <w:divBdr>
        <w:top w:val="none" w:sz="0" w:space="0" w:color="auto"/>
        <w:left w:val="none" w:sz="0" w:space="0" w:color="auto"/>
        <w:bottom w:val="none" w:sz="0" w:space="0" w:color="auto"/>
        <w:right w:val="none" w:sz="0" w:space="0" w:color="auto"/>
      </w:divBdr>
    </w:div>
    <w:div w:id="1972590004">
      <w:bodyDiv w:val="1"/>
      <w:marLeft w:val="0"/>
      <w:marRight w:val="0"/>
      <w:marTop w:val="0"/>
      <w:marBottom w:val="0"/>
      <w:divBdr>
        <w:top w:val="none" w:sz="0" w:space="0" w:color="auto"/>
        <w:left w:val="none" w:sz="0" w:space="0" w:color="auto"/>
        <w:bottom w:val="none" w:sz="0" w:space="0" w:color="auto"/>
        <w:right w:val="none" w:sz="0" w:space="0" w:color="auto"/>
      </w:divBdr>
    </w:div>
    <w:div w:id="1973093162">
      <w:bodyDiv w:val="1"/>
      <w:marLeft w:val="0"/>
      <w:marRight w:val="0"/>
      <w:marTop w:val="0"/>
      <w:marBottom w:val="0"/>
      <w:divBdr>
        <w:top w:val="none" w:sz="0" w:space="0" w:color="auto"/>
        <w:left w:val="none" w:sz="0" w:space="0" w:color="auto"/>
        <w:bottom w:val="none" w:sz="0" w:space="0" w:color="auto"/>
        <w:right w:val="none" w:sz="0" w:space="0" w:color="auto"/>
      </w:divBdr>
    </w:div>
    <w:div w:id="1986545138">
      <w:bodyDiv w:val="1"/>
      <w:marLeft w:val="0"/>
      <w:marRight w:val="0"/>
      <w:marTop w:val="0"/>
      <w:marBottom w:val="0"/>
      <w:divBdr>
        <w:top w:val="none" w:sz="0" w:space="0" w:color="auto"/>
        <w:left w:val="none" w:sz="0" w:space="0" w:color="auto"/>
        <w:bottom w:val="none" w:sz="0" w:space="0" w:color="auto"/>
        <w:right w:val="none" w:sz="0" w:space="0" w:color="auto"/>
      </w:divBdr>
    </w:div>
    <w:div w:id="1998681378">
      <w:bodyDiv w:val="1"/>
      <w:marLeft w:val="0"/>
      <w:marRight w:val="0"/>
      <w:marTop w:val="0"/>
      <w:marBottom w:val="0"/>
      <w:divBdr>
        <w:top w:val="none" w:sz="0" w:space="0" w:color="auto"/>
        <w:left w:val="none" w:sz="0" w:space="0" w:color="auto"/>
        <w:bottom w:val="none" w:sz="0" w:space="0" w:color="auto"/>
        <w:right w:val="none" w:sz="0" w:space="0" w:color="auto"/>
      </w:divBdr>
    </w:div>
    <w:div w:id="2014721209">
      <w:bodyDiv w:val="1"/>
      <w:marLeft w:val="0"/>
      <w:marRight w:val="0"/>
      <w:marTop w:val="0"/>
      <w:marBottom w:val="0"/>
      <w:divBdr>
        <w:top w:val="none" w:sz="0" w:space="0" w:color="auto"/>
        <w:left w:val="none" w:sz="0" w:space="0" w:color="auto"/>
        <w:bottom w:val="none" w:sz="0" w:space="0" w:color="auto"/>
        <w:right w:val="none" w:sz="0" w:space="0" w:color="auto"/>
      </w:divBdr>
    </w:div>
    <w:div w:id="2019962859">
      <w:bodyDiv w:val="1"/>
      <w:marLeft w:val="0"/>
      <w:marRight w:val="0"/>
      <w:marTop w:val="0"/>
      <w:marBottom w:val="0"/>
      <w:divBdr>
        <w:top w:val="none" w:sz="0" w:space="0" w:color="auto"/>
        <w:left w:val="none" w:sz="0" w:space="0" w:color="auto"/>
        <w:bottom w:val="none" w:sz="0" w:space="0" w:color="auto"/>
        <w:right w:val="none" w:sz="0" w:space="0" w:color="auto"/>
      </w:divBdr>
    </w:div>
    <w:div w:id="2023361802">
      <w:bodyDiv w:val="1"/>
      <w:marLeft w:val="0"/>
      <w:marRight w:val="0"/>
      <w:marTop w:val="0"/>
      <w:marBottom w:val="0"/>
      <w:divBdr>
        <w:top w:val="none" w:sz="0" w:space="0" w:color="auto"/>
        <w:left w:val="none" w:sz="0" w:space="0" w:color="auto"/>
        <w:bottom w:val="none" w:sz="0" w:space="0" w:color="auto"/>
        <w:right w:val="none" w:sz="0" w:space="0" w:color="auto"/>
      </w:divBdr>
    </w:div>
    <w:div w:id="2038500659">
      <w:bodyDiv w:val="1"/>
      <w:marLeft w:val="0"/>
      <w:marRight w:val="0"/>
      <w:marTop w:val="0"/>
      <w:marBottom w:val="0"/>
      <w:divBdr>
        <w:top w:val="none" w:sz="0" w:space="0" w:color="auto"/>
        <w:left w:val="none" w:sz="0" w:space="0" w:color="auto"/>
        <w:bottom w:val="none" w:sz="0" w:space="0" w:color="auto"/>
        <w:right w:val="none" w:sz="0" w:space="0" w:color="auto"/>
      </w:divBdr>
    </w:div>
    <w:div w:id="2063408840">
      <w:bodyDiv w:val="1"/>
      <w:marLeft w:val="0"/>
      <w:marRight w:val="0"/>
      <w:marTop w:val="0"/>
      <w:marBottom w:val="0"/>
      <w:divBdr>
        <w:top w:val="none" w:sz="0" w:space="0" w:color="auto"/>
        <w:left w:val="none" w:sz="0" w:space="0" w:color="auto"/>
        <w:bottom w:val="none" w:sz="0" w:space="0" w:color="auto"/>
        <w:right w:val="none" w:sz="0" w:space="0" w:color="auto"/>
      </w:divBdr>
    </w:div>
    <w:div w:id="2064403385">
      <w:bodyDiv w:val="1"/>
      <w:marLeft w:val="0"/>
      <w:marRight w:val="0"/>
      <w:marTop w:val="0"/>
      <w:marBottom w:val="0"/>
      <w:divBdr>
        <w:top w:val="none" w:sz="0" w:space="0" w:color="auto"/>
        <w:left w:val="none" w:sz="0" w:space="0" w:color="auto"/>
        <w:bottom w:val="none" w:sz="0" w:space="0" w:color="auto"/>
        <w:right w:val="none" w:sz="0" w:space="0" w:color="auto"/>
      </w:divBdr>
    </w:div>
    <w:div w:id="2079209224">
      <w:bodyDiv w:val="1"/>
      <w:marLeft w:val="0"/>
      <w:marRight w:val="0"/>
      <w:marTop w:val="0"/>
      <w:marBottom w:val="0"/>
      <w:divBdr>
        <w:top w:val="none" w:sz="0" w:space="0" w:color="auto"/>
        <w:left w:val="none" w:sz="0" w:space="0" w:color="auto"/>
        <w:bottom w:val="none" w:sz="0" w:space="0" w:color="auto"/>
        <w:right w:val="none" w:sz="0" w:space="0" w:color="auto"/>
      </w:divBdr>
    </w:div>
    <w:div w:id="2088528265">
      <w:bodyDiv w:val="1"/>
      <w:marLeft w:val="0"/>
      <w:marRight w:val="0"/>
      <w:marTop w:val="0"/>
      <w:marBottom w:val="0"/>
      <w:divBdr>
        <w:top w:val="none" w:sz="0" w:space="0" w:color="auto"/>
        <w:left w:val="none" w:sz="0" w:space="0" w:color="auto"/>
        <w:bottom w:val="none" w:sz="0" w:space="0" w:color="auto"/>
        <w:right w:val="none" w:sz="0" w:space="0" w:color="auto"/>
      </w:divBdr>
    </w:div>
    <w:div w:id="2090884730">
      <w:bodyDiv w:val="1"/>
      <w:marLeft w:val="0"/>
      <w:marRight w:val="0"/>
      <w:marTop w:val="0"/>
      <w:marBottom w:val="0"/>
      <w:divBdr>
        <w:top w:val="none" w:sz="0" w:space="0" w:color="auto"/>
        <w:left w:val="none" w:sz="0" w:space="0" w:color="auto"/>
        <w:bottom w:val="none" w:sz="0" w:space="0" w:color="auto"/>
        <w:right w:val="none" w:sz="0" w:space="0" w:color="auto"/>
      </w:divBdr>
    </w:div>
    <w:div w:id="2096706661">
      <w:bodyDiv w:val="1"/>
      <w:marLeft w:val="0"/>
      <w:marRight w:val="0"/>
      <w:marTop w:val="0"/>
      <w:marBottom w:val="0"/>
      <w:divBdr>
        <w:top w:val="none" w:sz="0" w:space="0" w:color="auto"/>
        <w:left w:val="none" w:sz="0" w:space="0" w:color="auto"/>
        <w:bottom w:val="none" w:sz="0" w:space="0" w:color="auto"/>
        <w:right w:val="none" w:sz="0" w:space="0" w:color="auto"/>
      </w:divBdr>
    </w:div>
    <w:div w:id="2100055702">
      <w:bodyDiv w:val="1"/>
      <w:marLeft w:val="0"/>
      <w:marRight w:val="0"/>
      <w:marTop w:val="0"/>
      <w:marBottom w:val="0"/>
      <w:divBdr>
        <w:top w:val="none" w:sz="0" w:space="0" w:color="auto"/>
        <w:left w:val="none" w:sz="0" w:space="0" w:color="auto"/>
        <w:bottom w:val="none" w:sz="0" w:space="0" w:color="auto"/>
        <w:right w:val="none" w:sz="0" w:space="0" w:color="auto"/>
      </w:divBdr>
    </w:div>
    <w:div w:id="2103527241">
      <w:bodyDiv w:val="1"/>
      <w:marLeft w:val="0"/>
      <w:marRight w:val="0"/>
      <w:marTop w:val="0"/>
      <w:marBottom w:val="0"/>
      <w:divBdr>
        <w:top w:val="none" w:sz="0" w:space="0" w:color="auto"/>
        <w:left w:val="none" w:sz="0" w:space="0" w:color="auto"/>
        <w:bottom w:val="none" w:sz="0" w:space="0" w:color="auto"/>
        <w:right w:val="none" w:sz="0" w:space="0" w:color="auto"/>
      </w:divBdr>
    </w:div>
    <w:div w:id="2111076443">
      <w:bodyDiv w:val="1"/>
      <w:marLeft w:val="0"/>
      <w:marRight w:val="0"/>
      <w:marTop w:val="0"/>
      <w:marBottom w:val="0"/>
      <w:divBdr>
        <w:top w:val="none" w:sz="0" w:space="0" w:color="auto"/>
        <w:left w:val="none" w:sz="0" w:space="0" w:color="auto"/>
        <w:bottom w:val="none" w:sz="0" w:space="0" w:color="auto"/>
        <w:right w:val="none" w:sz="0" w:space="0" w:color="auto"/>
      </w:divBdr>
    </w:div>
    <w:div w:id="2119522353">
      <w:bodyDiv w:val="1"/>
      <w:marLeft w:val="0"/>
      <w:marRight w:val="0"/>
      <w:marTop w:val="0"/>
      <w:marBottom w:val="0"/>
      <w:divBdr>
        <w:top w:val="none" w:sz="0" w:space="0" w:color="auto"/>
        <w:left w:val="none" w:sz="0" w:space="0" w:color="auto"/>
        <w:bottom w:val="none" w:sz="0" w:space="0" w:color="auto"/>
        <w:right w:val="none" w:sz="0" w:space="0" w:color="auto"/>
      </w:divBdr>
    </w:div>
    <w:div w:id="2122070576">
      <w:bodyDiv w:val="1"/>
      <w:marLeft w:val="0"/>
      <w:marRight w:val="0"/>
      <w:marTop w:val="0"/>
      <w:marBottom w:val="0"/>
      <w:divBdr>
        <w:top w:val="none" w:sz="0" w:space="0" w:color="auto"/>
        <w:left w:val="none" w:sz="0" w:space="0" w:color="auto"/>
        <w:bottom w:val="none" w:sz="0" w:space="0" w:color="auto"/>
        <w:right w:val="none" w:sz="0" w:space="0" w:color="auto"/>
      </w:divBdr>
      <w:divsChild>
        <w:div w:id="870460322">
          <w:marLeft w:val="547"/>
          <w:marRight w:val="0"/>
          <w:marTop w:val="0"/>
          <w:marBottom w:val="0"/>
          <w:divBdr>
            <w:top w:val="none" w:sz="0" w:space="0" w:color="auto"/>
            <w:left w:val="none" w:sz="0" w:space="0" w:color="auto"/>
            <w:bottom w:val="none" w:sz="0" w:space="0" w:color="auto"/>
            <w:right w:val="none" w:sz="0" w:space="0" w:color="auto"/>
          </w:divBdr>
        </w:div>
        <w:div w:id="2003316120">
          <w:marLeft w:val="547"/>
          <w:marRight w:val="0"/>
          <w:marTop w:val="0"/>
          <w:marBottom w:val="0"/>
          <w:divBdr>
            <w:top w:val="none" w:sz="0" w:space="0" w:color="auto"/>
            <w:left w:val="none" w:sz="0" w:space="0" w:color="auto"/>
            <w:bottom w:val="none" w:sz="0" w:space="0" w:color="auto"/>
            <w:right w:val="none" w:sz="0" w:space="0" w:color="auto"/>
          </w:divBdr>
        </w:div>
        <w:div w:id="1190802156">
          <w:marLeft w:val="547"/>
          <w:marRight w:val="0"/>
          <w:marTop w:val="0"/>
          <w:marBottom w:val="0"/>
          <w:divBdr>
            <w:top w:val="none" w:sz="0" w:space="0" w:color="auto"/>
            <w:left w:val="none" w:sz="0" w:space="0" w:color="auto"/>
            <w:bottom w:val="none" w:sz="0" w:space="0" w:color="auto"/>
            <w:right w:val="none" w:sz="0" w:space="0" w:color="auto"/>
          </w:divBdr>
        </w:div>
        <w:div w:id="788086795">
          <w:marLeft w:val="547"/>
          <w:marRight w:val="0"/>
          <w:marTop w:val="0"/>
          <w:marBottom w:val="0"/>
          <w:divBdr>
            <w:top w:val="none" w:sz="0" w:space="0" w:color="auto"/>
            <w:left w:val="none" w:sz="0" w:space="0" w:color="auto"/>
            <w:bottom w:val="none" w:sz="0" w:space="0" w:color="auto"/>
            <w:right w:val="none" w:sz="0" w:space="0" w:color="auto"/>
          </w:divBdr>
        </w:div>
        <w:div w:id="1216356880">
          <w:marLeft w:val="547"/>
          <w:marRight w:val="0"/>
          <w:marTop w:val="0"/>
          <w:marBottom w:val="0"/>
          <w:divBdr>
            <w:top w:val="none" w:sz="0" w:space="0" w:color="auto"/>
            <w:left w:val="none" w:sz="0" w:space="0" w:color="auto"/>
            <w:bottom w:val="none" w:sz="0" w:space="0" w:color="auto"/>
            <w:right w:val="none" w:sz="0" w:space="0" w:color="auto"/>
          </w:divBdr>
        </w:div>
        <w:div w:id="548733685">
          <w:marLeft w:val="547"/>
          <w:marRight w:val="0"/>
          <w:marTop w:val="0"/>
          <w:marBottom w:val="0"/>
          <w:divBdr>
            <w:top w:val="none" w:sz="0" w:space="0" w:color="auto"/>
            <w:left w:val="none" w:sz="0" w:space="0" w:color="auto"/>
            <w:bottom w:val="none" w:sz="0" w:space="0" w:color="auto"/>
            <w:right w:val="none" w:sz="0" w:space="0" w:color="auto"/>
          </w:divBdr>
        </w:div>
      </w:divsChild>
    </w:div>
    <w:div w:id="2124765109">
      <w:bodyDiv w:val="1"/>
      <w:marLeft w:val="0"/>
      <w:marRight w:val="0"/>
      <w:marTop w:val="0"/>
      <w:marBottom w:val="0"/>
      <w:divBdr>
        <w:top w:val="none" w:sz="0" w:space="0" w:color="auto"/>
        <w:left w:val="none" w:sz="0" w:space="0" w:color="auto"/>
        <w:bottom w:val="none" w:sz="0" w:space="0" w:color="auto"/>
        <w:right w:val="none" w:sz="0" w:space="0" w:color="auto"/>
      </w:divBdr>
    </w:div>
    <w:div w:id="2130541838">
      <w:bodyDiv w:val="1"/>
      <w:marLeft w:val="0"/>
      <w:marRight w:val="0"/>
      <w:marTop w:val="0"/>
      <w:marBottom w:val="0"/>
      <w:divBdr>
        <w:top w:val="none" w:sz="0" w:space="0" w:color="auto"/>
        <w:left w:val="none" w:sz="0" w:space="0" w:color="auto"/>
        <w:bottom w:val="none" w:sz="0" w:space="0" w:color="auto"/>
        <w:right w:val="none" w:sz="0" w:space="0" w:color="auto"/>
      </w:divBdr>
    </w:div>
    <w:div w:id="2136408514">
      <w:bodyDiv w:val="1"/>
      <w:marLeft w:val="0"/>
      <w:marRight w:val="0"/>
      <w:marTop w:val="0"/>
      <w:marBottom w:val="0"/>
      <w:divBdr>
        <w:top w:val="none" w:sz="0" w:space="0" w:color="auto"/>
        <w:left w:val="none" w:sz="0" w:space="0" w:color="auto"/>
        <w:bottom w:val="none" w:sz="0" w:space="0" w:color="auto"/>
        <w:right w:val="none" w:sz="0" w:space="0" w:color="auto"/>
      </w:divBdr>
    </w:div>
    <w:div w:id="2139453125">
      <w:bodyDiv w:val="1"/>
      <w:marLeft w:val="0"/>
      <w:marRight w:val="0"/>
      <w:marTop w:val="0"/>
      <w:marBottom w:val="0"/>
      <w:divBdr>
        <w:top w:val="none" w:sz="0" w:space="0" w:color="auto"/>
        <w:left w:val="none" w:sz="0" w:space="0" w:color="auto"/>
        <w:bottom w:val="none" w:sz="0" w:space="0" w:color="auto"/>
        <w:right w:val="none" w:sz="0" w:space="0" w:color="auto"/>
      </w:divBdr>
      <w:divsChild>
        <w:div w:id="1196456066">
          <w:marLeft w:val="634"/>
          <w:marRight w:val="0"/>
          <w:marTop w:val="0"/>
          <w:marBottom w:val="0"/>
          <w:divBdr>
            <w:top w:val="none" w:sz="0" w:space="0" w:color="auto"/>
            <w:left w:val="none" w:sz="0" w:space="0" w:color="auto"/>
            <w:bottom w:val="none" w:sz="0" w:space="0" w:color="auto"/>
            <w:right w:val="none" w:sz="0" w:space="0" w:color="auto"/>
          </w:divBdr>
        </w:div>
        <w:div w:id="708722015">
          <w:marLeft w:val="634"/>
          <w:marRight w:val="0"/>
          <w:marTop w:val="0"/>
          <w:marBottom w:val="0"/>
          <w:divBdr>
            <w:top w:val="none" w:sz="0" w:space="0" w:color="auto"/>
            <w:left w:val="none" w:sz="0" w:space="0" w:color="auto"/>
            <w:bottom w:val="none" w:sz="0" w:space="0" w:color="auto"/>
            <w:right w:val="none" w:sz="0" w:space="0" w:color="auto"/>
          </w:divBdr>
        </w:div>
        <w:div w:id="1298607340">
          <w:marLeft w:val="634"/>
          <w:marRight w:val="0"/>
          <w:marTop w:val="0"/>
          <w:marBottom w:val="0"/>
          <w:divBdr>
            <w:top w:val="none" w:sz="0" w:space="0" w:color="auto"/>
            <w:left w:val="none" w:sz="0" w:space="0" w:color="auto"/>
            <w:bottom w:val="none" w:sz="0" w:space="0" w:color="auto"/>
            <w:right w:val="none" w:sz="0" w:space="0" w:color="auto"/>
          </w:divBdr>
        </w:div>
        <w:div w:id="2107072432">
          <w:marLeft w:val="634"/>
          <w:marRight w:val="0"/>
          <w:marTop w:val="0"/>
          <w:marBottom w:val="0"/>
          <w:divBdr>
            <w:top w:val="none" w:sz="0" w:space="0" w:color="auto"/>
            <w:left w:val="none" w:sz="0" w:space="0" w:color="auto"/>
            <w:bottom w:val="none" w:sz="0" w:space="0" w:color="auto"/>
            <w:right w:val="none" w:sz="0" w:space="0" w:color="auto"/>
          </w:divBdr>
        </w:div>
        <w:div w:id="1948921350">
          <w:marLeft w:val="634"/>
          <w:marRight w:val="0"/>
          <w:marTop w:val="0"/>
          <w:marBottom w:val="0"/>
          <w:divBdr>
            <w:top w:val="none" w:sz="0" w:space="0" w:color="auto"/>
            <w:left w:val="none" w:sz="0" w:space="0" w:color="auto"/>
            <w:bottom w:val="none" w:sz="0" w:space="0" w:color="auto"/>
            <w:right w:val="none" w:sz="0" w:space="0" w:color="auto"/>
          </w:divBdr>
        </w:div>
        <w:div w:id="1707556477">
          <w:marLeft w:val="634"/>
          <w:marRight w:val="0"/>
          <w:marTop w:val="0"/>
          <w:marBottom w:val="0"/>
          <w:divBdr>
            <w:top w:val="none" w:sz="0" w:space="0" w:color="auto"/>
            <w:left w:val="none" w:sz="0" w:space="0" w:color="auto"/>
            <w:bottom w:val="none" w:sz="0" w:space="0" w:color="auto"/>
            <w:right w:val="none" w:sz="0" w:space="0" w:color="auto"/>
          </w:divBdr>
        </w:div>
        <w:div w:id="493568774">
          <w:marLeft w:val="634"/>
          <w:marRight w:val="0"/>
          <w:marTop w:val="0"/>
          <w:marBottom w:val="0"/>
          <w:divBdr>
            <w:top w:val="none" w:sz="0" w:space="0" w:color="auto"/>
            <w:left w:val="none" w:sz="0" w:space="0" w:color="auto"/>
            <w:bottom w:val="none" w:sz="0" w:space="0" w:color="auto"/>
            <w:right w:val="none" w:sz="0" w:space="0" w:color="auto"/>
          </w:divBdr>
        </w:div>
        <w:div w:id="439030465">
          <w:marLeft w:val="63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2021/22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CF5-4CE7-83CC-4C9E75EC456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CF5-4CE7-83CC-4C9E75EC456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CF5-4CE7-83CC-4C9E75EC456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CF5-4CE7-83CC-4C9E75EC4560}"/>
              </c:ext>
            </c:extLst>
          </c:dPt>
          <c:dLbls>
            <c:dLbl>
              <c:idx val="0"/>
              <c:layout>
                <c:manualLayout>
                  <c:x val="-6.0318828091340024E-2"/>
                  <c:y val="-4.8192771084337338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2609281228902826"/>
                      <c:h val="0.13371501755051704"/>
                    </c:manualLayout>
                  </c15:layout>
                </c:ext>
                <c:ext xmlns:c16="http://schemas.microsoft.com/office/drawing/2014/chart" uri="{C3380CC4-5D6E-409C-BE32-E72D297353CC}">
                  <c16:uniqueId val="{00000001-FCF5-4CE7-83CC-4C9E75EC4560}"/>
                </c:ext>
              </c:extLst>
            </c:dLbl>
            <c:dLbl>
              <c:idx val="1"/>
              <c:spPr>
                <a:noFill/>
                <a:ln>
                  <a:noFill/>
                </a:ln>
                <a:effectLst/>
              </c:spPr>
              <c:txPr>
                <a:bodyPr rot="0" spcFirstLastPara="1" vertOverflow="ellipsis" vert="horz" wrap="square" anchor="ctr" anchorCtr="1"/>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FCF5-4CE7-83CC-4C9E75EC4560}"/>
                </c:ext>
              </c:extLst>
            </c:dLbl>
            <c:dLbl>
              <c:idx val="2"/>
              <c:layout>
                <c:manualLayout>
                  <c:x val="1.6962550081929116E-7"/>
                  <c:y val="8.4337349397590217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2636794485135712"/>
                      <c:h val="0.19395598140593873"/>
                    </c:manualLayout>
                  </c15:layout>
                </c:ext>
                <c:ext xmlns:c16="http://schemas.microsoft.com/office/drawing/2014/chart" uri="{C3380CC4-5D6E-409C-BE32-E72D297353CC}">
                  <c16:uniqueId val="{00000005-FCF5-4CE7-83CC-4C9E75EC4560}"/>
                </c:ext>
              </c:extLst>
            </c:dLbl>
            <c:dLbl>
              <c:idx val="3"/>
              <c:layout>
                <c:manualLayout>
                  <c:x val="9.0478411762510785E-2"/>
                  <c:y val="-7.4297030642254042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54164170344712947"/>
                      <c:h val="0.11174714606457326"/>
                    </c:manualLayout>
                  </c15:layout>
                </c:ext>
                <c:ext xmlns:c16="http://schemas.microsoft.com/office/drawing/2014/chart" uri="{C3380CC4-5D6E-409C-BE32-E72D297353CC}">
                  <c16:uniqueId val="{00000007-FCF5-4CE7-83CC-4C9E75EC456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Administration</c:v>
                </c:pt>
                <c:pt idx="1">
                  <c:v>Civic Affairs</c:v>
                </c:pt>
                <c:pt idx="2">
                  <c:v>Immigration Affairs</c:v>
                </c:pt>
                <c:pt idx="3">
                  <c:v>Institutional Support and Transfers</c:v>
                </c:pt>
              </c:strCache>
            </c:strRef>
          </c:cat>
          <c:val>
            <c:numRef>
              <c:f>Sheet1!$B$2:$B$5</c:f>
              <c:numCache>
                <c:formatCode>#,##0.00</c:formatCode>
                <c:ptCount val="4"/>
                <c:pt idx="0">
                  <c:v>2266.6</c:v>
                </c:pt>
                <c:pt idx="1">
                  <c:v>2552.4</c:v>
                </c:pt>
                <c:pt idx="2">
                  <c:v>1454.3</c:v>
                </c:pt>
                <c:pt idx="3">
                  <c:v>2417.1</c:v>
                </c:pt>
              </c:numCache>
            </c:numRef>
          </c:val>
          <c:extLst>
            <c:ext xmlns:c16="http://schemas.microsoft.com/office/drawing/2014/chart" uri="{C3380CC4-5D6E-409C-BE32-E72D297353CC}">
              <c16:uniqueId val="{00000008-FCF5-4CE7-83CC-4C9E75EC456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8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2022/23</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AD4-4D52-B566-FD9C0ECEFDC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AD4-4D52-B566-FD9C0ECEFDC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AD4-4D52-B566-FD9C0ECEFDC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AD4-4D52-B566-FD9C0ECEFDC4}"/>
              </c:ext>
            </c:extLst>
          </c:dPt>
          <c:dLbls>
            <c:dLbl>
              <c:idx val="0"/>
              <c:layout>
                <c:manualLayout>
                  <c:x val="-0.11699164345403903"/>
                  <c:y val="-6.4257028112449835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372601057179825"/>
                      <c:h val="0.17114473642601905"/>
                    </c:manualLayout>
                  </c15:layout>
                </c:ext>
                <c:ext xmlns:c16="http://schemas.microsoft.com/office/drawing/2014/chart" uri="{C3380CC4-5D6E-409C-BE32-E72D297353CC}">
                  <c16:uniqueId val="{00000001-DAD4-4D52-B566-FD9C0ECEFDC4}"/>
                </c:ext>
              </c:extLst>
            </c:dLbl>
            <c:dLbl>
              <c:idx val="1"/>
              <c:spPr>
                <a:noFill/>
                <a:ln>
                  <a:noFill/>
                </a:ln>
                <a:effectLst/>
              </c:spPr>
              <c:txPr>
                <a:bodyPr rot="0" spcFirstLastPara="1" vertOverflow="ellipsis" vert="horz" wrap="square" anchor="ctr" anchorCtr="1"/>
                <a:lstStyle/>
                <a:p>
                  <a:pPr>
                    <a:defRPr sz="9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DAD4-4D52-B566-FD9C0ECEFDC4}"/>
                </c:ext>
              </c:extLst>
            </c:dLbl>
            <c:dLbl>
              <c:idx val="2"/>
              <c:layout>
                <c:manualLayout>
                  <c:x val="4.2711234911792011E-2"/>
                  <c:y val="6.2249154096701766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5994414347231668"/>
                      <c:h val="0.15106441514087846"/>
                    </c:manualLayout>
                  </c15:layout>
                </c:ext>
                <c:ext xmlns:c16="http://schemas.microsoft.com/office/drawing/2014/chart" uri="{C3380CC4-5D6E-409C-BE32-E72D297353CC}">
                  <c16:uniqueId val="{00000005-DAD4-4D52-B566-FD9C0ECEFDC4}"/>
                </c:ext>
              </c:extLst>
            </c:dLbl>
            <c:dLbl>
              <c:idx val="3"/>
              <c:layout>
                <c:manualLayout>
                  <c:x val="0"/>
                  <c:y val="-5.220867722859944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3242339832869081"/>
                      <c:h val="0.16074313000031618"/>
                    </c:manualLayout>
                  </c15:layout>
                </c:ext>
                <c:ext xmlns:c16="http://schemas.microsoft.com/office/drawing/2014/chart" uri="{C3380CC4-5D6E-409C-BE32-E72D297353CC}">
                  <c16:uniqueId val="{00000007-DAD4-4D52-B566-FD9C0ECEFDC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Administration</c:v>
                </c:pt>
                <c:pt idx="1">
                  <c:v>Civic Affairs</c:v>
                </c:pt>
                <c:pt idx="2">
                  <c:v>Immigration Affairs</c:v>
                </c:pt>
                <c:pt idx="3">
                  <c:v>Institutional Support and Transfers</c:v>
                </c:pt>
              </c:strCache>
            </c:strRef>
          </c:cat>
          <c:val>
            <c:numRef>
              <c:f>Sheet1!$B$2:$B$5</c:f>
              <c:numCache>
                <c:formatCode>#,##0.00</c:formatCode>
                <c:ptCount val="4"/>
                <c:pt idx="0">
                  <c:v>2609.8000000000002</c:v>
                </c:pt>
                <c:pt idx="1">
                  <c:v>2555.9</c:v>
                </c:pt>
                <c:pt idx="2">
                  <c:v>1477.7</c:v>
                </c:pt>
                <c:pt idx="3">
                  <c:v>2762.6</c:v>
                </c:pt>
              </c:numCache>
            </c:numRef>
          </c:val>
          <c:extLst>
            <c:ext xmlns:c16="http://schemas.microsoft.com/office/drawing/2014/chart" uri="{C3380CC4-5D6E-409C-BE32-E72D297353CC}">
              <c16:uniqueId val="{00000008-DAD4-4D52-B566-FD9C0ECEFDC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0" baseline="0">
                <a:ln w="0"/>
                <a:solidFill>
                  <a:sysClr val="windowText" lastClr="000000"/>
                </a:solidFill>
                <a:effectLst>
                  <a:outerShdw blurRad="38100" dist="19050" dir="2700000" algn="tl" rotWithShape="0">
                    <a:schemeClr val="dk1">
                      <a:alpha val="40000"/>
                    </a:schemeClr>
                  </a:outerShdw>
                </a:effectLst>
                <a:latin typeface="+mn-lt"/>
                <a:ea typeface="+mn-ea"/>
                <a:cs typeface="+mn-cs"/>
              </a:defRPr>
            </a:pPr>
            <a:r>
              <a:rPr lang="en-US"/>
              <a:t>Comparative anaysis of Q1,</a:t>
            </a:r>
            <a:r>
              <a:rPr lang="en-US" baseline="0"/>
              <a:t> 2 and 3</a:t>
            </a:r>
            <a:r>
              <a:rPr lang="en-US"/>
              <a:t> expenditure report</a:t>
            </a:r>
          </a:p>
        </c:rich>
      </c:tx>
      <c:overlay val="0"/>
      <c:spPr>
        <a:noFill/>
        <a:ln>
          <a:noFill/>
        </a:ln>
        <a:effectLst/>
      </c:spPr>
      <c:txPr>
        <a:bodyPr rot="0" spcFirstLastPara="1" vertOverflow="ellipsis" vert="horz" wrap="square" anchor="ctr" anchorCtr="1"/>
        <a:lstStyle/>
        <a:p>
          <a:pPr>
            <a:defRPr sz="1600" b="0" i="0" u="none" strike="noStrike" kern="1200" cap="none" spc="0" baseline="0">
              <a:ln w="0"/>
              <a:solidFill>
                <a:sysClr val="windowText" lastClr="000000"/>
              </a:solidFill>
              <a:effectLst>
                <a:outerShdw blurRad="38100" dist="19050" dir="2700000" algn="tl" rotWithShape="0">
                  <a:schemeClr val="dk1">
                    <a:alpha val="40000"/>
                  </a:scheme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Administration</c:v>
                </c:pt>
                <c:pt idx="1">
                  <c:v>Citizen Affairs</c:v>
                </c:pt>
                <c:pt idx="2">
                  <c:v>Immigration Affairs</c:v>
                </c:pt>
                <c:pt idx="3">
                  <c:v>Institutional Support and Transfers</c:v>
                </c:pt>
                <c:pt idx="4">
                  <c:v>total</c:v>
                </c:pt>
              </c:strCache>
            </c:strRef>
          </c:cat>
          <c:val>
            <c:numRef>
              <c:f>Sheet1!$B$2:$B$6</c:f>
              <c:numCache>
                <c:formatCode>0%</c:formatCode>
                <c:ptCount val="5"/>
                <c:pt idx="0" formatCode="0.00%">
                  <c:v>0.93200000000000005</c:v>
                </c:pt>
                <c:pt idx="1">
                  <c:v>1.0900000000000001</c:v>
                </c:pt>
                <c:pt idx="2" formatCode="0.00%">
                  <c:v>0.82599999999999996</c:v>
                </c:pt>
                <c:pt idx="3" formatCode="0.00%">
                  <c:v>0.98699999999999999</c:v>
                </c:pt>
                <c:pt idx="4" formatCode="0.00%">
                  <c:v>0.94299999999999995</c:v>
                </c:pt>
              </c:numCache>
            </c:numRef>
          </c:val>
          <c:extLst>
            <c:ext xmlns:c16="http://schemas.microsoft.com/office/drawing/2014/chart" uri="{C3380CC4-5D6E-409C-BE32-E72D297353CC}">
              <c16:uniqueId val="{00000000-47FE-449C-B8AC-173DC48DC6A3}"/>
            </c:ext>
          </c:extLst>
        </c:ser>
        <c:ser>
          <c:idx val="1"/>
          <c:order val="1"/>
          <c:tx>
            <c:strRef>
              <c:f>Sheet1!$C$1</c:f>
              <c:strCache>
                <c:ptCount val="1"/>
                <c:pt idx="0">
                  <c:v>Q2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Administration</c:v>
                </c:pt>
                <c:pt idx="1">
                  <c:v>Citizen Affairs</c:v>
                </c:pt>
                <c:pt idx="2">
                  <c:v>Immigration Affairs</c:v>
                </c:pt>
                <c:pt idx="3">
                  <c:v>Institutional Support and Transfers</c:v>
                </c:pt>
                <c:pt idx="4">
                  <c:v>total</c:v>
                </c:pt>
              </c:strCache>
            </c:strRef>
          </c:cat>
          <c:val>
            <c:numRef>
              <c:f>Sheet1!$C$2:$C$6</c:f>
              <c:numCache>
                <c:formatCode>0.00%</c:formatCode>
                <c:ptCount val="5"/>
                <c:pt idx="0">
                  <c:v>1.081</c:v>
                </c:pt>
                <c:pt idx="1">
                  <c:v>1.129</c:v>
                </c:pt>
                <c:pt idx="2">
                  <c:v>0.84699999999999998</c:v>
                </c:pt>
                <c:pt idx="3">
                  <c:v>0.96899999999999997</c:v>
                </c:pt>
                <c:pt idx="4">
                  <c:v>1.0269999999999999</c:v>
                </c:pt>
              </c:numCache>
            </c:numRef>
          </c:val>
          <c:extLst>
            <c:ext xmlns:c16="http://schemas.microsoft.com/office/drawing/2014/chart" uri="{C3380CC4-5D6E-409C-BE32-E72D297353CC}">
              <c16:uniqueId val="{00000001-47FE-449C-B8AC-173DC48DC6A3}"/>
            </c:ext>
          </c:extLst>
        </c:ser>
        <c:ser>
          <c:idx val="2"/>
          <c:order val="2"/>
          <c:tx>
            <c:strRef>
              <c:f>Sheet1!$D$1</c:f>
              <c:strCache>
                <c:ptCount val="1"/>
                <c:pt idx="0">
                  <c:v>Q3</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Administration</c:v>
                </c:pt>
                <c:pt idx="1">
                  <c:v>Citizen Affairs</c:v>
                </c:pt>
                <c:pt idx="2">
                  <c:v>Immigration Affairs</c:v>
                </c:pt>
                <c:pt idx="3">
                  <c:v>Institutional Support and Transfers</c:v>
                </c:pt>
                <c:pt idx="4">
                  <c:v>total</c:v>
                </c:pt>
              </c:strCache>
            </c:strRef>
          </c:cat>
          <c:val>
            <c:numRef>
              <c:f>Sheet1!$D$2:$D$6</c:f>
              <c:numCache>
                <c:formatCode>0.00%</c:formatCode>
                <c:ptCount val="5"/>
                <c:pt idx="0">
                  <c:v>0.96599999999999997</c:v>
                </c:pt>
                <c:pt idx="1">
                  <c:v>0.998</c:v>
                </c:pt>
                <c:pt idx="2" formatCode="0%">
                  <c:v>0.94</c:v>
                </c:pt>
                <c:pt idx="3">
                  <c:v>0.97399999999999998</c:v>
                </c:pt>
                <c:pt idx="4" formatCode="0%">
                  <c:v>0.97</c:v>
                </c:pt>
              </c:numCache>
            </c:numRef>
          </c:val>
          <c:extLst>
            <c:ext xmlns:c16="http://schemas.microsoft.com/office/drawing/2014/chart" uri="{C3380CC4-5D6E-409C-BE32-E72D297353CC}">
              <c16:uniqueId val="{00000002-47FE-449C-B8AC-173DC48DC6A3}"/>
            </c:ext>
          </c:extLst>
        </c:ser>
        <c:dLbls>
          <c:showLegendKey val="0"/>
          <c:showVal val="0"/>
          <c:showCatName val="0"/>
          <c:showSerName val="0"/>
          <c:showPercent val="0"/>
          <c:showBubbleSize val="0"/>
        </c:dLbls>
        <c:gapWidth val="150"/>
        <c:axId val="460245376"/>
        <c:axId val="2033668016"/>
      </c:barChart>
      <c:valAx>
        <c:axId val="2033668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ysClr val="windowText" lastClr="000000"/>
                </a:solidFill>
                <a:effectLst>
                  <a:outerShdw blurRad="38100" dist="19050" dir="2700000" algn="tl" rotWithShape="0">
                    <a:schemeClr val="dk1">
                      <a:alpha val="40000"/>
                    </a:schemeClr>
                  </a:outerShdw>
                </a:effectLst>
                <a:latin typeface="+mn-lt"/>
                <a:ea typeface="+mn-ea"/>
                <a:cs typeface="+mn-cs"/>
              </a:defRPr>
            </a:pPr>
            <a:endParaRPr lang="en-US"/>
          </a:p>
        </c:txPr>
        <c:crossAx val="460245376"/>
        <c:crosses val="autoZero"/>
        <c:crossBetween val="between"/>
      </c:valAx>
      <c:catAx>
        <c:axId val="460245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ysClr val="windowText" lastClr="000000"/>
                </a:solidFill>
                <a:effectLst>
                  <a:outerShdw blurRad="38100" dist="19050" dir="2700000" algn="tl" rotWithShape="0">
                    <a:schemeClr val="dk1">
                      <a:alpha val="40000"/>
                    </a:schemeClr>
                  </a:outerShdw>
                </a:effectLst>
                <a:latin typeface="+mn-lt"/>
                <a:ea typeface="+mn-ea"/>
                <a:cs typeface="+mn-cs"/>
              </a:defRPr>
            </a:pPr>
            <a:endParaRPr lang="en-US"/>
          </a:p>
        </c:txPr>
        <c:crossAx val="203366801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cap="none" spc="0" baseline="0">
                <a:ln w="0"/>
                <a:solidFill>
                  <a:sysClr val="windowText" lastClr="000000"/>
                </a:solidFill>
                <a:effectLst>
                  <a:outerShdw blurRad="38100" dist="19050" dir="2700000" algn="tl" rotWithShape="0">
                    <a:schemeClr val="dk1">
                      <a:alpha val="40000"/>
                    </a:schemeClr>
                  </a:outerShdw>
                </a:effectLst>
                <a:latin typeface="+mn-lt"/>
                <a:ea typeface="+mn-ea"/>
                <a:cs typeface="+mn-cs"/>
              </a:defRPr>
            </a:pPr>
            <a:endParaRPr lang="en-US"/>
          </a:p>
        </c:txPr>
      </c:dTable>
      <c:spPr>
        <a:noFill/>
        <a:ln>
          <a:noFill/>
        </a:ln>
        <a:effectLst/>
      </c:spPr>
    </c:plotArea>
    <c:plotVisOnly val="1"/>
    <c:dispBlanksAs val="gap"/>
    <c:showDLblsOverMax val="0"/>
  </c:chart>
  <c:spPr>
    <a:solidFill>
      <a:schemeClr val="bg2"/>
    </a:solidFill>
    <a:ln w="9525" cap="flat" cmpd="sng" algn="ctr">
      <a:solidFill>
        <a:schemeClr val="accent3"/>
      </a:solidFill>
      <a:round/>
    </a:ln>
    <a:effectLst/>
    <a:scene3d>
      <a:camera prst="orthographicFront"/>
      <a:lightRig rig="threePt" dir="t"/>
    </a:scene3d>
    <a:sp3d prstMaterial="matte">
      <a:bevelT w="127000" h="63500"/>
    </a:sp3d>
  </c:spPr>
  <c:txPr>
    <a:bodyPr/>
    <a:lstStyle/>
    <a:p>
      <a:pPr>
        <a:defRPr b="0" cap="none" spc="0">
          <a:ln w="0"/>
          <a:solidFill>
            <a:sysClr val="windowText" lastClr="000000"/>
          </a:solidFill>
          <a:effectLst>
            <a:outerShdw blurRad="38100" dist="19050" dir="2700000" algn="tl" rotWithShape="0">
              <a:schemeClr val="dk1">
                <a:alpha val="40000"/>
              </a:schemeClr>
            </a:outerShdw>
          </a:effectLs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baseline="0"/>
              <a:t>5 Years: </a:t>
            </a:r>
            <a:r>
              <a:rPr lang="en-US"/>
              <a:t>Target Achieved</a:t>
            </a:r>
          </a:p>
        </c:rich>
      </c:tx>
      <c:overlay val="1"/>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Target Achieved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19050" cap="rnd">
                <a:solidFill>
                  <a:schemeClr val="accent1"/>
                </a:solidFill>
              </a:ln>
              <a:effectLst/>
            </c:spPr>
            <c:trendlineType val="linear"/>
            <c:dispRSqr val="0"/>
            <c:dispEq val="0"/>
          </c:trendline>
          <c:cat>
            <c:strRef>
              <c:f>Sheet1!$A$2:$A$6</c:f>
              <c:strCache>
                <c:ptCount val="5"/>
                <c:pt idx="0">
                  <c:v>2016/17</c:v>
                </c:pt>
                <c:pt idx="1">
                  <c:v>2017/18</c:v>
                </c:pt>
                <c:pt idx="2">
                  <c:v>2018/19</c:v>
                </c:pt>
                <c:pt idx="3">
                  <c:v>2019/20</c:v>
                </c:pt>
                <c:pt idx="4">
                  <c:v>2020/21</c:v>
                </c:pt>
              </c:strCache>
            </c:strRef>
          </c:cat>
          <c:val>
            <c:numRef>
              <c:f>Sheet1!$B$2:$B$6</c:f>
              <c:numCache>
                <c:formatCode>0%</c:formatCode>
                <c:ptCount val="5"/>
                <c:pt idx="0">
                  <c:v>0.86</c:v>
                </c:pt>
                <c:pt idx="1">
                  <c:v>0.84</c:v>
                </c:pt>
                <c:pt idx="2">
                  <c:v>0.72</c:v>
                </c:pt>
                <c:pt idx="3">
                  <c:v>0.75</c:v>
                </c:pt>
                <c:pt idx="4">
                  <c:v>0.64</c:v>
                </c:pt>
              </c:numCache>
            </c:numRef>
          </c:val>
          <c:extLst>
            <c:ext xmlns:c16="http://schemas.microsoft.com/office/drawing/2014/chart" uri="{C3380CC4-5D6E-409C-BE32-E72D297353CC}">
              <c16:uniqueId val="{00000000-62BD-4676-AC67-CFB0F1C5E607}"/>
            </c:ext>
          </c:extLst>
        </c:ser>
        <c:dLbls>
          <c:dLblPos val="outEnd"/>
          <c:showLegendKey val="0"/>
          <c:showVal val="1"/>
          <c:showCatName val="0"/>
          <c:showSerName val="0"/>
          <c:showPercent val="0"/>
          <c:showBubbleSize val="0"/>
        </c:dLbls>
        <c:gapWidth val="267"/>
        <c:overlap val="-43"/>
        <c:axId val="1505109535"/>
        <c:axId val="1505106623"/>
      </c:barChart>
      <c:catAx>
        <c:axId val="150510953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05106623"/>
        <c:crosses val="autoZero"/>
        <c:auto val="1"/>
        <c:lblAlgn val="ctr"/>
        <c:lblOffset val="100"/>
        <c:noMultiLvlLbl val="0"/>
      </c:catAx>
      <c:valAx>
        <c:axId val="1505106623"/>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505109535"/>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6"/>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Achieved</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Administration</c:v>
                </c:pt>
                <c:pt idx="1">
                  <c:v>Civic Affairs</c:v>
                </c:pt>
                <c:pt idx="2">
                  <c:v>Immigration Affairs</c:v>
                </c:pt>
              </c:strCache>
            </c:strRef>
          </c:cat>
          <c:val>
            <c:numRef>
              <c:f>Sheet1!$B$2:$B$4</c:f>
              <c:numCache>
                <c:formatCode>0%</c:formatCode>
                <c:ptCount val="3"/>
                <c:pt idx="0">
                  <c:v>0.75</c:v>
                </c:pt>
                <c:pt idx="1">
                  <c:v>0.83</c:v>
                </c:pt>
                <c:pt idx="2">
                  <c:v>0.5</c:v>
                </c:pt>
              </c:numCache>
            </c:numRef>
          </c:val>
          <c:extLst>
            <c:ext xmlns:c16="http://schemas.microsoft.com/office/drawing/2014/chart" uri="{C3380CC4-5D6E-409C-BE32-E72D297353CC}">
              <c16:uniqueId val="{00000000-647F-42D8-AC51-A0085A8B26D5}"/>
            </c:ext>
          </c:extLst>
        </c:ser>
        <c:ser>
          <c:idx val="1"/>
          <c:order val="1"/>
          <c:tx>
            <c:strRef>
              <c:f>Sheet1!$C$1</c:f>
              <c:strCache>
                <c:ptCount val="1"/>
                <c:pt idx="0">
                  <c:v>Not Achieved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Administration</c:v>
                </c:pt>
                <c:pt idx="1">
                  <c:v>Civic Affairs</c:v>
                </c:pt>
                <c:pt idx="2">
                  <c:v>Immigration Affairs</c:v>
                </c:pt>
              </c:strCache>
            </c:strRef>
          </c:cat>
          <c:val>
            <c:numRef>
              <c:f>Sheet1!$C$2:$C$4</c:f>
              <c:numCache>
                <c:formatCode>0%</c:formatCode>
                <c:ptCount val="3"/>
                <c:pt idx="0">
                  <c:v>0.25</c:v>
                </c:pt>
                <c:pt idx="1">
                  <c:v>0.17</c:v>
                </c:pt>
                <c:pt idx="2">
                  <c:v>0.5</c:v>
                </c:pt>
              </c:numCache>
            </c:numRef>
          </c:val>
          <c:extLst>
            <c:ext xmlns:c16="http://schemas.microsoft.com/office/drawing/2014/chart" uri="{C3380CC4-5D6E-409C-BE32-E72D297353CC}">
              <c16:uniqueId val="{00000001-647F-42D8-AC51-A0085A8B26D5}"/>
            </c:ext>
          </c:extLst>
        </c:ser>
        <c:dLbls>
          <c:dLblPos val="inEnd"/>
          <c:showLegendKey val="0"/>
          <c:showVal val="1"/>
          <c:showCatName val="0"/>
          <c:showSerName val="0"/>
          <c:showPercent val="0"/>
          <c:showBubbleSize val="0"/>
        </c:dLbls>
        <c:gapWidth val="65"/>
        <c:axId val="1362892768"/>
        <c:axId val="1362890688"/>
      </c:barChart>
      <c:catAx>
        <c:axId val="13628927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62890688"/>
        <c:crosses val="autoZero"/>
        <c:auto val="1"/>
        <c:lblAlgn val="ctr"/>
        <c:lblOffset val="100"/>
        <c:noMultiLvlLbl val="0"/>
      </c:catAx>
      <c:valAx>
        <c:axId val="1362890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3628927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baseline="0"/>
              <a:t>4 Years: </a:t>
            </a:r>
            <a:r>
              <a:rPr lang="en-US"/>
              <a:t>Target Achieved</a:t>
            </a:r>
          </a:p>
        </c:rich>
      </c:tx>
      <c:overlay val="1"/>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Target Achieved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19050" cap="rnd">
                <a:solidFill>
                  <a:schemeClr val="accent1"/>
                </a:solidFill>
              </a:ln>
              <a:effectLst/>
            </c:spPr>
            <c:trendlineType val="linear"/>
            <c:dispRSqr val="0"/>
            <c:dispEq val="0"/>
          </c:trendline>
          <c:cat>
            <c:strRef>
              <c:f>Sheet1!$A$2:$A$5</c:f>
              <c:strCache>
                <c:ptCount val="4"/>
                <c:pt idx="0">
                  <c:v>2017/18</c:v>
                </c:pt>
                <c:pt idx="1">
                  <c:v>2018/19</c:v>
                </c:pt>
                <c:pt idx="2">
                  <c:v>2019/20</c:v>
                </c:pt>
                <c:pt idx="3">
                  <c:v>2020/21</c:v>
                </c:pt>
              </c:strCache>
            </c:strRef>
          </c:cat>
          <c:val>
            <c:numRef>
              <c:f>Sheet1!$B$2:$B$5</c:f>
              <c:numCache>
                <c:formatCode>0%</c:formatCode>
                <c:ptCount val="4"/>
                <c:pt idx="0">
                  <c:v>0.8</c:v>
                </c:pt>
                <c:pt idx="1">
                  <c:v>1</c:v>
                </c:pt>
                <c:pt idx="2">
                  <c:v>0.67</c:v>
                </c:pt>
                <c:pt idx="3">
                  <c:v>0.83</c:v>
                </c:pt>
              </c:numCache>
            </c:numRef>
          </c:val>
          <c:extLst>
            <c:ext xmlns:c16="http://schemas.microsoft.com/office/drawing/2014/chart" uri="{C3380CC4-5D6E-409C-BE32-E72D297353CC}">
              <c16:uniqueId val="{00000000-3BD6-4A34-877A-C576A1B4095B}"/>
            </c:ext>
          </c:extLst>
        </c:ser>
        <c:dLbls>
          <c:dLblPos val="outEnd"/>
          <c:showLegendKey val="0"/>
          <c:showVal val="1"/>
          <c:showCatName val="0"/>
          <c:showSerName val="0"/>
          <c:showPercent val="0"/>
          <c:showBubbleSize val="0"/>
        </c:dLbls>
        <c:gapWidth val="267"/>
        <c:overlap val="-43"/>
        <c:axId val="1505109535"/>
        <c:axId val="1505106623"/>
      </c:barChart>
      <c:catAx>
        <c:axId val="150510953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05106623"/>
        <c:crosses val="autoZero"/>
        <c:auto val="1"/>
        <c:lblAlgn val="ctr"/>
        <c:lblOffset val="100"/>
        <c:noMultiLvlLbl val="0"/>
      </c:catAx>
      <c:valAx>
        <c:axId val="1505106623"/>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505109535"/>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6"/>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Target Achievement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2016/17</c:v>
                </c:pt>
                <c:pt idx="1">
                  <c:v>2017/18</c:v>
                </c:pt>
                <c:pt idx="2">
                  <c:v>2018/19</c:v>
                </c:pt>
                <c:pt idx="3">
                  <c:v>2019/20</c:v>
                </c:pt>
                <c:pt idx="4">
                  <c:v>2020/21</c:v>
                </c:pt>
              </c:strCache>
            </c:strRef>
          </c:cat>
          <c:val>
            <c:numRef>
              <c:f>Sheet1!$B$2:$B$6</c:f>
              <c:numCache>
                <c:formatCode>General</c:formatCode>
                <c:ptCount val="5"/>
                <c:pt idx="0">
                  <c:v>62</c:v>
                </c:pt>
                <c:pt idx="1">
                  <c:v>80</c:v>
                </c:pt>
                <c:pt idx="2">
                  <c:v>72</c:v>
                </c:pt>
                <c:pt idx="3">
                  <c:v>74</c:v>
                </c:pt>
                <c:pt idx="4">
                  <c:v>69</c:v>
                </c:pt>
              </c:numCache>
            </c:numRef>
          </c:val>
          <c:extLst>
            <c:ext xmlns:c16="http://schemas.microsoft.com/office/drawing/2014/chart" uri="{C3380CC4-5D6E-409C-BE32-E72D297353CC}">
              <c16:uniqueId val="{00000000-2144-46FA-9488-23C4E07DB532}"/>
            </c:ext>
          </c:extLst>
        </c:ser>
        <c:ser>
          <c:idx val="1"/>
          <c:order val="1"/>
          <c:tx>
            <c:strRef>
              <c:f>Sheet1!$C$1</c:f>
              <c:strCache>
                <c:ptCount val="1"/>
                <c:pt idx="0">
                  <c:v>Not Achieved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2016/17</c:v>
                </c:pt>
                <c:pt idx="1">
                  <c:v>2017/18</c:v>
                </c:pt>
                <c:pt idx="2">
                  <c:v>2018/19</c:v>
                </c:pt>
                <c:pt idx="3">
                  <c:v>2019/20</c:v>
                </c:pt>
                <c:pt idx="4">
                  <c:v>2020/21</c:v>
                </c:pt>
              </c:strCache>
            </c:strRef>
          </c:cat>
          <c:val>
            <c:numRef>
              <c:f>Sheet1!$C$2:$C$6</c:f>
              <c:numCache>
                <c:formatCode>General</c:formatCode>
                <c:ptCount val="5"/>
                <c:pt idx="0">
                  <c:v>38</c:v>
                </c:pt>
                <c:pt idx="1">
                  <c:v>20</c:v>
                </c:pt>
                <c:pt idx="2">
                  <c:v>28</c:v>
                </c:pt>
                <c:pt idx="3">
                  <c:v>26</c:v>
                </c:pt>
                <c:pt idx="4">
                  <c:v>31</c:v>
                </c:pt>
              </c:numCache>
            </c:numRef>
          </c:val>
          <c:extLst>
            <c:ext xmlns:c16="http://schemas.microsoft.com/office/drawing/2014/chart" uri="{C3380CC4-5D6E-409C-BE32-E72D297353CC}">
              <c16:uniqueId val="{00000001-2144-46FA-9488-23C4E07DB532}"/>
            </c:ext>
          </c:extLst>
        </c:ser>
        <c:dLbls>
          <c:dLblPos val="inEnd"/>
          <c:showLegendKey val="0"/>
          <c:showVal val="1"/>
          <c:showCatName val="0"/>
          <c:showSerName val="0"/>
          <c:showPercent val="0"/>
          <c:showBubbleSize val="0"/>
        </c:dLbls>
        <c:gapWidth val="65"/>
        <c:axId val="63498719"/>
        <c:axId val="766716559"/>
      </c:barChart>
      <c:catAx>
        <c:axId val="6349871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66716559"/>
        <c:crosses val="autoZero"/>
        <c:auto val="1"/>
        <c:lblAlgn val="ctr"/>
        <c:lblOffset val="100"/>
        <c:noMultiLvlLbl val="0"/>
      </c:catAx>
      <c:valAx>
        <c:axId val="76671655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3498719"/>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5EED-AC1F-4190-A096-E358496B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15566</Words>
  <Characters>88730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104088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subject/>
  <dc:creator>EMATHONSI</dc:creator>
  <cp:keywords/>
  <dc:description/>
  <cp:lastModifiedBy>Bradley Viljoen</cp:lastModifiedBy>
  <cp:revision>2</cp:revision>
  <cp:lastPrinted>2018-08-13T08:33:00Z</cp:lastPrinted>
  <dcterms:created xsi:type="dcterms:W3CDTF">2022-05-13T14:40:00Z</dcterms:created>
  <dcterms:modified xsi:type="dcterms:W3CDTF">2022-05-13T14:40:00Z</dcterms:modified>
</cp:coreProperties>
</file>