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2E" w:rsidRDefault="00B83096" w:rsidP="00A6692E">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3. </w:t>
      </w:r>
      <w:r w:rsidR="00A6692E">
        <w:rPr>
          <w:rFonts w:ascii="Times New Roman" w:hAnsi="Times New Roman" w:cs="Times New Roman"/>
          <w:b/>
          <w:sz w:val="24"/>
          <w:szCs w:val="24"/>
        </w:rPr>
        <w:t xml:space="preserve">REPORT OF THE PORTFOLIO </w:t>
      </w:r>
      <w:r w:rsidR="00390736">
        <w:rPr>
          <w:rFonts w:ascii="Times New Roman" w:hAnsi="Times New Roman" w:cs="Times New Roman"/>
          <w:b/>
          <w:sz w:val="24"/>
          <w:szCs w:val="24"/>
        </w:rPr>
        <w:t xml:space="preserve">COMMITTEE ON </w:t>
      </w:r>
      <w:r w:rsidR="00A6692E">
        <w:rPr>
          <w:rFonts w:ascii="Times New Roman" w:hAnsi="Times New Roman" w:cs="Times New Roman"/>
          <w:b/>
          <w:sz w:val="24"/>
          <w:szCs w:val="24"/>
        </w:rPr>
        <w:t>WATER AND SANITATION</w:t>
      </w:r>
      <w:r w:rsidR="00390736">
        <w:rPr>
          <w:rFonts w:ascii="Times New Roman" w:hAnsi="Times New Roman" w:cs="Times New Roman"/>
          <w:b/>
          <w:sz w:val="24"/>
          <w:szCs w:val="24"/>
        </w:rPr>
        <w:t xml:space="preserve"> </w:t>
      </w:r>
      <w:r w:rsidR="00A6692E">
        <w:rPr>
          <w:rFonts w:ascii="Times New Roman" w:hAnsi="Times New Roman" w:cs="Times New Roman"/>
          <w:b/>
          <w:sz w:val="24"/>
          <w:szCs w:val="24"/>
        </w:rPr>
        <w:t>O</w:t>
      </w:r>
      <w:r w:rsidR="00390736">
        <w:rPr>
          <w:rFonts w:ascii="Times New Roman" w:hAnsi="Times New Roman" w:cs="Times New Roman"/>
          <w:b/>
          <w:sz w:val="24"/>
          <w:szCs w:val="24"/>
        </w:rPr>
        <w:t xml:space="preserve">N BUDGET VOTE 41 </w:t>
      </w:r>
      <w:r w:rsidR="00A6692E">
        <w:rPr>
          <w:rFonts w:ascii="Times New Roman" w:hAnsi="Times New Roman" w:cs="Times New Roman"/>
          <w:b/>
          <w:sz w:val="24"/>
          <w:szCs w:val="24"/>
        </w:rPr>
        <w:t>ANNUAL PERFORMANCE PLAN OF THE DEPARTMENT OF WATER AND SANITATION</w:t>
      </w:r>
      <w:r w:rsidR="00390736">
        <w:rPr>
          <w:rFonts w:ascii="Times New Roman" w:hAnsi="Times New Roman" w:cs="Times New Roman"/>
          <w:b/>
          <w:sz w:val="24"/>
          <w:szCs w:val="24"/>
        </w:rPr>
        <w:t xml:space="preserve"> AND </w:t>
      </w:r>
      <w:r w:rsidR="00AD0A5E">
        <w:rPr>
          <w:rFonts w:ascii="Times New Roman" w:hAnsi="Times New Roman" w:cs="Times New Roman"/>
          <w:b/>
          <w:sz w:val="24"/>
          <w:szCs w:val="24"/>
        </w:rPr>
        <w:t>E</w:t>
      </w:r>
      <w:r w:rsidR="00390736">
        <w:rPr>
          <w:rFonts w:ascii="Times New Roman" w:hAnsi="Times New Roman" w:cs="Times New Roman"/>
          <w:b/>
          <w:sz w:val="24"/>
          <w:szCs w:val="24"/>
        </w:rPr>
        <w:t>NTITIES FOR THE 2022/23 FINANCIAL YEAR</w:t>
      </w:r>
      <w:r w:rsidR="0045640B">
        <w:rPr>
          <w:rFonts w:ascii="Times New Roman" w:hAnsi="Times New Roman" w:cs="Times New Roman"/>
          <w:b/>
          <w:sz w:val="24"/>
          <w:szCs w:val="24"/>
        </w:rPr>
        <w:t>, DATED 10 MAY</w:t>
      </w:r>
      <w:r w:rsidR="00CD107E">
        <w:rPr>
          <w:rFonts w:ascii="Times New Roman" w:hAnsi="Times New Roman" w:cs="Times New Roman"/>
          <w:b/>
          <w:sz w:val="24"/>
          <w:szCs w:val="24"/>
        </w:rPr>
        <w:t xml:space="preserve"> 2022</w:t>
      </w:r>
    </w:p>
    <w:p w:rsidR="00A6692E" w:rsidRPr="00CD107E" w:rsidRDefault="00A6692E" w:rsidP="00A6692E">
      <w:pPr>
        <w:spacing w:after="0" w:line="360" w:lineRule="auto"/>
        <w:jc w:val="both"/>
        <w:rPr>
          <w:rFonts w:ascii="Times New Roman" w:hAnsi="Times New Roman" w:cs="Times New Roman"/>
          <w:b/>
          <w:sz w:val="16"/>
          <w:szCs w:val="16"/>
        </w:rPr>
      </w:pPr>
    </w:p>
    <w:p w:rsidR="00A6692E" w:rsidRPr="00086931" w:rsidRDefault="00A6692E" w:rsidP="00A6692E">
      <w:pPr>
        <w:spacing w:after="0" w:line="360" w:lineRule="auto"/>
        <w:jc w:val="both"/>
        <w:rPr>
          <w:rFonts w:ascii="Times New Roman" w:hAnsi="Times New Roman" w:cs="Times New Roman"/>
        </w:rPr>
      </w:pPr>
      <w:r>
        <w:rPr>
          <w:rFonts w:ascii="Times New Roman" w:hAnsi="Times New Roman" w:cs="Times New Roman"/>
        </w:rPr>
        <w:t>The Portfolio Committee on Water and Sanitation (hereinafter the Portfolio Committee) met with the Department of Water and Sanitation (the Department) and Entities (Water Research Commission, Trans-Caledon Tunnel Authority, Breede-Gouritz and Inkomati-Usuthu Catchment Management Agencies) unde</w:t>
      </w:r>
      <w:r w:rsidR="00390736">
        <w:rPr>
          <w:rFonts w:ascii="Times New Roman" w:hAnsi="Times New Roman" w:cs="Times New Roman"/>
        </w:rPr>
        <w:t xml:space="preserve">rtaking work on its behalf on 3 and </w:t>
      </w:r>
      <w:r>
        <w:rPr>
          <w:rFonts w:ascii="Times New Roman" w:hAnsi="Times New Roman" w:cs="Times New Roman"/>
        </w:rPr>
        <w:t xml:space="preserve">4 May </w:t>
      </w:r>
      <w:r w:rsidR="00EE1353">
        <w:rPr>
          <w:rFonts w:ascii="Times New Roman" w:hAnsi="Times New Roman" w:cs="Times New Roman"/>
        </w:rPr>
        <w:t xml:space="preserve">2022, </w:t>
      </w:r>
      <w:r>
        <w:rPr>
          <w:rFonts w:ascii="Times New Roman" w:hAnsi="Times New Roman" w:cs="Times New Roman"/>
        </w:rPr>
        <w:t>to receive briefings on Budget Vote 41, Strategic Plan and Annual Performance Plans, and reports as follows:</w:t>
      </w:r>
    </w:p>
    <w:p w:rsidR="00A6692E" w:rsidRPr="009F5118" w:rsidRDefault="00A6692E" w:rsidP="00A6692E">
      <w:pPr>
        <w:spacing w:after="0" w:line="360" w:lineRule="auto"/>
        <w:jc w:val="both"/>
        <w:rPr>
          <w:sz w:val="16"/>
          <w:szCs w:val="16"/>
        </w:rPr>
      </w:pPr>
    </w:p>
    <w:p w:rsidR="00A6692E" w:rsidRDefault="00390736" w:rsidP="00A6692E">
      <w:pPr>
        <w:spacing w:after="0" w:line="360" w:lineRule="auto"/>
        <w:jc w:val="both"/>
        <w:rPr>
          <w:rFonts w:ascii="Times New Roman" w:hAnsi="Times New Roman" w:cs="Times New Roman"/>
          <w:b/>
        </w:rPr>
      </w:pPr>
      <w:r>
        <w:rPr>
          <w:rFonts w:ascii="Times New Roman" w:hAnsi="Times New Roman" w:cs="Times New Roman"/>
          <w:b/>
        </w:rPr>
        <w:t>1</w:t>
      </w:r>
      <w:r w:rsidR="00A6692E">
        <w:rPr>
          <w:rFonts w:ascii="Times New Roman" w:hAnsi="Times New Roman" w:cs="Times New Roman"/>
          <w:b/>
        </w:rPr>
        <w:t>.</w:t>
      </w:r>
      <w:r w:rsidR="00A6692E">
        <w:rPr>
          <w:rFonts w:ascii="Times New Roman" w:hAnsi="Times New Roman" w:cs="Times New Roman"/>
          <w:b/>
        </w:rPr>
        <w:tab/>
        <w:t>Introduction</w:t>
      </w:r>
      <w:r w:rsidR="00DC56F3">
        <w:rPr>
          <w:rFonts w:ascii="Times New Roman" w:hAnsi="Times New Roman" w:cs="Times New Roman"/>
          <w:b/>
        </w:rPr>
        <w:t xml:space="preserve"> </w:t>
      </w:r>
    </w:p>
    <w:p w:rsidR="00A6692E" w:rsidRPr="009F5118" w:rsidRDefault="00A6692E" w:rsidP="00A6692E">
      <w:pPr>
        <w:spacing w:after="0" w:line="360" w:lineRule="auto"/>
        <w:jc w:val="both"/>
        <w:rPr>
          <w:rFonts w:ascii="Times New Roman" w:hAnsi="Times New Roman" w:cs="Times New Roman"/>
          <w:b/>
          <w:sz w:val="16"/>
          <w:szCs w:val="16"/>
        </w:rPr>
      </w:pPr>
    </w:p>
    <w:p w:rsidR="000E5A4C" w:rsidRDefault="0010162C" w:rsidP="0010162C">
      <w:pPr>
        <w:spacing w:after="0" w:line="360" w:lineRule="auto"/>
        <w:jc w:val="both"/>
        <w:rPr>
          <w:rFonts w:ascii="Times New Roman" w:hAnsi="Times New Roman" w:cs="Times New Roman"/>
        </w:rPr>
      </w:pPr>
      <w:r w:rsidRPr="001435C9">
        <w:rPr>
          <w:rFonts w:ascii="Times New Roman" w:hAnsi="Times New Roman" w:cs="Times New Roman"/>
        </w:rPr>
        <w:t>The importance of water as a catalyst for economic growth, alleviating poverty</w:t>
      </w:r>
      <w:r w:rsidR="000A47B1">
        <w:rPr>
          <w:rFonts w:ascii="Times New Roman" w:hAnsi="Times New Roman" w:cs="Times New Roman"/>
        </w:rPr>
        <w:t>, creating jobs</w:t>
      </w:r>
      <w:r w:rsidRPr="001435C9">
        <w:rPr>
          <w:rFonts w:ascii="Times New Roman" w:hAnsi="Times New Roman" w:cs="Times New Roman"/>
        </w:rPr>
        <w:t xml:space="preserve"> and addressing inequities to fulfil the developmental agenda for South Africa has found meaning in many initiatives of respective departments and entities.  </w:t>
      </w:r>
      <w:r w:rsidR="00244445">
        <w:rPr>
          <w:rFonts w:ascii="Times New Roman" w:hAnsi="Times New Roman" w:cs="Times New Roman"/>
        </w:rPr>
        <w:t>The work of the Department of Water and Sanitation is underpinned</w:t>
      </w:r>
      <w:r w:rsidR="000E5A4C">
        <w:rPr>
          <w:rFonts w:ascii="Times New Roman" w:hAnsi="Times New Roman" w:cs="Times New Roman"/>
        </w:rPr>
        <w:t xml:space="preserve"> </w:t>
      </w:r>
      <w:r w:rsidR="00CA1818">
        <w:rPr>
          <w:rFonts w:ascii="Times New Roman" w:hAnsi="Times New Roman" w:cs="Times New Roman"/>
        </w:rPr>
        <w:t>by</w:t>
      </w:r>
      <w:r w:rsidR="000E5A4C">
        <w:rPr>
          <w:rFonts w:ascii="Times New Roman" w:hAnsi="Times New Roman" w:cs="Times New Roman"/>
        </w:rPr>
        <w:t xml:space="preserve"> the prescripts of the Constitution and Bill of Rights</w:t>
      </w:r>
      <w:r w:rsidR="000E5A4C">
        <w:rPr>
          <w:rStyle w:val="FootnoteReference"/>
          <w:rFonts w:ascii="Times New Roman" w:hAnsi="Times New Roman" w:cs="Times New Roman"/>
        </w:rPr>
        <w:footnoteReference w:id="1"/>
      </w:r>
      <w:r w:rsidR="000E5A4C">
        <w:rPr>
          <w:rFonts w:ascii="Times New Roman" w:hAnsi="Times New Roman" w:cs="Times New Roman"/>
        </w:rPr>
        <w:t>,</w:t>
      </w:r>
      <w:r w:rsidR="00244445">
        <w:rPr>
          <w:rFonts w:ascii="Times New Roman" w:hAnsi="Times New Roman" w:cs="Times New Roman"/>
        </w:rPr>
        <w:t xml:space="preserve"> the</w:t>
      </w:r>
      <w:r w:rsidR="000E5A4C">
        <w:rPr>
          <w:rFonts w:ascii="Times New Roman" w:hAnsi="Times New Roman" w:cs="Times New Roman"/>
        </w:rPr>
        <w:t xml:space="preserve"> transformation agenda directed by the</w:t>
      </w:r>
      <w:r w:rsidR="00244445">
        <w:rPr>
          <w:rFonts w:ascii="Times New Roman" w:hAnsi="Times New Roman" w:cs="Times New Roman"/>
        </w:rPr>
        <w:t xml:space="preserve"> National Development Plan South African Vision 2030: and the Outcomes-based Approach found in the Medium-Term Strategic Framework (MTSF)</w:t>
      </w:r>
      <w:r w:rsidR="000E5A4C">
        <w:rPr>
          <w:rFonts w:ascii="Times New Roman" w:hAnsi="Times New Roman" w:cs="Times New Roman"/>
        </w:rPr>
        <w:t>, National Water and Sanitation Master Plan, the African Union’s Vision 2063, as well as the United Nations Sustainable Development Goals – Goal Number 6 (SDG</w:t>
      </w:r>
      <w:r w:rsidR="0012654B">
        <w:rPr>
          <w:rFonts w:ascii="Times New Roman" w:hAnsi="Times New Roman" w:cs="Times New Roman"/>
        </w:rPr>
        <w:t>-6) impacting on the delivery of water and sanitation.</w:t>
      </w:r>
    </w:p>
    <w:p w:rsidR="00DC56F3" w:rsidRPr="00CD107E" w:rsidRDefault="00DC56F3" w:rsidP="0010162C">
      <w:pPr>
        <w:spacing w:after="0" w:line="360" w:lineRule="auto"/>
        <w:jc w:val="both"/>
        <w:rPr>
          <w:rFonts w:ascii="Times New Roman" w:hAnsi="Times New Roman" w:cs="Times New Roman"/>
          <w:sz w:val="16"/>
          <w:szCs w:val="16"/>
        </w:rPr>
      </w:pPr>
    </w:p>
    <w:p w:rsidR="00DC56F3" w:rsidRDefault="004E2C8E" w:rsidP="0010162C">
      <w:pPr>
        <w:spacing w:after="0" w:line="360" w:lineRule="auto"/>
        <w:jc w:val="both"/>
        <w:rPr>
          <w:rFonts w:ascii="Times New Roman" w:hAnsi="Times New Roman" w:cs="Times New Roman"/>
        </w:rPr>
      </w:pPr>
      <w:r w:rsidRPr="004E2C8E">
        <w:rPr>
          <w:rFonts w:ascii="Times New Roman" w:hAnsi="Times New Roman" w:cs="Times New Roman"/>
        </w:rPr>
        <w:t xml:space="preserve">As depicted in the National Water and Sanitation Master Plan, the national priorities for the water and sanitation sector </w:t>
      </w:r>
      <w:r>
        <w:rPr>
          <w:rFonts w:ascii="Times New Roman" w:hAnsi="Times New Roman" w:cs="Times New Roman"/>
        </w:rPr>
        <w:t>focus on two streams of work –water and sanitation management and the other creating an enabling environment. Water and sanitation management relate to reducing water demand and increasing supply, protecting and restoring ecological infrastructure, improving raw water quality, regulating water and sanitation, redistributing water for transformation, and managing effective water and sanitation services. Creating an enabling environment relate to creating effective and efficient institutions, enhancing strategic water partnerships, amending legislation, ensuring financial sustainability, building human capacity for action, and managing data and information</w:t>
      </w:r>
      <w:r>
        <w:rPr>
          <w:rStyle w:val="FootnoteReference"/>
          <w:rFonts w:ascii="Times New Roman" w:hAnsi="Times New Roman" w:cs="Times New Roman"/>
        </w:rPr>
        <w:footnoteReference w:id="2"/>
      </w:r>
      <w:r>
        <w:rPr>
          <w:rFonts w:ascii="Times New Roman" w:hAnsi="Times New Roman" w:cs="Times New Roman"/>
        </w:rPr>
        <w:t>.</w:t>
      </w:r>
    </w:p>
    <w:p w:rsidR="0012654B" w:rsidRPr="00CD107E" w:rsidRDefault="0012654B" w:rsidP="0010162C">
      <w:pPr>
        <w:spacing w:after="0" w:line="360" w:lineRule="auto"/>
        <w:jc w:val="both"/>
        <w:rPr>
          <w:rFonts w:ascii="Times New Roman" w:hAnsi="Times New Roman" w:cs="Times New Roman"/>
          <w:sz w:val="16"/>
          <w:szCs w:val="16"/>
        </w:rPr>
      </w:pPr>
    </w:p>
    <w:p w:rsidR="00B54D18" w:rsidRDefault="0012654B" w:rsidP="0010162C">
      <w:pPr>
        <w:spacing w:after="0" w:line="360" w:lineRule="auto"/>
        <w:jc w:val="both"/>
        <w:rPr>
          <w:rFonts w:ascii="Times New Roman" w:hAnsi="Times New Roman" w:cs="Times New Roman"/>
        </w:rPr>
      </w:pPr>
      <w:r>
        <w:rPr>
          <w:rFonts w:ascii="Times New Roman" w:hAnsi="Times New Roman" w:cs="Times New Roman"/>
        </w:rPr>
        <w:t>To ensure that it fulfils its obligations, the Department of Water and Sanitation has</w:t>
      </w:r>
      <w:r w:rsidR="00CA1818">
        <w:rPr>
          <w:rFonts w:ascii="Times New Roman" w:hAnsi="Times New Roman" w:cs="Times New Roman"/>
        </w:rPr>
        <w:t>,</w:t>
      </w:r>
      <w:r>
        <w:rPr>
          <w:rFonts w:ascii="Times New Roman" w:hAnsi="Times New Roman" w:cs="Times New Roman"/>
        </w:rPr>
        <w:t xml:space="preserve"> through Budget Vote 41</w:t>
      </w:r>
      <w:r w:rsidR="00CA1818">
        <w:rPr>
          <w:rFonts w:ascii="Times New Roman" w:hAnsi="Times New Roman" w:cs="Times New Roman"/>
        </w:rPr>
        <w:t>,</w:t>
      </w:r>
      <w:r>
        <w:rPr>
          <w:rFonts w:ascii="Times New Roman" w:hAnsi="Times New Roman" w:cs="Times New Roman"/>
        </w:rPr>
        <w:t xml:space="preserve"> appropriated funds to attain its purpose and mandate.  Vote 41 </w:t>
      </w:r>
      <w:r w:rsidR="00CB7B31">
        <w:rPr>
          <w:rFonts w:ascii="Times New Roman" w:hAnsi="Times New Roman" w:cs="Times New Roman"/>
        </w:rPr>
        <w:t>ensures</w:t>
      </w:r>
      <w:r>
        <w:rPr>
          <w:rFonts w:ascii="Times New Roman" w:hAnsi="Times New Roman" w:cs="Times New Roman"/>
        </w:rPr>
        <w:t xml:space="preserve"> the availability of water resources to facilitate equitable and sustainable socio-economic development and </w:t>
      </w:r>
      <w:r w:rsidR="00CA1818">
        <w:rPr>
          <w:rFonts w:ascii="Times New Roman" w:hAnsi="Times New Roman" w:cs="Times New Roman"/>
        </w:rPr>
        <w:t>provide</w:t>
      </w:r>
      <w:r>
        <w:rPr>
          <w:rFonts w:ascii="Times New Roman" w:hAnsi="Times New Roman" w:cs="Times New Roman"/>
        </w:rPr>
        <w:t xml:space="preserve"> universal access to water and sanitation services.  </w:t>
      </w:r>
      <w:r w:rsidR="00B54D18">
        <w:rPr>
          <w:rFonts w:ascii="Times New Roman" w:hAnsi="Times New Roman" w:cs="Times New Roman"/>
        </w:rPr>
        <w:t>Over the MTEF period, the Department has been allocated</w:t>
      </w:r>
      <w:r w:rsidR="00FD168C">
        <w:rPr>
          <w:rFonts w:ascii="Times New Roman" w:hAnsi="Times New Roman" w:cs="Times New Roman"/>
        </w:rPr>
        <w:t xml:space="preserve"> </w:t>
      </w:r>
      <w:r w:rsidR="00CD107E">
        <w:rPr>
          <w:rFonts w:ascii="Times New Roman" w:hAnsi="Times New Roman" w:cs="Times New Roman"/>
        </w:rPr>
        <w:t xml:space="preserve">a </w:t>
      </w:r>
      <w:r w:rsidR="00CD107E">
        <w:rPr>
          <w:rFonts w:ascii="Times New Roman" w:hAnsi="Times New Roman" w:cs="Times New Roman"/>
        </w:rPr>
        <w:lastRenderedPageBreak/>
        <w:t xml:space="preserve">total of </w:t>
      </w:r>
      <w:r w:rsidR="00B54D18">
        <w:rPr>
          <w:rFonts w:ascii="Times New Roman" w:hAnsi="Times New Roman" w:cs="Times New Roman"/>
        </w:rPr>
        <w:t>R59.6 billion</w:t>
      </w:r>
      <w:r w:rsidR="00CD107E">
        <w:rPr>
          <w:rFonts w:ascii="Times New Roman" w:hAnsi="Times New Roman" w:cs="Times New Roman"/>
        </w:rPr>
        <w:t xml:space="preserve"> over the medium-term</w:t>
      </w:r>
      <w:r w:rsidR="00B54D18">
        <w:rPr>
          <w:rFonts w:ascii="Times New Roman" w:hAnsi="Times New Roman" w:cs="Times New Roman"/>
        </w:rPr>
        <w:t xml:space="preserve">, </w:t>
      </w:r>
      <w:r w:rsidR="00FD168C">
        <w:rPr>
          <w:rFonts w:ascii="Times New Roman" w:hAnsi="Times New Roman" w:cs="Times New Roman"/>
        </w:rPr>
        <w:t>translating</w:t>
      </w:r>
      <w:r w:rsidR="00CD107E">
        <w:rPr>
          <w:rFonts w:ascii="Times New Roman" w:hAnsi="Times New Roman" w:cs="Times New Roman"/>
        </w:rPr>
        <w:t xml:space="preserve"> to </w:t>
      </w:r>
      <w:r w:rsidR="00B54D18">
        <w:rPr>
          <w:rFonts w:ascii="Times New Roman" w:hAnsi="Times New Roman" w:cs="Times New Roman"/>
        </w:rPr>
        <w:t>R18.5 billion in 2022/23, R20.1 billion in 2023/24 and R20.9 billion in 2024/25. The allocation includes amounts for:</w:t>
      </w:r>
    </w:p>
    <w:p w:rsidR="00B54D18" w:rsidRPr="00CD107E" w:rsidRDefault="00B54D18" w:rsidP="0010162C">
      <w:pPr>
        <w:spacing w:after="0" w:line="360" w:lineRule="auto"/>
        <w:jc w:val="both"/>
        <w:rPr>
          <w:rFonts w:ascii="Times New Roman" w:hAnsi="Times New Roman" w:cs="Times New Roman"/>
          <w:sz w:val="16"/>
          <w:szCs w:val="16"/>
        </w:rPr>
      </w:pPr>
    </w:p>
    <w:p w:rsidR="00B54D18" w:rsidRDefault="00B54D18" w:rsidP="00B54D18">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Compensation of Employees: An amount of R5.4 billion over the MTEF, that is, R1.836 billion in 2022/23, R1.741 billion in 2023/24 and R1.819 billion in 2024/25.</w:t>
      </w:r>
    </w:p>
    <w:p w:rsidR="00B54D18" w:rsidRDefault="00B54D18" w:rsidP="00B54D18">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Goods and Services: An amount of R5.5 billion over the MTEF, that is, R1.770 billion in 2022/23, R1.819 billion in 2023/24 and R1.908 billion in 2024/25.</w:t>
      </w:r>
    </w:p>
    <w:p w:rsidR="00B54D18" w:rsidRDefault="00B54D18" w:rsidP="00B54D18">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 xml:space="preserve">Transfers and Subsidies: An amount of R34.9 billion over the MTEF, that is, R10.528 billion, R12.002 billion in 2023/24 and </w:t>
      </w:r>
      <w:r w:rsidR="00893C5E">
        <w:rPr>
          <w:rFonts w:ascii="Times New Roman" w:hAnsi="Times New Roman" w:cs="Times New Roman"/>
        </w:rPr>
        <w:t>R12.393 billion in 2024/25.</w:t>
      </w:r>
    </w:p>
    <w:p w:rsidR="00893C5E" w:rsidRPr="00B54D18" w:rsidRDefault="00893C5E" w:rsidP="00B54D18">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Payments for capital assets: An amount of R13.788 billion, that is, R4.404 billion in 2022/23, R4.593 billion in 2023/24 and R4.792 in 2024/25.</w:t>
      </w:r>
    </w:p>
    <w:p w:rsidR="00B54D18" w:rsidRPr="00CD107E" w:rsidRDefault="00B54D18" w:rsidP="0010162C">
      <w:pPr>
        <w:spacing w:after="0" w:line="360" w:lineRule="auto"/>
        <w:jc w:val="both"/>
        <w:rPr>
          <w:rFonts w:ascii="Times New Roman" w:hAnsi="Times New Roman" w:cs="Times New Roman"/>
          <w:sz w:val="16"/>
          <w:szCs w:val="16"/>
        </w:rPr>
      </w:pPr>
    </w:p>
    <w:p w:rsidR="0012654B" w:rsidRDefault="0012654B" w:rsidP="0010162C">
      <w:pPr>
        <w:spacing w:after="0" w:line="360" w:lineRule="auto"/>
        <w:jc w:val="both"/>
        <w:rPr>
          <w:rFonts w:ascii="Times New Roman" w:hAnsi="Times New Roman" w:cs="Times New Roman"/>
        </w:rPr>
      </w:pPr>
      <w:r>
        <w:rPr>
          <w:rFonts w:ascii="Times New Roman" w:hAnsi="Times New Roman" w:cs="Times New Roman"/>
        </w:rPr>
        <w:t xml:space="preserve">Aligned to its </w:t>
      </w:r>
      <w:r w:rsidR="00CA1818">
        <w:rPr>
          <w:rFonts w:ascii="Times New Roman" w:hAnsi="Times New Roman" w:cs="Times New Roman"/>
        </w:rPr>
        <w:t>general</w:t>
      </w:r>
      <w:r>
        <w:rPr>
          <w:rFonts w:ascii="Times New Roman" w:hAnsi="Times New Roman" w:cs="Times New Roman"/>
        </w:rPr>
        <w:t xml:space="preserve"> purpose, the legislative mandate of the Department is set out in the National Water Act, 1998, Water Services Act, 1997 and the Water Research Act, 1971.</w:t>
      </w:r>
      <w:r w:rsidR="00E95960">
        <w:rPr>
          <w:rFonts w:ascii="Times New Roman" w:hAnsi="Times New Roman" w:cs="Times New Roman"/>
        </w:rPr>
        <w:t xml:space="preserve"> The Department delineates its work through three (3) programmes – Administration, Water Resources Management and Water Services Management.</w:t>
      </w:r>
    </w:p>
    <w:p w:rsidR="00986EC5" w:rsidRPr="00CD107E" w:rsidRDefault="00986EC5" w:rsidP="0010162C">
      <w:pPr>
        <w:spacing w:after="0" w:line="360" w:lineRule="auto"/>
        <w:jc w:val="both"/>
        <w:rPr>
          <w:rFonts w:ascii="Times New Roman" w:hAnsi="Times New Roman" w:cs="Times New Roman"/>
          <w:sz w:val="16"/>
          <w:szCs w:val="16"/>
        </w:rPr>
      </w:pPr>
    </w:p>
    <w:p w:rsidR="00986EC5" w:rsidRDefault="00883989" w:rsidP="0010162C">
      <w:pPr>
        <w:spacing w:after="0" w:line="360" w:lineRule="auto"/>
        <w:jc w:val="both"/>
        <w:rPr>
          <w:rFonts w:ascii="Times New Roman" w:hAnsi="Times New Roman" w:cs="Times New Roman"/>
        </w:rPr>
      </w:pPr>
      <w:r>
        <w:rPr>
          <w:rFonts w:ascii="Times New Roman" w:hAnsi="Times New Roman" w:cs="Times New Roman"/>
        </w:rPr>
        <w:t xml:space="preserve">The Annual Performance Plan: 2022/23 to 2024/25 </w:t>
      </w:r>
      <w:r w:rsidR="00CB7B31">
        <w:rPr>
          <w:rFonts w:ascii="Times New Roman" w:hAnsi="Times New Roman" w:cs="Times New Roman"/>
        </w:rPr>
        <w:t>acknowledges the persistent challenges related to water security in South Africa.  These relate to external and interna</w:t>
      </w:r>
      <w:r w:rsidR="008A5087">
        <w:rPr>
          <w:rFonts w:ascii="Times New Roman" w:hAnsi="Times New Roman" w:cs="Times New Roman"/>
        </w:rPr>
        <w:t>l</w:t>
      </w:r>
      <w:r w:rsidR="00CB7B31">
        <w:rPr>
          <w:rFonts w:ascii="Times New Roman" w:hAnsi="Times New Roman" w:cs="Times New Roman"/>
        </w:rPr>
        <w:t xml:space="preserve"> </w:t>
      </w:r>
      <w:r w:rsidR="008A5087">
        <w:rPr>
          <w:rFonts w:ascii="Times New Roman" w:hAnsi="Times New Roman" w:cs="Times New Roman"/>
        </w:rPr>
        <w:t>i</w:t>
      </w:r>
      <w:r w:rsidR="00CB7B31">
        <w:rPr>
          <w:rFonts w:ascii="Times New Roman" w:hAnsi="Times New Roman" w:cs="Times New Roman"/>
        </w:rPr>
        <w:t>mpacts</w:t>
      </w:r>
      <w:r w:rsidR="008A5087">
        <w:rPr>
          <w:rFonts w:ascii="Times New Roman" w:hAnsi="Times New Roman" w:cs="Times New Roman"/>
        </w:rPr>
        <w:t>, which necessitate the formulation of reliable and reasonable indicators, targets and outputs to ensure the delivery of its mandate</w:t>
      </w:r>
      <w:r w:rsidR="00DC56F3">
        <w:rPr>
          <w:rFonts w:ascii="Times New Roman" w:hAnsi="Times New Roman" w:cs="Times New Roman"/>
        </w:rPr>
        <w:t xml:space="preserve"> for the financial year</w:t>
      </w:r>
      <w:r w:rsidR="00AE2338">
        <w:rPr>
          <w:rFonts w:ascii="Times New Roman" w:hAnsi="Times New Roman" w:cs="Times New Roman"/>
        </w:rPr>
        <w:t xml:space="preserve"> under review and over the </w:t>
      </w:r>
      <w:r w:rsidR="0060406B">
        <w:rPr>
          <w:rFonts w:ascii="Times New Roman" w:hAnsi="Times New Roman" w:cs="Times New Roman"/>
        </w:rPr>
        <w:t>medium term</w:t>
      </w:r>
      <w:r w:rsidR="00AE2338">
        <w:rPr>
          <w:rFonts w:ascii="Times New Roman" w:hAnsi="Times New Roman" w:cs="Times New Roman"/>
        </w:rPr>
        <w:t>.</w:t>
      </w:r>
      <w:r w:rsidR="00DC56F3">
        <w:rPr>
          <w:rFonts w:ascii="Times New Roman" w:hAnsi="Times New Roman" w:cs="Times New Roman"/>
        </w:rPr>
        <w:t xml:space="preserve"> </w:t>
      </w:r>
      <w:r w:rsidR="008A5087">
        <w:rPr>
          <w:rFonts w:ascii="Times New Roman" w:hAnsi="Times New Roman" w:cs="Times New Roman"/>
        </w:rPr>
        <w:t xml:space="preserve">The external factors highlighted in the Annual Performance Plan relate to </w:t>
      </w:r>
      <w:r w:rsidR="00CB7B31">
        <w:rPr>
          <w:rFonts w:ascii="Times New Roman" w:hAnsi="Times New Roman" w:cs="Times New Roman"/>
        </w:rPr>
        <w:t xml:space="preserve">increasing water demand and declining supply, deteriorating water ecosystems, unreliable water and sanitation services, inequitable water allocation, </w:t>
      </w:r>
      <w:r w:rsidR="008A5087">
        <w:rPr>
          <w:rFonts w:ascii="Times New Roman" w:hAnsi="Times New Roman" w:cs="Times New Roman"/>
        </w:rPr>
        <w:t xml:space="preserve">and </w:t>
      </w:r>
      <w:r w:rsidR="00CB7B31">
        <w:rPr>
          <w:rFonts w:ascii="Times New Roman" w:hAnsi="Times New Roman" w:cs="Times New Roman"/>
        </w:rPr>
        <w:t xml:space="preserve">weak </w:t>
      </w:r>
      <w:r w:rsidR="008A5087">
        <w:rPr>
          <w:rFonts w:ascii="Times New Roman" w:hAnsi="Times New Roman" w:cs="Times New Roman"/>
        </w:rPr>
        <w:t>water and sanitation sector regulation. The internal factors relate to organisational alignment, managing data and information, and financial resources</w:t>
      </w:r>
      <w:r w:rsidR="00DC56F3">
        <w:rPr>
          <w:rFonts w:ascii="Times New Roman" w:hAnsi="Times New Roman" w:cs="Times New Roman"/>
        </w:rPr>
        <w:t>.</w:t>
      </w:r>
    </w:p>
    <w:p w:rsidR="00C0369E" w:rsidRPr="00CD107E" w:rsidRDefault="00C0369E" w:rsidP="0010162C">
      <w:pPr>
        <w:spacing w:after="0" w:line="360" w:lineRule="auto"/>
        <w:jc w:val="both"/>
        <w:rPr>
          <w:rFonts w:ascii="Times New Roman" w:hAnsi="Times New Roman" w:cs="Times New Roman"/>
          <w:sz w:val="16"/>
          <w:szCs w:val="16"/>
        </w:rPr>
      </w:pPr>
    </w:p>
    <w:p w:rsidR="00573AFE" w:rsidRDefault="00573AFE" w:rsidP="0010162C">
      <w:pPr>
        <w:spacing w:after="0" w:line="360"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Strategic</w:t>
      </w:r>
      <w:r w:rsidR="00633055">
        <w:rPr>
          <w:rFonts w:ascii="Times New Roman" w:hAnsi="Times New Roman" w:cs="Times New Roman"/>
          <w:b/>
        </w:rPr>
        <w:t xml:space="preserve"> priorities over a five-year planning period</w:t>
      </w:r>
      <w:r>
        <w:rPr>
          <w:rFonts w:ascii="Times New Roman" w:hAnsi="Times New Roman" w:cs="Times New Roman"/>
          <w:b/>
        </w:rPr>
        <w:t xml:space="preserve"> and for the 2022/23 financial year</w:t>
      </w:r>
    </w:p>
    <w:p w:rsidR="00F31ED8" w:rsidRPr="00CD107E" w:rsidRDefault="00F31ED8" w:rsidP="0010162C">
      <w:pPr>
        <w:spacing w:after="0" w:line="360" w:lineRule="auto"/>
        <w:jc w:val="both"/>
        <w:rPr>
          <w:rFonts w:ascii="Times New Roman" w:hAnsi="Times New Roman" w:cs="Times New Roman"/>
          <w:b/>
          <w:sz w:val="16"/>
          <w:szCs w:val="16"/>
        </w:rPr>
      </w:pPr>
    </w:p>
    <w:p w:rsidR="00F31ED8" w:rsidRDefault="00F31ED8" w:rsidP="0010162C">
      <w:pPr>
        <w:spacing w:after="0" w:line="360" w:lineRule="auto"/>
        <w:jc w:val="both"/>
        <w:rPr>
          <w:rFonts w:ascii="Times New Roman" w:hAnsi="Times New Roman" w:cs="Times New Roman"/>
          <w:b/>
        </w:rPr>
      </w:pPr>
      <w:r>
        <w:rPr>
          <w:rFonts w:ascii="Times New Roman" w:hAnsi="Times New Roman" w:cs="Times New Roman"/>
          <w:b/>
        </w:rPr>
        <w:t>2.1</w:t>
      </w:r>
      <w:r>
        <w:rPr>
          <w:rFonts w:ascii="Times New Roman" w:hAnsi="Times New Roman" w:cs="Times New Roman"/>
          <w:b/>
        </w:rPr>
        <w:tab/>
        <w:t>Strategic priorities over a five-year planning period</w:t>
      </w:r>
    </w:p>
    <w:p w:rsidR="00115EC0" w:rsidRPr="00CD107E" w:rsidRDefault="00115EC0" w:rsidP="0010162C">
      <w:pPr>
        <w:spacing w:after="0" w:line="360" w:lineRule="auto"/>
        <w:jc w:val="both"/>
        <w:rPr>
          <w:rFonts w:ascii="Times New Roman" w:hAnsi="Times New Roman" w:cs="Times New Roman"/>
          <w:b/>
          <w:sz w:val="16"/>
          <w:szCs w:val="16"/>
        </w:rPr>
      </w:pPr>
    </w:p>
    <w:p w:rsidR="00286708" w:rsidRDefault="002E6110" w:rsidP="0010162C">
      <w:pPr>
        <w:spacing w:after="0" w:line="360" w:lineRule="auto"/>
        <w:jc w:val="both"/>
        <w:rPr>
          <w:rFonts w:ascii="Times New Roman" w:hAnsi="Times New Roman" w:cs="Times New Roman"/>
        </w:rPr>
      </w:pPr>
      <w:r w:rsidRPr="002E6110">
        <w:rPr>
          <w:rFonts w:ascii="Times New Roman" w:hAnsi="Times New Roman" w:cs="Times New Roman"/>
        </w:rPr>
        <w:t>With its focus on future supply and demand, water security is central to the developmental agenda articulated in the National Development Plan</w:t>
      </w:r>
      <w:r>
        <w:rPr>
          <w:rFonts w:ascii="Times New Roman" w:hAnsi="Times New Roman" w:cs="Times New Roman"/>
        </w:rPr>
        <w:t xml:space="preserve"> </w:t>
      </w:r>
      <w:r w:rsidR="00F31ED8">
        <w:rPr>
          <w:rFonts w:ascii="Times New Roman" w:hAnsi="Times New Roman" w:cs="Times New Roman"/>
        </w:rPr>
        <w:t>and the Industrial Policy Action Plan (IPAP). The former predicts that before 2030, all South Africans will have affordable, reliable access to sufficient, safe water and hygiene sanitation. The latter also sets out the intentions of South Africa in terms of expanding the manufacturing sector, which will increase water demand.</w:t>
      </w:r>
      <w:r w:rsidR="00286708">
        <w:rPr>
          <w:rFonts w:ascii="Times New Roman" w:hAnsi="Times New Roman" w:cs="Times New Roman"/>
        </w:rPr>
        <w:t xml:space="preserve"> The balancing of increased water supply for a growing population and economy has found meaning in several policies developed by the Department</w:t>
      </w:r>
      <w:r w:rsidR="00115EC0">
        <w:rPr>
          <w:rFonts w:ascii="Times New Roman" w:hAnsi="Times New Roman" w:cs="Times New Roman"/>
        </w:rPr>
        <w:t xml:space="preserve">, which encompass the following policies, strategies and amendments to the pieces of legislation: the Mine Water Management Policy, Sustainable Hydropower Generation Policy, </w:t>
      </w:r>
      <w:r w:rsidR="00115EC0">
        <w:rPr>
          <w:rFonts w:ascii="Times New Roman" w:hAnsi="Times New Roman" w:cs="Times New Roman"/>
        </w:rPr>
        <w:lastRenderedPageBreak/>
        <w:t>Integrated Water Quality Management Policy, Amendments to the National Water Act and Water Services Act, Review of the Pricing Strategy, the National Water and Sanitation Master Plan and the National Water Resource Strategy, Third Edition.</w:t>
      </w:r>
    </w:p>
    <w:p w:rsidR="00286708" w:rsidRPr="00CD107E" w:rsidRDefault="00286708" w:rsidP="0010162C">
      <w:pPr>
        <w:spacing w:after="0" w:line="360" w:lineRule="auto"/>
        <w:jc w:val="both"/>
        <w:rPr>
          <w:rFonts w:ascii="Times New Roman" w:hAnsi="Times New Roman" w:cs="Times New Roman"/>
          <w:sz w:val="16"/>
          <w:szCs w:val="16"/>
        </w:rPr>
      </w:pPr>
    </w:p>
    <w:p w:rsidR="001F56ED" w:rsidRDefault="001F56ED" w:rsidP="00E27A82">
      <w:pPr>
        <w:spacing w:after="0" w:line="360" w:lineRule="auto"/>
        <w:jc w:val="both"/>
        <w:rPr>
          <w:rFonts w:ascii="Times New Roman" w:hAnsi="Times New Roman" w:cs="Times New Roman"/>
          <w:b/>
        </w:rPr>
      </w:pPr>
      <w:r>
        <w:rPr>
          <w:rFonts w:ascii="Times New Roman" w:hAnsi="Times New Roman" w:cs="Times New Roman"/>
          <w:b/>
        </w:rPr>
        <w:t>2.2</w:t>
      </w:r>
      <w:r>
        <w:rPr>
          <w:rFonts w:ascii="Times New Roman" w:hAnsi="Times New Roman" w:cs="Times New Roman"/>
          <w:b/>
        </w:rPr>
        <w:tab/>
        <w:t>Key Departmental Strategic Priorities for the 2022/23 Financial Year</w:t>
      </w:r>
    </w:p>
    <w:p w:rsidR="001F56ED" w:rsidRPr="00CD107E" w:rsidRDefault="001F56ED" w:rsidP="00E27A82">
      <w:pPr>
        <w:spacing w:after="0" w:line="360" w:lineRule="auto"/>
        <w:jc w:val="both"/>
        <w:rPr>
          <w:rFonts w:ascii="Times New Roman" w:hAnsi="Times New Roman" w:cs="Times New Roman"/>
          <w:b/>
          <w:sz w:val="16"/>
          <w:szCs w:val="16"/>
        </w:rPr>
      </w:pPr>
    </w:p>
    <w:p w:rsidR="001F56ED" w:rsidRDefault="001F56ED" w:rsidP="00E27A82">
      <w:pPr>
        <w:spacing w:after="0" w:line="360" w:lineRule="auto"/>
        <w:jc w:val="both"/>
        <w:rPr>
          <w:rFonts w:ascii="Times New Roman" w:hAnsi="Times New Roman" w:cs="Times New Roman"/>
        </w:rPr>
      </w:pPr>
      <w:r>
        <w:rPr>
          <w:rFonts w:ascii="Times New Roman" w:hAnsi="Times New Roman" w:cs="Times New Roman"/>
        </w:rPr>
        <w:t>The introductory section of the departmental presentation on engaging the Portfolio Committee on Budget</w:t>
      </w:r>
      <w:r w:rsidR="009075CB">
        <w:rPr>
          <w:rFonts w:ascii="Times New Roman" w:hAnsi="Times New Roman" w:cs="Times New Roman"/>
        </w:rPr>
        <w:t xml:space="preserve"> and</w:t>
      </w:r>
      <w:r>
        <w:rPr>
          <w:rFonts w:ascii="Times New Roman" w:hAnsi="Times New Roman" w:cs="Times New Roman"/>
        </w:rPr>
        <w:t xml:space="preserve"> Vote 41 and the 2022/23 Annual Performance Plan</w:t>
      </w:r>
      <w:r w:rsidR="009075CB">
        <w:rPr>
          <w:rFonts w:ascii="Times New Roman" w:hAnsi="Times New Roman" w:cs="Times New Roman"/>
        </w:rPr>
        <w:t>, on 2 May 2022,</w:t>
      </w:r>
      <w:r>
        <w:rPr>
          <w:rFonts w:ascii="Times New Roman" w:hAnsi="Times New Roman" w:cs="Times New Roman"/>
        </w:rPr>
        <w:t xml:space="preserve"> </w:t>
      </w:r>
      <w:r w:rsidR="009075CB">
        <w:rPr>
          <w:rFonts w:ascii="Times New Roman" w:hAnsi="Times New Roman" w:cs="Times New Roman"/>
        </w:rPr>
        <w:t xml:space="preserve">provide the key priorities identified for the </w:t>
      </w:r>
      <w:r w:rsidR="002D6B64">
        <w:rPr>
          <w:rFonts w:ascii="Times New Roman" w:hAnsi="Times New Roman" w:cs="Times New Roman"/>
        </w:rPr>
        <w:t xml:space="preserve">year under review. </w:t>
      </w:r>
      <w:r w:rsidR="009B7146">
        <w:rPr>
          <w:rFonts w:ascii="Times New Roman" w:hAnsi="Times New Roman" w:cs="Times New Roman"/>
        </w:rPr>
        <w:t>These are:</w:t>
      </w:r>
    </w:p>
    <w:p w:rsidR="0083061D" w:rsidRPr="00CD107E" w:rsidRDefault="0083061D" w:rsidP="00E27A82">
      <w:pPr>
        <w:spacing w:after="0" w:line="360" w:lineRule="auto"/>
        <w:jc w:val="both"/>
        <w:rPr>
          <w:rFonts w:ascii="Times New Roman" w:hAnsi="Times New Roman" w:cs="Times New Roman"/>
          <w:sz w:val="16"/>
          <w:szCs w:val="16"/>
        </w:rPr>
      </w:pPr>
    </w:p>
    <w:p w:rsidR="0083061D" w:rsidRDefault="002D6B64" w:rsidP="00E27A82">
      <w:pPr>
        <w:pStyle w:val="ListParagraph"/>
        <w:numPr>
          <w:ilvl w:val="0"/>
          <w:numId w:val="26"/>
        </w:numPr>
        <w:spacing w:after="0" w:line="360" w:lineRule="auto"/>
        <w:jc w:val="both"/>
        <w:rPr>
          <w:rFonts w:ascii="Times New Roman" w:hAnsi="Times New Roman" w:cs="Times New Roman"/>
        </w:rPr>
      </w:pPr>
      <w:r w:rsidRPr="0083061D">
        <w:rPr>
          <w:rFonts w:ascii="Times New Roman" w:hAnsi="Times New Roman" w:cs="Times New Roman"/>
        </w:rPr>
        <w:t xml:space="preserve">Ensuring water security through increased water use efficiency and demand and conservation management, </w:t>
      </w:r>
    </w:p>
    <w:p w:rsidR="0083061D" w:rsidRDefault="0083061D"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I</w:t>
      </w:r>
      <w:r w:rsidR="002D6B64" w:rsidRPr="0083061D">
        <w:rPr>
          <w:rFonts w:ascii="Times New Roman" w:hAnsi="Times New Roman" w:cs="Times New Roman"/>
        </w:rPr>
        <w:t>mplementing major projects to augment national bulk</w:t>
      </w:r>
      <w:r>
        <w:rPr>
          <w:rFonts w:ascii="Times New Roman" w:hAnsi="Times New Roman" w:cs="Times New Roman"/>
        </w:rPr>
        <w:t xml:space="preserve"> water resource infrastructure.</w:t>
      </w:r>
    </w:p>
    <w:p w:rsidR="0083061D" w:rsidRDefault="0083061D"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D</w:t>
      </w:r>
      <w:r w:rsidR="002D6B64" w:rsidRPr="0083061D">
        <w:rPr>
          <w:rFonts w:ascii="Times New Roman" w:hAnsi="Times New Roman" w:cs="Times New Roman"/>
        </w:rPr>
        <w:t>eveloping other water resources such a</w:t>
      </w:r>
      <w:r>
        <w:rPr>
          <w:rFonts w:ascii="Times New Roman" w:hAnsi="Times New Roman" w:cs="Times New Roman"/>
        </w:rPr>
        <w:t>s groundwater and desalination.</w:t>
      </w:r>
    </w:p>
    <w:p w:rsidR="0083061D" w:rsidRDefault="0083061D"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F</w:t>
      </w:r>
      <w:r w:rsidR="002D6B64" w:rsidRPr="0083061D">
        <w:rPr>
          <w:rFonts w:ascii="Times New Roman" w:hAnsi="Times New Roman" w:cs="Times New Roman"/>
        </w:rPr>
        <w:t>inalisation of the National Water Resour</w:t>
      </w:r>
      <w:r>
        <w:rPr>
          <w:rFonts w:ascii="Times New Roman" w:hAnsi="Times New Roman" w:cs="Times New Roman"/>
        </w:rPr>
        <w:t>ces Infrastructure Agency Bill.</w:t>
      </w:r>
    </w:p>
    <w:p w:rsidR="0083061D" w:rsidRDefault="0083061D"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S</w:t>
      </w:r>
      <w:r w:rsidR="002D6B64" w:rsidRPr="0083061D">
        <w:rPr>
          <w:rFonts w:ascii="Times New Roman" w:hAnsi="Times New Roman" w:cs="Times New Roman"/>
        </w:rPr>
        <w:t>trengthening regulatory interventions to address pollution of the environment and prot</w:t>
      </w:r>
      <w:r>
        <w:rPr>
          <w:rFonts w:ascii="Times New Roman" w:hAnsi="Times New Roman" w:cs="Times New Roman"/>
        </w:rPr>
        <w:t>ect communities from wastewater.</w:t>
      </w:r>
      <w:r w:rsidR="002D6B64" w:rsidRPr="0083061D">
        <w:rPr>
          <w:rFonts w:ascii="Times New Roman" w:hAnsi="Times New Roman" w:cs="Times New Roman"/>
        </w:rPr>
        <w:t xml:space="preserve"> </w:t>
      </w:r>
    </w:p>
    <w:p w:rsidR="0083061D" w:rsidRDefault="0083061D"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S</w:t>
      </w:r>
      <w:r w:rsidR="002D6B64" w:rsidRPr="0083061D">
        <w:rPr>
          <w:rFonts w:ascii="Times New Roman" w:hAnsi="Times New Roman" w:cs="Times New Roman"/>
        </w:rPr>
        <w:t>upporting municipalities, improving wat</w:t>
      </w:r>
      <w:r w:rsidR="006753B7">
        <w:rPr>
          <w:rFonts w:ascii="Times New Roman" w:hAnsi="Times New Roman" w:cs="Times New Roman"/>
        </w:rPr>
        <w:t>er use licence turnaround time.</w:t>
      </w:r>
    </w:p>
    <w:p w:rsidR="0083061D" w:rsidRDefault="006753B7"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P</w:t>
      </w:r>
      <w:r w:rsidR="002D6B64" w:rsidRPr="0083061D">
        <w:rPr>
          <w:rFonts w:ascii="Times New Roman" w:hAnsi="Times New Roman" w:cs="Times New Roman"/>
        </w:rPr>
        <w:t>romoti</w:t>
      </w:r>
      <w:r>
        <w:rPr>
          <w:rFonts w:ascii="Times New Roman" w:hAnsi="Times New Roman" w:cs="Times New Roman"/>
        </w:rPr>
        <w:t>ng transformation in water use.</w:t>
      </w:r>
    </w:p>
    <w:p w:rsidR="002D6B64" w:rsidRPr="0083061D" w:rsidRDefault="006753B7" w:rsidP="00E27A82">
      <w:pPr>
        <w:pStyle w:val="ListParagraph"/>
        <w:numPr>
          <w:ilvl w:val="0"/>
          <w:numId w:val="26"/>
        </w:numPr>
        <w:spacing w:after="0" w:line="360" w:lineRule="auto"/>
        <w:jc w:val="both"/>
        <w:rPr>
          <w:rFonts w:ascii="Times New Roman" w:hAnsi="Times New Roman" w:cs="Times New Roman"/>
        </w:rPr>
      </w:pPr>
      <w:r>
        <w:rPr>
          <w:rFonts w:ascii="Times New Roman" w:hAnsi="Times New Roman" w:cs="Times New Roman"/>
        </w:rPr>
        <w:t>I</w:t>
      </w:r>
      <w:r w:rsidR="00A000CE" w:rsidRPr="0083061D">
        <w:rPr>
          <w:rFonts w:ascii="Times New Roman" w:hAnsi="Times New Roman" w:cs="Times New Roman"/>
        </w:rPr>
        <w:t>mproving revenue collection across the water value chain, and ensuring consequence management for financial misconduct, are central to the work of the Department in the 2022/23 financial year.</w:t>
      </w:r>
    </w:p>
    <w:p w:rsidR="00206D96" w:rsidRPr="00CD107E" w:rsidRDefault="00206D96" w:rsidP="00E27A82">
      <w:pPr>
        <w:spacing w:after="0" w:line="360" w:lineRule="auto"/>
        <w:jc w:val="both"/>
        <w:rPr>
          <w:rFonts w:ascii="Times New Roman" w:hAnsi="Times New Roman" w:cs="Times New Roman"/>
          <w:sz w:val="16"/>
          <w:szCs w:val="16"/>
        </w:rPr>
      </w:pPr>
    </w:p>
    <w:p w:rsidR="00206D96" w:rsidRDefault="00960935" w:rsidP="00E27A82">
      <w:pPr>
        <w:spacing w:after="0" w:line="360" w:lineRule="auto"/>
        <w:jc w:val="both"/>
        <w:rPr>
          <w:rFonts w:ascii="Times New Roman" w:hAnsi="Times New Roman" w:cs="Times New Roman"/>
        </w:rPr>
      </w:pPr>
      <w:r>
        <w:rPr>
          <w:rFonts w:ascii="Times New Roman" w:hAnsi="Times New Roman" w:cs="Times New Roman"/>
        </w:rPr>
        <w:t xml:space="preserve">The commentary by the Director-General of the Department at the meeting </w:t>
      </w:r>
      <w:r w:rsidR="00517E0F">
        <w:rPr>
          <w:rFonts w:ascii="Times New Roman" w:hAnsi="Times New Roman" w:cs="Times New Roman"/>
        </w:rPr>
        <w:t>on</w:t>
      </w:r>
      <w:r>
        <w:rPr>
          <w:rFonts w:ascii="Times New Roman" w:hAnsi="Times New Roman" w:cs="Times New Roman"/>
        </w:rPr>
        <w:t xml:space="preserve"> 2 May 2022 provided further insights on the rationale for the specific determined priorities for the year under review.  </w:t>
      </w:r>
      <w:r w:rsidR="007B5D1B">
        <w:rPr>
          <w:rFonts w:ascii="Times New Roman" w:hAnsi="Times New Roman" w:cs="Times New Roman"/>
        </w:rPr>
        <w:t xml:space="preserve">The ripple effect of insufficient revenue collection to </w:t>
      </w:r>
      <w:r w:rsidR="00517E0F" w:rsidRPr="00517E0F">
        <w:rPr>
          <w:rFonts w:ascii="Times New Roman" w:hAnsi="Times New Roman" w:cs="Times New Roman"/>
        </w:rPr>
        <w:t>adequately operate and maintain water and sanitation infrastructure</w:t>
      </w:r>
      <w:r w:rsidR="00517E0F">
        <w:rPr>
          <w:rFonts w:ascii="Times New Roman" w:hAnsi="Times New Roman" w:cs="Times New Roman"/>
        </w:rPr>
        <w:t xml:space="preserve"> was highlighted</w:t>
      </w:r>
      <w:r w:rsidR="007B5D1B">
        <w:rPr>
          <w:rFonts w:ascii="Times New Roman" w:hAnsi="Times New Roman" w:cs="Times New Roman"/>
        </w:rPr>
        <w:t xml:space="preserve">. </w:t>
      </w:r>
      <w:r w:rsidR="00517E0F">
        <w:rPr>
          <w:rFonts w:ascii="Times New Roman" w:hAnsi="Times New Roman" w:cs="Times New Roman"/>
        </w:rPr>
        <w:t>Municipalities</w:t>
      </w:r>
      <w:r w:rsidR="007B5D1B">
        <w:rPr>
          <w:rFonts w:ascii="Times New Roman" w:hAnsi="Times New Roman" w:cs="Times New Roman"/>
        </w:rPr>
        <w:t xml:space="preserve"> are in debt with water boards </w:t>
      </w:r>
      <w:r w:rsidR="00517E0F" w:rsidRPr="00517E0F">
        <w:rPr>
          <w:rFonts w:ascii="Times New Roman" w:hAnsi="Times New Roman" w:cs="Times New Roman"/>
        </w:rPr>
        <w:t xml:space="preserve">that do not have enough money to </w:t>
      </w:r>
      <w:r w:rsidR="00517E0F">
        <w:rPr>
          <w:rFonts w:ascii="Times New Roman" w:hAnsi="Times New Roman" w:cs="Times New Roman"/>
        </w:rPr>
        <w:t>use</w:t>
      </w:r>
      <w:r w:rsidR="00517E0F" w:rsidRPr="00517E0F">
        <w:rPr>
          <w:rFonts w:ascii="Times New Roman" w:hAnsi="Times New Roman" w:cs="Times New Roman"/>
        </w:rPr>
        <w:t xml:space="preserve"> their infrastructure or </w:t>
      </w:r>
      <w:r w:rsidR="007B5D1B">
        <w:rPr>
          <w:rFonts w:ascii="Times New Roman" w:hAnsi="Times New Roman" w:cs="Times New Roman"/>
        </w:rPr>
        <w:t>borrow money to increase infrastructure.  The</w:t>
      </w:r>
      <w:r w:rsidR="00517E0F">
        <w:rPr>
          <w:rFonts w:ascii="Times New Roman" w:hAnsi="Times New Roman" w:cs="Times New Roman"/>
        </w:rPr>
        <w:t xml:space="preserve"> water boards owe money to the Water Trading E</w:t>
      </w:r>
      <w:r w:rsidR="007B5D1B">
        <w:rPr>
          <w:rFonts w:ascii="Times New Roman" w:hAnsi="Times New Roman" w:cs="Times New Roman"/>
        </w:rPr>
        <w:t>ntity</w:t>
      </w:r>
      <w:r w:rsidR="00517E0F">
        <w:rPr>
          <w:rFonts w:ascii="Times New Roman" w:hAnsi="Times New Roman" w:cs="Times New Roman"/>
        </w:rPr>
        <w:t xml:space="preserve">, </w:t>
      </w:r>
      <w:r w:rsidR="002B73D2">
        <w:rPr>
          <w:rFonts w:ascii="Times New Roman" w:hAnsi="Times New Roman" w:cs="Times New Roman"/>
        </w:rPr>
        <w:t>which impedes the Department’s work</w:t>
      </w:r>
      <w:r w:rsidR="00517E0F">
        <w:rPr>
          <w:rFonts w:ascii="Times New Roman" w:hAnsi="Times New Roman" w:cs="Times New Roman"/>
        </w:rPr>
        <w:t xml:space="preserve"> in infrastructure development.</w:t>
      </w:r>
      <w:r w:rsidR="007B5D1B">
        <w:rPr>
          <w:rFonts w:ascii="Times New Roman" w:hAnsi="Times New Roman" w:cs="Times New Roman"/>
        </w:rPr>
        <w:t xml:space="preserve"> </w:t>
      </w:r>
      <w:r w:rsidR="00517E0F">
        <w:rPr>
          <w:rFonts w:ascii="Times New Roman" w:hAnsi="Times New Roman" w:cs="Times New Roman"/>
        </w:rPr>
        <w:t xml:space="preserve">The </w:t>
      </w:r>
      <w:r w:rsidR="007B5D1B">
        <w:rPr>
          <w:rFonts w:ascii="Times New Roman" w:hAnsi="Times New Roman" w:cs="Times New Roman"/>
        </w:rPr>
        <w:t>root cause</w:t>
      </w:r>
      <w:r w:rsidR="00517E0F">
        <w:rPr>
          <w:rFonts w:ascii="Times New Roman" w:hAnsi="Times New Roman" w:cs="Times New Roman"/>
        </w:rPr>
        <w:t xml:space="preserve"> is that b</w:t>
      </w:r>
      <w:r w:rsidR="007B5D1B">
        <w:rPr>
          <w:rFonts w:ascii="Times New Roman" w:hAnsi="Times New Roman" w:cs="Times New Roman"/>
        </w:rPr>
        <w:t>illing and revenue collection</w:t>
      </w:r>
      <w:r w:rsidR="00517E0F">
        <w:rPr>
          <w:rFonts w:ascii="Times New Roman" w:hAnsi="Times New Roman" w:cs="Times New Roman"/>
        </w:rPr>
        <w:t xml:space="preserve"> is a </w:t>
      </w:r>
      <w:r w:rsidR="002B73D2">
        <w:rPr>
          <w:rFonts w:ascii="Times New Roman" w:hAnsi="Times New Roman" w:cs="Times New Roman"/>
        </w:rPr>
        <w:t>significant</w:t>
      </w:r>
      <w:r w:rsidR="00517E0F">
        <w:rPr>
          <w:rFonts w:ascii="Times New Roman" w:hAnsi="Times New Roman" w:cs="Times New Roman"/>
        </w:rPr>
        <w:t xml:space="preserve"> cha</w:t>
      </w:r>
      <w:r w:rsidR="002B73D2">
        <w:rPr>
          <w:rFonts w:ascii="Times New Roman" w:hAnsi="Times New Roman" w:cs="Times New Roman"/>
        </w:rPr>
        <w:t xml:space="preserve">llenge. However, the </w:t>
      </w:r>
      <w:r w:rsidR="00517E0F">
        <w:rPr>
          <w:rFonts w:ascii="Times New Roman" w:hAnsi="Times New Roman" w:cs="Times New Roman"/>
        </w:rPr>
        <w:t xml:space="preserve">Department is working closely with the Department of Cooperative Governance and </w:t>
      </w:r>
      <w:r w:rsidR="0083061D">
        <w:rPr>
          <w:rFonts w:ascii="Times New Roman" w:hAnsi="Times New Roman" w:cs="Times New Roman"/>
        </w:rPr>
        <w:t xml:space="preserve">the </w:t>
      </w:r>
      <w:r w:rsidR="00517E0F">
        <w:rPr>
          <w:rFonts w:ascii="Times New Roman" w:hAnsi="Times New Roman" w:cs="Times New Roman"/>
        </w:rPr>
        <w:t>National Treasury to strengthen support in municipalities.</w:t>
      </w:r>
      <w:r w:rsidR="007B5D1B">
        <w:rPr>
          <w:rFonts w:ascii="Times New Roman" w:hAnsi="Times New Roman" w:cs="Times New Roman"/>
        </w:rPr>
        <w:t xml:space="preserve">  </w:t>
      </w:r>
    </w:p>
    <w:p w:rsidR="00C0369E" w:rsidRPr="00CD107E" w:rsidRDefault="00C0369E" w:rsidP="00E27A82">
      <w:pPr>
        <w:spacing w:after="0" w:line="360" w:lineRule="auto"/>
        <w:jc w:val="both"/>
        <w:rPr>
          <w:rFonts w:ascii="Times New Roman" w:hAnsi="Times New Roman" w:cs="Times New Roman"/>
          <w:sz w:val="16"/>
          <w:szCs w:val="16"/>
        </w:rPr>
      </w:pPr>
    </w:p>
    <w:p w:rsidR="00A6692E" w:rsidRPr="009655DB" w:rsidRDefault="00573AFE" w:rsidP="00A669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E1E03">
        <w:rPr>
          <w:rFonts w:ascii="Times New Roman" w:hAnsi="Times New Roman" w:cs="Times New Roman"/>
          <w:b/>
          <w:sz w:val="24"/>
          <w:szCs w:val="24"/>
        </w:rPr>
        <w:t>.</w:t>
      </w:r>
      <w:r w:rsidR="00FE1E03">
        <w:rPr>
          <w:rFonts w:ascii="Times New Roman" w:hAnsi="Times New Roman" w:cs="Times New Roman"/>
          <w:b/>
          <w:sz w:val="24"/>
          <w:szCs w:val="24"/>
        </w:rPr>
        <w:tab/>
        <w:t>Overview of the</w:t>
      </w:r>
      <w:r w:rsidR="00A000CE">
        <w:rPr>
          <w:rFonts w:ascii="Times New Roman" w:hAnsi="Times New Roman" w:cs="Times New Roman"/>
          <w:b/>
          <w:sz w:val="24"/>
          <w:szCs w:val="24"/>
        </w:rPr>
        <w:t xml:space="preserve"> 2019/20 and</w:t>
      </w:r>
      <w:r w:rsidR="00FE1E03">
        <w:rPr>
          <w:rFonts w:ascii="Times New Roman" w:hAnsi="Times New Roman" w:cs="Times New Roman"/>
          <w:b/>
          <w:sz w:val="24"/>
          <w:szCs w:val="24"/>
        </w:rPr>
        <w:t xml:space="preserve"> </w:t>
      </w:r>
      <w:r w:rsidR="00A000CE">
        <w:rPr>
          <w:rFonts w:ascii="Times New Roman" w:hAnsi="Times New Roman" w:cs="Times New Roman"/>
          <w:b/>
          <w:sz w:val="24"/>
          <w:szCs w:val="24"/>
        </w:rPr>
        <w:t>2020/21</w:t>
      </w:r>
      <w:r w:rsidR="00DA2FD1">
        <w:rPr>
          <w:rFonts w:ascii="Times New Roman" w:hAnsi="Times New Roman" w:cs="Times New Roman"/>
          <w:b/>
          <w:sz w:val="24"/>
          <w:szCs w:val="24"/>
        </w:rPr>
        <w:t xml:space="preserve"> Financial Status of the Department</w:t>
      </w:r>
    </w:p>
    <w:p w:rsidR="00A6692E" w:rsidRDefault="00A6692E" w:rsidP="00A6692E">
      <w:pPr>
        <w:spacing w:after="0" w:line="360" w:lineRule="auto"/>
        <w:jc w:val="both"/>
        <w:rPr>
          <w:rFonts w:ascii="Times New Roman" w:hAnsi="Times New Roman" w:cs="Times New Roman"/>
          <w:b/>
          <w:sz w:val="16"/>
          <w:szCs w:val="16"/>
        </w:rPr>
      </w:pPr>
    </w:p>
    <w:p w:rsidR="00DA2FD1" w:rsidRDefault="00214AAE" w:rsidP="001F56ED">
      <w:pPr>
        <w:spacing w:after="0" w:line="360" w:lineRule="auto"/>
        <w:jc w:val="both"/>
        <w:rPr>
          <w:rFonts w:ascii="Times New Roman" w:hAnsi="Times New Roman" w:cs="Times New Roman"/>
        </w:rPr>
      </w:pPr>
      <w:r>
        <w:rPr>
          <w:rFonts w:ascii="Times New Roman" w:hAnsi="Times New Roman" w:cs="Times New Roman"/>
        </w:rPr>
        <w:t>The Portfolio Committee on Water and Sanitation in</w:t>
      </w:r>
      <w:r w:rsidR="00CD3205">
        <w:rPr>
          <w:rFonts w:ascii="Times New Roman" w:hAnsi="Times New Roman" w:cs="Times New Roman"/>
        </w:rPr>
        <w:t xml:space="preserve"> 2019/20 and</w:t>
      </w:r>
      <w:r>
        <w:rPr>
          <w:rFonts w:ascii="Times New Roman" w:hAnsi="Times New Roman" w:cs="Times New Roman"/>
        </w:rPr>
        <w:t xml:space="preserve"> 2021/22 raised several issues on the financial status of the Department of Water and Sanitation in terms of accruals and payables, underspending, and fruitless and wasteful expenditure. The Department acknowledged these challenges in strengthening its financial capabilities. But maintained, as it does in the Annual Performance Plan, </w:t>
      </w:r>
      <w:r>
        <w:rPr>
          <w:rFonts w:ascii="Times New Roman" w:hAnsi="Times New Roman" w:cs="Times New Roman"/>
        </w:rPr>
        <w:lastRenderedPageBreak/>
        <w:t>that this component of their work has improved since the implementation of the financial recovery plan in 2019 and has since achieved the following – maintained a positive bank balance with the accruals and payables being continuous managed every month to ensure that it does not over-commit available budget.</w:t>
      </w:r>
      <w:r w:rsidR="00DA2FD1">
        <w:rPr>
          <w:rFonts w:ascii="Times New Roman" w:hAnsi="Times New Roman" w:cs="Times New Roman"/>
        </w:rPr>
        <w:t xml:space="preserve"> </w:t>
      </w:r>
    </w:p>
    <w:p w:rsidR="00DA2FD1" w:rsidRPr="00CD107E" w:rsidRDefault="00DA2FD1" w:rsidP="001F56ED">
      <w:pPr>
        <w:spacing w:after="0" w:line="360" w:lineRule="auto"/>
        <w:jc w:val="both"/>
        <w:rPr>
          <w:rFonts w:ascii="Times New Roman" w:hAnsi="Times New Roman" w:cs="Times New Roman"/>
          <w:sz w:val="16"/>
          <w:szCs w:val="16"/>
        </w:rPr>
      </w:pPr>
    </w:p>
    <w:p w:rsidR="009075CB" w:rsidRDefault="00DA2FD1" w:rsidP="001F56ED">
      <w:pPr>
        <w:spacing w:after="0" w:line="360" w:lineRule="auto"/>
        <w:jc w:val="both"/>
        <w:rPr>
          <w:rFonts w:ascii="Times New Roman" w:hAnsi="Times New Roman" w:cs="Times New Roman"/>
        </w:rPr>
      </w:pPr>
      <w:r>
        <w:rPr>
          <w:rFonts w:ascii="Times New Roman" w:hAnsi="Times New Roman" w:cs="Times New Roman"/>
        </w:rPr>
        <w:t xml:space="preserve">Explanations for the underspending of 14.7 per cent in the 2020/21 financial year were mainly due to underspending on Compensation of Employees due to funded vacant posts across all programmes.  Underspending on capital payment </w:t>
      </w:r>
      <w:r w:rsidRPr="00DA2FD1">
        <w:rPr>
          <w:rFonts w:ascii="Times New Roman" w:hAnsi="Times New Roman" w:cs="Times New Roman"/>
        </w:rPr>
        <w:t>resulted from the government-enforced Covid-19 lockdown restrictions, which impacted the implementation of the projects and some disputed invoices</w:t>
      </w:r>
      <w:r>
        <w:rPr>
          <w:rFonts w:ascii="Times New Roman" w:hAnsi="Times New Roman" w:cs="Times New Roman"/>
        </w:rPr>
        <w:t xml:space="preserve">. </w:t>
      </w:r>
    </w:p>
    <w:p w:rsidR="00893C5E" w:rsidRPr="00CD107E" w:rsidRDefault="00893C5E" w:rsidP="001F56ED">
      <w:pPr>
        <w:spacing w:after="0" w:line="360" w:lineRule="auto"/>
        <w:jc w:val="both"/>
        <w:rPr>
          <w:rFonts w:ascii="Times New Roman" w:hAnsi="Times New Roman" w:cs="Times New Roman"/>
          <w:sz w:val="16"/>
          <w:szCs w:val="16"/>
        </w:rPr>
      </w:pPr>
    </w:p>
    <w:p w:rsidR="00893C5E" w:rsidRDefault="001218F3" w:rsidP="001F56ED">
      <w:pPr>
        <w:spacing w:after="0" w:line="360" w:lineRule="auto"/>
        <w:jc w:val="both"/>
        <w:rPr>
          <w:rFonts w:ascii="Times New Roman" w:hAnsi="Times New Roman" w:cs="Times New Roman"/>
        </w:rPr>
      </w:pPr>
      <w:r w:rsidRPr="001218F3">
        <w:rPr>
          <w:rFonts w:ascii="Times New Roman" w:hAnsi="Times New Roman" w:cs="Times New Roman"/>
        </w:rPr>
        <w:t>The Department noted that senior management posts had been filled since the 2021/22 financial year on filling key positions</w:t>
      </w:r>
      <w:r w:rsidR="00893C5E">
        <w:rPr>
          <w:rFonts w:ascii="Times New Roman" w:hAnsi="Times New Roman" w:cs="Times New Roman"/>
        </w:rPr>
        <w:t>.  This includes the post of Director-General and Chief Financial Officer. The post of Deputy Director-General: Water Services and Regulation: Compliance and Enforcement are awaiting confirmation by Cabinet.  All regional heads positions are filled, while interviews for the filling of the Chief Director: Internal Audit have taken place</w:t>
      </w:r>
      <w:r w:rsidR="00B46026">
        <w:rPr>
          <w:rFonts w:ascii="Times New Roman" w:hAnsi="Times New Roman" w:cs="Times New Roman"/>
        </w:rPr>
        <w:t>,</w:t>
      </w:r>
      <w:r w:rsidR="00893C5E">
        <w:rPr>
          <w:rFonts w:ascii="Times New Roman" w:hAnsi="Times New Roman" w:cs="Times New Roman"/>
        </w:rPr>
        <w:t xml:space="preserve"> and potential candidates are undergoing assessments.</w:t>
      </w:r>
    </w:p>
    <w:p w:rsidR="0054531F" w:rsidRPr="00CD107E" w:rsidRDefault="0054531F" w:rsidP="001F56ED">
      <w:pPr>
        <w:spacing w:after="0" w:line="360" w:lineRule="auto"/>
        <w:jc w:val="both"/>
        <w:rPr>
          <w:rFonts w:ascii="Times New Roman" w:hAnsi="Times New Roman" w:cs="Times New Roman"/>
          <w:sz w:val="16"/>
          <w:szCs w:val="16"/>
        </w:rPr>
      </w:pPr>
    </w:p>
    <w:p w:rsidR="00DA2FD1" w:rsidRDefault="00DA2FD1" w:rsidP="001F56ED">
      <w:pPr>
        <w:spacing w:after="0" w:line="360" w:lineRule="auto"/>
        <w:jc w:val="both"/>
        <w:rPr>
          <w:rFonts w:ascii="Times New Roman" w:hAnsi="Times New Roman" w:cs="Times New Roman"/>
        </w:rPr>
      </w:pPr>
      <w:r>
        <w:rPr>
          <w:rFonts w:ascii="Times New Roman" w:hAnsi="Times New Roman" w:cs="Times New Roman"/>
        </w:rPr>
        <w:t>At the Portfolio Committee briefing and in the Annual Performance Plan, the Departm</w:t>
      </w:r>
      <w:r w:rsidR="00996552">
        <w:rPr>
          <w:rFonts w:ascii="Times New Roman" w:hAnsi="Times New Roman" w:cs="Times New Roman"/>
        </w:rPr>
        <w:t>ent committed</w:t>
      </w:r>
      <w:r>
        <w:rPr>
          <w:rFonts w:ascii="Times New Roman" w:hAnsi="Times New Roman" w:cs="Times New Roman"/>
        </w:rPr>
        <w:t xml:space="preserve"> to </w:t>
      </w:r>
      <w:r w:rsidR="00B46026">
        <w:rPr>
          <w:rFonts w:ascii="Times New Roman" w:hAnsi="Times New Roman" w:cs="Times New Roman"/>
        </w:rPr>
        <w:t>continuing</w:t>
      </w:r>
      <w:r>
        <w:rPr>
          <w:rFonts w:ascii="Times New Roman" w:hAnsi="Times New Roman" w:cs="Times New Roman"/>
        </w:rPr>
        <w:t xml:space="preserve"> </w:t>
      </w:r>
      <w:r w:rsidRPr="00DA2FD1">
        <w:rPr>
          <w:rFonts w:ascii="Times New Roman" w:hAnsi="Times New Roman" w:cs="Times New Roman"/>
        </w:rPr>
        <w:t>implementing the recommendation of the In-Year Monitoring and the financial recovery plan to continue delivering</w:t>
      </w:r>
      <w:r>
        <w:rPr>
          <w:rFonts w:ascii="Times New Roman" w:hAnsi="Times New Roman" w:cs="Times New Roman"/>
        </w:rPr>
        <w:t xml:space="preserve"> services to the communities.</w:t>
      </w:r>
    </w:p>
    <w:p w:rsidR="009075CB" w:rsidRPr="00996552" w:rsidRDefault="009075CB" w:rsidP="001F56ED">
      <w:pPr>
        <w:spacing w:after="0" w:line="360" w:lineRule="auto"/>
        <w:jc w:val="both"/>
        <w:rPr>
          <w:rFonts w:ascii="Times New Roman" w:hAnsi="Times New Roman" w:cs="Times New Roman"/>
          <w:sz w:val="16"/>
          <w:szCs w:val="16"/>
        </w:rPr>
      </w:pPr>
    </w:p>
    <w:p w:rsidR="00DA2FD1" w:rsidRPr="00DA2FD1" w:rsidRDefault="00DA2FD1" w:rsidP="001F56ED">
      <w:pPr>
        <w:spacing w:after="0" w:line="360" w:lineRule="auto"/>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Overview of the 2022/23 Budget and Medium-Term Estimates</w:t>
      </w:r>
    </w:p>
    <w:p w:rsidR="009075CB" w:rsidRPr="00996552" w:rsidRDefault="009075CB" w:rsidP="001F56ED">
      <w:pPr>
        <w:spacing w:after="0" w:line="360" w:lineRule="auto"/>
        <w:jc w:val="both"/>
        <w:rPr>
          <w:rFonts w:ascii="Times New Roman" w:hAnsi="Times New Roman" w:cs="Times New Roman"/>
          <w:sz w:val="16"/>
          <w:szCs w:val="16"/>
        </w:rPr>
      </w:pPr>
    </w:p>
    <w:p w:rsidR="001F56ED" w:rsidRDefault="001F56ED" w:rsidP="001F56ED">
      <w:pPr>
        <w:spacing w:after="0" w:line="360" w:lineRule="auto"/>
        <w:jc w:val="both"/>
        <w:rPr>
          <w:rFonts w:ascii="Times New Roman" w:hAnsi="Times New Roman" w:cs="Times New Roman"/>
        </w:rPr>
      </w:pPr>
      <w:r>
        <w:rPr>
          <w:rFonts w:ascii="Times New Roman" w:hAnsi="Times New Roman" w:cs="Times New Roman"/>
        </w:rPr>
        <w:t>The following sections will provide an overview of the 2022/23 budget and medium-term estimates with concomitant outputs, output information and annual targets for the three (3) programmes.</w:t>
      </w:r>
    </w:p>
    <w:p w:rsidR="00753059" w:rsidRPr="00996552" w:rsidRDefault="00753059" w:rsidP="00A6692E">
      <w:pPr>
        <w:spacing w:after="0" w:line="360" w:lineRule="auto"/>
        <w:jc w:val="both"/>
        <w:rPr>
          <w:rFonts w:ascii="Times New Roman" w:hAnsi="Times New Roman" w:cs="Times New Roman"/>
          <w:b/>
          <w:sz w:val="16"/>
          <w:szCs w:val="16"/>
          <w:vertAlign w:val="subscript"/>
        </w:rPr>
      </w:pPr>
    </w:p>
    <w:p w:rsidR="006610D5" w:rsidRDefault="00DA2FD1" w:rsidP="00A6692E">
      <w:pPr>
        <w:spacing w:after="0" w:line="360" w:lineRule="auto"/>
        <w:jc w:val="both"/>
        <w:rPr>
          <w:rFonts w:ascii="Times New Roman" w:hAnsi="Times New Roman" w:cs="Times New Roman"/>
          <w:b/>
        </w:rPr>
      </w:pPr>
      <w:r>
        <w:rPr>
          <w:rFonts w:ascii="Times New Roman" w:hAnsi="Times New Roman" w:cs="Times New Roman"/>
          <w:b/>
        </w:rPr>
        <w:t>4</w:t>
      </w:r>
      <w:r w:rsidR="006610D5">
        <w:rPr>
          <w:rFonts w:ascii="Times New Roman" w:hAnsi="Times New Roman" w:cs="Times New Roman"/>
          <w:b/>
        </w:rPr>
        <w:t>.1</w:t>
      </w:r>
      <w:r w:rsidR="006610D5">
        <w:rPr>
          <w:rFonts w:ascii="Times New Roman" w:hAnsi="Times New Roman" w:cs="Times New Roman"/>
          <w:b/>
        </w:rPr>
        <w:tab/>
        <w:t>Expenditure overview</w:t>
      </w:r>
      <w:r w:rsidR="008C72F9">
        <w:rPr>
          <w:rFonts w:ascii="Times New Roman" w:hAnsi="Times New Roman" w:cs="Times New Roman"/>
          <w:b/>
        </w:rPr>
        <w:t xml:space="preserve"> – Main Account and Water Trading Entity</w:t>
      </w:r>
      <w:r w:rsidR="00FB731F">
        <w:rPr>
          <w:rStyle w:val="FootnoteReference"/>
          <w:rFonts w:ascii="Times New Roman" w:hAnsi="Times New Roman" w:cs="Times New Roman"/>
          <w:b/>
        </w:rPr>
        <w:footnoteReference w:id="3"/>
      </w:r>
    </w:p>
    <w:p w:rsidR="006610D5" w:rsidRPr="00CD107E" w:rsidRDefault="006610D5" w:rsidP="00A6692E">
      <w:pPr>
        <w:spacing w:after="0" w:line="360" w:lineRule="auto"/>
        <w:jc w:val="both"/>
        <w:rPr>
          <w:rFonts w:ascii="Times New Roman" w:hAnsi="Times New Roman" w:cs="Times New Roman"/>
          <w:b/>
          <w:sz w:val="16"/>
          <w:szCs w:val="16"/>
        </w:rPr>
      </w:pPr>
    </w:p>
    <w:p w:rsidR="008C72F9" w:rsidRDefault="008C72F9" w:rsidP="008C72F9">
      <w:pPr>
        <w:spacing w:after="0" w:line="360" w:lineRule="auto"/>
        <w:jc w:val="both"/>
        <w:rPr>
          <w:rFonts w:ascii="Times New Roman" w:eastAsia="Times New Roman" w:hAnsi="Times New Roman" w:cs="Times New Roman"/>
          <w:lang w:eastAsia="en-ZA"/>
        </w:rPr>
      </w:pPr>
      <w:r w:rsidRPr="001435C9">
        <w:rPr>
          <w:rFonts w:ascii="Times New Roman" w:eastAsia="Times New Roman" w:hAnsi="Times New Roman" w:cs="Times New Roman"/>
          <w:lang w:eastAsia="en-ZA"/>
        </w:rPr>
        <w:t xml:space="preserve">The Department of Water and Sanitation operates two financial accounts: The Main Account and the Water Trading Entity. The Main Account is funded </w:t>
      </w:r>
      <w:r w:rsidR="00B46026">
        <w:rPr>
          <w:rFonts w:ascii="Times New Roman" w:eastAsia="Times New Roman" w:hAnsi="Times New Roman" w:cs="Times New Roman"/>
          <w:lang w:eastAsia="en-ZA"/>
        </w:rPr>
        <w:t>by</w:t>
      </w:r>
      <w:r w:rsidRPr="001435C9">
        <w:rPr>
          <w:rFonts w:ascii="Times New Roman" w:eastAsia="Times New Roman" w:hAnsi="Times New Roman" w:cs="Times New Roman"/>
          <w:lang w:eastAsia="en-ZA"/>
        </w:rPr>
        <w:t xml:space="preserve"> the </w:t>
      </w:r>
      <w:r>
        <w:rPr>
          <w:rFonts w:ascii="Times New Roman" w:eastAsia="Times New Roman" w:hAnsi="Times New Roman" w:cs="Times New Roman"/>
          <w:lang w:eastAsia="en-ZA"/>
        </w:rPr>
        <w:t>fiscus (Vote 41</w:t>
      </w:r>
      <w:r w:rsidRPr="001435C9">
        <w:rPr>
          <w:rFonts w:ascii="Times New Roman" w:eastAsia="Times New Roman" w:hAnsi="Times New Roman" w:cs="Times New Roman"/>
          <w:lang w:eastAsia="en-ZA"/>
        </w:rPr>
        <w:t>)</w:t>
      </w:r>
      <w:r w:rsidR="00B46026">
        <w:rPr>
          <w:rFonts w:ascii="Times New Roman" w:eastAsia="Times New Roman" w:hAnsi="Times New Roman" w:cs="Times New Roman"/>
          <w:lang w:eastAsia="en-ZA"/>
        </w:rPr>
        <w:t>. The</w:t>
      </w:r>
      <w:r w:rsidRPr="001435C9">
        <w:rPr>
          <w:rFonts w:ascii="Times New Roman" w:eastAsia="Times New Roman" w:hAnsi="Times New Roman" w:cs="Times New Roman"/>
          <w:lang w:eastAsia="en-ZA"/>
        </w:rPr>
        <w:t xml:space="preserve"> Water Trading Entity account mainly receives voted amounts from the Main Account toward implement</w:t>
      </w:r>
      <w:r>
        <w:rPr>
          <w:rFonts w:ascii="Times New Roman" w:eastAsia="Times New Roman" w:hAnsi="Times New Roman" w:cs="Times New Roman"/>
          <w:lang w:eastAsia="en-ZA"/>
        </w:rPr>
        <w:t>ing infrastructure and</w:t>
      </w:r>
      <w:r w:rsidRPr="001435C9">
        <w:rPr>
          <w:rFonts w:ascii="Times New Roman" w:eastAsia="Times New Roman" w:hAnsi="Times New Roman" w:cs="Times New Roman"/>
          <w:lang w:eastAsia="en-ZA"/>
        </w:rPr>
        <w:t xml:space="preserve"> generating revenue through bulk water sales. The Department of Water and Sanitation</w:t>
      </w:r>
      <w:r>
        <w:rPr>
          <w:rFonts w:ascii="Times New Roman" w:eastAsia="Times New Roman" w:hAnsi="Times New Roman" w:cs="Times New Roman"/>
          <w:lang w:eastAsia="en-ZA"/>
        </w:rPr>
        <w:t xml:space="preserve"> delineates its expenditure </w:t>
      </w:r>
      <w:r w:rsidR="00B46026">
        <w:rPr>
          <w:rFonts w:ascii="Times New Roman" w:eastAsia="Times New Roman" w:hAnsi="Times New Roman" w:cs="Times New Roman"/>
          <w:lang w:eastAsia="en-ZA"/>
        </w:rPr>
        <w:t>into</w:t>
      </w:r>
      <w:r>
        <w:rPr>
          <w:rFonts w:ascii="Times New Roman" w:eastAsia="Times New Roman" w:hAnsi="Times New Roman" w:cs="Times New Roman"/>
          <w:lang w:eastAsia="en-ZA"/>
        </w:rPr>
        <w:t xml:space="preserve"> three</w:t>
      </w:r>
      <w:r w:rsidRPr="001435C9">
        <w:rPr>
          <w:rFonts w:ascii="Times New Roman" w:eastAsia="Times New Roman" w:hAnsi="Times New Roman" w:cs="Times New Roman"/>
          <w:lang w:eastAsia="en-ZA"/>
        </w:rPr>
        <w:t xml:space="preserve"> programmes</w:t>
      </w:r>
      <w:r>
        <w:rPr>
          <w:rFonts w:ascii="Times New Roman" w:eastAsia="Times New Roman" w:hAnsi="Times New Roman" w:cs="Times New Roman"/>
          <w:lang w:eastAsia="en-ZA"/>
        </w:rPr>
        <w:t xml:space="preserve"> in the financial year under review - A</w:t>
      </w:r>
      <w:r w:rsidRPr="001435C9">
        <w:rPr>
          <w:rFonts w:ascii="Times New Roman" w:eastAsia="Times New Roman" w:hAnsi="Times New Roman" w:cs="Times New Roman"/>
          <w:lang w:eastAsia="en-ZA"/>
        </w:rPr>
        <w:t xml:space="preserve">dministration, </w:t>
      </w:r>
      <w:r>
        <w:rPr>
          <w:rFonts w:ascii="Times New Roman" w:eastAsia="Times New Roman" w:hAnsi="Times New Roman" w:cs="Times New Roman"/>
          <w:lang w:eastAsia="en-ZA"/>
        </w:rPr>
        <w:t>Water Resources Management and Water Services Management.</w:t>
      </w:r>
    </w:p>
    <w:p w:rsidR="008C72F9" w:rsidRDefault="008C72F9" w:rsidP="00A6692E">
      <w:pPr>
        <w:spacing w:after="0" w:line="360" w:lineRule="auto"/>
        <w:jc w:val="both"/>
        <w:rPr>
          <w:rFonts w:ascii="Times New Roman" w:hAnsi="Times New Roman" w:cs="Times New Roman"/>
          <w:sz w:val="16"/>
          <w:szCs w:val="16"/>
        </w:rPr>
      </w:pPr>
    </w:p>
    <w:p w:rsidR="00CD107E" w:rsidRDefault="00CD107E" w:rsidP="00A6692E">
      <w:pPr>
        <w:spacing w:after="0" w:line="360" w:lineRule="auto"/>
        <w:jc w:val="both"/>
        <w:rPr>
          <w:rFonts w:ascii="Times New Roman" w:hAnsi="Times New Roman" w:cs="Times New Roman"/>
          <w:sz w:val="16"/>
          <w:szCs w:val="16"/>
        </w:rPr>
      </w:pPr>
    </w:p>
    <w:p w:rsidR="00CD107E" w:rsidRPr="00CD107E" w:rsidRDefault="00CD107E" w:rsidP="00A6692E">
      <w:pPr>
        <w:spacing w:after="0" w:line="360" w:lineRule="auto"/>
        <w:jc w:val="both"/>
        <w:rPr>
          <w:rFonts w:ascii="Times New Roman" w:hAnsi="Times New Roman" w:cs="Times New Roman"/>
          <w:sz w:val="16"/>
          <w:szCs w:val="16"/>
        </w:rPr>
      </w:pPr>
    </w:p>
    <w:p w:rsidR="008C72F9" w:rsidRDefault="008C72F9" w:rsidP="00A6692E">
      <w:pPr>
        <w:spacing w:after="0" w:line="360" w:lineRule="auto"/>
        <w:jc w:val="both"/>
        <w:rPr>
          <w:rFonts w:ascii="Times New Roman" w:hAnsi="Times New Roman" w:cs="Times New Roman"/>
          <w:b/>
        </w:rPr>
      </w:pPr>
      <w:r>
        <w:rPr>
          <w:rFonts w:ascii="Times New Roman" w:hAnsi="Times New Roman" w:cs="Times New Roman"/>
          <w:b/>
        </w:rPr>
        <w:lastRenderedPageBreak/>
        <w:t>4.1.1</w:t>
      </w:r>
      <w:r>
        <w:rPr>
          <w:rFonts w:ascii="Times New Roman" w:hAnsi="Times New Roman" w:cs="Times New Roman"/>
          <w:b/>
        </w:rPr>
        <w:tab/>
        <w:t>Main Account</w:t>
      </w:r>
    </w:p>
    <w:p w:rsidR="008C72F9" w:rsidRPr="00CD107E" w:rsidRDefault="008C72F9" w:rsidP="00A6692E">
      <w:pPr>
        <w:spacing w:after="0" w:line="360" w:lineRule="auto"/>
        <w:jc w:val="both"/>
        <w:rPr>
          <w:rFonts w:ascii="Times New Roman" w:hAnsi="Times New Roman" w:cs="Times New Roman"/>
          <w:b/>
          <w:sz w:val="16"/>
          <w:szCs w:val="16"/>
        </w:rPr>
      </w:pPr>
    </w:p>
    <w:p w:rsidR="008C72F9" w:rsidRDefault="00214AAE" w:rsidP="00A6692E">
      <w:pPr>
        <w:spacing w:after="0" w:line="360" w:lineRule="auto"/>
        <w:jc w:val="both"/>
        <w:rPr>
          <w:rFonts w:ascii="Times New Roman" w:hAnsi="Times New Roman" w:cs="Times New Roman"/>
        </w:rPr>
      </w:pPr>
      <w:r>
        <w:rPr>
          <w:rFonts w:ascii="Times New Roman" w:hAnsi="Times New Roman" w:cs="Times New Roman"/>
        </w:rPr>
        <w:t>Over the Medium-Term Expenditure Framework</w:t>
      </w:r>
      <w:r w:rsidR="00FB731F">
        <w:rPr>
          <w:rFonts w:ascii="Times New Roman" w:hAnsi="Times New Roman" w:cs="Times New Roman"/>
        </w:rPr>
        <w:t xml:space="preserve"> (MTEF)</w:t>
      </w:r>
      <w:r>
        <w:rPr>
          <w:rFonts w:ascii="Times New Roman" w:hAnsi="Times New Roman" w:cs="Times New Roman"/>
        </w:rPr>
        <w:t xml:space="preserve"> and depicted in the table below, the Department has </w:t>
      </w:r>
      <w:r w:rsidR="00387352" w:rsidRPr="00387352">
        <w:rPr>
          <w:rFonts w:ascii="Times New Roman" w:hAnsi="Times New Roman" w:cs="Times New Roman"/>
        </w:rPr>
        <w:t xml:space="preserve">allocated R18.540 billion for 2022/23, R20.155 billion for 2023/24 </w:t>
      </w:r>
      <w:r>
        <w:rPr>
          <w:rFonts w:ascii="Times New Roman" w:hAnsi="Times New Roman" w:cs="Times New Roman"/>
        </w:rPr>
        <w:t>R20.</w:t>
      </w:r>
      <w:r w:rsidR="00186925">
        <w:rPr>
          <w:rFonts w:ascii="Times New Roman" w:hAnsi="Times New Roman" w:cs="Times New Roman"/>
        </w:rPr>
        <w:t>913 billion for 2024/25.</w:t>
      </w:r>
      <w:r w:rsidR="00DA2FD1">
        <w:rPr>
          <w:rFonts w:ascii="Times New Roman" w:hAnsi="Times New Roman" w:cs="Times New Roman"/>
        </w:rPr>
        <w:t xml:space="preserve"> </w:t>
      </w:r>
      <w:r w:rsidR="00FB731F">
        <w:rPr>
          <w:rFonts w:ascii="Times New Roman" w:hAnsi="Times New Roman" w:cs="Times New Roman"/>
        </w:rPr>
        <w:t xml:space="preserve">Transfers and subsidies to departmental agencies, public corporations and municipalities comprise the </w:t>
      </w:r>
      <w:r w:rsidR="00387352">
        <w:rPr>
          <w:rFonts w:ascii="Times New Roman" w:hAnsi="Times New Roman" w:cs="Times New Roman"/>
        </w:rPr>
        <w:t>most significant</w:t>
      </w:r>
      <w:r w:rsidR="00FB731F">
        <w:rPr>
          <w:rFonts w:ascii="Times New Roman" w:hAnsi="Times New Roman" w:cs="Times New Roman"/>
        </w:rPr>
        <w:t xml:space="preserve"> budget share, amounting to R34.9 billion over the MTEF period.  </w:t>
      </w:r>
    </w:p>
    <w:p w:rsidR="008C72F9" w:rsidRPr="00CD107E" w:rsidRDefault="008C72F9" w:rsidP="00A6692E">
      <w:pPr>
        <w:spacing w:after="0" w:line="360" w:lineRule="auto"/>
        <w:jc w:val="both"/>
        <w:rPr>
          <w:rFonts w:ascii="Times New Roman" w:hAnsi="Times New Roman" w:cs="Times New Roman"/>
          <w:sz w:val="16"/>
          <w:szCs w:val="16"/>
        </w:rPr>
      </w:pPr>
    </w:p>
    <w:p w:rsidR="00753059" w:rsidRDefault="00FB731F" w:rsidP="00A6692E">
      <w:pPr>
        <w:spacing w:after="0" w:line="360" w:lineRule="auto"/>
        <w:jc w:val="both"/>
        <w:rPr>
          <w:rFonts w:ascii="Times New Roman" w:hAnsi="Times New Roman" w:cs="Times New Roman"/>
        </w:rPr>
      </w:pPr>
      <w:r>
        <w:rPr>
          <w:rFonts w:ascii="Times New Roman" w:hAnsi="Times New Roman" w:cs="Times New Roman"/>
        </w:rPr>
        <w:t xml:space="preserve">Total expenditure is expected to increase at an average annual rate of 5.6 per cent, from R17.7 billion over the medium term for capital projects involving water resources and regional bulk infrastructure.  </w:t>
      </w:r>
    </w:p>
    <w:p w:rsidR="00EE1353" w:rsidRPr="00EE1353" w:rsidRDefault="00EE1353" w:rsidP="00A6692E">
      <w:pPr>
        <w:spacing w:after="0" w:line="360" w:lineRule="auto"/>
        <w:jc w:val="both"/>
        <w:rPr>
          <w:rFonts w:ascii="Times New Roman" w:hAnsi="Times New Roman" w:cs="Times New Roman"/>
          <w:sz w:val="16"/>
          <w:szCs w:val="16"/>
        </w:rPr>
      </w:pPr>
    </w:p>
    <w:tbl>
      <w:tblPr>
        <w:tblStyle w:val="TableGrid"/>
        <w:tblW w:w="9351" w:type="dxa"/>
        <w:tblLook w:val="04A0" w:firstRow="1" w:lastRow="0" w:firstColumn="1" w:lastColumn="0" w:noHBand="0" w:noVBand="1"/>
      </w:tblPr>
      <w:tblGrid>
        <w:gridCol w:w="5524"/>
        <w:gridCol w:w="1275"/>
        <w:gridCol w:w="1276"/>
        <w:gridCol w:w="1276"/>
      </w:tblGrid>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Programme</w:t>
            </w:r>
          </w:p>
        </w:tc>
        <w:tc>
          <w:tcPr>
            <w:tcW w:w="3827" w:type="dxa"/>
            <w:gridSpan w:val="3"/>
          </w:tcPr>
          <w:p w:rsidR="00A6692E" w:rsidRPr="0091738E" w:rsidRDefault="00753059"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A6692E" w:rsidRPr="0091738E">
              <w:rPr>
                <w:rFonts w:ascii="Times New Roman" w:hAnsi="Times New Roman" w:cs="Times New Roman"/>
                <w:b/>
                <w:sz w:val="18"/>
                <w:szCs w:val="18"/>
              </w:rPr>
              <w:t>Medium-Term Expenditure Estimates</w:t>
            </w:r>
          </w:p>
        </w:tc>
      </w:tr>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Rand (thousand)</w:t>
            </w:r>
          </w:p>
        </w:tc>
        <w:tc>
          <w:tcPr>
            <w:tcW w:w="1275" w:type="dxa"/>
          </w:tcPr>
          <w:p w:rsidR="00A6692E" w:rsidRPr="0091738E" w:rsidRDefault="0060406B"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83989" w:rsidRPr="0091738E">
              <w:rPr>
                <w:rFonts w:ascii="Times New Roman" w:hAnsi="Times New Roman" w:cs="Times New Roman"/>
                <w:b/>
                <w:sz w:val="18"/>
                <w:szCs w:val="18"/>
              </w:rPr>
              <w:t>2022/23</w:t>
            </w:r>
          </w:p>
        </w:tc>
        <w:tc>
          <w:tcPr>
            <w:tcW w:w="1276" w:type="dxa"/>
          </w:tcPr>
          <w:p w:rsidR="00A6692E" w:rsidRPr="0091738E" w:rsidRDefault="0060406B"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83989" w:rsidRPr="0091738E">
              <w:rPr>
                <w:rFonts w:ascii="Times New Roman" w:hAnsi="Times New Roman" w:cs="Times New Roman"/>
                <w:b/>
                <w:sz w:val="18"/>
                <w:szCs w:val="18"/>
              </w:rPr>
              <w:t>2023/24</w:t>
            </w:r>
          </w:p>
        </w:tc>
        <w:tc>
          <w:tcPr>
            <w:tcW w:w="1276" w:type="dxa"/>
          </w:tcPr>
          <w:p w:rsidR="00A6692E" w:rsidRPr="0091738E" w:rsidRDefault="0060406B"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83989" w:rsidRPr="0091738E">
              <w:rPr>
                <w:rFonts w:ascii="Times New Roman" w:hAnsi="Times New Roman" w:cs="Times New Roman"/>
                <w:b/>
                <w:sz w:val="18"/>
                <w:szCs w:val="18"/>
              </w:rPr>
              <w:t>2024/25</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Administration</w:t>
            </w:r>
          </w:p>
        </w:tc>
        <w:tc>
          <w:tcPr>
            <w:tcW w:w="1275"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2 012 509</w:t>
            </w:r>
          </w:p>
        </w:tc>
        <w:tc>
          <w:tcPr>
            <w:tcW w:w="1276"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2 006 729</w:t>
            </w:r>
          </w:p>
        </w:tc>
        <w:tc>
          <w:tcPr>
            <w:tcW w:w="1276" w:type="dxa"/>
          </w:tcPr>
          <w:p w:rsidR="00A6692E" w:rsidRPr="0091738E" w:rsidRDefault="008903A2"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2 097 971</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Water Resource Management</w:t>
            </w:r>
          </w:p>
        </w:tc>
        <w:tc>
          <w:tcPr>
            <w:tcW w:w="1275"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3 782 924</w:t>
            </w:r>
          </w:p>
        </w:tc>
        <w:tc>
          <w:tcPr>
            <w:tcW w:w="1276"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4 355 030</w:t>
            </w:r>
          </w:p>
        </w:tc>
        <w:tc>
          <w:tcPr>
            <w:tcW w:w="1276" w:type="dxa"/>
          </w:tcPr>
          <w:p w:rsidR="00A6692E" w:rsidRPr="0091738E" w:rsidRDefault="008903A2"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4 902 887</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Water Services Management</w:t>
            </w:r>
          </w:p>
        </w:tc>
        <w:tc>
          <w:tcPr>
            <w:tcW w:w="1275"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12 744 236</w:t>
            </w:r>
          </w:p>
        </w:tc>
        <w:tc>
          <w:tcPr>
            <w:tcW w:w="1276" w:type="dxa"/>
          </w:tcPr>
          <w:p w:rsidR="00A6692E" w:rsidRPr="0091738E" w:rsidRDefault="0060406B"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FE1E03" w:rsidRPr="0091738E">
              <w:rPr>
                <w:rFonts w:ascii="Times New Roman" w:hAnsi="Times New Roman" w:cs="Times New Roman"/>
                <w:sz w:val="18"/>
                <w:szCs w:val="18"/>
              </w:rPr>
              <w:t>13 793 478</w:t>
            </w:r>
          </w:p>
        </w:tc>
        <w:tc>
          <w:tcPr>
            <w:tcW w:w="1276" w:type="dxa"/>
          </w:tcPr>
          <w:p w:rsidR="00A6692E" w:rsidRPr="0091738E" w:rsidRDefault="008903A2"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13 912 429</w:t>
            </w:r>
          </w:p>
        </w:tc>
      </w:tr>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Total</w:t>
            </w:r>
            <w:r w:rsidR="00753059" w:rsidRPr="0091738E">
              <w:rPr>
                <w:rFonts w:ascii="Times New Roman" w:hAnsi="Times New Roman" w:cs="Times New Roman"/>
                <w:b/>
                <w:sz w:val="18"/>
                <w:szCs w:val="18"/>
              </w:rPr>
              <w:t xml:space="preserve"> programmes</w:t>
            </w:r>
          </w:p>
        </w:tc>
        <w:tc>
          <w:tcPr>
            <w:tcW w:w="1275" w:type="dxa"/>
          </w:tcPr>
          <w:p w:rsidR="00A6692E" w:rsidRPr="0091738E" w:rsidRDefault="0060406B"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FE1E03" w:rsidRPr="0091738E">
              <w:rPr>
                <w:rFonts w:ascii="Times New Roman" w:hAnsi="Times New Roman" w:cs="Times New Roman"/>
                <w:b/>
                <w:sz w:val="18"/>
                <w:szCs w:val="18"/>
              </w:rPr>
              <w:t>18 539 669</w:t>
            </w:r>
          </w:p>
        </w:tc>
        <w:tc>
          <w:tcPr>
            <w:tcW w:w="1276" w:type="dxa"/>
          </w:tcPr>
          <w:p w:rsidR="00A6692E" w:rsidRPr="0091738E" w:rsidRDefault="0060406B"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FE1E03" w:rsidRPr="0091738E">
              <w:rPr>
                <w:rFonts w:ascii="Times New Roman" w:hAnsi="Times New Roman" w:cs="Times New Roman"/>
                <w:b/>
                <w:sz w:val="18"/>
                <w:szCs w:val="18"/>
              </w:rPr>
              <w:t>20 155 237</w:t>
            </w:r>
          </w:p>
        </w:tc>
        <w:tc>
          <w:tcPr>
            <w:tcW w:w="1276" w:type="dxa"/>
          </w:tcPr>
          <w:p w:rsidR="00A6692E" w:rsidRPr="0091738E" w:rsidRDefault="008903A2"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20 913 287</w:t>
            </w:r>
          </w:p>
        </w:tc>
      </w:tr>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Economic Classification</w:t>
            </w:r>
          </w:p>
        </w:tc>
        <w:tc>
          <w:tcPr>
            <w:tcW w:w="3827" w:type="dxa"/>
            <w:gridSpan w:val="3"/>
          </w:tcPr>
          <w:p w:rsidR="00A6692E" w:rsidRPr="0091738E" w:rsidRDefault="00753059"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A6692E" w:rsidRPr="0091738E">
              <w:rPr>
                <w:rFonts w:ascii="Times New Roman" w:hAnsi="Times New Roman" w:cs="Times New Roman"/>
                <w:b/>
                <w:sz w:val="18"/>
                <w:szCs w:val="18"/>
              </w:rPr>
              <w:t>Medium-Term Expenditure Estimates</w:t>
            </w:r>
          </w:p>
        </w:tc>
      </w:tr>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Rand (thousand)</w:t>
            </w:r>
          </w:p>
        </w:tc>
        <w:tc>
          <w:tcPr>
            <w:tcW w:w="1275" w:type="dxa"/>
          </w:tcPr>
          <w:p w:rsidR="00A6692E" w:rsidRPr="0091738E" w:rsidRDefault="00753059"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16313" w:rsidRPr="0091738E">
              <w:rPr>
                <w:rFonts w:ascii="Times New Roman" w:hAnsi="Times New Roman" w:cs="Times New Roman"/>
                <w:b/>
                <w:sz w:val="18"/>
                <w:szCs w:val="18"/>
              </w:rPr>
              <w:t>2022/23</w:t>
            </w:r>
          </w:p>
        </w:tc>
        <w:tc>
          <w:tcPr>
            <w:tcW w:w="1276" w:type="dxa"/>
          </w:tcPr>
          <w:p w:rsidR="00A6692E" w:rsidRPr="0091738E" w:rsidRDefault="00753059"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16313" w:rsidRPr="0091738E">
              <w:rPr>
                <w:rFonts w:ascii="Times New Roman" w:hAnsi="Times New Roman" w:cs="Times New Roman"/>
                <w:b/>
                <w:sz w:val="18"/>
                <w:szCs w:val="18"/>
              </w:rPr>
              <w:t>2023/24</w:t>
            </w:r>
          </w:p>
        </w:tc>
        <w:tc>
          <w:tcPr>
            <w:tcW w:w="1276" w:type="dxa"/>
          </w:tcPr>
          <w:p w:rsidR="00A6692E" w:rsidRPr="0091738E" w:rsidRDefault="00753059"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16313" w:rsidRPr="0091738E">
              <w:rPr>
                <w:rFonts w:ascii="Times New Roman" w:hAnsi="Times New Roman" w:cs="Times New Roman"/>
                <w:b/>
                <w:sz w:val="18"/>
                <w:szCs w:val="18"/>
              </w:rPr>
              <w:t>2024/25</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Compensation of employees</w:t>
            </w:r>
          </w:p>
        </w:tc>
        <w:tc>
          <w:tcPr>
            <w:tcW w:w="1275" w:type="dxa"/>
          </w:tcPr>
          <w:p w:rsidR="00A6692E" w:rsidRPr="0091738E" w:rsidRDefault="008903A2"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5B7551" w:rsidRPr="0091738E">
              <w:rPr>
                <w:rFonts w:ascii="Times New Roman" w:hAnsi="Times New Roman" w:cs="Times New Roman"/>
                <w:sz w:val="18"/>
                <w:szCs w:val="18"/>
              </w:rPr>
              <w:t xml:space="preserve">      </w:t>
            </w:r>
            <w:r w:rsidRPr="0091738E">
              <w:rPr>
                <w:rFonts w:ascii="Times New Roman" w:hAnsi="Times New Roman" w:cs="Times New Roman"/>
                <w:sz w:val="18"/>
                <w:szCs w:val="18"/>
              </w:rPr>
              <w:t>1 836 433</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1 741 701</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1 819 924</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Goods and services</w:t>
            </w:r>
          </w:p>
        </w:tc>
        <w:tc>
          <w:tcPr>
            <w:tcW w:w="1275"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1 770 868</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1 818 827</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1 908 189</w:t>
            </w:r>
          </w:p>
        </w:tc>
      </w:tr>
      <w:tr w:rsidR="00A6692E" w:rsidRPr="0091738E" w:rsidTr="00390736">
        <w:tc>
          <w:tcPr>
            <w:tcW w:w="5524" w:type="dxa"/>
          </w:tcPr>
          <w:p w:rsidR="00A6692E" w:rsidRPr="0091738E" w:rsidRDefault="00A6692E" w:rsidP="00390736">
            <w:pPr>
              <w:jc w:val="both"/>
              <w:rPr>
                <w:rFonts w:ascii="Times New Roman" w:hAnsi="Times New Roman" w:cs="Times New Roman"/>
                <w:sz w:val="18"/>
                <w:szCs w:val="18"/>
              </w:rPr>
            </w:pPr>
            <w:r w:rsidRPr="0091738E">
              <w:rPr>
                <w:rFonts w:ascii="Times New Roman" w:hAnsi="Times New Roman" w:cs="Times New Roman"/>
                <w:sz w:val="18"/>
                <w:szCs w:val="18"/>
              </w:rPr>
              <w:t>Transfers and subsidies</w:t>
            </w:r>
          </w:p>
        </w:tc>
        <w:tc>
          <w:tcPr>
            <w:tcW w:w="1275"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10 528 115</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12 002 201</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12 393 475</w:t>
            </w:r>
          </w:p>
        </w:tc>
      </w:tr>
      <w:tr w:rsidR="00A6692E" w:rsidRPr="0091738E" w:rsidTr="00390736">
        <w:tc>
          <w:tcPr>
            <w:tcW w:w="5524" w:type="dxa"/>
          </w:tcPr>
          <w:p w:rsidR="00A6692E" w:rsidRPr="0091738E" w:rsidRDefault="00A6692E" w:rsidP="005B7551">
            <w:pPr>
              <w:jc w:val="both"/>
              <w:rPr>
                <w:rFonts w:ascii="Times New Roman" w:hAnsi="Times New Roman" w:cs="Times New Roman"/>
                <w:sz w:val="18"/>
                <w:szCs w:val="18"/>
              </w:rPr>
            </w:pPr>
            <w:r w:rsidRPr="0091738E">
              <w:rPr>
                <w:rFonts w:ascii="Times New Roman" w:hAnsi="Times New Roman" w:cs="Times New Roman"/>
                <w:sz w:val="18"/>
                <w:szCs w:val="18"/>
              </w:rPr>
              <w:t>Payment</w:t>
            </w:r>
            <w:r w:rsidR="005B7551" w:rsidRPr="0091738E">
              <w:rPr>
                <w:rFonts w:ascii="Times New Roman" w:hAnsi="Times New Roman" w:cs="Times New Roman"/>
                <w:sz w:val="18"/>
                <w:szCs w:val="18"/>
              </w:rPr>
              <w:t>s for</w:t>
            </w:r>
            <w:r w:rsidRPr="0091738E">
              <w:rPr>
                <w:rFonts w:ascii="Times New Roman" w:hAnsi="Times New Roman" w:cs="Times New Roman"/>
                <w:sz w:val="18"/>
                <w:szCs w:val="18"/>
              </w:rPr>
              <w:t xml:space="preserve"> capital assets</w:t>
            </w:r>
          </w:p>
        </w:tc>
        <w:tc>
          <w:tcPr>
            <w:tcW w:w="1275"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w:t>
            </w:r>
            <w:r w:rsidR="008903A2" w:rsidRPr="0091738E">
              <w:rPr>
                <w:rFonts w:ascii="Times New Roman" w:hAnsi="Times New Roman" w:cs="Times New Roman"/>
                <w:sz w:val="18"/>
                <w:szCs w:val="18"/>
              </w:rPr>
              <w:t>4 402 253</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4 592 508</w:t>
            </w:r>
          </w:p>
        </w:tc>
        <w:tc>
          <w:tcPr>
            <w:tcW w:w="1276" w:type="dxa"/>
          </w:tcPr>
          <w:p w:rsidR="00A6692E" w:rsidRPr="0091738E" w:rsidRDefault="005B7551" w:rsidP="00390736">
            <w:pPr>
              <w:jc w:val="both"/>
              <w:rPr>
                <w:rFonts w:ascii="Times New Roman" w:hAnsi="Times New Roman" w:cs="Times New Roman"/>
                <w:sz w:val="18"/>
                <w:szCs w:val="18"/>
              </w:rPr>
            </w:pPr>
            <w:r w:rsidRPr="0091738E">
              <w:rPr>
                <w:rFonts w:ascii="Times New Roman" w:hAnsi="Times New Roman" w:cs="Times New Roman"/>
                <w:sz w:val="18"/>
                <w:szCs w:val="18"/>
              </w:rPr>
              <w:t xml:space="preserve">       4 791 699</w:t>
            </w:r>
          </w:p>
        </w:tc>
      </w:tr>
      <w:tr w:rsidR="00A6692E" w:rsidRPr="0091738E" w:rsidTr="00390736">
        <w:tc>
          <w:tcPr>
            <w:tcW w:w="5524" w:type="dxa"/>
          </w:tcPr>
          <w:p w:rsidR="00A6692E" w:rsidRPr="0091738E" w:rsidRDefault="00A6692E" w:rsidP="00390736">
            <w:pPr>
              <w:jc w:val="both"/>
              <w:rPr>
                <w:rFonts w:ascii="Times New Roman" w:hAnsi="Times New Roman" w:cs="Times New Roman"/>
                <w:b/>
                <w:sz w:val="18"/>
                <w:szCs w:val="18"/>
              </w:rPr>
            </w:pPr>
            <w:r w:rsidRPr="0091738E">
              <w:rPr>
                <w:rFonts w:ascii="Times New Roman" w:hAnsi="Times New Roman" w:cs="Times New Roman"/>
                <w:b/>
                <w:sz w:val="18"/>
                <w:szCs w:val="18"/>
              </w:rPr>
              <w:t>Total</w:t>
            </w:r>
            <w:r w:rsidR="00753059" w:rsidRPr="0091738E">
              <w:rPr>
                <w:rFonts w:ascii="Times New Roman" w:hAnsi="Times New Roman" w:cs="Times New Roman"/>
                <w:b/>
                <w:sz w:val="18"/>
                <w:szCs w:val="18"/>
              </w:rPr>
              <w:t xml:space="preserve"> economic classification</w:t>
            </w:r>
          </w:p>
        </w:tc>
        <w:tc>
          <w:tcPr>
            <w:tcW w:w="1275" w:type="dxa"/>
          </w:tcPr>
          <w:p w:rsidR="00A6692E" w:rsidRPr="0091738E" w:rsidRDefault="005B7551"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w:t>
            </w:r>
            <w:r w:rsidR="008903A2" w:rsidRPr="0091738E">
              <w:rPr>
                <w:rFonts w:ascii="Times New Roman" w:hAnsi="Times New Roman" w:cs="Times New Roman"/>
                <w:b/>
                <w:sz w:val="18"/>
                <w:szCs w:val="18"/>
              </w:rPr>
              <w:t>18 539 669</w:t>
            </w:r>
          </w:p>
        </w:tc>
        <w:tc>
          <w:tcPr>
            <w:tcW w:w="1276" w:type="dxa"/>
          </w:tcPr>
          <w:p w:rsidR="00A6692E" w:rsidRPr="0091738E" w:rsidRDefault="005B7551"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20 155 237</w:t>
            </w:r>
          </w:p>
        </w:tc>
        <w:tc>
          <w:tcPr>
            <w:tcW w:w="1276" w:type="dxa"/>
          </w:tcPr>
          <w:p w:rsidR="00A6692E" w:rsidRPr="0091738E" w:rsidRDefault="005B7551" w:rsidP="00390736">
            <w:pPr>
              <w:jc w:val="both"/>
              <w:rPr>
                <w:rFonts w:ascii="Times New Roman" w:hAnsi="Times New Roman" w:cs="Times New Roman"/>
                <w:b/>
                <w:sz w:val="18"/>
                <w:szCs w:val="18"/>
              </w:rPr>
            </w:pPr>
            <w:r w:rsidRPr="0091738E">
              <w:rPr>
                <w:rFonts w:ascii="Times New Roman" w:hAnsi="Times New Roman" w:cs="Times New Roman"/>
                <w:b/>
                <w:sz w:val="18"/>
                <w:szCs w:val="18"/>
              </w:rPr>
              <w:t xml:space="preserve">     20 913 287</w:t>
            </w:r>
          </w:p>
        </w:tc>
      </w:tr>
    </w:tbl>
    <w:p w:rsidR="00A6692E" w:rsidRDefault="00A6692E" w:rsidP="00A6692E">
      <w:pPr>
        <w:spacing w:after="0" w:line="360" w:lineRule="auto"/>
        <w:jc w:val="both"/>
        <w:rPr>
          <w:rFonts w:ascii="Times New Roman" w:hAnsi="Times New Roman" w:cs="Times New Roman"/>
          <w:b/>
          <w:sz w:val="16"/>
          <w:szCs w:val="16"/>
        </w:rPr>
      </w:pPr>
      <w:r>
        <w:rPr>
          <w:rFonts w:ascii="Times New Roman" w:hAnsi="Times New Roman" w:cs="Times New Roman"/>
          <w:b/>
          <w:sz w:val="16"/>
          <w:szCs w:val="16"/>
        </w:rPr>
        <w:t>Source: Presentation by the Department of W</w:t>
      </w:r>
      <w:r w:rsidR="005203CF">
        <w:rPr>
          <w:rFonts w:ascii="Times New Roman" w:hAnsi="Times New Roman" w:cs="Times New Roman"/>
          <w:b/>
          <w:sz w:val="16"/>
          <w:szCs w:val="16"/>
        </w:rPr>
        <w:t>ater and Sanitation, 2 May 2022</w:t>
      </w:r>
    </w:p>
    <w:p w:rsidR="0091738E" w:rsidRPr="00CD107E" w:rsidRDefault="0091738E" w:rsidP="00A6692E">
      <w:pPr>
        <w:spacing w:after="0" w:line="360" w:lineRule="auto"/>
        <w:jc w:val="both"/>
        <w:rPr>
          <w:rFonts w:ascii="Times New Roman" w:hAnsi="Times New Roman" w:cs="Times New Roman"/>
          <w:sz w:val="16"/>
          <w:szCs w:val="16"/>
        </w:rPr>
      </w:pPr>
    </w:p>
    <w:p w:rsidR="0060406B" w:rsidRDefault="00600FE1" w:rsidP="00A6692E">
      <w:pPr>
        <w:spacing w:after="0" w:line="360" w:lineRule="auto"/>
        <w:jc w:val="both"/>
        <w:rPr>
          <w:rFonts w:ascii="Times New Roman" w:hAnsi="Times New Roman" w:cs="Times New Roman"/>
        </w:rPr>
      </w:pPr>
      <w:r>
        <w:rPr>
          <w:rFonts w:ascii="Times New Roman" w:hAnsi="Times New Roman" w:cs="Times New Roman"/>
        </w:rPr>
        <w:t>The economic classification explanation, noted in the 2022/34 to 2023/24 Annual Performance Plan</w:t>
      </w:r>
      <w:r w:rsidR="005773FC">
        <w:rPr>
          <w:rFonts w:ascii="Times New Roman" w:hAnsi="Times New Roman" w:cs="Times New Roman"/>
        </w:rPr>
        <w:t>,</w:t>
      </w:r>
      <w:r w:rsidR="003B07A4">
        <w:rPr>
          <w:rFonts w:ascii="Times New Roman" w:hAnsi="Times New Roman" w:cs="Times New Roman"/>
        </w:rPr>
        <w:t xml:space="preserve"> maintains the following:</w:t>
      </w:r>
    </w:p>
    <w:p w:rsidR="003B07A4" w:rsidRPr="00CD107E" w:rsidRDefault="003B07A4" w:rsidP="003B07A4">
      <w:pPr>
        <w:tabs>
          <w:tab w:val="left" w:pos="3510"/>
        </w:tabs>
        <w:spacing w:after="0" w:line="360" w:lineRule="auto"/>
        <w:jc w:val="both"/>
        <w:rPr>
          <w:rFonts w:ascii="Times New Roman" w:hAnsi="Times New Roman" w:cs="Times New Roman"/>
          <w:sz w:val="16"/>
          <w:szCs w:val="16"/>
        </w:rPr>
      </w:pPr>
      <w:r>
        <w:rPr>
          <w:rFonts w:ascii="Times New Roman" w:hAnsi="Times New Roman" w:cs="Times New Roman"/>
        </w:rPr>
        <w:tab/>
      </w:r>
    </w:p>
    <w:p w:rsidR="003B07A4" w:rsidRDefault="003B07A4" w:rsidP="003B07A4">
      <w:pPr>
        <w:pStyle w:val="ListParagraph"/>
        <w:numPr>
          <w:ilvl w:val="0"/>
          <w:numId w:val="15"/>
        </w:numPr>
        <w:spacing w:after="0" w:line="360" w:lineRule="auto"/>
        <w:jc w:val="both"/>
        <w:rPr>
          <w:rFonts w:ascii="Times New Roman" w:hAnsi="Times New Roman" w:cs="Times New Roman"/>
        </w:rPr>
      </w:pPr>
      <w:r w:rsidRPr="003B07A4">
        <w:rPr>
          <w:rFonts w:ascii="Times New Roman" w:hAnsi="Times New Roman" w:cs="Times New Roman"/>
          <w:b/>
        </w:rPr>
        <w:t>Compensation of Employees</w:t>
      </w:r>
      <w:r>
        <w:rPr>
          <w:rFonts w:ascii="Times New Roman" w:hAnsi="Times New Roman" w:cs="Times New Roman"/>
        </w:rPr>
        <w:t>: The budget for compensation of employees over the medium term is R5.398 billion.  The baseline decreased by R64 000 compared to 202</w:t>
      </w:r>
      <w:r w:rsidR="005773FC">
        <w:rPr>
          <w:rFonts w:ascii="Times New Roman" w:hAnsi="Times New Roman" w:cs="Times New Roman"/>
        </w:rPr>
        <w:t>2</w:t>
      </w:r>
      <w:r>
        <w:rPr>
          <w:rFonts w:ascii="Times New Roman" w:hAnsi="Times New Roman" w:cs="Times New Roman"/>
        </w:rPr>
        <w:t xml:space="preserve">.  The MTEF baseline of R5 334 billion.  </w:t>
      </w:r>
      <w:r w:rsidRPr="008C72F9">
        <w:rPr>
          <w:rFonts w:ascii="Times New Roman" w:hAnsi="Times New Roman" w:cs="Times New Roman"/>
        </w:rPr>
        <w:t>The decrease in baseline allocation is mainly due to the National Treasury implementing budget cuts</w:t>
      </w:r>
      <w:r w:rsidR="008C72F9" w:rsidRPr="008C72F9">
        <w:rPr>
          <w:rFonts w:ascii="Times New Roman" w:hAnsi="Times New Roman" w:cs="Times New Roman"/>
        </w:rPr>
        <w:t xml:space="preserve"> and natural attrition</w:t>
      </w:r>
      <w:r w:rsidRPr="008C72F9">
        <w:rPr>
          <w:rFonts w:ascii="Times New Roman" w:hAnsi="Times New Roman" w:cs="Times New Roman"/>
        </w:rPr>
        <w:t xml:space="preserve"> on </w:t>
      </w:r>
      <w:r w:rsidR="005773FC" w:rsidRPr="008C72F9">
        <w:rPr>
          <w:rFonts w:ascii="Times New Roman" w:hAnsi="Times New Roman" w:cs="Times New Roman"/>
        </w:rPr>
        <w:t xml:space="preserve">the </w:t>
      </w:r>
      <w:r w:rsidRPr="008C72F9">
        <w:rPr>
          <w:rFonts w:ascii="Times New Roman" w:hAnsi="Times New Roman" w:cs="Times New Roman"/>
        </w:rPr>
        <w:t xml:space="preserve">compensation of employees across all </w:t>
      </w:r>
      <w:r w:rsidR="005773FC" w:rsidRPr="008C72F9">
        <w:rPr>
          <w:rFonts w:ascii="Times New Roman" w:hAnsi="Times New Roman" w:cs="Times New Roman"/>
        </w:rPr>
        <w:t>Government</w:t>
      </w:r>
      <w:r w:rsidRPr="008C72F9">
        <w:rPr>
          <w:rFonts w:ascii="Times New Roman" w:hAnsi="Times New Roman" w:cs="Times New Roman"/>
        </w:rPr>
        <w:t xml:space="preserve"> Departments.</w:t>
      </w:r>
      <w:r w:rsidR="00387352" w:rsidRPr="008C72F9">
        <w:rPr>
          <w:rStyle w:val="FootnoteReference"/>
          <w:rFonts w:ascii="Times New Roman" w:hAnsi="Times New Roman" w:cs="Times New Roman"/>
        </w:rPr>
        <w:footnoteReference w:id="4"/>
      </w:r>
    </w:p>
    <w:p w:rsidR="003B07A4" w:rsidRDefault="003B07A4" w:rsidP="003B07A4">
      <w:pPr>
        <w:pStyle w:val="ListParagraph"/>
        <w:numPr>
          <w:ilvl w:val="0"/>
          <w:numId w:val="15"/>
        </w:numPr>
        <w:spacing w:after="0" w:line="360" w:lineRule="auto"/>
        <w:jc w:val="both"/>
        <w:rPr>
          <w:rFonts w:ascii="Times New Roman" w:hAnsi="Times New Roman" w:cs="Times New Roman"/>
        </w:rPr>
      </w:pPr>
      <w:r w:rsidRPr="003B07A4">
        <w:rPr>
          <w:rFonts w:ascii="Times New Roman" w:hAnsi="Times New Roman" w:cs="Times New Roman"/>
          <w:b/>
        </w:rPr>
        <w:t>Goods and Services</w:t>
      </w:r>
      <w:r>
        <w:rPr>
          <w:rFonts w:ascii="Times New Roman" w:hAnsi="Times New Roman" w:cs="Times New Roman"/>
        </w:rPr>
        <w:t>:</w:t>
      </w:r>
      <w:r w:rsidR="005773FC">
        <w:rPr>
          <w:rFonts w:ascii="Times New Roman" w:hAnsi="Times New Roman" w:cs="Times New Roman"/>
        </w:rPr>
        <w:t xml:space="preserve"> The Department received an allocation baseline of R5 332 billion for goods and services over the MTEF, of which R1 943 is allocated for office accommodation in Programme 1. The major spending items on goods and services over the MTEF are audit fees of R139 037 million, communication services of R135.158 million, computer services of R596.088 million, </w:t>
      </w:r>
      <w:r w:rsidR="00387352">
        <w:rPr>
          <w:rFonts w:ascii="Times New Roman" w:hAnsi="Times New Roman" w:cs="Times New Roman"/>
        </w:rPr>
        <w:t xml:space="preserve">and </w:t>
      </w:r>
      <w:r w:rsidR="005773FC">
        <w:rPr>
          <w:rFonts w:ascii="Times New Roman" w:hAnsi="Times New Roman" w:cs="Times New Roman"/>
        </w:rPr>
        <w:t>business and advisory services of R506.644 and infrastructure and planning services of R726.813 million.</w:t>
      </w:r>
      <w:r w:rsidR="00D83CB2">
        <w:rPr>
          <w:rStyle w:val="FootnoteReference"/>
          <w:rFonts w:ascii="Times New Roman" w:hAnsi="Times New Roman" w:cs="Times New Roman"/>
        </w:rPr>
        <w:footnoteReference w:id="5"/>
      </w:r>
      <w:r>
        <w:rPr>
          <w:rFonts w:ascii="Times New Roman" w:hAnsi="Times New Roman" w:cs="Times New Roman"/>
        </w:rPr>
        <w:t xml:space="preserve"> </w:t>
      </w:r>
    </w:p>
    <w:p w:rsidR="003B07A4" w:rsidRDefault="003B07A4" w:rsidP="003B07A4">
      <w:pPr>
        <w:pStyle w:val="ListParagraph"/>
        <w:numPr>
          <w:ilvl w:val="0"/>
          <w:numId w:val="15"/>
        </w:numPr>
        <w:spacing w:after="0" w:line="360" w:lineRule="auto"/>
        <w:jc w:val="both"/>
        <w:rPr>
          <w:rFonts w:ascii="Times New Roman" w:hAnsi="Times New Roman" w:cs="Times New Roman"/>
        </w:rPr>
      </w:pPr>
      <w:r w:rsidRPr="003B07A4">
        <w:rPr>
          <w:rFonts w:ascii="Times New Roman" w:hAnsi="Times New Roman" w:cs="Times New Roman"/>
          <w:b/>
        </w:rPr>
        <w:t>Transfers and Subsidies</w:t>
      </w:r>
      <w:r>
        <w:rPr>
          <w:rFonts w:ascii="Times New Roman" w:hAnsi="Times New Roman" w:cs="Times New Roman"/>
        </w:rPr>
        <w:t>:</w:t>
      </w:r>
      <w:r w:rsidR="005773FC">
        <w:rPr>
          <w:rFonts w:ascii="Times New Roman" w:hAnsi="Times New Roman" w:cs="Times New Roman"/>
        </w:rPr>
        <w:t xml:space="preserve"> </w:t>
      </w:r>
      <w:r w:rsidR="00387352">
        <w:rPr>
          <w:rFonts w:ascii="Times New Roman" w:hAnsi="Times New Roman" w:cs="Times New Roman"/>
        </w:rPr>
        <w:t xml:space="preserve">The Department will be implementing transfers to the Water Trading Entity for augmentation projects for the design, construction, commissioning and rehabilitation of raw water infrastructure, including dams and bulk distribution systems, operations and </w:t>
      </w:r>
      <w:r w:rsidR="00387352">
        <w:rPr>
          <w:rFonts w:ascii="Times New Roman" w:hAnsi="Times New Roman" w:cs="Times New Roman"/>
        </w:rPr>
        <w:lastRenderedPageBreak/>
        <w:t xml:space="preserve">maintenance, Komati Basin Water Authority for the repayment of outstanding loans to various financial institutions and operational overheads.  There will be transfers to infrastructure projects – the Regional Bulk Infrastructure Grant of R12.894 billion over the MTEF and </w:t>
      </w:r>
      <w:r w:rsidR="002B73D2">
        <w:rPr>
          <w:rFonts w:ascii="Times New Roman" w:hAnsi="Times New Roman" w:cs="Times New Roman"/>
        </w:rPr>
        <w:t xml:space="preserve">the </w:t>
      </w:r>
      <w:r w:rsidR="00387352">
        <w:rPr>
          <w:rFonts w:ascii="Times New Roman" w:hAnsi="Times New Roman" w:cs="Times New Roman"/>
        </w:rPr>
        <w:t>Water Services Infrastructure Grant of R11.603 billion over the MTEF.  The grants are based and dependent on implementation plans, cash flow projection and schedules for conditional grants.</w:t>
      </w:r>
      <w:r w:rsidR="00D83CB2">
        <w:rPr>
          <w:rStyle w:val="FootnoteReference"/>
          <w:rFonts w:ascii="Times New Roman" w:hAnsi="Times New Roman" w:cs="Times New Roman"/>
        </w:rPr>
        <w:footnoteReference w:id="6"/>
      </w:r>
    </w:p>
    <w:p w:rsidR="00A000CE" w:rsidRPr="00CD107E" w:rsidRDefault="00A000CE" w:rsidP="008C72F9">
      <w:pPr>
        <w:spacing w:after="0" w:line="360" w:lineRule="auto"/>
        <w:jc w:val="both"/>
        <w:rPr>
          <w:rFonts w:ascii="Times New Roman" w:hAnsi="Times New Roman" w:cs="Times New Roman"/>
          <w:b/>
          <w:sz w:val="16"/>
          <w:szCs w:val="16"/>
        </w:rPr>
      </w:pPr>
    </w:p>
    <w:p w:rsidR="008C72F9" w:rsidRDefault="008C72F9" w:rsidP="008C72F9">
      <w:pPr>
        <w:spacing w:after="0" w:line="360" w:lineRule="auto"/>
        <w:jc w:val="both"/>
        <w:rPr>
          <w:rFonts w:ascii="Times New Roman" w:hAnsi="Times New Roman" w:cs="Times New Roman"/>
          <w:b/>
        </w:rPr>
      </w:pPr>
      <w:r>
        <w:rPr>
          <w:rFonts w:ascii="Times New Roman" w:hAnsi="Times New Roman" w:cs="Times New Roman"/>
          <w:b/>
        </w:rPr>
        <w:t>4.1.2</w:t>
      </w:r>
      <w:r>
        <w:rPr>
          <w:rFonts w:ascii="Times New Roman" w:hAnsi="Times New Roman" w:cs="Times New Roman"/>
          <w:b/>
        </w:rPr>
        <w:tab/>
        <w:t>Water Trading Entity</w:t>
      </w:r>
    </w:p>
    <w:p w:rsidR="008C72F9" w:rsidRPr="00CD107E" w:rsidRDefault="008C72F9" w:rsidP="008C72F9">
      <w:pPr>
        <w:spacing w:after="0" w:line="360" w:lineRule="auto"/>
        <w:jc w:val="both"/>
        <w:rPr>
          <w:rFonts w:ascii="Times New Roman" w:hAnsi="Times New Roman" w:cs="Times New Roman"/>
          <w:b/>
          <w:sz w:val="16"/>
          <w:szCs w:val="16"/>
        </w:rPr>
      </w:pPr>
    </w:p>
    <w:p w:rsidR="008C72F9" w:rsidRDefault="006D15B7" w:rsidP="008C72F9">
      <w:pPr>
        <w:spacing w:after="0" w:line="360" w:lineRule="auto"/>
        <w:jc w:val="both"/>
        <w:rPr>
          <w:rFonts w:ascii="Times New Roman" w:hAnsi="Times New Roman" w:cs="Times New Roman"/>
        </w:rPr>
      </w:pPr>
      <w:r>
        <w:rPr>
          <w:rFonts w:ascii="Times New Roman" w:hAnsi="Times New Roman" w:cs="Times New Roman"/>
        </w:rPr>
        <w:t xml:space="preserve">The Water Trading Entity was established in </w:t>
      </w:r>
      <w:r w:rsidR="009E4677">
        <w:rPr>
          <w:rFonts w:ascii="Times New Roman" w:hAnsi="Times New Roman" w:cs="Times New Roman"/>
        </w:rPr>
        <w:t xml:space="preserve">1983 and was converted into a trading entity in 2008 in terms of the Public Finance Management Act, 1999.  The entity’s primary role is to manage water infrastructure and </w:t>
      </w:r>
      <w:r w:rsidR="005C5C0F">
        <w:rPr>
          <w:rFonts w:ascii="Times New Roman" w:hAnsi="Times New Roman" w:cs="Times New Roman"/>
        </w:rPr>
        <w:t>resources and</w:t>
      </w:r>
      <w:r w:rsidR="009E4677">
        <w:rPr>
          <w:rFonts w:ascii="Times New Roman" w:hAnsi="Times New Roman" w:cs="Times New Roman"/>
        </w:rPr>
        <w:t xml:space="preserve"> sell raw water.  Over the medium term, the entity will continue to </w:t>
      </w:r>
      <w:r w:rsidR="009E4677" w:rsidRPr="009E4677">
        <w:rPr>
          <w:rFonts w:ascii="Times New Roman" w:hAnsi="Times New Roman" w:cs="Times New Roman"/>
        </w:rPr>
        <w:t>maintain existing water resource infrastructure and supply</w:t>
      </w:r>
      <w:r w:rsidR="009E4677">
        <w:rPr>
          <w:rFonts w:ascii="Times New Roman" w:hAnsi="Times New Roman" w:cs="Times New Roman"/>
        </w:rPr>
        <w:t xml:space="preserve"> bulk water to strategic users, such as large industrial companies, to stimulate and support economic developments.  </w:t>
      </w:r>
    </w:p>
    <w:p w:rsidR="009E4677" w:rsidRPr="00CD107E" w:rsidRDefault="009E4677" w:rsidP="008C72F9">
      <w:pPr>
        <w:spacing w:after="0" w:line="360" w:lineRule="auto"/>
        <w:jc w:val="both"/>
        <w:rPr>
          <w:rFonts w:ascii="Times New Roman" w:hAnsi="Times New Roman" w:cs="Times New Roman"/>
          <w:sz w:val="16"/>
          <w:szCs w:val="16"/>
        </w:rPr>
      </w:pPr>
    </w:p>
    <w:p w:rsidR="009E4677" w:rsidRPr="006D15B7" w:rsidRDefault="009E4677" w:rsidP="008C72F9">
      <w:pPr>
        <w:spacing w:after="0" w:line="360" w:lineRule="auto"/>
        <w:jc w:val="both"/>
        <w:rPr>
          <w:rFonts w:ascii="Times New Roman" w:hAnsi="Times New Roman" w:cs="Times New Roman"/>
        </w:rPr>
      </w:pPr>
      <w:r>
        <w:rPr>
          <w:rFonts w:ascii="Times New Roman" w:hAnsi="Times New Roman" w:cs="Times New Roman"/>
        </w:rPr>
        <w:t>In supporting the long-term sustainability of water resources, the entity will implement 16 dam safety rehabilitation projects over the MTEF period. Expenditure is expected to increase at an average annual rate of 4.9 per cent, from R15.6 billion in 2021/22 to R18 billion in 2024/25.  An additional R2.1 billion is allocated over the period ahead to finalise the Olifants-Doorn</w:t>
      </w:r>
      <w:r w:rsidR="009B7146">
        <w:rPr>
          <w:rFonts w:ascii="Times New Roman" w:hAnsi="Times New Roman" w:cs="Times New Roman"/>
        </w:rPr>
        <w:t xml:space="preserve"> River water resources project. </w:t>
      </w:r>
      <w:r>
        <w:rPr>
          <w:rFonts w:ascii="Times New Roman" w:hAnsi="Times New Roman" w:cs="Times New Roman"/>
        </w:rPr>
        <w:t>The entity expects to generate 82.8 per cent (R50.8 billion) of its revenue through the sale of raw water.  Total revenue is expected to be R60.8 billion over the MTEF period.</w:t>
      </w:r>
    </w:p>
    <w:p w:rsidR="0060406B" w:rsidRPr="00CD107E" w:rsidRDefault="0060406B" w:rsidP="00A6692E">
      <w:pPr>
        <w:spacing w:after="0" w:line="360" w:lineRule="auto"/>
        <w:jc w:val="both"/>
        <w:rPr>
          <w:rFonts w:ascii="Times New Roman" w:hAnsi="Times New Roman" w:cs="Times New Roman"/>
          <w:b/>
          <w:sz w:val="16"/>
          <w:szCs w:val="16"/>
        </w:rPr>
      </w:pPr>
    </w:p>
    <w:p w:rsidR="0060406B" w:rsidRDefault="00515F66" w:rsidP="00A6692E">
      <w:pPr>
        <w:spacing w:after="0" w:line="360" w:lineRule="auto"/>
        <w:jc w:val="both"/>
        <w:rPr>
          <w:rFonts w:ascii="Times New Roman" w:hAnsi="Times New Roman" w:cs="Times New Roman"/>
          <w:b/>
        </w:rPr>
      </w:pPr>
      <w:r>
        <w:rPr>
          <w:rFonts w:ascii="Times New Roman" w:hAnsi="Times New Roman" w:cs="Times New Roman"/>
          <w:b/>
        </w:rPr>
        <w:t>4.2</w:t>
      </w:r>
      <w:r>
        <w:rPr>
          <w:rFonts w:ascii="Times New Roman" w:hAnsi="Times New Roman" w:cs="Times New Roman"/>
          <w:b/>
        </w:rPr>
        <w:tab/>
      </w:r>
      <w:r w:rsidR="00AE1E38">
        <w:rPr>
          <w:rFonts w:ascii="Times New Roman" w:hAnsi="Times New Roman" w:cs="Times New Roman"/>
          <w:b/>
        </w:rPr>
        <w:t>Overview of e</w:t>
      </w:r>
      <w:r>
        <w:rPr>
          <w:rFonts w:ascii="Times New Roman" w:hAnsi="Times New Roman" w:cs="Times New Roman"/>
          <w:b/>
        </w:rPr>
        <w:t>xpenditure trend aligned to performance indicators over the MTEF</w:t>
      </w:r>
      <w:r>
        <w:rPr>
          <w:rStyle w:val="FootnoteReference"/>
          <w:rFonts w:ascii="Times New Roman" w:hAnsi="Times New Roman" w:cs="Times New Roman"/>
          <w:b/>
        </w:rPr>
        <w:footnoteReference w:id="7"/>
      </w:r>
    </w:p>
    <w:p w:rsidR="0060406B" w:rsidRPr="00CD107E" w:rsidRDefault="0060406B" w:rsidP="00A6692E">
      <w:pPr>
        <w:spacing w:after="0" w:line="360" w:lineRule="auto"/>
        <w:jc w:val="both"/>
        <w:rPr>
          <w:rFonts w:ascii="Times New Roman" w:hAnsi="Times New Roman" w:cs="Times New Roman"/>
          <w:b/>
          <w:sz w:val="16"/>
          <w:szCs w:val="16"/>
        </w:rPr>
      </w:pPr>
    </w:p>
    <w:p w:rsidR="005B7551" w:rsidRDefault="009C2E06" w:rsidP="00A6692E">
      <w:pPr>
        <w:spacing w:after="0" w:line="360" w:lineRule="auto"/>
        <w:jc w:val="both"/>
        <w:rPr>
          <w:rFonts w:ascii="Times New Roman" w:hAnsi="Times New Roman" w:cs="Times New Roman"/>
        </w:rPr>
      </w:pPr>
      <w:r>
        <w:rPr>
          <w:rFonts w:ascii="Times New Roman" w:hAnsi="Times New Roman" w:cs="Times New Roman"/>
        </w:rPr>
        <w:t>The Department, over the MTEF, intends to ensure the delivery of safe water and the effective management of wastewater through enforcing various regulatory measures and strengthening its oversight functions. The Blue, Green and No Drop regulatory standards are in place to improve asset management practices in municipalities.  Other initiatives with defined performance indicators over the MTEF relate to:</w:t>
      </w:r>
    </w:p>
    <w:p w:rsidR="007C728E" w:rsidRPr="00CD107E" w:rsidRDefault="007C728E" w:rsidP="00A6692E">
      <w:pPr>
        <w:spacing w:after="0" w:line="360" w:lineRule="auto"/>
        <w:jc w:val="both"/>
        <w:rPr>
          <w:rFonts w:ascii="Times New Roman" w:hAnsi="Times New Roman" w:cs="Times New Roman"/>
          <w:sz w:val="16"/>
          <w:szCs w:val="16"/>
        </w:rPr>
      </w:pPr>
    </w:p>
    <w:p w:rsidR="009C2E06" w:rsidRDefault="009C2E06" w:rsidP="009C2E06">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t>Supporting 32 district municipalities with developing water and sanitation reliability plans and monitoring the compliance of all water services authorities with regulatory standards.</w:t>
      </w:r>
    </w:p>
    <w:p w:rsidR="009C2E06" w:rsidRDefault="009C2E06" w:rsidP="009C2E06">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t>Ensuring that 80 per cent of applications to authorise water use are finalised within 90 days.</w:t>
      </w:r>
    </w:p>
    <w:p w:rsidR="009C2E06" w:rsidRDefault="009C2E06" w:rsidP="009C2E06">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t>Allocating R270.7 million for regulatory compliance in the Water Resources Regulation sub</w:t>
      </w:r>
      <w:r w:rsidR="00B51CD0">
        <w:rPr>
          <w:rFonts w:ascii="Times New Roman" w:hAnsi="Times New Roman" w:cs="Times New Roman"/>
        </w:rPr>
        <w:t>-</w:t>
      </w:r>
      <w:r>
        <w:rPr>
          <w:rFonts w:ascii="Times New Roman" w:hAnsi="Times New Roman" w:cs="Times New Roman"/>
        </w:rPr>
        <w:t>programme in the Water Resources Management Programme.</w:t>
      </w:r>
    </w:p>
    <w:p w:rsidR="009C2E06" w:rsidRDefault="009C2E06" w:rsidP="009C2E06">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t>Allocating R220.9 million for oversight in the Water Resources Institutional sub</w:t>
      </w:r>
      <w:r w:rsidR="00B51CD0">
        <w:rPr>
          <w:rFonts w:ascii="Times New Roman" w:hAnsi="Times New Roman" w:cs="Times New Roman"/>
        </w:rPr>
        <w:t>-</w:t>
      </w:r>
      <w:r>
        <w:rPr>
          <w:rFonts w:ascii="Times New Roman" w:hAnsi="Times New Roman" w:cs="Times New Roman"/>
        </w:rPr>
        <w:t xml:space="preserve">programme in the Water Resources Management programme. </w:t>
      </w:r>
    </w:p>
    <w:p w:rsidR="003A648F" w:rsidRDefault="003A648F" w:rsidP="003A648F">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rPr>
        <w:lastRenderedPageBreak/>
        <w:t xml:space="preserve">For activities related to water services, R323.9 million for regulatory compliance and R71 million </w:t>
      </w:r>
      <w:r w:rsidR="002B73D2">
        <w:rPr>
          <w:rFonts w:ascii="Times New Roman" w:hAnsi="Times New Roman" w:cs="Times New Roman"/>
        </w:rPr>
        <w:t xml:space="preserve">were </w:t>
      </w:r>
      <w:r>
        <w:rPr>
          <w:rFonts w:ascii="Times New Roman" w:hAnsi="Times New Roman" w:cs="Times New Roman"/>
        </w:rPr>
        <w:t>allocated for oversight in the Water Services Regulation sub</w:t>
      </w:r>
      <w:r w:rsidR="00B51CD0">
        <w:rPr>
          <w:rFonts w:ascii="Times New Roman" w:hAnsi="Times New Roman" w:cs="Times New Roman"/>
        </w:rPr>
        <w:t>-</w:t>
      </w:r>
      <w:r>
        <w:rPr>
          <w:rFonts w:ascii="Times New Roman" w:hAnsi="Times New Roman" w:cs="Times New Roman"/>
        </w:rPr>
        <w:t>programme in the Water Services Management programme.</w:t>
      </w:r>
    </w:p>
    <w:p w:rsidR="00A000CE" w:rsidRPr="00F80D2C" w:rsidRDefault="00A000CE" w:rsidP="003A648F">
      <w:pPr>
        <w:spacing w:after="0" w:line="360" w:lineRule="auto"/>
        <w:jc w:val="both"/>
        <w:rPr>
          <w:rFonts w:ascii="Times New Roman" w:hAnsi="Times New Roman" w:cs="Times New Roman"/>
          <w:sz w:val="16"/>
          <w:szCs w:val="16"/>
        </w:rPr>
      </w:pPr>
    </w:p>
    <w:p w:rsidR="003A648F" w:rsidRDefault="003A648F" w:rsidP="003A648F">
      <w:pPr>
        <w:spacing w:after="0" w:line="360" w:lineRule="auto"/>
        <w:jc w:val="both"/>
        <w:rPr>
          <w:rFonts w:ascii="Times New Roman" w:hAnsi="Times New Roman" w:cs="Times New Roman"/>
        </w:rPr>
      </w:pPr>
      <w:r>
        <w:rPr>
          <w:rFonts w:ascii="Times New Roman" w:hAnsi="Times New Roman" w:cs="Times New Roman"/>
        </w:rPr>
        <w:t>Further initiatives over the MTEF include the following:</w:t>
      </w:r>
    </w:p>
    <w:p w:rsidR="003A648F" w:rsidRPr="00F80D2C" w:rsidRDefault="003A648F" w:rsidP="003A648F">
      <w:pPr>
        <w:spacing w:after="0" w:line="360" w:lineRule="auto"/>
        <w:jc w:val="both"/>
        <w:rPr>
          <w:rFonts w:ascii="Times New Roman" w:hAnsi="Times New Roman" w:cs="Times New Roman"/>
          <w:sz w:val="16"/>
          <w:szCs w:val="16"/>
        </w:rPr>
      </w:pPr>
    </w:p>
    <w:p w:rsidR="003A648F" w:rsidRDefault="003A648F" w:rsidP="003A648F">
      <w:pPr>
        <w:pStyle w:val="ListParagraph"/>
        <w:numPr>
          <w:ilvl w:val="0"/>
          <w:numId w:val="17"/>
        </w:numPr>
        <w:spacing w:after="0" w:line="360" w:lineRule="auto"/>
        <w:jc w:val="both"/>
        <w:rPr>
          <w:rFonts w:ascii="Times New Roman" w:hAnsi="Times New Roman" w:cs="Times New Roman"/>
        </w:rPr>
      </w:pPr>
      <w:r>
        <w:rPr>
          <w:rFonts w:ascii="Times New Roman" w:hAnsi="Times New Roman" w:cs="Times New Roman"/>
        </w:rPr>
        <w:t>Investing in water resources and implementing projects such as Phase 2D of the Olifants River water resource development project, the Mokolo-Crocodile water augmentation project, the raising of the Tzaneen and Hazelmere dams, and the Umdloti River development project.</w:t>
      </w:r>
    </w:p>
    <w:p w:rsidR="003A648F" w:rsidRDefault="003A648F" w:rsidP="00B46026">
      <w:pPr>
        <w:pStyle w:val="ListParagraph"/>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Spending in the Water Resources Management programme is expected to increase at an average annual rate of 10.7 per cent, from R3.6 billion in 2021/22 to R4.9 billion in 2024/25.  This includes spending R2.1 billion </w:t>
      </w:r>
      <w:r w:rsidR="00B46026" w:rsidRPr="00B46026">
        <w:rPr>
          <w:rFonts w:ascii="Times New Roman" w:hAnsi="Times New Roman" w:cs="Times New Roman"/>
        </w:rPr>
        <w:t>to raise the Clanwilliam Dam wall over the medium term</w:t>
      </w:r>
      <w:r>
        <w:rPr>
          <w:rFonts w:ascii="Times New Roman" w:hAnsi="Times New Roman" w:cs="Times New Roman"/>
        </w:rPr>
        <w:t>.</w:t>
      </w:r>
    </w:p>
    <w:p w:rsidR="003A648F" w:rsidRPr="004761AB" w:rsidRDefault="003A648F" w:rsidP="004761AB">
      <w:pPr>
        <w:pStyle w:val="ListParagraph"/>
        <w:numPr>
          <w:ilvl w:val="0"/>
          <w:numId w:val="17"/>
        </w:numPr>
        <w:spacing w:after="0" w:line="360" w:lineRule="auto"/>
        <w:jc w:val="both"/>
        <w:rPr>
          <w:rFonts w:ascii="Times New Roman" w:hAnsi="Times New Roman" w:cs="Times New Roman"/>
        </w:rPr>
      </w:pPr>
      <w:r>
        <w:rPr>
          <w:rFonts w:ascii="Times New Roman" w:hAnsi="Times New Roman" w:cs="Times New Roman"/>
        </w:rPr>
        <w:t>Implementation and finalisation of 2 mega, 24 large and 28 small regional bulk infrastructure projects. These projects and related activities are carried out in the Water Services Management programme</w:t>
      </w:r>
      <w:r w:rsidR="004761AB">
        <w:rPr>
          <w:rFonts w:ascii="Times New Roman" w:hAnsi="Times New Roman" w:cs="Times New Roman"/>
        </w:rPr>
        <w:t>; spending</w:t>
      </w:r>
      <w:r>
        <w:rPr>
          <w:rFonts w:ascii="Times New Roman" w:hAnsi="Times New Roman" w:cs="Times New Roman"/>
        </w:rPr>
        <w:t xml:space="preserve"> is expected to increase at an average annual rate of 4.6 per cent from R12.2 billion in 2021/22 to R13.9 billion in 2024/25</w:t>
      </w:r>
      <w:r w:rsidR="004761AB">
        <w:rPr>
          <w:rFonts w:ascii="Times New Roman" w:hAnsi="Times New Roman" w:cs="Times New Roman"/>
        </w:rPr>
        <w:t>.  An additional allocation of R3.6 billion over the medium term for the Olifants-Ebenezer water supply scheme, the lower Umkhomazi bulk water scheme, and the bulk water potable water and remedial works programme in George Local Municipality.</w:t>
      </w:r>
    </w:p>
    <w:p w:rsidR="00515F66" w:rsidRPr="00F80D2C" w:rsidRDefault="00515F66" w:rsidP="00A6692E">
      <w:pPr>
        <w:spacing w:after="0" w:line="360" w:lineRule="auto"/>
        <w:jc w:val="both"/>
        <w:rPr>
          <w:rFonts w:ascii="Times New Roman" w:hAnsi="Times New Roman" w:cs="Times New Roman"/>
          <w:b/>
          <w:sz w:val="16"/>
          <w:szCs w:val="16"/>
        </w:rPr>
      </w:pPr>
    </w:p>
    <w:p w:rsidR="0060406B" w:rsidRDefault="00600FE1" w:rsidP="00A6692E">
      <w:pPr>
        <w:spacing w:after="0" w:line="360" w:lineRule="auto"/>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Budget allocation and targeted outcomes for programmes over the 2022/23 financial year</w:t>
      </w:r>
    </w:p>
    <w:p w:rsidR="0060406B" w:rsidRPr="00F80D2C" w:rsidRDefault="0060406B" w:rsidP="00D75F57">
      <w:pPr>
        <w:spacing w:after="0" w:line="360" w:lineRule="auto"/>
        <w:jc w:val="both"/>
        <w:rPr>
          <w:rFonts w:ascii="Times New Roman" w:hAnsi="Times New Roman" w:cs="Times New Roman"/>
          <w:b/>
          <w:sz w:val="16"/>
          <w:szCs w:val="16"/>
        </w:rPr>
      </w:pPr>
    </w:p>
    <w:p w:rsidR="006061E9" w:rsidRPr="00D75F57" w:rsidRDefault="006061E9" w:rsidP="00D75F57">
      <w:pPr>
        <w:spacing w:after="0" w:line="360" w:lineRule="auto"/>
        <w:jc w:val="both"/>
        <w:rPr>
          <w:rFonts w:ascii="Times New Roman" w:hAnsi="Times New Roman" w:cs="Times New Roman"/>
        </w:rPr>
      </w:pPr>
      <w:r w:rsidRPr="00D75F57">
        <w:rPr>
          <w:rFonts w:ascii="Times New Roman" w:hAnsi="Times New Roman" w:cs="Times New Roman"/>
          <w:b/>
        </w:rPr>
        <w:t>5.1</w:t>
      </w:r>
      <w:r w:rsidRPr="00D75F57">
        <w:rPr>
          <w:rFonts w:ascii="Times New Roman" w:hAnsi="Times New Roman" w:cs="Times New Roman"/>
          <w:b/>
        </w:rPr>
        <w:tab/>
      </w:r>
      <w:r w:rsidR="00A6692E" w:rsidRPr="00D75F57">
        <w:rPr>
          <w:rFonts w:ascii="Times New Roman" w:hAnsi="Times New Roman" w:cs="Times New Roman"/>
          <w:b/>
        </w:rPr>
        <w:t>Programme 1: Administration</w:t>
      </w:r>
      <w:r w:rsidRPr="00D75F57">
        <w:rPr>
          <w:rFonts w:ascii="Times New Roman" w:hAnsi="Times New Roman" w:cs="Times New Roman"/>
        </w:rPr>
        <w:t xml:space="preserve"> </w:t>
      </w:r>
    </w:p>
    <w:p w:rsidR="006061E9" w:rsidRPr="00F80D2C" w:rsidRDefault="006061E9" w:rsidP="00D75F57">
      <w:pPr>
        <w:spacing w:after="0" w:line="360" w:lineRule="auto"/>
        <w:jc w:val="both"/>
        <w:rPr>
          <w:rFonts w:ascii="Times New Roman" w:hAnsi="Times New Roman" w:cs="Times New Roman"/>
          <w:sz w:val="16"/>
          <w:szCs w:val="16"/>
        </w:rPr>
      </w:pPr>
    </w:p>
    <w:p w:rsidR="00972A7B" w:rsidRDefault="00D75F57" w:rsidP="00D75F57">
      <w:pPr>
        <w:spacing w:after="0" w:line="360" w:lineRule="auto"/>
        <w:jc w:val="both"/>
        <w:rPr>
          <w:rFonts w:ascii="Times New Roman" w:hAnsi="Times New Roman" w:cs="Times New Roman"/>
          <w:lang w:val="en-GB"/>
        </w:rPr>
      </w:pPr>
      <w:r w:rsidRPr="00D75F57">
        <w:rPr>
          <w:rFonts w:ascii="Times New Roman" w:hAnsi="Times New Roman" w:cs="Times New Roman"/>
        </w:rPr>
        <w:t>This programme aims to provide strategic leadership, management,</w:t>
      </w:r>
      <w:r w:rsidR="006061E9" w:rsidRPr="00D75F57">
        <w:rPr>
          <w:rFonts w:ascii="Times New Roman" w:hAnsi="Times New Roman" w:cs="Times New Roman"/>
        </w:rPr>
        <w:t xml:space="preserve"> and support services to the Department. The programme also develops and promotes international relations on water resources management with neighbouring countries. </w:t>
      </w:r>
      <w:r w:rsidR="006061E9" w:rsidRPr="00D75F57">
        <w:rPr>
          <w:rFonts w:ascii="Times New Roman" w:hAnsi="Times New Roman" w:cs="Times New Roman"/>
          <w:lang w:val="en-GB"/>
        </w:rPr>
        <w:t xml:space="preserve">This Programme, which consumes 11 per cent of the overall departmental budget, is allocated R2 billion in the 2022/23 financial year, up from R1.95 billion in 2021/22. This reflects a nominal rand increase of R52.5 million </w:t>
      </w:r>
      <w:r w:rsidR="00E64E9F">
        <w:rPr>
          <w:rFonts w:ascii="Times New Roman" w:hAnsi="Times New Roman" w:cs="Times New Roman"/>
          <w:lang w:val="en-GB"/>
        </w:rPr>
        <w:t xml:space="preserve">and </w:t>
      </w:r>
      <w:r>
        <w:rPr>
          <w:rFonts w:ascii="Times New Roman" w:hAnsi="Times New Roman" w:cs="Times New Roman"/>
          <w:lang w:val="en-GB"/>
        </w:rPr>
        <w:t>an</w:t>
      </w:r>
      <w:r w:rsidR="006061E9" w:rsidRPr="00D75F57">
        <w:rPr>
          <w:rFonts w:ascii="Times New Roman" w:hAnsi="Times New Roman" w:cs="Times New Roman"/>
          <w:lang w:val="en-GB"/>
        </w:rPr>
        <w:t xml:space="preserve"> R34.2 million decrease between 2021/22 and 2022/23</w:t>
      </w:r>
      <w:r>
        <w:rPr>
          <w:rFonts w:ascii="Times New Roman" w:hAnsi="Times New Roman" w:cs="Times New Roman"/>
          <w:lang w:val="en-GB"/>
        </w:rPr>
        <w:t>.</w:t>
      </w:r>
      <w:r w:rsidR="0091738E">
        <w:rPr>
          <w:rFonts w:ascii="Times New Roman" w:hAnsi="Times New Roman" w:cs="Times New Roman"/>
          <w:lang w:val="en-GB"/>
        </w:rPr>
        <w:t xml:space="preserve"> </w:t>
      </w:r>
      <w:r w:rsidR="00B87557">
        <w:rPr>
          <w:rFonts w:ascii="Times New Roman" w:hAnsi="Times New Roman" w:cs="Times New Roman"/>
          <w:lang w:val="en-GB"/>
        </w:rPr>
        <w:t xml:space="preserve"> </w:t>
      </w:r>
      <w:r w:rsidR="00972A7B">
        <w:rPr>
          <w:rFonts w:ascii="Times New Roman" w:hAnsi="Times New Roman" w:cs="Times New Roman"/>
          <w:lang w:val="en-GB"/>
        </w:rPr>
        <w:t>For the 2022/23 financial year, the Department identified the following outcomes, with associated outputs, output indicators and percentage achievable:</w:t>
      </w:r>
      <w:r w:rsidR="00CF4B49">
        <w:rPr>
          <w:rFonts w:ascii="Times New Roman" w:hAnsi="Times New Roman" w:cs="Times New Roman"/>
          <w:lang w:val="en-GB"/>
        </w:rPr>
        <w:t xml:space="preserve"> </w:t>
      </w:r>
    </w:p>
    <w:p w:rsidR="00972A7B" w:rsidRPr="00F80D2C" w:rsidRDefault="00972A7B" w:rsidP="00D75F57">
      <w:pPr>
        <w:spacing w:after="0" w:line="360" w:lineRule="auto"/>
        <w:jc w:val="both"/>
        <w:rPr>
          <w:rFonts w:ascii="Times New Roman" w:hAnsi="Times New Roman" w:cs="Times New Roman"/>
          <w:sz w:val="16"/>
          <w:szCs w:val="16"/>
          <w:lang w:val="en-GB"/>
        </w:rPr>
      </w:pPr>
    </w:p>
    <w:p w:rsidR="00CE40AE" w:rsidRDefault="00CE40AE" w:rsidP="00972A7B">
      <w:pPr>
        <w:pStyle w:val="ListParagraph"/>
        <w:numPr>
          <w:ilvl w:val="0"/>
          <w:numId w:val="21"/>
        </w:numPr>
        <w:spacing w:after="0" w:line="360" w:lineRule="auto"/>
        <w:jc w:val="both"/>
        <w:rPr>
          <w:rFonts w:ascii="Times New Roman" w:hAnsi="Times New Roman" w:cs="Times New Roman"/>
          <w:lang w:val="en-GB"/>
        </w:rPr>
      </w:pPr>
      <w:r>
        <w:rPr>
          <w:rFonts w:ascii="Times New Roman" w:hAnsi="Times New Roman" w:cs="Times New Roman"/>
          <w:lang w:val="en-GB"/>
        </w:rPr>
        <w:t>An efficient, effective</w:t>
      </w:r>
      <w:r w:rsidR="002B73D2">
        <w:rPr>
          <w:rFonts w:ascii="Times New Roman" w:hAnsi="Times New Roman" w:cs="Times New Roman"/>
          <w:lang w:val="en-GB"/>
        </w:rPr>
        <w:t>,</w:t>
      </w:r>
      <w:r>
        <w:rPr>
          <w:rFonts w:ascii="Times New Roman" w:hAnsi="Times New Roman" w:cs="Times New Roman"/>
          <w:lang w:val="en-GB"/>
        </w:rPr>
        <w:t xml:space="preserve"> and development orientated department: compliance with corporate governance regulatory prescripts, which entails 100% compliance with approved audit plan, 100% compliance with the implementation of risk management plan, 10% vacancy rate for engineers and scientists, 50% of training interventions implemented, 64% safety and security assessment for facilities and installations conducted, and 90% information technology systems available.</w:t>
      </w:r>
    </w:p>
    <w:p w:rsidR="00972A7B" w:rsidRDefault="00972A7B" w:rsidP="00972A7B">
      <w:pPr>
        <w:pStyle w:val="ListParagraph"/>
        <w:numPr>
          <w:ilvl w:val="0"/>
          <w:numId w:val="21"/>
        </w:num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 xml:space="preserve">An efficient, effective and </w:t>
      </w:r>
      <w:r w:rsidR="00B87557">
        <w:rPr>
          <w:rFonts w:ascii="Times New Roman" w:hAnsi="Times New Roman" w:cs="Times New Roman"/>
          <w:lang w:val="en-GB"/>
        </w:rPr>
        <w:t>development-oriented</w:t>
      </w:r>
      <w:r>
        <w:rPr>
          <w:rFonts w:ascii="Times New Roman" w:hAnsi="Times New Roman" w:cs="Times New Roman"/>
          <w:lang w:val="en-GB"/>
        </w:rPr>
        <w:t xml:space="preserve"> department with targeted procurement supporting S</w:t>
      </w:r>
      <w:r w:rsidR="0054531F">
        <w:rPr>
          <w:rFonts w:ascii="Times New Roman" w:hAnsi="Times New Roman" w:cs="Times New Roman"/>
          <w:lang w:val="en-GB"/>
        </w:rPr>
        <w:t>mall Medium and Micro Enterprises (S</w:t>
      </w:r>
      <w:r>
        <w:rPr>
          <w:rFonts w:ascii="Times New Roman" w:hAnsi="Times New Roman" w:cs="Times New Roman"/>
          <w:lang w:val="en-GB"/>
        </w:rPr>
        <w:t>MMEs</w:t>
      </w:r>
      <w:r w:rsidR="0054531F">
        <w:rPr>
          <w:rFonts w:ascii="Times New Roman" w:hAnsi="Times New Roman" w:cs="Times New Roman"/>
          <w:lang w:val="en-GB"/>
        </w:rPr>
        <w:t>)</w:t>
      </w:r>
      <w:r>
        <w:rPr>
          <w:rFonts w:ascii="Times New Roman" w:hAnsi="Times New Roman" w:cs="Times New Roman"/>
          <w:lang w:val="en-GB"/>
        </w:rPr>
        <w:t xml:space="preserve"> – 15</w:t>
      </w:r>
      <w:r w:rsidR="00B87557">
        <w:rPr>
          <w:rFonts w:ascii="Times New Roman" w:hAnsi="Times New Roman" w:cs="Times New Roman"/>
          <w:lang w:val="en-GB"/>
        </w:rPr>
        <w:t xml:space="preserve">% of </w:t>
      </w:r>
      <w:r>
        <w:rPr>
          <w:rFonts w:ascii="Times New Roman" w:hAnsi="Times New Roman" w:cs="Times New Roman"/>
          <w:lang w:val="en-GB"/>
        </w:rPr>
        <w:t xml:space="preserve">targeted procurement </w:t>
      </w:r>
      <w:r w:rsidR="00B87557">
        <w:rPr>
          <w:rFonts w:ascii="Times New Roman" w:hAnsi="Times New Roman" w:cs="Times New Roman"/>
          <w:lang w:val="en-GB"/>
        </w:rPr>
        <w:t xml:space="preserve">is </w:t>
      </w:r>
      <w:r>
        <w:rPr>
          <w:rFonts w:ascii="Times New Roman" w:hAnsi="Times New Roman" w:cs="Times New Roman"/>
          <w:lang w:val="en-GB"/>
        </w:rPr>
        <w:t>spent on</w:t>
      </w:r>
      <w:r w:rsidR="0054531F">
        <w:rPr>
          <w:rFonts w:ascii="Times New Roman" w:hAnsi="Times New Roman" w:cs="Times New Roman"/>
          <w:lang w:val="en-GB"/>
        </w:rPr>
        <w:t xml:space="preserve"> Qualifying Small Enterprises</w:t>
      </w:r>
      <w:r>
        <w:rPr>
          <w:rFonts w:ascii="Times New Roman" w:hAnsi="Times New Roman" w:cs="Times New Roman"/>
          <w:lang w:val="en-GB"/>
        </w:rPr>
        <w:t xml:space="preserve"> </w:t>
      </w:r>
      <w:r w:rsidR="0054531F">
        <w:rPr>
          <w:rFonts w:ascii="Times New Roman" w:hAnsi="Times New Roman" w:cs="Times New Roman"/>
          <w:lang w:val="en-GB"/>
        </w:rPr>
        <w:t>(</w:t>
      </w:r>
      <w:r>
        <w:rPr>
          <w:rFonts w:ascii="Times New Roman" w:hAnsi="Times New Roman" w:cs="Times New Roman"/>
          <w:lang w:val="en-GB"/>
        </w:rPr>
        <w:t>QSEs</w:t>
      </w:r>
      <w:r w:rsidR="0054531F">
        <w:rPr>
          <w:rFonts w:ascii="Times New Roman" w:hAnsi="Times New Roman" w:cs="Times New Roman"/>
          <w:lang w:val="en-GB"/>
        </w:rPr>
        <w:t>)</w:t>
      </w:r>
      <w:r>
        <w:rPr>
          <w:rFonts w:ascii="Times New Roman" w:hAnsi="Times New Roman" w:cs="Times New Roman"/>
          <w:lang w:val="en-GB"/>
        </w:rPr>
        <w:t>, which constitute 40% on women, 30% on youth and 7</w:t>
      </w:r>
      <w:r w:rsidR="00B87557">
        <w:rPr>
          <w:rFonts w:ascii="Times New Roman" w:hAnsi="Times New Roman" w:cs="Times New Roman"/>
          <w:lang w:val="en-GB"/>
        </w:rPr>
        <w:t>%</w:t>
      </w:r>
      <w:r>
        <w:rPr>
          <w:rFonts w:ascii="Times New Roman" w:hAnsi="Times New Roman" w:cs="Times New Roman"/>
          <w:lang w:val="en-GB"/>
        </w:rPr>
        <w:t xml:space="preserve"> on people with disabilities. The percentage </w:t>
      </w:r>
      <w:r w:rsidR="00B87557">
        <w:rPr>
          <w:rFonts w:ascii="Times New Roman" w:hAnsi="Times New Roman" w:cs="Times New Roman"/>
          <w:lang w:val="en-GB"/>
        </w:rPr>
        <w:t xml:space="preserve">of </w:t>
      </w:r>
      <w:r>
        <w:rPr>
          <w:rFonts w:ascii="Times New Roman" w:hAnsi="Times New Roman" w:cs="Times New Roman"/>
          <w:lang w:val="en-GB"/>
        </w:rPr>
        <w:t>ta</w:t>
      </w:r>
      <w:r w:rsidR="0054531F">
        <w:rPr>
          <w:rFonts w:ascii="Times New Roman" w:hAnsi="Times New Roman" w:cs="Times New Roman"/>
          <w:lang w:val="en-GB"/>
        </w:rPr>
        <w:t>rgeted procurement spent on Exempt Micro Enterprise</w:t>
      </w:r>
      <w:r>
        <w:rPr>
          <w:rFonts w:ascii="Times New Roman" w:hAnsi="Times New Roman" w:cs="Times New Roman"/>
          <w:lang w:val="en-GB"/>
        </w:rPr>
        <w:t xml:space="preserve"> is 15</w:t>
      </w:r>
      <w:r w:rsidR="00B87557">
        <w:rPr>
          <w:rFonts w:ascii="Times New Roman" w:hAnsi="Times New Roman" w:cs="Times New Roman"/>
          <w:lang w:val="en-GB"/>
        </w:rPr>
        <w:t>%</w:t>
      </w:r>
      <w:r>
        <w:rPr>
          <w:rFonts w:ascii="Times New Roman" w:hAnsi="Times New Roman" w:cs="Times New Roman"/>
          <w:lang w:val="en-GB"/>
        </w:rPr>
        <w:t>, which constitutes 40</w:t>
      </w:r>
      <w:r w:rsidR="00B87557">
        <w:rPr>
          <w:rFonts w:ascii="Times New Roman" w:hAnsi="Times New Roman" w:cs="Times New Roman"/>
          <w:lang w:val="en-GB"/>
        </w:rPr>
        <w:t>%</w:t>
      </w:r>
      <w:r>
        <w:rPr>
          <w:rFonts w:ascii="Times New Roman" w:hAnsi="Times New Roman" w:cs="Times New Roman"/>
          <w:lang w:val="en-GB"/>
        </w:rPr>
        <w:t xml:space="preserve"> on women, 30</w:t>
      </w:r>
      <w:r w:rsidR="00B87557">
        <w:rPr>
          <w:rFonts w:ascii="Times New Roman" w:hAnsi="Times New Roman" w:cs="Times New Roman"/>
          <w:lang w:val="en-GB"/>
        </w:rPr>
        <w:t>%</w:t>
      </w:r>
      <w:r>
        <w:rPr>
          <w:rFonts w:ascii="Times New Roman" w:hAnsi="Times New Roman" w:cs="Times New Roman"/>
          <w:lang w:val="en-GB"/>
        </w:rPr>
        <w:t xml:space="preserve"> on youth and 7</w:t>
      </w:r>
      <w:r w:rsidR="00B87557">
        <w:rPr>
          <w:rFonts w:ascii="Times New Roman" w:hAnsi="Times New Roman" w:cs="Times New Roman"/>
          <w:lang w:val="en-GB"/>
        </w:rPr>
        <w:t>%</w:t>
      </w:r>
      <w:r w:rsidR="00FD168C">
        <w:rPr>
          <w:rFonts w:ascii="Times New Roman" w:hAnsi="Times New Roman" w:cs="Times New Roman"/>
          <w:lang w:val="en-GB"/>
        </w:rPr>
        <w:t xml:space="preserve"> on people with disabilities</w:t>
      </w:r>
      <w:r>
        <w:rPr>
          <w:rFonts w:ascii="Times New Roman" w:hAnsi="Times New Roman" w:cs="Times New Roman"/>
          <w:lang w:val="en-GB"/>
        </w:rPr>
        <w:t>.</w:t>
      </w:r>
    </w:p>
    <w:p w:rsidR="00972A7B" w:rsidRDefault="00B87557" w:rsidP="00972A7B">
      <w:pPr>
        <w:pStyle w:val="ListParagraph"/>
        <w:numPr>
          <w:ilvl w:val="0"/>
          <w:numId w:val="21"/>
        </w:numPr>
        <w:spacing w:after="0" w:line="360" w:lineRule="auto"/>
        <w:jc w:val="both"/>
        <w:rPr>
          <w:rFonts w:ascii="Times New Roman" w:hAnsi="Times New Roman" w:cs="Times New Roman"/>
          <w:lang w:val="en-GB"/>
        </w:rPr>
      </w:pPr>
      <w:r>
        <w:rPr>
          <w:rFonts w:ascii="Times New Roman" w:hAnsi="Times New Roman" w:cs="Times New Roman"/>
          <w:lang w:val="en-GB"/>
        </w:rPr>
        <w:t>Implementation of financial and turnaround plan at 90%, % expenditure on annual budget at 100% and reduction of debtor days at 150 days.</w:t>
      </w:r>
    </w:p>
    <w:p w:rsidR="00B87557" w:rsidRDefault="00B87557" w:rsidP="00972A7B">
      <w:pPr>
        <w:pStyle w:val="ListParagraph"/>
        <w:numPr>
          <w:ilvl w:val="0"/>
          <w:numId w:val="21"/>
        </w:numPr>
        <w:spacing w:after="0" w:line="360" w:lineRule="auto"/>
        <w:jc w:val="both"/>
        <w:rPr>
          <w:rFonts w:ascii="Times New Roman" w:hAnsi="Times New Roman" w:cs="Times New Roman"/>
          <w:lang w:val="en-GB"/>
        </w:rPr>
      </w:pPr>
      <w:r>
        <w:rPr>
          <w:rFonts w:ascii="Times New Roman" w:hAnsi="Times New Roman" w:cs="Times New Roman"/>
          <w:lang w:val="en-GB"/>
        </w:rPr>
        <w:t>Annual international relations programme implemented at 75%.</w:t>
      </w:r>
    </w:p>
    <w:p w:rsidR="002C598C" w:rsidRPr="00F80D2C" w:rsidRDefault="002C598C" w:rsidP="002C598C">
      <w:pPr>
        <w:spacing w:after="0" w:line="360" w:lineRule="auto"/>
        <w:jc w:val="both"/>
        <w:rPr>
          <w:rFonts w:ascii="Times New Roman" w:hAnsi="Times New Roman" w:cs="Times New Roman"/>
          <w:sz w:val="16"/>
          <w:szCs w:val="16"/>
          <w:lang w:val="en-GB"/>
        </w:rPr>
      </w:pPr>
    </w:p>
    <w:p w:rsidR="00997E10" w:rsidRDefault="00C0369E" w:rsidP="002C598C">
      <w:pPr>
        <w:spacing w:after="0" w:line="360" w:lineRule="auto"/>
        <w:jc w:val="both"/>
        <w:rPr>
          <w:rFonts w:ascii="Times New Roman" w:hAnsi="Times New Roman" w:cs="Times New Roman"/>
          <w:lang w:val="en-GB"/>
        </w:rPr>
      </w:pPr>
      <w:r>
        <w:rPr>
          <w:rFonts w:ascii="Times New Roman" w:hAnsi="Times New Roman" w:cs="Times New Roman"/>
          <w:lang w:val="en-GB"/>
        </w:rPr>
        <w:t>This section</w:t>
      </w:r>
      <w:r w:rsidR="00997E10">
        <w:rPr>
          <w:rFonts w:ascii="Times New Roman" w:hAnsi="Times New Roman" w:cs="Times New Roman"/>
          <w:lang w:val="en-GB"/>
        </w:rPr>
        <w:t xml:space="preserve"> has provided</w:t>
      </w:r>
      <w:r>
        <w:rPr>
          <w:rFonts w:ascii="Times New Roman" w:hAnsi="Times New Roman" w:cs="Times New Roman"/>
          <w:lang w:val="en-GB"/>
        </w:rPr>
        <w:t xml:space="preserve"> detailed information </w:t>
      </w:r>
      <w:r w:rsidR="00E64E9F">
        <w:rPr>
          <w:rFonts w:ascii="Times New Roman" w:hAnsi="Times New Roman" w:cs="Times New Roman"/>
          <w:lang w:val="en-GB"/>
        </w:rPr>
        <w:t>on</w:t>
      </w:r>
      <w:r>
        <w:rPr>
          <w:rFonts w:ascii="Times New Roman" w:hAnsi="Times New Roman" w:cs="Times New Roman"/>
          <w:lang w:val="en-GB"/>
        </w:rPr>
        <w:t xml:space="preserve"> targeted percentages for each outcome for the year under review (highlighted above).  </w:t>
      </w:r>
      <w:r w:rsidR="00F613AE">
        <w:rPr>
          <w:rFonts w:ascii="Times New Roman" w:hAnsi="Times New Roman" w:cs="Times New Roman"/>
          <w:lang w:val="en-GB"/>
        </w:rPr>
        <w:t>The Department of Planning, Monitoring and Evaluation</w:t>
      </w:r>
      <w:r w:rsidR="006753B7" w:rsidRPr="006753B7">
        <w:rPr>
          <w:rFonts w:ascii="Times New Roman" w:hAnsi="Times New Roman" w:cs="Times New Roman"/>
          <w:lang w:val="en-GB"/>
        </w:rPr>
        <w:t xml:space="preserve"> </w:t>
      </w:r>
      <w:r w:rsidR="00F613AE">
        <w:rPr>
          <w:rFonts w:ascii="Times New Roman" w:hAnsi="Times New Roman" w:cs="Times New Roman"/>
          <w:lang w:val="en-GB"/>
        </w:rPr>
        <w:t>in the Presidency regulates</w:t>
      </w:r>
      <w:r w:rsidR="006753B7" w:rsidRPr="006753B7">
        <w:rPr>
          <w:rFonts w:ascii="Times New Roman" w:hAnsi="Times New Roman" w:cs="Times New Roman"/>
          <w:lang w:val="en-GB"/>
        </w:rPr>
        <w:t xml:space="preserve"> outcomes with associated indicators</w:t>
      </w:r>
      <w:r w:rsidR="00F613AE">
        <w:rPr>
          <w:rFonts w:ascii="Times New Roman" w:hAnsi="Times New Roman" w:cs="Times New Roman"/>
          <w:lang w:val="en-GB"/>
        </w:rPr>
        <w:t xml:space="preserve"> depicted</w:t>
      </w:r>
      <w:r w:rsidR="006753B7" w:rsidRPr="006753B7">
        <w:rPr>
          <w:rFonts w:ascii="Times New Roman" w:hAnsi="Times New Roman" w:cs="Times New Roman"/>
          <w:lang w:val="en-GB"/>
        </w:rPr>
        <w:t xml:space="preserve"> in the Department’s Annual Performance Plan</w:t>
      </w:r>
      <w:r w:rsidR="00F613AE">
        <w:rPr>
          <w:rFonts w:ascii="Times New Roman" w:hAnsi="Times New Roman" w:cs="Times New Roman"/>
          <w:lang w:val="en-GB"/>
        </w:rPr>
        <w:t>.</w:t>
      </w:r>
      <w:r w:rsidR="006753B7" w:rsidRPr="006753B7">
        <w:rPr>
          <w:rFonts w:ascii="Times New Roman" w:hAnsi="Times New Roman" w:cs="Times New Roman"/>
          <w:lang w:val="en-GB"/>
        </w:rPr>
        <w:t xml:space="preserve"> </w:t>
      </w:r>
      <w:r w:rsidR="00F613AE">
        <w:rPr>
          <w:rFonts w:ascii="Times New Roman" w:hAnsi="Times New Roman" w:cs="Times New Roman"/>
          <w:lang w:val="en-GB"/>
        </w:rPr>
        <w:t>T</w:t>
      </w:r>
      <w:r w:rsidR="002B73D2" w:rsidRPr="002B73D2">
        <w:rPr>
          <w:rFonts w:ascii="Times New Roman" w:hAnsi="Times New Roman" w:cs="Times New Roman"/>
          <w:lang w:val="en-GB"/>
        </w:rPr>
        <w:t xml:space="preserve">he Department and Entities have </w:t>
      </w:r>
      <w:r w:rsidR="00CE40AE">
        <w:rPr>
          <w:rFonts w:ascii="Times New Roman" w:hAnsi="Times New Roman" w:cs="Times New Roman"/>
          <w:lang w:val="en-GB"/>
        </w:rPr>
        <w:t xml:space="preserve">complied with the regulatory component and requirements in </w:t>
      </w:r>
      <w:r w:rsidR="006753B7">
        <w:rPr>
          <w:rFonts w:ascii="Times New Roman" w:hAnsi="Times New Roman" w:cs="Times New Roman"/>
          <w:lang w:val="en-GB"/>
        </w:rPr>
        <w:t>using</w:t>
      </w:r>
      <w:r w:rsidR="00CE40AE">
        <w:rPr>
          <w:rFonts w:ascii="Times New Roman" w:hAnsi="Times New Roman" w:cs="Times New Roman"/>
          <w:lang w:val="en-GB"/>
        </w:rPr>
        <w:t xml:space="preserve"> standardised indicators by the DPME.</w:t>
      </w:r>
    </w:p>
    <w:p w:rsidR="00997E10" w:rsidRPr="00F80D2C" w:rsidRDefault="00997E10" w:rsidP="002C598C">
      <w:pPr>
        <w:spacing w:after="0" w:line="360" w:lineRule="auto"/>
        <w:jc w:val="both"/>
        <w:rPr>
          <w:rFonts w:ascii="Times New Roman" w:hAnsi="Times New Roman" w:cs="Times New Roman"/>
          <w:sz w:val="16"/>
          <w:szCs w:val="16"/>
          <w:lang w:val="en-GB"/>
        </w:rPr>
      </w:pPr>
    </w:p>
    <w:p w:rsidR="00997E10" w:rsidRDefault="00BE4D19" w:rsidP="002C598C">
      <w:pPr>
        <w:spacing w:after="0" w:line="360" w:lineRule="auto"/>
        <w:jc w:val="both"/>
        <w:rPr>
          <w:rFonts w:ascii="Times New Roman" w:hAnsi="Times New Roman" w:cs="Times New Roman"/>
          <w:lang w:val="en-GB"/>
        </w:rPr>
      </w:pPr>
      <w:r>
        <w:rPr>
          <w:rFonts w:ascii="Times New Roman" w:hAnsi="Times New Roman" w:cs="Times New Roman"/>
          <w:lang w:val="en-GB"/>
        </w:rPr>
        <w:t xml:space="preserve">In summary, the key outcomes, output </w:t>
      </w:r>
      <w:r w:rsidR="002B73D2">
        <w:rPr>
          <w:rFonts w:ascii="Times New Roman" w:hAnsi="Times New Roman" w:cs="Times New Roman"/>
          <w:lang w:val="en-GB"/>
        </w:rPr>
        <w:t>indicators</w:t>
      </w:r>
      <w:r>
        <w:rPr>
          <w:rFonts w:ascii="Times New Roman" w:hAnsi="Times New Roman" w:cs="Times New Roman"/>
          <w:lang w:val="en-GB"/>
        </w:rPr>
        <w:t xml:space="preserve"> and </w:t>
      </w:r>
      <w:r w:rsidR="0083061D">
        <w:rPr>
          <w:rFonts w:ascii="Times New Roman" w:hAnsi="Times New Roman" w:cs="Times New Roman"/>
          <w:lang w:val="en-GB"/>
        </w:rPr>
        <w:t>targets</w:t>
      </w:r>
      <w:r>
        <w:rPr>
          <w:rFonts w:ascii="Times New Roman" w:hAnsi="Times New Roman" w:cs="Times New Roman"/>
          <w:lang w:val="en-GB"/>
        </w:rPr>
        <w:t xml:space="preserve"> related to Programme 1: Administration listed above</w:t>
      </w:r>
      <w:r w:rsidR="00237A52">
        <w:rPr>
          <w:rFonts w:ascii="Times New Roman" w:hAnsi="Times New Roman" w:cs="Times New Roman"/>
          <w:lang w:val="en-GB"/>
        </w:rPr>
        <w:t>, and further elaborated on by the Department,</w:t>
      </w:r>
      <w:r>
        <w:rPr>
          <w:rFonts w:ascii="Times New Roman" w:hAnsi="Times New Roman" w:cs="Times New Roman"/>
          <w:lang w:val="en-GB"/>
        </w:rPr>
        <w:t xml:space="preserve"> speak mainly </w:t>
      </w:r>
      <w:r w:rsidR="00237A52">
        <w:rPr>
          <w:rFonts w:ascii="Times New Roman" w:hAnsi="Times New Roman" w:cs="Times New Roman"/>
          <w:lang w:val="en-GB"/>
        </w:rPr>
        <w:t>on</w:t>
      </w:r>
      <w:r>
        <w:rPr>
          <w:rFonts w:ascii="Times New Roman" w:hAnsi="Times New Roman" w:cs="Times New Roman"/>
          <w:lang w:val="en-GB"/>
        </w:rPr>
        <w:t xml:space="preserve"> ensuring an efficient audit plan with a </w:t>
      </w:r>
      <w:r w:rsidR="002B73D2">
        <w:rPr>
          <w:rFonts w:ascii="Times New Roman" w:hAnsi="Times New Roman" w:cs="Times New Roman"/>
          <w:lang w:val="en-GB"/>
        </w:rPr>
        <w:t>well-thought-out</w:t>
      </w:r>
      <w:r>
        <w:rPr>
          <w:rFonts w:ascii="Times New Roman" w:hAnsi="Times New Roman" w:cs="Times New Roman"/>
          <w:lang w:val="en-GB"/>
        </w:rPr>
        <w:t xml:space="preserve"> risk management plan, reducing the vacancy rate for engineers and scientists, implementing training interventions for staff, as some of the percentages in the past for training could not be met as some staff were too busy to attend. </w:t>
      </w:r>
    </w:p>
    <w:p w:rsidR="00BE4D19" w:rsidRPr="00F80D2C" w:rsidRDefault="00BE4D19" w:rsidP="002C598C">
      <w:pPr>
        <w:spacing w:after="0" w:line="360" w:lineRule="auto"/>
        <w:jc w:val="both"/>
        <w:rPr>
          <w:rFonts w:ascii="Times New Roman" w:hAnsi="Times New Roman" w:cs="Times New Roman"/>
          <w:sz w:val="16"/>
          <w:szCs w:val="16"/>
          <w:lang w:val="en-GB"/>
        </w:rPr>
      </w:pPr>
    </w:p>
    <w:p w:rsidR="00BE4D19" w:rsidRDefault="00BE4D19" w:rsidP="002C598C">
      <w:pPr>
        <w:spacing w:after="0" w:line="360" w:lineRule="auto"/>
        <w:jc w:val="both"/>
        <w:rPr>
          <w:rFonts w:ascii="Times New Roman" w:hAnsi="Times New Roman" w:cs="Times New Roman"/>
          <w:lang w:val="en-GB"/>
        </w:rPr>
      </w:pPr>
      <w:r>
        <w:rPr>
          <w:rFonts w:ascii="Times New Roman" w:hAnsi="Times New Roman" w:cs="Times New Roman"/>
          <w:lang w:val="en-GB"/>
        </w:rPr>
        <w:t xml:space="preserve">Standardised targets set by the DPME for procurement supporting SMMEs and QSEs were used. </w:t>
      </w:r>
      <w:r w:rsidR="00237A52">
        <w:rPr>
          <w:rFonts w:ascii="Times New Roman" w:hAnsi="Times New Roman" w:cs="Times New Roman"/>
          <w:lang w:val="en-GB"/>
        </w:rPr>
        <w:t>The target set for achieving 100% expenditure spend in the year under review</w:t>
      </w:r>
      <w:r w:rsidR="002B73D2">
        <w:rPr>
          <w:rFonts w:ascii="Times New Roman" w:hAnsi="Times New Roman" w:cs="Times New Roman"/>
          <w:lang w:val="en-GB"/>
        </w:rPr>
        <w:t xml:space="preserve"> is an ambitious </w:t>
      </w:r>
      <w:r w:rsidR="00E64E9F">
        <w:rPr>
          <w:rFonts w:ascii="Times New Roman" w:hAnsi="Times New Roman" w:cs="Times New Roman"/>
          <w:lang w:val="en-GB"/>
        </w:rPr>
        <w:t xml:space="preserve">one. </w:t>
      </w:r>
      <w:r w:rsidR="002B73D2">
        <w:rPr>
          <w:rFonts w:ascii="Times New Roman" w:hAnsi="Times New Roman" w:cs="Times New Roman"/>
          <w:lang w:val="en-GB"/>
        </w:rPr>
        <w:t xml:space="preserve"> </w:t>
      </w:r>
      <w:r w:rsidR="00E64E9F">
        <w:rPr>
          <w:rFonts w:ascii="Times New Roman" w:hAnsi="Times New Roman" w:cs="Times New Roman"/>
          <w:lang w:val="en-GB"/>
        </w:rPr>
        <w:t>W</w:t>
      </w:r>
      <w:r w:rsidR="002B73D2">
        <w:rPr>
          <w:rFonts w:ascii="Times New Roman" w:hAnsi="Times New Roman" w:cs="Times New Roman"/>
          <w:lang w:val="en-GB"/>
        </w:rPr>
        <w:t>ith</w:t>
      </w:r>
      <w:r w:rsidR="00237A52">
        <w:rPr>
          <w:rFonts w:ascii="Times New Roman" w:hAnsi="Times New Roman" w:cs="Times New Roman"/>
          <w:lang w:val="en-GB"/>
        </w:rPr>
        <w:t xml:space="preserve"> the implementation of the financial recovery plan, the Department intends to work toward achieving this target, as money returned to National Treasury, as in the past, hampered the work of the Department in </w:t>
      </w:r>
      <w:r w:rsidR="00F613AE">
        <w:rPr>
          <w:rFonts w:ascii="Times New Roman" w:hAnsi="Times New Roman" w:cs="Times New Roman"/>
          <w:lang w:val="en-GB"/>
        </w:rPr>
        <w:t xml:space="preserve">the </w:t>
      </w:r>
      <w:r w:rsidR="00237A52">
        <w:rPr>
          <w:rFonts w:ascii="Times New Roman" w:hAnsi="Times New Roman" w:cs="Times New Roman"/>
          <w:lang w:val="en-GB"/>
        </w:rPr>
        <w:t xml:space="preserve">delivery of </w:t>
      </w:r>
      <w:r w:rsidR="00C0369E">
        <w:rPr>
          <w:rFonts w:ascii="Times New Roman" w:hAnsi="Times New Roman" w:cs="Times New Roman"/>
          <w:lang w:val="en-GB"/>
        </w:rPr>
        <w:t xml:space="preserve">infrastructure </w:t>
      </w:r>
      <w:r w:rsidR="00237A52">
        <w:rPr>
          <w:rFonts w:ascii="Times New Roman" w:hAnsi="Times New Roman" w:cs="Times New Roman"/>
          <w:lang w:val="en-GB"/>
        </w:rPr>
        <w:t>services, where the needs for water and sanitation are so great.</w:t>
      </w:r>
    </w:p>
    <w:p w:rsidR="00F613AE" w:rsidRPr="00F80D2C" w:rsidRDefault="00F613AE" w:rsidP="002C598C">
      <w:pPr>
        <w:spacing w:after="0" w:line="360" w:lineRule="auto"/>
        <w:jc w:val="both"/>
        <w:rPr>
          <w:rFonts w:ascii="Times New Roman" w:hAnsi="Times New Roman" w:cs="Times New Roman"/>
          <w:sz w:val="16"/>
          <w:szCs w:val="16"/>
          <w:lang w:val="en-GB"/>
        </w:rPr>
      </w:pPr>
    </w:p>
    <w:p w:rsidR="00A6692E" w:rsidRDefault="0009670E" w:rsidP="00A6692E">
      <w:pPr>
        <w:spacing w:after="0" w:line="360" w:lineRule="auto"/>
        <w:jc w:val="both"/>
        <w:rPr>
          <w:rFonts w:ascii="Times New Roman" w:hAnsi="Times New Roman" w:cs="Times New Roman"/>
          <w:b/>
        </w:rPr>
      </w:pPr>
      <w:r>
        <w:rPr>
          <w:rFonts w:ascii="Times New Roman" w:hAnsi="Times New Roman" w:cs="Times New Roman"/>
          <w:b/>
        </w:rPr>
        <w:t>5.2</w:t>
      </w:r>
      <w:r w:rsidR="00A6692E">
        <w:rPr>
          <w:rFonts w:ascii="Times New Roman" w:hAnsi="Times New Roman" w:cs="Times New Roman"/>
          <w:b/>
        </w:rPr>
        <w:tab/>
        <w:t>Programme 2: Water Resources Management</w:t>
      </w:r>
    </w:p>
    <w:p w:rsidR="00A6692E" w:rsidRPr="00596470" w:rsidRDefault="00A6692E" w:rsidP="00A6692E">
      <w:pPr>
        <w:spacing w:after="0" w:line="360" w:lineRule="auto"/>
        <w:jc w:val="both"/>
        <w:rPr>
          <w:rFonts w:ascii="Times New Roman" w:hAnsi="Times New Roman" w:cs="Times New Roman"/>
          <w:sz w:val="16"/>
          <w:szCs w:val="16"/>
        </w:rPr>
      </w:pPr>
    </w:p>
    <w:p w:rsidR="00D75F57" w:rsidRDefault="00C809F3" w:rsidP="00D75F57">
      <w:pPr>
        <w:spacing w:after="0" w:line="360" w:lineRule="auto"/>
        <w:jc w:val="both"/>
        <w:rPr>
          <w:rFonts w:ascii="Times New Roman" w:hAnsi="Times New Roman" w:cs="Times New Roman"/>
        </w:rPr>
      </w:pPr>
      <w:r w:rsidRPr="00C809F3">
        <w:rPr>
          <w:rFonts w:ascii="Times New Roman" w:hAnsi="Times New Roman" w:cs="Times New Roman"/>
        </w:rPr>
        <w:t>This programme aims to ensure that the country’s water resources are protected, used, developed, conserved, managed,</w:t>
      </w:r>
      <w:r w:rsidR="00D75F57" w:rsidRPr="00D75F57">
        <w:rPr>
          <w:rFonts w:ascii="Times New Roman" w:hAnsi="Times New Roman" w:cs="Times New Roman"/>
        </w:rPr>
        <w:t xml:space="preserve"> and controlled </w:t>
      </w:r>
      <w:r>
        <w:rPr>
          <w:rFonts w:ascii="Times New Roman" w:hAnsi="Times New Roman" w:cs="Times New Roman"/>
        </w:rPr>
        <w:t>sustainably</w:t>
      </w:r>
      <w:r w:rsidR="00D75F57" w:rsidRPr="00D75F57">
        <w:rPr>
          <w:rFonts w:ascii="Times New Roman" w:hAnsi="Times New Roman" w:cs="Times New Roman"/>
        </w:rPr>
        <w:t xml:space="preserve"> for the benefit of all people and the environment. This is done by </w:t>
      </w:r>
      <w:r>
        <w:rPr>
          <w:rFonts w:ascii="Times New Roman" w:hAnsi="Times New Roman" w:cs="Times New Roman"/>
        </w:rPr>
        <w:t>creating</w:t>
      </w:r>
      <w:r w:rsidR="00D75F57" w:rsidRPr="00D75F57">
        <w:rPr>
          <w:rFonts w:ascii="Times New Roman" w:hAnsi="Times New Roman" w:cs="Times New Roman"/>
        </w:rPr>
        <w:t xml:space="preserve"> a knowledge base and implementing effective policies, procedures and integrated planning strategies for water resources.</w:t>
      </w:r>
    </w:p>
    <w:p w:rsidR="0054531F" w:rsidRPr="00F80D2C" w:rsidRDefault="0054531F" w:rsidP="00D75F57">
      <w:pPr>
        <w:spacing w:after="0" w:line="360" w:lineRule="auto"/>
        <w:jc w:val="both"/>
        <w:rPr>
          <w:rFonts w:ascii="Times New Roman" w:hAnsi="Times New Roman" w:cs="Times New Roman"/>
          <w:sz w:val="16"/>
          <w:szCs w:val="16"/>
        </w:rPr>
      </w:pPr>
    </w:p>
    <w:p w:rsidR="00B87557" w:rsidRDefault="00D75F57" w:rsidP="00B87557">
      <w:pPr>
        <w:spacing w:after="0" w:line="360" w:lineRule="auto"/>
        <w:jc w:val="both"/>
        <w:rPr>
          <w:rFonts w:ascii="Times New Roman" w:hAnsi="Times New Roman" w:cs="Times New Roman"/>
          <w:noProof/>
          <w:lang w:eastAsia="en-ZA"/>
        </w:rPr>
      </w:pPr>
      <w:r w:rsidRPr="00D75F57">
        <w:rPr>
          <w:rFonts w:ascii="Times New Roman" w:hAnsi="Times New Roman" w:cs="Times New Roman"/>
          <w:noProof/>
          <w:lang w:eastAsia="en-ZA"/>
        </w:rPr>
        <w:t>This Programme, which constitutes 20 per cent of the overall departmental budget, is allocated R3.7 billion in the 2022/23 financial year, up from R3.5 billion in 2021/22. This reflects a nominal rand increase of R166 million, which translates into a real rand increase of R3.4 million between 2021/22 and 2022/23</w:t>
      </w:r>
      <w:r>
        <w:rPr>
          <w:rFonts w:ascii="Times New Roman" w:hAnsi="Times New Roman" w:cs="Times New Roman"/>
          <w:noProof/>
          <w:lang w:eastAsia="en-ZA"/>
        </w:rPr>
        <w:t>.</w:t>
      </w:r>
      <w:r w:rsidR="00B87557">
        <w:rPr>
          <w:rFonts w:ascii="Times New Roman" w:hAnsi="Times New Roman" w:cs="Times New Roman"/>
          <w:noProof/>
          <w:lang w:eastAsia="en-ZA"/>
        </w:rPr>
        <w:t xml:space="preserve"> </w:t>
      </w:r>
    </w:p>
    <w:p w:rsidR="00B87557" w:rsidRDefault="00B87557" w:rsidP="00B87557">
      <w:p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 xml:space="preserve">For the 2022/23 financial year, the Department identified the following outcomes, with associated outputs, output indicators and </w:t>
      </w:r>
      <w:r w:rsidR="002D70A9">
        <w:rPr>
          <w:rFonts w:ascii="Times New Roman" w:hAnsi="Times New Roman" w:cs="Times New Roman"/>
          <w:lang w:val="en-GB"/>
        </w:rPr>
        <w:t xml:space="preserve">numbers </w:t>
      </w:r>
      <w:r>
        <w:rPr>
          <w:rFonts w:ascii="Times New Roman" w:hAnsi="Times New Roman" w:cs="Times New Roman"/>
          <w:lang w:val="en-GB"/>
        </w:rPr>
        <w:t>achievable:</w:t>
      </w:r>
    </w:p>
    <w:p w:rsidR="00B87557" w:rsidRPr="00F80D2C" w:rsidRDefault="00B87557" w:rsidP="00B87557">
      <w:pPr>
        <w:spacing w:after="0" w:line="360" w:lineRule="auto"/>
        <w:jc w:val="both"/>
        <w:rPr>
          <w:rFonts w:ascii="Times New Roman" w:hAnsi="Times New Roman" w:cs="Times New Roman"/>
          <w:sz w:val="16"/>
          <w:szCs w:val="16"/>
          <w:lang w:val="en-GB"/>
        </w:rPr>
      </w:pPr>
    </w:p>
    <w:p w:rsidR="002D70A9" w:rsidRDefault="002D70A9" w:rsidP="002D70A9">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Ecological infrastructure protected and restored, which constitutes the number of river systems with resource classes and determined resource quality objectives – 1 – Thukela. </w:t>
      </w:r>
      <w:r w:rsidR="00857365">
        <w:rPr>
          <w:rFonts w:ascii="Times New Roman" w:hAnsi="Times New Roman" w:cs="Times New Roman"/>
          <w:lang w:val="en-GB"/>
        </w:rPr>
        <w:t>The number</w:t>
      </w:r>
      <w:r>
        <w:rPr>
          <w:rFonts w:ascii="Times New Roman" w:hAnsi="Times New Roman" w:cs="Times New Roman"/>
          <w:lang w:val="en-GB"/>
        </w:rPr>
        <w:t xml:space="preserve"> of river systems monitored </w:t>
      </w:r>
      <w:r w:rsidR="00857365">
        <w:rPr>
          <w:rFonts w:ascii="Times New Roman" w:hAnsi="Times New Roman" w:cs="Times New Roman"/>
          <w:lang w:val="en-GB"/>
        </w:rPr>
        <w:t>to implement resource-directed measures</w:t>
      </w:r>
      <w:r>
        <w:rPr>
          <w:rFonts w:ascii="Times New Roman" w:hAnsi="Times New Roman" w:cs="Times New Roman"/>
          <w:lang w:val="en-GB"/>
        </w:rPr>
        <w:t xml:space="preserve"> </w:t>
      </w:r>
      <w:r w:rsidR="005C5C0F">
        <w:rPr>
          <w:rFonts w:ascii="Times New Roman" w:hAnsi="Times New Roman" w:cs="Times New Roman"/>
          <w:lang w:val="en-GB"/>
        </w:rPr>
        <w:t>includes</w:t>
      </w:r>
      <w:r>
        <w:rPr>
          <w:rFonts w:ascii="Times New Roman" w:hAnsi="Times New Roman" w:cs="Times New Roman"/>
          <w:lang w:val="en-GB"/>
        </w:rPr>
        <w:t xml:space="preserve"> 4 – Inkomathi-Usuthu, O</w:t>
      </w:r>
      <w:r w:rsidR="00857365">
        <w:rPr>
          <w:rFonts w:ascii="Times New Roman" w:hAnsi="Times New Roman" w:cs="Times New Roman"/>
          <w:lang w:val="en-GB"/>
        </w:rPr>
        <w:t xml:space="preserve">lifants-Doorn, Vaal and Letaba, and the number of rivers in which </w:t>
      </w:r>
      <w:r w:rsidR="009E4677">
        <w:rPr>
          <w:rFonts w:ascii="Times New Roman" w:hAnsi="Times New Roman" w:cs="Times New Roman"/>
          <w:lang w:val="en-GB"/>
        </w:rPr>
        <w:t xml:space="preserve">the </w:t>
      </w:r>
      <w:r w:rsidR="00857365">
        <w:rPr>
          <w:rFonts w:ascii="Times New Roman" w:hAnsi="Times New Roman" w:cs="Times New Roman"/>
          <w:lang w:val="en-GB"/>
        </w:rPr>
        <w:t xml:space="preserve">river eco-status monitoring programme is implemented </w:t>
      </w:r>
      <w:r w:rsidR="009E4677">
        <w:rPr>
          <w:rFonts w:ascii="Times New Roman" w:hAnsi="Times New Roman" w:cs="Times New Roman"/>
          <w:lang w:val="en-GB"/>
        </w:rPr>
        <w:t xml:space="preserve">is </w:t>
      </w:r>
      <w:r w:rsidR="00857365">
        <w:rPr>
          <w:rFonts w:ascii="Times New Roman" w:hAnsi="Times New Roman" w:cs="Times New Roman"/>
          <w:lang w:val="en-GB"/>
        </w:rPr>
        <w:t>70. The catchment strategies and plans developed for mine water and wastewater treatment work – 2 – Upper Olifants and Limpopo. The number of catchment plans implemented for mine water and wastewater management – 2 in Orange and Mzimvubu-Tsitsikamma. The final waste discharge charge system (WDCS) will be piloted countrywide.</w:t>
      </w:r>
      <w:r w:rsidR="00CF4B49">
        <w:rPr>
          <w:rFonts w:ascii="Times New Roman" w:hAnsi="Times New Roman" w:cs="Times New Roman"/>
          <w:lang w:val="en-GB"/>
        </w:rPr>
        <w:t xml:space="preserve"> </w:t>
      </w:r>
    </w:p>
    <w:p w:rsidR="00857365" w:rsidRDefault="00DF3105" w:rsidP="00DF3105">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On </w:t>
      </w:r>
      <w:r w:rsidRPr="00DF3105">
        <w:rPr>
          <w:rFonts w:ascii="Times New Roman" w:hAnsi="Times New Roman" w:cs="Times New Roman"/>
          <w:lang w:val="en-GB"/>
        </w:rPr>
        <w:t>reducing water demand and increasing water supply, there are integrated water resources plans/measures developed, which comprise the annual status on implementing</w:t>
      </w:r>
      <w:r>
        <w:rPr>
          <w:rFonts w:ascii="Times New Roman" w:hAnsi="Times New Roman" w:cs="Times New Roman"/>
          <w:lang w:val="en-GB"/>
        </w:rPr>
        <w:t xml:space="preserve"> the master</w:t>
      </w:r>
      <w:r w:rsidR="00DB3607">
        <w:rPr>
          <w:rFonts w:ascii="Times New Roman" w:hAnsi="Times New Roman" w:cs="Times New Roman"/>
          <w:lang w:val="en-GB"/>
        </w:rPr>
        <w:t xml:space="preserve"> plans with nine operating mines</w:t>
      </w:r>
      <w:r>
        <w:rPr>
          <w:rFonts w:ascii="Times New Roman" w:hAnsi="Times New Roman" w:cs="Times New Roman"/>
          <w:lang w:val="en-GB"/>
        </w:rPr>
        <w:t xml:space="preserve"> and specialist strategy studies </w:t>
      </w:r>
      <w:r w:rsidR="00DB3607">
        <w:rPr>
          <w:rFonts w:ascii="Times New Roman" w:hAnsi="Times New Roman" w:cs="Times New Roman"/>
          <w:lang w:val="en-GB"/>
        </w:rPr>
        <w:t xml:space="preserve">to be </w:t>
      </w:r>
      <w:r>
        <w:rPr>
          <w:rFonts w:ascii="Times New Roman" w:hAnsi="Times New Roman" w:cs="Times New Roman"/>
          <w:lang w:val="en-GB"/>
        </w:rPr>
        <w:t>completed. Seven water resources monitorin</w:t>
      </w:r>
      <w:r w:rsidR="00DB3607">
        <w:rPr>
          <w:rFonts w:ascii="Times New Roman" w:hAnsi="Times New Roman" w:cs="Times New Roman"/>
          <w:lang w:val="en-GB"/>
        </w:rPr>
        <w:t xml:space="preserve">g programmes and </w:t>
      </w:r>
      <w:r w:rsidR="00DD3F25">
        <w:rPr>
          <w:rFonts w:ascii="Times New Roman" w:hAnsi="Times New Roman" w:cs="Times New Roman"/>
          <w:lang w:val="en-GB"/>
        </w:rPr>
        <w:t>six</w:t>
      </w:r>
      <w:r w:rsidR="00DB3607">
        <w:rPr>
          <w:rFonts w:ascii="Times New Roman" w:hAnsi="Times New Roman" w:cs="Times New Roman"/>
          <w:lang w:val="en-GB"/>
        </w:rPr>
        <w:t xml:space="preserve"> information systems will be </w:t>
      </w:r>
      <w:r>
        <w:rPr>
          <w:rFonts w:ascii="Times New Roman" w:hAnsi="Times New Roman" w:cs="Times New Roman"/>
          <w:lang w:val="en-GB"/>
        </w:rPr>
        <w:t>viewed and maintained, with one gauging station refurbished to improve management decisions. There will be four bulk raw water projects in preparation for implementation and four bulk raw water projects under construction, with one bulk raw water to be completed.</w:t>
      </w:r>
    </w:p>
    <w:p w:rsidR="00DF3105" w:rsidRPr="00CF4B49" w:rsidRDefault="00DF3105" w:rsidP="00510CF3">
      <w:pPr>
        <w:pStyle w:val="ListParagraph"/>
        <w:numPr>
          <w:ilvl w:val="0"/>
          <w:numId w:val="22"/>
        </w:numPr>
        <w:spacing w:after="0" w:line="360" w:lineRule="auto"/>
        <w:jc w:val="both"/>
        <w:rPr>
          <w:rFonts w:ascii="Times New Roman" w:hAnsi="Times New Roman" w:cs="Times New Roman"/>
          <w:lang w:val="en-GB"/>
        </w:rPr>
      </w:pPr>
      <w:r w:rsidRPr="00CF4B49">
        <w:rPr>
          <w:rFonts w:ascii="Times New Roman" w:hAnsi="Times New Roman" w:cs="Times New Roman"/>
          <w:lang w:val="en-GB"/>
        </w:rPr>
        <w:t xml:space="preserve">On enhanced regulation of the water and sanitation sector, the Department intends to develop the National Water Act Amendment Bill and the National Water Resources Strategy-3. </w:t>
      </w:r>
      <w:r w:rsidR="00CF4B49">
        <w:rPr>
          <w:rFonts w:ascii="Times New Roman" w:hAnsi="Times New Roman" w:cs="Times New Roman"/>
          <w:lang w:val="en-GB"/>
        </w:rPr>
        <w:t>Other initiatives relate to</w:t>
      </w:r>
      <w:r w:rsidRPr="00CF4B49">
        <w:rPr>
          <w:rFonts w:ascii="Times New Roman" w:hAnsi="Times New Roman" w:cs="Times New Roman"/>
          <w:lang w:val="en-GB"/>
        </w:rPr>
        <w:t xml:space="preserve"> the output </w:t>
      </w:r>
      <w:r w:rsidR="00FD168C">
        <w:rPr>
          <w:rFonts w:ascii="Times New Roman" w:hAnsi="Times New Roman" w:cs="Times New Roman"/>
          <w:lang w:val="en-GB"/>
        </w:rPr>
        <w:t>of</w:t>
      </w:r>
      <w:r w:rsidR="00DB3607" w:rsidRPr="00CF4B49">
        <w:rPr>
          <w:rFonts w:ascii="Times New Roman" w:hAnsi="Times New Roman" w:cs="Times New Roman"/>
          <w:lang w:val="en-GB"/>
        </w:rPr>
        <w:t xml:space="preserve"> water resource regulatory prescripts developed and implemented – with the Water Research Commission levy approved. The number of wastewater systems to be monitored against regulatory requirements is 408. </w:t>
      </w:r>
      <w:r w:rsidR="009E4677" w:rsidRPr="00CF4B49">
        <w:rPr>
          <w:rFonts w:ascii="Times New Roman" w:hAnsi="Times New Roman" w:cs="Times New Roman"/>
          <w:lang w:val="en-GB"/>
        </w:rPr>
        <w:t xml:space="preserve">Draft regulation for water allocation reform will be </w:t>
      </w:r>
      <w:r w:rsidR="00DB3607" w:rsidRPr="00CF4B49">
        <w:rPr>
          <w:rFonts w:ascii="Times New Roman" w:hAnsi="Times New Roman" w:cs="Times New Roman"/>
          <w:lang w:val="en-GB"/>
        </w:rPr>
        <w:t xml:space="preserve">published for public </w:t>
      </w:r>
      <w:r w:rsidR="009E4677" w:rsidRPr="00CF4B49">
        <w:rPr>
          <w:rFonts w:ascii="Times New Roman" w:hAnsi="Times New Roman" w:cs="Times New Roman"/>
          <w:lang w:val="en-GB"/>
        </w:rPr>
        <w:t>comment</w:t>
      </w:r>
      <w:r w:rsidR="00DB3607" w:rsidRPr="00CF4B49">
        <w:rPr>
          <w:rFonts w:ascii="Times New Roman" w:hAnsi="Times New Roman" w:cs="Times New Roman"/>
          <w:lang w:val="en-GB"/>
        </w:rPr>
        <w:t>.</w:t>
      </w:r>
    </w:p>
    <w:p w:rsidR="00DB3607" w:rsidRPr="00DB3607" w:rsidRDefault="00DB3607" w:rsidP="00DB3607">
      <w:pPr>
        <w:pStyle w:val="ListParagraph"/>
        <w:numPr>
          <w:ilvl w:val="0"/>
          <w:numId w:val="22"/>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On water distributed for transformation, the performance of water resources institutions to be evaluated against their performance plans are 4, gazetting of one catchment management agency, the Mzimvubu-Tsitsikamma, the National Water Resources Infrastructure Agency Bill to be finalised, with the transformation of 5 irrigation boards into water user associations.  </w:t>
      </w:r>
      <w:r w:rsidR="00157B7D">
        <w:rPr>
          <w:rFonts w:ascii="Times New Roman" w:hAnsi="Times New Roman" w:cs="Times New Roman"/>
          <w:lang w:val="en-GB"/>
        </w:rPr>
        <w:t>A business case will be</w:t>
      </w:r>
      <w:r>
        <w:rPr>
          <w:rFonts w:ascii="Times New Roman" w:hAnsi="Times New Roman" w:cs="Times New Roman"/>
          <w:lang w:val="en-GB"/>
        </w:rPr>
        <w:t xml:space="preserve"> compiled </w:t>
      </w:r>
      <w:r w:rsidR="009E4677">
        <w:rPr>
          <w:rFonts w:ascii="Times New Roman" w:hAnsi="Times New Roman" w:cs="Times New Roman"/>
          <w:lang w:val="en-GB"/>
        </w:rPr>
        <w:t>to establish</w:t>
      </w:r>
      <w:r>
        <w:rPr>
          <w:rFonts w:ascii="Times New Roman" w:hAnsi="Times New Roman" w:cs="Times New Roman"/>
          <w:lang w:val="en-GB"/>
        </w:rPr>
        <w:t xml:space="preserve"> a Water Regulator Version 111.</w:t>
      </w:r>
      <w:r w:rsidRPr="00DB3607">
        <w:rPr>
          <w:rFonts w:ascii="Times New Roman" w:hAnsi="Times New Roman" w:cs="Times New Roman"/>
          <w:lang w:val="en-GB"/>
        </w:rPr>
        <w:t xml:space="preserve"> </w:t>
      </w:r>
    </w:p>
    <w:p w:rsidR="002C598C" w:rsidRPr="00F80D2C" w:rsidRDefault="002C598C" w:rsidP="00D75F57">
      <w:pPr>
        <w:spacing w:after="0" w:line="360" w:lineRule="auto"/>
        <w:jc w:val="both"/>
        <w:rPr>
          <w:rFonts w:ascii="Times New Roman" w:hAnsi="Times New Roman" w:cs="Times New Roman"/>
          <w:noProof/>
          <w:sz w:val="16"/>
          <w:szCs w:val="16"/>
          <w:lang w:eastAsia="en-ZA"/>
        </w:rPr>
      </w:pPr>
    </w:p>
    <w:p w:rsidR="0054287D" w:rsidRPr="00F80D2C" w:rsidRDefault="00BE4D19" w:rsidP="00C0369E">
      <w:pPr>
        <w:spacing w:after="0" w:line="360" w:lineRule="auto"/>
        <w:jc w:val="both"/>
        <w:rPr>
          <w:rFonts w:ascii="Times New Roman" w:hAnsi="Times New Roman" w:cs="Times New Roman"/>
          <w:noProof/>
          <w:lang w:eastAsia="en-ZA"/>
        </w:rPr>
      </w:pPr>
      <w:r w:rsidRPr="00F80D2C">
        <w:rPr>
          <w:rFonts w:ascii="Times New Roman" w:hAnsi="Times New Roman" w:cs="Times New Roman"/>
          <w:noProof/>
          <w:lang w:eastAsia="en-ZA"/>
        </w:rPr>
        <w:t xml:space="preserve">Summary explanatory notes presented by the Department on the above outcomes, outputs and targets in Programme </w:t>
      </w:r>
      <w:r w:rsidR="00237A52" w:rsidRPr="00F80D2C">
        <w:rPr>
          <w:rFonts w:ascii="Times New Roman" w:hAnsi="Times New Roman" w:cs="Times New Roman"/>
          <w:noProof/>
          <w:lang w:eastAsia="en-ZA"/>
        </w:rPr>
        <w:t>2</w:t>
      </w:r>
      <w:r w:rsidRPr="00F80D2C">
        <w:rPr>
          <w:rFonts w:ascii="Times New Roman" w:hAnsi="Times New Roman" w:cs="Times New Roman"/>
          <w:noProof/>
          <w:lang w:eastAsia="en-ZA"/>
        </w:rPr>
        <w:t xml:space="preserve">: </w:t>
      </w:r>
      <w:r w:rsidR="00237A52" w:rsidRPr="00F80D2C">
        <w:rPr>
          <w:rFonts w:ascii="Times New Roman" w:hAnsi="Times New Roman" w:cs="Times New Roman"/>
          <w:noProof/>
          <w:lang w:eastAsia="en-ZA"/>
        </w:rPr>
        <w:t>Water Resource Management (highlighted above) in the Annual Perform</w:t>
      </w:r>
      <w:r w:rsidR="00C0369E" w:rsidRPr="00F80D2C">
        <w:rPr>
          <w:rFonts w:ascii="Times New Roman" w:hAnsi="Times New Roman" w:cs="Times New Roman"/>
          <w:noProof/>
          <w:lang w:eastAsia="en-ZA"/>
        </w:rPr>
        <w:t>ance Plan are further concretised by the following initiatives:</w:t>
      </w:r>
    </w:p>
    <w:p w:rsidR="0054287D" w:rsidRPr="00F80D2C" w:rsidRDefault="0054287D" w:rsidP="00D75F57">
      <w:pPr>
        <w:spacing w:after="0" w:line="360" w:lineRule="auto"/>
        <w:jc w:val="both"/>
        <w:rPr>
          <w:rFonts w:ascii="Times New Roman" w:hAnsi="Times New Roman" w:cs="Times New Roman"/>
          <w:noProof/>
          <w:sz w:val="16"/>
          <w:szCs w:val="16"/>
          <w:lang w:eastAsia="en-ZA"/>
        </w:rPr>
      </w:pPr>
    </w:p>
    <w:p w:rsidR="0054287D" w:rsidRDefault="0054287D" w:rsidP="00D75F57">
      <w:pPr>
        <w:spacing w:after="0" w:line="360" w:lineRule="auto"/>
        <w:jc w:val="both"/>
        <w:rPr>
          <w:rFonts w:ascii="Times New Roman" w:hAnsi="Times New Roman" w:cs="Times New Roman"/>
          <w:noProof/>
          <w:lang w:eastAsia="en-ZA"/>
        </w:rPr>
      </w:pPr>
      <w:r>
        <w:rPr>
          <w:rFonts w:ascii="Times New Roman" w:hAnsi="Times New Roman" w:cs="Times New Roman"/>
          <w:noProof/>
          <w:lang w:eastAsia="en-ZA"/>
        </w:rPr>
        <w:t>W</w:t>
      </w:r>
      <w:r w:rsidR="00BC7278">
        <w:rPr>
          <w:rFonts w:ascii="Times New Roman" w:hAnsi="Times New Roman" w:cs="Times New Roman"/>
          <w:noProof/>
          <w:lang w:eastAsia="en-ZA"/>
        </w:rPr>
        <w:t xml:space="preserve">ater </w:t>
      </w:r>
      <w:r>
        <w:rPr>
          <w:rFonts w:ascii="Times New Roman" w:hAnsi="Times New Roman" w:cs="Times New Roman"/>
          <w:noProof/>
          <w:lang w:eastAsia="en-ZA"/>
        </w:rPr>
        <w:t>resources monitoring and reviewing</w:t>
      </w:r>
      <w:r w:rsidR="00BC7278">
        <w:rPr>
          <w:rFonts w:ascii="Times New Roman" w:hAnsi="Times New Roman" w:cs="Times New Roman"/>
          <w:noProof/>
          <w:lang w:eastAsia="en-ZA"/>
        </w:rPr>
        <w:t xml:space="preserve"> information systems related to water sources</w:t>
      </w:r>
      <w:r>
        <w:rPr>
          <w:rFonts w:ascii="Times New Roman" w:hAnsi="Times New Roman" w:cs="Times New Roman"/>
          <w:noProof/>
          <w:lang w:eastAsia="en-ZA"/>
        </w:rPr>
        <w:t xml:space="preserve"> are </w:t>
      </w:r>
      <w:r w:rsidR="002B73D2">
        <w:rPr>
          <w:rFonts w:ascii="Times New Roman" w:hAnsi="Times New Roman" w:cs="Times New Roman"/>
          <w:noProof/>
          <w:lang w:eastAsia="en-ZA"/>
        </w:rPr>
        <w:t>essential</w:t>
      </w:r>
      <w:r w:rsidR="0083061D">
        <w:rPr>
          <w:rFonts w:ascii="Times New Roman" w:hAnsi="Times New Roman" w:cs="Times New Roman"/>
          <w:noProof/>
          <w:lang w:eastAsia="en-ZA"/>
        </w:rPr>
        <w:t>,</w:t>
      </w:r>
      <w:r>
        <w:rPr>
          <w:rFonts w:ascii="Times New Roman" w:hAnsi="Times New Roman" w:cs="Times New Roman"/>
          <w:noProof/>
          <w:lang w:eastAsia="en-ZA"/>
        </w:rPr>
        <w:t xml:space="preserve"> with well-resourced gauging stations to monitor and update information as levels of water sources are the “bedrock” to determine water needs in the country.</w:t>
      </w:r>
      <w:r w:rsidR="00BC7278">
        <w:rPr>
          <w:rFonts w:ascii="Times New Roman" w:hAnsi="Times New Roman" w:cs="Times New Roman"/>
          <w:noProof/>
          <w:lang w:eastAsia="en-ZA"/>
        </w:rPr>
        <w:t xml:space="preserve"> </w:t>
      </w:r>
      <w:r>
        <w:rPr>
          <w:rFonts w:ascii="Times New Roman" w:hAnsi="Times New Roman" w:cs="Times New Roman"/>
          <w:noProof/>
          <w:lang w:eastAsia="en-ZA"/>
        </w:rPr>
        <w:t>A</w:t>
      </w:r>
      <w:r w:rsidR="00BC7278">
        <w:rPr>
          <w:rFonts w:ascii="Times New Roman" w:hAnsi="Times New Roman" w:cs="Times New Roman"/>
          <w:noProof/>
          <w:lang w:eastAsia="en-ZA"/>
        </w:rPr>
        <w:t xml:space="preserve">n ongoing priority </w:t>
      </w:r>
      <w:r>
        <w:rPr>
          <w:rFonts w:ascii="Times New Roman" w:hAnsi="Times New Roman" w:cs="Times New Roman"/>
          <w:noProof/>
          <w:lang w:eastAsia="en-ZA"/>
        </w:rPr>
        <w:t>in this programme is to</w:t>
      </w:r>
      <w:r w:rsidR="00BC7278">
        <w:rPr>
          <w:rFonts w:ascii="Times New Roman" w:hAnsi="Times New Roman" w:cs="Times New Roman"/>
          <w:noProof/>
          <w:lang w:eastAsia="en-ZA"/>
        </w:rPr>
        <w:t xml:space="preserve"> </w:t>
      </w:r>
      <w:r w:rsidR="00BC7278">
        <w:rPr>
          <w:rFonts w:ascii="Times New Roman" w:hAnsi="Times New Roman" w:cs="Times New Roman"/>
          <w:noProof/>
          <w:lang w:eastAsia="en-ZA"/>
        </w:rPr>
        <w:lastRenderedPageBreak/>
        <w:t xml:space="preserve">implement and plan major resource infrastructure projects. </w:t>
      </w:r>
      <w:r>
        <w:rPr>
          <w:rFonts w:ascii="Times New Roman" w:hAnsi="Times New Roman" w:cs="Times New Roman"/>
          <w:noProof/>
          <w:lang w:eastAsia="en-ZA"/>
        </w:rPr>
        <w:t>The centrality of the n</w:t>
      </w:r>
      <w:r w:rsidR="00BC7278">
        <w:rPr>
          <w:rFonts w:ascii="Times New Roman" w:hAnsi="Times New Roman" w:cs="Times New Roman"/>
          <w:noProof/>
          <w:lang w:eastAsia="en-ZA"/>
        </w:rPr>
        <w:t>eed to maintain existing water resources infrastructure</w:t>
      </w:r>
      <w:r w:rsidR="002B73D2">
        <w:rPr>
          <w:rFonts w:ascii="Times New Roman" w:hAnsi="Times New Roman" w:cs="Times New Roman"/>
          <w:noProof/>
          <w:lang w:eastAsia="en-ZA"/>
        </w:rPr>
        <w:t>,</w:t>
      </w:r>
      <w:r w:rsidR="00BC7278">
        <w:rPr>
          <w:rFonts w:ascii="Times New Roman" w:hAnsi="Times New Roman" w:cs="Times New Roman"/>
          <w:noProof/>
          <w:lang w:eastAsia="en-ZA"/>
        </w:rPr>
        <w:t xml:space="preserve"> including dams, </w:t>
      </w:r>
      <w:r w:rsidR="0083061D" w:rsidRPr="0083061D">
        <w:rPr>
          <w:rFonts w:ascii="Times New Roman" w:hAnsi="Times New Roman" w:cs="Times New Roman"/>
          <w:noProof/>
          <w:lang w:eastAsia="en-ZA"/>
        </w:rPr>
        <w:t>is fundamental to ensure that dams are kept safe and rehabilitated</w:t>
      </w:r>
      <w:r>
        <w:rPr>
          <w:rFonts w:ascii="Times New Roman" w:hAnsi="Times New Roman" w:cs="Times New Roman"/>
          <w:noProof/>
          <w:lang w:eastAsia="en-ZA"/>
        </w:rPr>
        <w:t>.</w:t>
      </w:r>
    </w:p>
    <w:p w:rsidR="0054287D" w:rsidRPr="00F80D2C" w:rsidRDefault="0054287D" w:rsidP="00D75F57">
      <w:pPr>
        <w:spacing w:after="0" w:line="360" w:lineRule="auto"/>
        <w:jc w:val="both"/>
        <w:rPr>
          <w:rFonts w:ascii="Times New Roman" w:hAnsi="Times New Roman" w:cs="Times New Roman"/>
          <w:noProof/>
          <w:sz w:val="16"/>
          <w:szCs w:val="16"/>
          <w:lang w:eastAsia="en-ZA"/>
        </w:rPr>
      </w:pPr>
    </w:p>
    <w:p w:rsidR="00FC7239" w:rsidRDefault="0083061D" w:rsidP="00D75F57">
      <w:pPr>
        <w:spacing w:after="0" w:line="360" w:lineRule="auto"/>
        <w:jc w:val="both"/>
        <w:rPr>
          <w:rFonts w:ascii="Times New Roman" w:hAnsi="Times New Roman" w:cs="Times New Roman"/>
          <w:noProof/>
          <w:lang w:eastAsia="en-ZA"/>
        </w:rPr>
      </w:pPr>
      <w:r w:rsidRPr="0083061D">
        <w:rPr>
          <w:rFonts w:ascii="Times New Roman" w:hAnsi="Times New Roman" w:cs="Times New Roman"/>
          <w:noProof/>
          <w:lang w:eastAsia="en-ZA"/>
        </w:rPr>
        <w:t>The Department is currently working on amendments to the National Water Act to ensure a regulatory environment for national water and water resource management is adequate and implemented</w:t>
      </w:r>
      <w:r>
        <w:rPr>
          <w:rFonts w:ascii="Times New Roman" w:hAnsi="Times New Roman" w:cs="Times New Roman"/>
          <w:noProof/>
          <w:lang w:eastAsia="en-ZA"/>
        </w:rPr>
        <w:t>. It has</w:t>
      </w:r>
      <w:r w:rsidR="00FC7239">
        <w:rPr>
          <w:rFonts w:ascii="Times New Roman" w:hAnsi="Times New Roman" w:cs="Times New Roman"/>
          <w:noProof/>
          <w:lang w:eastAsia="en-ZA"/>
        </w:rPr>
        <w:t xml:space="preserve"> finalised and submitted to Cabinet the National Water Resource Strategy-3. </w:t>
      </w:r>
    </w:p>
    <w:p w:rsidR="00FC7239" w:rsidRPr="00F80D2C" w:rsidRDefault="00FC7239" w:rsidP="00D75F57">
      <w:pPr>
        <w:spacing w:after="0" w:line="360" w:lineRule="auto"/>
        <w:jc w:val="both"/>
        <w:rPr>
          <w:rFonts w:ascii="Times New Roman" w:hAnsi="Times New Roman" w:cs="Times New Roman"/>
          <w:noProof/>
          <w:sz w:val="16"/>
          <w:szCs w:val="16"/>
          <w:lang w:eastAsia="en-ZA"/>
        </w:rPr>
      </w:pPr>
    </w:p>
    <w:p w:rsidR="00D665A7" w:rsidRDefault="00FC7239" w:rsidP="00D75F57">
      <w:pPr>
        <w:spacing w:after="0" w:line="360" w:lineRule="auto"/>
        <w:jc w:val="both"/>
        <w:rPr>
          <w:rFonts w:ascii="Times New Roman" w:hAnsi="Times New Roman" w:cs="Times New Roman"/>
          <w:noProof/>
          <w:lang w:eastAsia="en-ZA"/>
        </w:rPr>
      </w:pPr>
      <w:r>
        <w:rPr>
          <w:rFonts w:ascii="Times New Roman" w:hAnsi="Times New Roman" w:cs="Times New Roman"/>
          <w:noProof/>
          <w:lang w:eastAsia="en-ZA"/>
        </w:rPr>
        <w:t xml:space="preserve">Water charges are </w:t>
      </w:r>
      <w:r w:rsidR="00BC7278">
        <w:rPr>
          <w:rFonts w:ascii="Times New Roman" w:hAnsi="Times New Roman" w:cs="Times New Roman"/>
          <w:noProof/>
          <w:lang w:eastAsia="en-ZA"/>
        </w:rPr>
        <w:t>developed and implemented on an annual basis</w:t>
      </w:r>
      <w:r>
        <w:rPr>
          <w:rFonts w:ascii="Times New Roman" w:hAnsi="Times New Roman" w:cs="Times New Roman"/>
          <w:noProof/>
          <w:lang w:eastAsia="en-ZA"/>
        </w:rPr>
        <w:t xml:space="preserve">. The issuing of water use licences for economic growth must not be an obstacle for investments. The targets for </w:t>
      </w:r>
      <w:r w:rsidR="00BC7278">
        <w:rPr>
          <w:rFonts w:ascii="Times New Roman" w:hAnsi="Times New Roman" w:cs="Times New Roman"/>
          <w:noProof/>
          <w:lang w:eastAsia="en-ZA"/>
        </w:rPr>
        <w:t>water use applications</w:t>
      </w:r>
      <w:r>
        <w:rPr>
          <w:rFonts w:ascii="Times New Roman" w:hAnsi="Times New Roman" w:cs="Times New Roman"/>
          <w:noProof/>
          <w:lang w:eastAsia="en-ZA"/>
        </w:rPr>
        <w:t xml:space="preserve"> will also include the </w:t>
      </w:r>
      <w:r w:rsidR="002B73D2">
        <w:rPr>
          <w:rFonts w:ascii="Times New Roman" w:hAnsi="Times New Roman" w:cs="Times New Roman"/>
          <w:noProof/>
          <w:lang w:eastAsia="en-ZA"/>
        </w:rPr>
        <w:t>monitoring</w:t>
      </w:r>
      <w:r>
        <w:rPr>
          <w:rFonts w:ascii="Times New Roman" w:hAnsi="Times New Roman" w:cs="Times New Roman"/>
          <w:noProof/>
          <w:lang w:eastAsia="en-ZA"/>
        </w:rPr>
        <w:t xml:space="preserve"> of water users in accordance with water use licences and compliance. </w:t>
      </w:r>
      <w:r w:rsidR="00BC7278">
        <w:rPr>
          <w:rFonts w:ascii="Times New Roman" w:hAnsi="Times New Roman" w:cs="Times New Roman"/>
          <w:noProof/>
          <w:lang w:eastAsia="en-ZA"/>
        </w:rPr>
        <w:t xml:space="preserve"> </w:t>
      </w:r>
    </w:p>
    <w:p w:rsidR="00D665A7" w:rsidRPr="00F80D2C" w:rsidRDefault="00D665A7" w:rsidP="00D75F57">
      <w:pPr>
        <w:spacing w:after="0" w:line="360" w:lineRule="auto"/>
        <w:jc w:val="both"/>
        <w:rPr>
          <w:rFonts w:ascii="Times New Roman" w:hAnsi="Times New Roman" w:cs="Times New Roman"/>
          <w:noProof/>
          <w:sz w:val="16"/>
          <w:szCs w:val="16"/>
          <w:lang w:eastAsia="en-ZA"/>
        </w:rPr>
      </w:pPr>
    </w:p>
    <w:p w:rsidR="00D665A7" w:rsidRDefault="006753B7" w:rsidP="00D75F57">
      <w:pPr>
        <w:spacing w:after="0" w:line="360" w:lineRule="auto"/>
        <w:jc w:val="both"/>
        <w:rPr>
          <w:rFonts w:ascii="Times New Roman" w:hAnsi="Times New Roman" w:cs="Times New Roman"/>
          <w:noProof/>
          <w:lang w:eastAsia="en-ZA"/>
        </w:rPr>
      </w:pPr>
      <w:r>
        <w:rPr>
          <w:rFonts w:ascii="Times New Roman" w:hAnsi="Times New Roman" w:cs="Times New Roman"/>
          <w:noProof/>
          <w:lang w:eastAsia="en-ZA"/>
        </w:rPr>
        <w:t>The Department revived</w:t>
      </w:r>
      <w:r w:rsidR="00FC7239">
        <w:rPr>
          <w:rFonts w:ascii="Times New Roman" w:hAnsi="Times New Roman" w:cs="Times New Roman"/>
          <w:noProof/>
          <w:lang w:eastAsia="en-ZA"/>
        </w:rPr>
        <w:t xml:space="preserve"> systems, such as the Blue, Green and No Drop reports. In March 2022, the Department published the Green Drop report with a need to </w:t>
      </w:r>
      <w:r w:rsidR="002B73D2">
        <w:rPr>
          <w:rFonts w:ascii="Times New Roman" w:hAnsi="Times New Roman" w:cs="Times New Roman"/>
          <w:noProof/>
          <w:lang w:eastAsia="en-ZA"/>
        </w:rPr>
        <w:t>undertake</w:t>
      </w:r>
      <w:r w:rsidR="00FC7239">
        <w:rPr>
          <w:rFonts w:ascii="Times New Roman" w:hAnsi="Times New Roman" w:cs="Times New Roman"/>
          <w:noProof/>
          <w:lang w:eastAsia="en-ZA"/>
        </w:rPr>
        <w:t xml:space="preserve"> an assessment every two years, with the </w:t>
      </w:r>
      <w:r w:rsidR="002B73D2">
        <w:rPr>
          <w:rFonts w:ascii="Times New Roman" w:hAnsi="Times New Roman" w:cs="Times New Roman"/>
          <w:noProof/>
          <w:lang w:eastAsia="en-ZA"/>
        </w:rPr>
        <w:t>following</w:t>
      </w:r>
      <w:r w:rsidR="00FC7239">
        <w:rPr>
          <w:rFonts w:ascii="Times New Roman" w:hAnsi="Times New Roman" w:cs="Times New Roman"/>
          <w:noProof/>
          <w:lang w:eastAsia="en-ZA"/>
        </w:rPr>
        <w:t xml:space="preserve"> Green Drop report to be published in 2023/24. </w:t>
      </w:r>
      <w:r w:rsidR="00BC7278">
        <w:rPr>
          <w:rFonts w:ascii="Times New Roman" w:hAnsi="Times New Roman" w:cs="Times New Roman"/>
          <w:noProof/>
          <w:lang w:eastAsia="en-ZA"/>
        </w:rPr>
        <w:t>These</w:t>
      </w:r>
      <w:r>
        <w:rPr>
          <w:rFonts w:ascii="Times New Roman" w:hAnsi="Times New Roman" w:cs="Times New Roman"/>
          <w:noProof/>
          <w:lang w:eastAsia="en-ZA"/>
        </w:rPr>
        <w:t xml:space="preserve"> Blue and Green D</w:t>
      </w:r>
      <w:r w:rsidR="00BC7278">
        <w:rPr>
          <w:rFonts w:ascii="Times New Roman" w:hAnsi="Times New Roman" w:cs="Times New Roman"/>
          <w:noProof/>
          <w:lang w:eastAsia="en-ZA"/>
        </w:rPr>
        <w:t xml:space="preserve">rop reports are not just </w:t>
      </w:r>
      <w:r w:rsidR="002B73D2">
        <w:rPr>
          <w:rFonts w:ascii="Times New Roman" w:hAnsi="Times New Roman" w:cs="Times New Roman"/>
          <w:noProof/>
          <w:lang w:eastAsia="en-ZA"/>
        </w:rPr>
        <w:t>assessments</w:t>
      </w:r>
      <w:r w:rsidR="00BC7278">
        <w:rPr>
          <w:rFonts w:ascii="Times New Roman" w:hAnsi="Times New Roman" w:cs="Times New Roman"/>
          <w:noProof/>
          <w:lang w:eastAsia="en-ZA"/>
        </w:rPr>
        <w:t xml:space="preserve"> </w:t>
      </w:r>
      <w:r w:rsidR="0083061D">
        <w:rPr>
          <w:rFonts w:ascii="Times New Roman" w:hAnsi="Times New Roman" w:cs="Times New Roman"/>
          <w:noProof/>
          <w:lang w:eastAsia="en-ZA"/>
        </w:rPr>
        <w:t>of</w:t>
      </w:r>
      <w:r w:rsidR="00BC7278">
        <w:rPr>
          <w:rFonts w:ascii="Times New Roman" w:hAnsi="Times New Roman" w:cs="Times New Roman"/>
          <w:noProof/>
          <w:lang w:eastAsia="en-ZA"/>
        </w:rPr>
        <w:t xml:space="preserve"> the state of wastewater or water quality</w:t>
      </w:r>
      <w:r w:rsidR="00FC7239">
        <w:rPr>
          <w:rFonts w:ascii="Times New Roman" w:hAnsi="Times New Roman" w:cs="Times New Roman"/>
          <w:noProof/>
          <w:lang w:eastAsia="en-ZA"/>
        </w:rPr>
        <w:t xml:space="preserve"> but p</w:t>
      </w:r>
      <w:r w:rsidR="00BC7278">
        <w:rPr>
          <w:rFonts w:ascii="Times New Roman" w:hAnsi="Times New Roman" w:cs="Times New Roman"/>
          <w:noProof/>
          <w:lang w:eastAsia="en-ZA"/>
        </w:rPr>
        <w:t xml:space="preserve">lay an </w:t>
      </w:r>
      <w:r w:rsidR="0083061D">
        <w:rPr>
          <w:rFonts w:ascii="Times New Roman" w:hAnsi="Times New Roman" w:cs="Times New Roman"/>
          <w:noProof/>
          <w:lang w:eastAsia="en-ZA"/>
        </w:rPr>
        <w:t>essential</w:t>
      </w:r>
      <w:r w:rsidR="00BC7278">
        <w:rPr>
          <w:rFonts w:ascii="Times New Roman" w:hAnsi="Times New Roman" w:cs="Times New Roman"/>
          <w:noProof/>
          <w:lang w:eastAsia="en-ZA"/>
        </w:rPr>
        <w:t xml:space="preserve"> role in supportin</w:t>
      </w:r>
      <w:r w:rsidR="00FC7239">
        <w:rPr>
          <w:rFonts w:ascii="Times New Roman" w:hAnsi="Times New Roman" w:cs="Times New Roman"/>
          <w:noProof/>
          <w:lang w:eastAsia="en-ZA"/>
        </w:rPr>
        <w:t>g</w:t>
      </w:r>
      <w:r w:rsidR="00BC7278">
        <w:rPr>
          <w:rFonts w:ascii="Times New Roman" w:hAnsi="Times New Roman" w:cs="Times New Roman"/>
          <w:noProof/>
          <w:lang w:eastAsia="en-ZA"/>
        </w:rPr>
        <w:t xml:space="preserve"> municipalities to address the challenges with the quality of water supply and issues with water spillages from wastewater treatment works</w:t>
      </w:r>
      <w:r w:rsidR="00D665A7">
        <w:rPr>
          <w:rFonts w:ascii="Times New Roman" w:hAnsi="Times New Roman" w:cs="Times New Roman"/>
          <w:noProof/>
          <w:lang w:eastAsia="en-ZA"/>
        </w:rPr>
        <w:t xml:space="preserve"> not meeting the quality standards. The Department will engage all municipalities that don’t meet the </w:t>
      </w:r>
      <w:r w:rsidR="002B73D2" w:rsidRPr="002B73D2">
        <w:rPr>
          <w:rFonts w:ascii="Times New Roman" w:hAnsi="Times New Roman" w:cs="Times New Roman"/>
          <w:noProof/>
          <w:lang w:eastAsia="en-ZA"/>
        </w:rPr>
        <w:t xml:space="preserve">Blue and Green Drop standards requirements </w:t>
      </w:r>
      <w:r w:rsidR="00D665A7">
        <w:rPr>
          <w:rFonts w:ascii="Times New Roman" w:hAnsi="Times New Roman" w:cs="Times New Roman"/>
          <w:noProof/>
          <w:lang w:eastAsia="en-ZA"/>
        </w:rPr>
        <w:t xml:space="preserve">and workshop them with the </w:t>
      </w:r>
      <w:r>
        <w:rPr>
          <w:rFonts w:ascii="Times New Roman" w:hAnsi="Times New Roman" w:cs="Times New Roman"/>
          <w:noProof/>
          <w:lang w:eastAsia="en-ZA"/>
        </w:rPr>
        <w:t>assessment results</w:t>
      </w:r>
      <w:r w:rsidR="00D665A7">
        <w:rPr>
          <w:rFonts w:ascii="Times New Roman" w:hAnsi="Times New Roman" w:cs="Times New Roman"/>
          <w:noProof/>
          <w:lang w:eastAsia="en-ZA"/>
        </w:rPr>
        <w:t xml:space="preserve">. This process will include developing plans to address the causes of the problems and </w:t>
      </w:r>
      <w:r w:rsidR="002B73D2">
        <w:rPr>
          <w:rFonts w:ascii="Times New Roman" w:hAnsi="Times New Roman" w:cs="Times New Roman"/>
          <w:noProof/>
          <w:lang w:eastAsia="en-ZA"/>
        </w:rPr>
        <w:t>implementing</w:t>
      </w:r>
      <w:r w:rsidR="00D665A7">
        <w:rPr>
          <w:rFonts w:ascii="Times New Roman" w:hAnsi="Times New Roman" w:cs="Times New Roman"/>
          <w:noProof/>
          <w:lang w:eastAsia="en-ZA"/>
        </w:rPr>
        <w:t xml:space="preserve"> recommendations identified in the report.</w:t>
      </w:r>
    </w:p>
    <w:p w:rsidR="00D665A7" w:rsidRPr="00F80D2C" w:rsidRDefault="00D665A7" w:rsidP="00D75F57">
      <w:pPr>
        <w:spacing w:after="0" w:line="360" w:lineRule="auto"/>
        <w:jc w:val="both"/>
        <w:rPr>
          <w:rFonts w:ascii="Times New Roman" w:hAnsi="Times New Roman" w:cs="Times New Roman"/>
          <w:noProof/>
          <w:sz w:val="16"/>
          <w:szCs w:val="16"/>
          <w:lang w:eastAsia="en-ZA"/>
        </w:rPr>
      </w:pPr>
    </w:p>
    <w:p w:rsidR="00F613AE" w:rsidRDefault="002B73D2" w:rsidP="00D75F57">
      <w:pPr>
        <w:spacing w:after="0" w:line="360" w:lineRule="auto"/>
        <w:jc w:val="both"/>
        <w:rPr>
          <w:rFonts w:ascii="Times New Roman" w:hAnsi="Times New Roman" w:cs="Times New Roman"/>
          <w:noProof/>
          <w:lang w:eastAsia="en-ZA"/>
        </w:rPr>
      </w:pPr>
      <w:r w:rsidRPr="002B73D2">
        <w:rPr>
          <w:rFonts w:ascii="Times New Roman" w:hAnsi="Times New Roman" w:cs="Times New Roman"/>
          <w:noProof/>
          <w:lang w:eastAsia="en-ZA"/>
        </w:rPr>
        <w:t xml:space="preserve">The Department is currently working on transforming irrigation boards </w:t>
      </w:r>
      <w:r>
        <w:rPr>
          <w:rFonts w:ascii="Times New Roman" w:hAnsi="Times New Roman" w:cs="Times New Roman"/>
          <w:noProof/>
          <w:lang w:eastAsia="en-ZA"/>
        </w:rPr>
        <w:t>into</w:t>
      </w:r>
      <w:r w:rsidRPr="002B73D2">
        <w:rPr>
          <w:rFonts w:ascii="Times New Roman" w:hAnsi="Times New Roman" w:cs="Times New Roman"/>
          <w:noProof/>
          <w:lang w:eastAsia="en-ZA"/>
        </w:rPr>
        <w:t xml:space="preserve"> water user associations</w:t>
      </w:r>
      <w:r>
        <w:rPr>
          <w:rFonts w:ascii="Times New Roman" w:hAnsi="Times New Roman" w:cs="Times New Roman"/>
          <w:noProof/>
          <w:lang w:eastAsia="en-ZA"/>
        </w:rPr>
        <w:t>.</w:t>
      </w:r>
      <w:r w:rsidRPr="002B73D2">
        <w:rPr>
          <w:rFonts w:ascii="Times New Roman" w:hAnsi="Times New Roman" w:cs="Times New Roman"/>
          <w:noProof/>
          <w:lang w:eastAsia="en-ZA"/>
        </w:rPr>
        <w:t xml:space="preserve"> </w:t>
      </w:r>
      <w:r w:rsidR="00D665A7">
        <w:rPr>
          <w:rFonts w:ascii="Times New Roman" w:hAnsi="Times New Roman" w:cs="Times New Roman"/>
          <w:noProof/>
          <w:lang w:eastAsia="en-ZA"/>
        </w:rPr>
        <w:t xml:space="preserve"> Not all catchment management agencies will be established as independent agencies, with some being run by the Department </w:t>
      </w:r>
      <w:r w:rsidR="00D776F6">
        <w:rPr>
          <w:rFonts w:ascii="Times New Roman" w:hAnsi="Times New Roman" w:cs="Times New Roman"/>
          <w:noProof/>
          <w:lang w:eastAsia="en-ZA"/>
        </w:rPr>
        <w:t>w</w:t>
      </w:r>
      <w:r w:rsidR="00D665A7">
        <w:rPr>
          <w:rFonts w:ascii="Times New Roman" w:hAnsi="Times New Roman" w:cs="Times New Roman"/>
          <w:noProof/>
          <w:lang w:eastAsia="en-ZA"/>
        </w:rPr>
        <w:t xml:space="preserve">ith committees set up </w:t>
      </w:r>
      <w:r w:rsidR="00D776F6">
        <w:rPr>
          <w:rFonts w:ascii="Times New Roman" w:hAnsi="Times New Roman" w:cs="Times New Roman"/>
          <w:noProof/>
          <w:lang w:eastAsia="en-ZA"/>
        </w:rPr>
        <w:t>and</w:t>
      </w:r>
      <w:r w:rsidR="00D665A7">
        <w:rPr>
          <w:rFonts w:ascii="Times New Roman" w:hAnsi="Times New Roman" w:cs="Times New Roman"/>
          <w:noProof/>
          <w:lang w:eastAsia="en-ZA"/>
        </w:rPr>
        <w:t xml:space="preserve"> participation by community and stakeholder associations to oversee the work of the Department. The work on the establishment of the National Water Resource Agency is advanced. Currently, the Department is undertaking detailed research on the feasibility of establishing </w:t>
      </w:r>
      <w:r>
        <w:rPr>
          <w:rFonts w:ascii="Times New Roman" w:hAnsi="Times New Roman" w:cs="Times New Roman"/>
          <w:noProof/>
          <w:lang w:eastAsia="en-ZA"/>
        </w:rPr>
        <w:t>a</w:t>
      </w:r>
      <w:r w:rsidR="00D665A7">
        <w:rPr>
          <w:rFonts w:ascii="Times New Roman" w:hAnsi="Times New Roman" w:cs="Times New Roman"/>
          <w:noProof/>
          <w:lang w:eastAsia="en-ZA"/>
        </w:rPr>
        <w:t xml:space="preserve"> water economic regulator. </w:t>
      </w:r>
      <w:r>
        <w:rPr>
          <w:rFonts w:ascii="Times New Roman" w:hAnsi="Times New Roman" w:cs="Times New Roman"/>
          <w:noProof/>
          <w:lang w:eastAsia="en-ZA"/>
        </w:rPr>
        <w:t>Several</w:t>
      </w:r>
      <w:r w:rsidR="00D665A7">
        <w:rPr>
          <w:rFonts w:ascii="Times New Roman" w:hAnsi="Times New Roman" w:cs="Times New Roman"/>
          <w:noProof/>
          <w:lang w:eastAsia="en-ZA"/>
        </w:rPr>
        <w:t xml:space="preserve"> options and recommendation</w:t>
      </w:r>
      <w:r w:rsidR="00D776F6">
        <w:rPr>
          <w:rFonts w:ascii="Times New Roman" w:hAnsi="Times New Roman" w:cs="Times New Roman"/>
          <w:noProof/>
          <w:lang w:eastAsia="en-ZA"/>
        </w:rPr>
        <w:t>s</w:t>
      </w:r>
      <w:r w:rsidR="00D665A7">
        <w:rPr>
          <w:rFonts w:ascii="Times New Roman" w:hAnsi="Times New Roman" w:cs="Times New Roman"/>
          <w:noProof/>
          <w:lang w:eastAsia="en-ZA"/>
        </w:rPr>
        <w:t xml:space="preserve"> will be presented to the Minister.</w:t>
      </w:r>
      <w:r w:rsidR="00E64E9F">
        <w:rPr>
          <w:rFonts w:ascii="Times New Roman" w:hAnsi="Times New Roman" w:cs="Times New Roman"/>
          <w:noProof/>
          <w:lang w:eastAsia="en-ZA"/>
        </w:rPr>
        <w:t xml:space="preserve"> </w:t>
      </w:r>
    </w:p>
    <w:p w:rsidR="00F613AE" w:rsidRPr="00F80D2C" w:rsidRDefault="00F613AE" w:rsidP="00D75F57">
      <w:pPr>
        <w:spacing w:after="0" w:line="360" w:lineRule="auto"/>
        <w:jc w:val="both"/>
        <w:rPr>
          <w:rFonts w:ascii="Times New Roman" w:hAnsi="Times New Roman" w:cs="Times New Roman"/>
          <w:noProof/>
          <w:sz w:val="16"/>
          <w:szCs w:val="16"/>
          <w:lang w:eastAsia="en-ZA"/>
        </w:rPr>
      </w:pPr>
    </w:p>
    <w:p w:rsidR="00997E10" w:rsidRDefault="005C2EC4" w:rsidP="00D75F57">
      <w:pPr>
        <w:spacing w:after="0" w:line="360" w:lineRule="auto"/>
        <w:jc w:val="both"/>
        <w:rPr>
          <w:rFonts w:ascii="Times New Roman" w:hAnsi="Times New Roman" w:cs="Times New Roman"/>
          <w:noProof/>
          <w:lang w:eastAsia="en-ZA"/>
        </w:rPr>
      </w:pPr>
      <w:r>
        <w:rPr>
          <w:rFonts w:ascii="Times New Roman" w:hAnsi="Times New Roman" w:cs="Times New Roman"/>
          <w:noProof/>
          <w:lang w:eastAsia="en-ZA"/>
        </w:rPr>
        <w:t>On</w:t>
      </w:r>
      <w:r w:rsidR="00D665A7">
        <w:rPr>
          <w:rFonts w:ascii="Times New Roman" w:hAnsi="Times New Roman" w:cs="Times New Roman"/>
          <w:noProof/>
          <w:lang w:eastAsia="en-ZA"/>
        </w:rPr>
        <w:t xml:space="preserve"> the one hand,</w:t>
      </w:r>
      <w:r w:rsidR="00D776F6">
        <w:rPr>
          <w:rFonts w:ascii="Times New Roman" w:hAnsi="Times New Roman" w:cs="Times New Roman"/>
          <w:noProof/>
          <w:lang w:eastAsia="en-ZA"/>
        </w:rPr>
        <w:t xml:space="preserve"> the study focuses on the need for a fully independent regulator such as NERSA (for electricity regulation) and ICASA (for telecommunications). On the other hand,</w:t>
      </w:r>
      <w:r w:rsidR="00AD767D">
        <w:rPr>
          <w:rFonts w:ascii="Times New Roman" w:hAnsi="Times New Roman" w:cs="Times New Roman"/>
          <w:noProof/>
          <w:lang w:eastAsia="en-ZA"/>
        </w:rPr>
        <w:t xml:space="preserve"> </w:t>
      </w:r>
      <w:r w:rsidR="00D776F6">
        <w:rPr>
          <w:rFonts w:ascii="Times New Roman" w:hAnsi="Times New Roman" w:cs="Times New Roman"/>
          <w:noProof/>
          <w:lang w:eastAsia="en-ZA"/>
        </w:rPr>
        <w:t>a</w:t>
      </w:r>
      <w:r w:rsidR="00AD767D">
        <w:rPr>
          <w:rFonts w:ascii="Times New Roman" w:hAnsi="Times New Roman" w:cs="Times New Roman"/>
          <w:noProof/>
          <w:lang w:eastAsia="en-ZA"/>
        </w:rPr>
        <w:t xml:space="preserve">nother option is to retain the regulation within the </w:t>
      </w:r>
      <w:r w:rsidR="00D776F6">
        <w:rPr>
          <w:rFonts w:ascii="Times New Roman" w:hAnsi="Times New Roman" w:cs="Times New Roman"/>
          <w:noProof/>
          <w:lang w:eastAsia="en-ZA"/>
        </w:rPr>
        <w:t>Department</w:t>
      </w:r>
      <w:r w:rsidR="00AD767D">
        <w:rPr>
          <w:rFonts w:ascii="Times New Roman" w:hAnsi="Times New Roman" w:cs="Times New Roman"/>
          <w:noProof/>
          <w:lang w:eastAsia="en-ZA"/>
        </w:rPr>
        <w:t xml:space="preserve"> as </w:t>
      </w:r>
      <w:r w:rsidR="00D776F6">
        <w:rPr>
          <w:rFonts w:ascii="Times New Roman" w:hAnsi="Times New Roman" w:cs="Times New Roman"/>
          <w:noProof/>
          <w:lang w:eastAsia="en-ZA"/>
        </w:rPr>
        <w:t xml:space="preserve">is </w:t>
      </w:r>
      <w:r w:rsidR="00AD767D">
        <w:rPr>
          <w:rFonts w:ascii="Times New Roman" w:hAnsi="Times New Roman" w:cs="Times New Roman"/>
          <w:noProof/>
          <w:lang w:eastAsia="en-ZA"/>
        </w:rPr>
        <w:t>currently t</w:t>
      </w:r>
      <w:r w:rsidR="00D776F6">
        <w:rPr>
          <w:rFonts w:ascii="Times New Roman" w:hAnsi="Times New Roman" w:cs="Times New Roman"/>
          <w:noProof/>
          <w:lang w:eastAsia="en-ZA"/>
        </w:rPr>
        <w:t xml:space="preserve">he case but to have a degree of </w:t>
      </w:r>
      <w:r w:rsidR="00AD767D">
        <w:rPr>
          <w:rFonts w:ascii="Times New Roman" w:hAnsi="Times New Roman" w:cs="Times New Roman"/>
          <w:noProof/>
          <w:lang w:eastAsia="en-ZA"/>
        </w:rPr>
        <w:t>independent oversight</w:t>
      </w:r>
      <w:r w:rsidR="00D776F6">
        <w:rPr>
          <w:rFonts w:ascii="Times New Roman" w:hAnsi="Times New Roman" w:cs="Times New Roman"/>
          <w:noProof/>
          <w:lang w:eastAsia="en-ZA"/>
        </w:rPr>
        <w:t xml:space="preserve"> </w:t>
      </w:r>
      <w:r w:rsidR="0083061D">
        <w:rPr>
          <w:rFonts w:ascii="Times New Roman" w:hAnsi="Times New Roman" w:cs="Times New Roman"/>
          <w:noProof/>
          <w:lang w:eastAsia="en-ZA"/>
        </w:rPr>
        <w:t>by</w:t>
      </w:r>
      <w:r w:rsidR="00AD767D">
        <w:rPr>
          <w:rFonts w:ascii="Times New Roman" w:hAnsi="Times New Roman" w:cs="Times New Roman"/>
          <w:noProof/>
          <w:lang w:eastAsia="en-ZA"/>
        </w:rPr>
        <w:t xml:space="preserve"> </w:t>
      </w:r>
      <w:r w:rsidR="0083061D" w:rsidRPr="0083061D">
        <w:rPr>
          <w:rFonts w:ascii="Times New Roman" w:hAnsi="Times New Roman" w:cs="Times New Roman"/>
          <w:noProof/>
          <w:lang w:eastAsia="en-ZA"/>
        </w:rPr>
        <w:t>establishing an independent committee to oversee the department's work</w:t>
      </w:r>
      <w:r w:rsidR="00D776F6">
        <w:rPr>
          <w:rFonts w:ascii="Times New Roman" w:hAnsi="Times New Roman" w:cs="Times New Roman"/>
          <w:noProof/>
          <w:lang w:eastAsia="en-ZA"/>
        </w:rPr>
        <w:t>.</w:t>
      </w:r>
      <w:r w:rsidR="00AD767D">
        <w:rPr>
          <w:rFonts w:ascii="Times New Roman" w:hAnsi="Times New Roman" w:cs="Times New Roman"/>
          <w:noProof/>
          <w:lang w:eastAsia="en-ZA"/>
        </w:rPr>
        <w:t xml:space="preserve"> </w:t>
      </w:r>
      <w:r w:rsidR="00D776F6">
        <w:rPr>
          <w:rFonts w:ascii="Times New Roman" w:hAnsi="Times New Roman" w:cs="Times New Roman"/>
          <w:noProof/>
          <w:lang w:eastAsia="en-ZA"/>
        </w:rPr>
        <w:t>These options will be presented for decisions to be made.</w:t>
      </w:r>
      <w:r w:rsidR="00AD767D">
        <w:rPr>
          <w:rFonts w:ascii="Times New Roman" w:hAnsi="Times New Roman" w:cs="Times New Roman"/>
          <w:noProof/>
          <w:lang w:eastAsia="en-ZA"/>
        </w:rPr>
        <w:t xml:space="preserve">  </w:t>
      </w:r>
    </w:p>
    <w:p w:rsidR="00997E10" w:rsidRDefault="00997E10" w:rsidP="00D75F57">
      <w:pPr>
        <w:spacing w:after="0" w:line="360" w:lineRule="auto"/>
        <w:jc w:val="both"/>
        <w:rPr>
          <w:rFonts w:ascii="Times New Roman" w:hAnsi="Times New Roman" w:cs="Times New Roman"/>
          <w:noProof/>
          <w:sz w:val="16"/>
          <w:szCs w:val="16"/>
          <w:lang w:eastAsia="en-ZA"/>
        </w:rPr>
      </w:pPr>
    </w:p>
    <w:p w:rsidR="00F80D2C" w:rsidRDefault="00F80D2C" w:rsidP="00D75F57">
      <w:pPr>
        <w:spacing w:after="0" w:line="360" w:lineRule="auto"/>
        <w:jc w:val="both"/>
        <w:rPr>
          <w:rFonts w:ascii="Times New Roman" w:hAnsi="Times New Roman" w:cs="Times New Roman"/>
          <w:noProof/>
          <w:sz w:val="16"/>
          <w:szCs w:val="16"/>
          <w:lang w:eastAsia="en-ZA"/>
        </w:rPr>
      </w:pPr>
    </w:p>
    <w:p w:rsidR="00F80D2C" w:rsidRPr="00F80D2C" w:rsidRDefault="00F80D2C" w:rsidP="00D75F57">
      <w:pPr>
        <w:spacing w:after="0" w:line="360" w:lineRule="auto"/>
        <w:jc w:val="both"/>
        <w:rPr>
          <w:rFonts w:ascii="Times New Roman" w:hAnsi="Times New Roman" w:cs="Times New Roman"/>
          <w:noProof/>
          <w:sz w:val="16"/>
          <w:szCs w:val="16"/>
          <w:lang w:eastAsia="en-ZA"/>
        </w:rPr>
      </w:pPr>
    </w:p>
    <w:p w:rsidR="00D75F57" w:rsidRPr="00AE1E38" w:rsidRDefault="0009670E" w:rsidP="00AE1E38">
      <w:pPr>
        <w:pStyle w:val="Heading2"/>
        <w:spacing w:before="0" w:line="360" w:lineRule="auto"/>
        <w:jc w:val="both"/>
        <w:rPr>
          <w:rFonts w:ascii="Times New Roman" w:hAnsi="Times New Roman" w:cs="Times New Roman"/>
          <w:color w:val="auto"/>
          <w:szCs w:val="22"/>
        </w:rPr>
      </w:pPr>
      <w:bookmarkStart w:id="1" w:name="_Toc101533697"/>
      <w:r>
        <w:rPr>
          <w:rFonts w:ascii="Times New Roman" w:hAnsi="Times New Roman" w:cs="Times New Roman"/>
          <w:color w:val="auto"/>
          <w:szCs w:val="22"/>
        </w:rPr>
        <w:lastRenderedPageBreak/>
        <w:t>5.3</w:t>
      </w:r>
      <w:r>
        <w:rPr>
          <w:rFonts w:ascii="Times New Roman" w:hAnsi="Times New Roman" w:cs="Times New Roman"/>
          <w:color w:val="auto"/>
          <w:szCs w:val="22"/>
        </w:rPr>
        <w:tab/>
      </w:r>
      <w:r w:rsidR="00D75F57" w:rsidRPr="00AE1E38">
        <w:rPr>
          <w:rFonts w:ascii="Times New Roman" w:hAnsi="Times New Roman" w:cs="Times New Roman"/>
          <w:color w:val="auto"/>
          <w:szCs w:val="22"/>
        </w:rPr>
        <w:t>Programme 3: Water Services Management</w:t>
      </w:r>
      <w:bookmarkEnd w:id="1"/>
    </w:p>
    <w:p w:rsidR="00D75F57" w:rsidRPr="00F80D2C" w:rsidRDefault="00D75F57" w:rsidP="00AE1E38">
      <w:pPr>
        <w:spacing w:after="0" w:line="360" w:lineRule="auto"/>
        <w:jc w:val="both"/>
        <w:rPr>
          <w:rFonts w:ascii="Times New Roman" w:hAnsi="Times New Roman" w:cs="Times New Roman"/>
          <w:sz w:val="16"/>
          <w:szCs w:val="16"/>
        </w:rPr>
      </w:pPr>
    </w:p>
    <w:p w:rsidR="00B87557" w:rsidRDefault="00C809F3" w:rsidP="00B87557">
      <w:pPr>
        <w:spacing w:after="0" w:line="360" w:lineRule="auto"/>
        <w:jc w:val="both"/>
        <w:rPr>
          <w:rFonts w:ascii="Times New Roman" w:hAnsi="Times New Roman" w:cs="Times New Roman"/>
          <w:lang w:val="en-GB"/>
        </w:rPr>
      </w:pPr>
      <w:r w:rsidRPr="00C809F3">
        <w:rPr>
          <w:rFonts w:ascii="Times New Roman" w:hAnsi="Times New Roman" w:cs="Times New Roman"/>
        </w:rPr>
        <w:t>This programme aims to develop, rehabilitate,</w:t>
      </w:r>
      <w:r w:rsidR="00D75F57" w:rsidRPr="00AE1E38">
        <w:rPr>
          <w:rFonts w:ascii="Times New Roman" w:hAnsi="Times New Roman" w:cs="Times New Roman"/>
        </w:rPr>
        <w:t xml:space="preserve"> and refurbish the raw water resources and water services infrastructure to meet the socio-economic and environmental needs of South Africa. </w:t>
      </w:r>
      <w:r w:rsidR="00D75F57" w:rsidRPr="00AE1E38">
        <w:rPr>
          <w:rFonts w:ascii="Times New Roman" w:hAnsi="Times New Roman" w:cs="Times New Roman"/>
          <w:lang w:val="en-GB"/>
        </w:rPr>
        <w:t>This appears to be the priority Programme of the Department, as it receives the highest allocation of</w:t>
      </w:r>
      <w:r w:rsidR="0020438B">
        <w:rPr>
          <w:rFonts w:ascii="Times New Roman" w:hAnsi="Times New Roman" w:cs="Times New Roman"/>
          <w:lang w:val="en-GB"/>
        </w:rPr>
        <w:t xml:space="preserve"> the entire departmental budget.</w:t>
      </w:r>
      <w:r w:rsidR="00D75F57" w:rsidRPr="00AE1E38">
        <w:rPr>
          <w:rFonts w:ascii="Times New Roman" w:hAnsi="Times New Roman" w:cs="Times New Roman"/>
          <w:lang w:val="en-GB"/>
        </w:rPr>
        <w:t xml:space="preserve"> </w:t>
      </w:r>
      <w:r>
        <w:rPr>
          <w:rFonts w:ascii="Times New Roman" w:hAnsi="Times New Roman" w:cs="Times New Roman"/>
          <w:lang w:val="en-GB"/>
        </w:rPr>
        <w:t>This</w:t>
      </w:r>
      <w:r w:rsidR="00D75F57" w:rsidRPr="00AE1E38">
        <w:rPr>
          <w:rFonts w:ascii="Times New Roman" w:hAnsi="Times New Roman" w:cs="Times New Roman"/>
          <w:lang w:val="en-GB"/>
        </w:rPr>
        <w:t xml:space="preserve"> programme receives R12.7 billion in the 2022/23 financial year, </w:t>
      </w:r>
      <w:r w:rsidR="00B46026">
        <w:rPr>
          <w:rFonts w:ascii="Times New Roman" w:hAnsi="Times New Roman" w:cs="Times New Roman"/>
          <w:lang w:val="en-GB"/>
        </w:rPr>
        <w:t>constituting</w:t>
      </w:r>
      <w:r w:rsidR="00D75F57" w:rsidRPr="00AE1E38">
        <w:rPr>
          <w:rFonts w:ascii="Times New Roman" w:hAnsi="Times New Roman" w:cs="Times New Roman"/>
          <w:lang w:val="en-GB"/>
        </w:rPr>
        <w:t xml:space="preserve"> 69 per cent of the overall departmental budget. This Programme reflects a nominal rand increase of R586 million compared to the 2021/22 financial year, which translates into a real rand increase of R37.2 million between 2021/22 and 2022/23. </w:t>
      </w:r>
      <w:r w:rsidR="00B87557">
        <w:rPr>
          <w:rFonts w:ascii="Times New Roman" w:hAnsi="Times New Roman" w:cs="Times New Roman"/>
          <w:lang w:val="en-GB"/>
        </w:rPr>
        <w:t xml:space="preserve">For the 2022/23 financial year, the Department identified the following outcomes with associated outputs, </w:t>
      </w:r>
      <w:r w:rsidR="00DB3607">
        <w:rPr>
          <w:rFonts w:ascii="Times New Roman" w:hAnsi="Times New Roman" w:cs="Times New Roman"/>
          <w:lang w:val="en-GB"/>
        </w:rPr>
        <w:t xml:space="preserve">output indicators and </w:t>
      </w:r>
      <w:r w:rsidR="006753B7">
        <w:rPr>
          <w:rFonts w:ascii="Times New Roman" w:hAnsi="Times New Roman" w:cs="Times New Roman"/>
          <w:lang w:val="en-GB"/>
        </w:rPr>
        <w:t>targets</w:t>
      </w:r>
      <w:r w:rsidR="00B87557">
        <w:rPr>
          <w:rFonts w:ascii="Times New Roman" w:hAnsi="Times New Roman" w:cs="Times New Roman"/>
          <w:lang w:val="en-GB"/>
        </w:rPr>
        <w:t>:</w:t>
      </w:r>
    </w:p>
    <w:p w:rsidR="00DB3607" w:rsidRPr="00F80D2C" w:rsidRDefault="00DB3607" w:rsidP="00B87557">
      <w:pPr>
        <w:spacing w:after="0" w:line="360" w:lineRule="auto"/>
        <w:jc w:val="both"/>
        <w:rPr>
          <w:rFonts w:ascii="Times New Roman" w:hAnsi="Times New Roman" w:cs="Times New Roman"/>
          <w:sz w:val="16"/>
          <w:szCs w:val="16"/>
          <w:lang w:val="en-GB"/>
        </w:rPr>
      </w:pPr>
    </w:p>
    <w:p w:rsidR="00DB3607" w:rsidRPr="00FE7937" w:rsidRDefault="00093645" w:rsidP="00FE7937">
      <w:pPr>
        <w:pStyle w:val="ListParagraph"/>
        <w:numPr>
          <w:ilvl w:val="0"/>
          <w:numId w:val="23"/>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On reducing water demand and increasing water supply, </w:t>
      </w:r>
      <w:r w:rsidR="009E4677">
        <w:rPr>
          <w:rFonts w:ascii="Times New Roman" w:hAnsi="Times New Roman" w:cs="Times New Roman"/>
          <w:lang w:val="en-GB"/>
        </w:rPr>
        <w:t>four</w:t>
      </w:r>
      <w:r>
        <w:rPr>
          <w:rFonts w:ascii="Times New Roman" w:hAnsi="Times New Roman" w:cs="Times New Roman"/>
          <w:lang w:val="en-GB"/>
        </w:rPr>
        <w:t xml:space="preserve"> updated draft water conservation and water demand strategies, </w:t>
      </w:r>
      <w:r w:rsidR="009E4677">
        <w:rPr>
          <w:rFonts w:ascii="Times New Roman" w:hAnsi="Times New Roman" w:cs="Times New Roman"/>
          <w:lang w:val="en-GB"/>
        </w:rPr>
        <w:t>eight</w:t>
      </w:r>
      <w:r>
        <w:rPr>
          <w:rFonts w:ascii="Times New Roman" w:hAnsi="Times New Roman" w:cs="Times New Roman"/>
          <w:lang w:val="en-GB"/>
        </w:rPr>
        <w:t xml:space="preserve"> large water supply systems assessed for water losses, and 144 water services authorities to be </w:t>
      </w:r>
      <w:r w:rsidR="009E4677">
        <w:rPr>
          <w:rFonts w:ascii="Times New Roman" w:hAnsi="Times New Roman" w:cs="Times New Roman"/>
          <w:lang w:val="en-GB"/>
        </w:rPr>
        <w:t>evaluated</w:t>
      </w:r>
      <w:r>
        <w:rPr>
          <w:rFonts w:ascii="Times New Roman" w:hAnsi="Times New Roman" w:cs="Times New Roman"/>
          <w:lang w:val="en-GB"/>
        </w:rPr>
        <w:t xml:space="preserve"> for compliance with the </w:t>
      </w:r>
      <w:r w:rsidR="009E4677" w:rsidRPr="009E4677">
        <w:rPr>
          <w:rFonts w:ascii="Times New Roman" w:hAnsi="Times New Roman" w:cs="Times New Roman"/>
          <w:lang w:val="en-GB"/>
        </w:rPr>
        <w:t>No Drop Regulatory programme requirements</w:t>
      </w:r>
      <w:r>
        <w:rPr>
          <w:rFonts w:ascii="Times New Roman" w:hAnsi="Times New Roman" w:cs="Times New Roman"/>
          <w:lang w:val="en-GB"/>
        </w:rPr>
        <w:t xml:space="preserve">. </w:t>
      </w:r>
      <w:r w:rsidR="009E4677">
        <w:rPr>
          <w:rFonts w:ascii="Times New Roman" w:hAnsi="Times New Roman" w:cs="Times New Roman"/>
          <w:lang w:val="en-GB"/>
        </w:rPr>
        <w:t>Eight</w:t>
      </w:r>
      <w:r>
        <w:rPr>
          <w:rFonts w:ascii="Times New Roman" w:hAnsi="Times New Roman" w:cs="Times New Roman"/>
          <w:lang w:val="en-GB"/>
        </w:rPr>
        <w:t xml:space="preserve"> feasibility studies for water and wastewater services projects </w:t>
      </w:r>
      <w:r w:rsidR="009E4677" w:rsidRPr="009E4677">
        <w:rPr>
          <w:rFonts w:ascii="Times New Roman" w:hAnsi="Times New Roman" w:cs="Times New Roman"/>
          <w:lang w:val="en-GB"/>
        </w:rPr>
        <w:t>will be completed, with five implementation readiness studies for water and wastewater projects</w:t>
      </w:r>
      <w:r>
        <w:rPr>
          <w:rFonts w:ascii="Times New Roman" w:hAnsi="Times New Roman" w:cs="Times New Roman"/>
          <w:lang w:val="en-GB"/>
        </w:rPr>
        <w:t xml:space="preserve">. </w:t>
      </w:r>
      <w:r w:rsidR="00FE7937">
        <w:rPr>
          <w:rFonts w:ascii="Times New Roman" w:hAnsi="Times New Roman" w:cs="Times New Roman"/>
          <w:lang w:val="en-GB"/>
        </w:rPr>
        <w:t xml:space="preserve">Other initiatives include: </w:t>
      </w:r>
      <w:r w:rsidRPr="00FE7937">
        <w:rPr>
          <w:rFonts w:ascii="Times New Roman" w:hAnsi="Times New Roman" w:cs="Times New Roman"/>
          <w:lang w:val="en-GB"/>
        </w:rPr>
        <w:t>I93 regional bulk infrastructure project phases are under construction, 22 regional infrastructure projects to be completed, 294 water services infrastructure projects under construction and 115 water services infrastructure projects to be completed</w:t>
      </w:r>
      <w:r w:rsidR="009E4677" w:rsidRPr="00FE7937">
        <w:rPr>
          <w:rFonts w:ascii="Times New Roman" w:hAnsi="Times New Roman" w:cs="Times New Roman"/>
          <w:lang w:val="en-GB"/>
        </w:rPr>
        <w:t>,</w:t>
      </w:r>
      <w:r w:rsidRPr="00FE7937">
        <w:rPr>
          <w:rFonts w:ascii="Times New Roman" w:hAnsi="Times New Roman" w:cs="Times New Roman"/>
          <w:lang w:val="en-GB"/>
        </w:rPr>
        <w:t xml:space="preserve"> with </w:t>
      </w:r>
      <w:r w:rsidR="009E4677" w:rsidRPr="00FE7937">
        <w:rPr>
          <w:rFonts w:ascii="Times New Roman" w:hAnsi="Times New Roman" w:cs="Times New Roman"/>
          <w:lang w:val="en-GB"/>
        </w:rPr>
        <w:t>two</w:t>
      </w:r>
      <w:r w:rsidRPr="00FE7937">
        <w:rPr>
          <w:rFonts w:ascii="Times New Roman" w:hAnsi="Times New Roman" w:cs="Times New Roman"/>
          <w:lang w:val="en-GB"/>
        </w:rPr>
        <w:t xml:space="preserve"> intervention projects under implementation.  </w:t>
      </w:r>
      <w:r w:rsidR="00157B7D" w:rsidRPr="00FE7937">
        <w:rPr>
          <w:rFonts w:ascii="Times New Roman" w:hAnsi="Times New Roman" w:cs="Times New Roman"/>
          <w:lang w:val="en-GB"/>
        </w:rPr>
        <w:t>Ten thousand seven hundred ninety-eight (10 898) existing bucket sanitation backlog systems (in Free State and Northern Cape) will be replaced in formal settlements</w:t>
      </w:r>
      <w:r w:rsidRPr="00FE7937">
        <w:rPr>
          <w:rFonts w:ascii="Times New Roman" w:hAnsi="Times New Roman" w:cs="Times New Roman"/>
          <w:lang w:val="en-GB"/>
        </w:rPr>
        <w:t>.</w:t>
      </w:r>
    </w:p>
    <w:p w:rsidR="00093645" w:rsidRDefault="006D15B7" w:rsidP="009E4677">
      <w:pPr>
        <w:pStyle w:val="ListParagraph"/>
        <w:numPr>
          <w:ilvl w:val="0"/>
          <w:numId w:val="23"/>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To </w:t>
      </w:r>
      <w:r w:rsidR="009E4677" w:rsidRPr="009E4677">
        <w:rPr>
          <w:rFonts w:ascii="Times New Roman" w:hAnsi="Times New Roman" w:cs="Times New Roman"/>
          <w:lang w:val="en-GB"/>
        </w:rPr>
        <w:t>effectively manage water and sanitation services</w:t>
      </w:r>
      <w:r>
        <w:rPr>
          <w:rFonts w:ascii="Times New Roman" w:hAnsi="Times New Roman" w:cs="Times New Roman"/>
          <w:lang w:val="en-GB"/>
        </w:rPr>
        <w:t xml:space="preserve">, 10 district municipalities will be assessed for 5-year water and sanitation reliability plans. </w:t>
      </w:r>
    </w:p>
    <w:p w:rsidR="006D15B7" w:rsidRDefault="006D15B7" w:rsidP="009E4677">
      <w:pPr>
        <w:pStyle w:val="ListParagraph"/>
        <w:numPr>
          <w:ilvl w:val="0"/>
          <w:numId w:val="23"/>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To enhance regulation of the water and sanitation sector, </w:t>
      </w:r>
      <w:r w:rsidR="009E4677" w:rsidRPr="009E4677">
        <w:rPr>
          <w:rFonts w:ascii="Times New Roman" w:hAnsi="Times New Roman" w:cs="Times New Roman"/>
          <w:lang w:val="en-GB"/>
        </w:rPr>
        <w:t xml:space="preserve">the Water Services Amendment Bill </w:t>
      </w:r>
      <w:r w:rsidR="009E4677">
        <w:rPr>
          <w:rFonts w:ascii="Times New Roman" w:hAnsi="Times New Roman" w:cs="Times New Roman"/>
          <w:lang w:val="en-GB"/>
        </w:rPr>
        <w:t xml:space="preserve">is </w:t>
      </w:r>
      <w:r w:rsidR="009E4677" w:rsidRPr="009E4677">
        <w:rPr>
          <w:rFonts w:ascii="Times New Roman" w:hAnsi="Times New Roman" w:cs="Times New Roman"/>
          <w:lang w:val="en-GB"/>
        </w:rPr>
        <w:t xml:space="preserve">to be developed and submitted for Cabinet approval, </w:t>
      </w:r>
      <w:r w:rsidR="009E4677">
        <w:rPr>
          <w:rFonts w:ascii="Times New Roman" w:hAnsi="Times New Roman" w:cs="Times New Roman"/>
          <w:lang w:val="en-GB"/>
        </w:rPr>
        <w:t>nine</w:t>
      </w:r>
      <w:r w:rsidR="009E4677" w:rsidRPr="009E4677">
        <w:rPr>
          <w:rFonts w:ascii="Times New Roman" w:hAnsi="Times New Roman" w:cs="Times New Roman"/>
          <w:lang w:val="en-GB"/>
        </w:rPr>
        <w:t xml:space="preserve"> provincial action plans aligned to the National Sanitation Integrated Plan and the final national faecal sludge management strategy </w:t>
      </w:r>
      <w:r>
        <w:rPr>
          <w:rFonts w:ascii="Times New Roman" w:hAnsi="Times New Roman" w:cs="Times New Roman"/>
          <w:lang w:val="en-GB"/>
        </w:rPr>
        <w:t>completed.</w:t>
      </w:r>
    </w:p>
    <w:p w:rsidR="006D15B7" w:rsidRDefault="006D15B7" w:rsidP="00093645">
      <w:pPr>
        <w:pStyle w:val="ListParagraph"/>
        <w:numPr>
          <w:ilvl w:val="0"/>
          <w:numId w:val="23"/>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On water redistributed for transformation, the performance of 9 water boards </w:t>
      </w:r>
      <w:r w:rsidR="009E4677">
        <w:rPr>
          <w:rFonts w:ascii="Times New Roman" w:hAnsi="Times New Roman" w:cs="Times New Roman"/>
          <w:lang w:val="en-GB"/>
        </w:rPr>
        <w:t xml:space="preserve">was </w:t>
      </w:r>
      <w:r>
        <w:rPr>
          <w:rFonts w:ascii="Times New Roman" w:hAnsi="Times New Roman" w:cs="Times New Roman"/>
          <w:lang w:val="en-GB"/>
        </w:rPr>
        <w:t>evaluated against their plans.</w:t>
      </w:r>
    </w:p>
    <w:p w:rsidR="009B7146" w:rsidRPr="00F80D2C" w:rsidRDefault="009B7146" w:rsidP="009B7146">
      <w:pPr>
        <w:spacing w:after="0" w:line="360" w:lineRule="auto"/>
        <w:jc w:val="both"/>
        <w:rPr>
          <w:rFonts w:ascii="Times New Roman" w:hAnsi="Times New Roman" w:cs="Times New Roman"/>
          <w:sz w:val="16"/>
          <w:szCs w:val="16"/>
          <w:lang w:val="en-GB"/>
        </w:rPr>
      </w:pPr>
    </w:p>
    <w:p w:rsidR="00AE690B" w:rsidRDefault="002B73D2" w:rsidP="009B7146">
      <w:pPr>
        <w:spacing w:after="0" w:line="360" w:lineRule="auto"/>
        <w:jc w:val="both"/>
        <w:rPr>
          <w:rFonts w:ascii="Times New Roman" w:hAnsi="Times New Roman" w:cs="Times New Roman"/>
          <w:lang w:val="en-GB"/>
        </w:rPr>
      </w:pPr>
      <w:r>
        <w:rPr>
          <w:rFonts w:ascii="Times New Roman" w:hAnsi="Times New Roman" w:cs="Times New Roman"/>
          <w:lang w:val="en-GB"/>
        </w:rPr>
        <w:t>In</w:t>
      </w:r>
      <w:r w:rsidR="00D776F6">
        <w:rPr>
          <w:rFonts w:ascii="Times New Roman" w:hAnsi="Times New Roman" w:cs="Times New Roman"/>
          <w:lang w:val="en-GB"/>
        </w:rPr>
        <w:t xml:space="preserve"> Programme 3: Water Services Management, the objective of the major grants to municipalities </w:t>
      </w:r>
      <w:r w:rsidR="0083061D">
        <w:rPr>
          <w:rFonts w:ascii="Times New Roman" w:hAnsi="Times New Roman" w:cs="Times New Roman"/>
          <w:lang w:val="en-GB"/>
        </w:rPr>
        <w:t xml:space="preserve">is </w:t>
      </w:r>
      <w:r w:rsidR="00D776F6">
        <w:rPr>
          <w:rFonts w:ascii="Times New Roman" w:hAnsi="Times New Roman" w:cs="Times New Roman"/>
          <w:lang w:val="en-GB"/>
        </w:rPr>
        <w:t xml:space="preserve">to assist them </w:t>
      </w:r>
      <w:r>
        <w:rPr>
          <w:rFonts w:ascii="Times New Roman" w:hAnsi="Times New Roman" w:cs="Times New Roman"/>
          <w:lang w:val="en-GB"/>
        </w:rPr>
        <w:t>in developing</w:t>
      </w:r>
      <w:r w:rsidR="00D776F6">
        <w:rPr>
          <w:rFonts w:ascii="Times New Roman" w:hAnsi="Times New Roman" w:cs="Times New Roman"/>
          <w:lang w:val="en-GB"/>
        </w:rPr>
        <w:t xml:space="preserve"> water and sanitation distribution infrastructure systems. The grants are not disbursed without any oversight by the Department. The </w:t>
      </w:r>
      <w:r>
        <w:rPr>
          <w:rFonts w:ascii="Times New Roman" w:hAnsi="Times New Roman" w:cs="Times New Roman"/>
          <w:lang w:val="en-GB"/>
        </w:rPr>
        <w:t>Department’s regional offices</w:t>
      </w:r>
      <w:r w:rsidR="00D776F6">
        <w:rPr>
          <w:rFonts w:ascii="Times New Roman" w:hAnsi="Times New Roman" w:cs="Times New Roman"/>
          <w:lang w:val="en-GB"/>
        </w:rPr>
        <w:t xml:space="preserve"> work closely with municipalities to carry out feasibility and implementation readiness studies to ensure the effective use of grant transfers, such as the Regional and Water Services Infrastructure Grants. The Department provided Annexures in the presentation, which </w:t>
      </w:r>
      <w:r w:rsidR="00E64E9F">
        <w:rPr>
          <w:rFonts w:ascii="Times New Roman" w:hAnsi="Times New Roman" w:cs="Times New Roman"/>
          <w:lang w:val="en-GB"/>
        </w:rPr>
        <w:t>provides</w:t>
      </w:r>
      <w:r w:rsidR="00AE690B">
        <w:rPr>
          <w:rFonts w:ascii="Times New Roman" w:hAnsi="Times New Roman" w:cs="Times New Roman"/>
          <w:lang w:val="en-GB"/>
        </w:rPr>
        <w:t xml:space="preserve"> a breakdown of projects funded by the grants in different provinces. Self-assessment plans with the</w:t>
      </w:r>
      <w:r w:rsidR="00B51CD0">
        <w:rPr>
          <w:rFonts w:ascii="Times New Roman" w:hAnsi="Times New Roman" w:cs="Times New Roman"/>
          <w:lang w:val="en-GB"/>
        </w:rPr>
        <w:t xml:space="preserve"> Municipal Services Strategic Services </w:t>
      </w:r>
      <w:r w:rsidR="00B51CD0">
        <w:rPr>
          <w:rFonts w:ascii="Times New Roman" w:hAnsi="Times New Roman" w:cs="Times New Roman"/>
          <w:lang w:val="en-GB"/>
        </w:rPr>
        <w:lastRenderedPageBreak/>
        <w:t>Assessment</w:t>
      </w:r>
      <w:r w:rsidR="00AE690B">
        <w:rPr>
          <w:rFonts w:ascii="Times New Roman" w:hAnsi="Times New Roman" w:cs="Times New Roman"/>
          <w:lang w:val="en-GB"/>
        </w:rPr>
        <w:t xml:space="preserve"> </w:t>
      </w:r>
      <w:r w:rsidR="00B51CD0">
        <w:rPr>
          <w:rFonts w:ascii="Times New Roman" w:hAnsi="Times New Roman" w:cs="Times New Roman"/>
          <w:lang w:val="en-GB"/>
        </w:rPr>
        <w:t>(</w:t>
      </w:r>
      <w:r w:rsidR="00AE690B">
        <w:rPr>
          <w:rFonts w:ascii="Times New Roman" w:hAnsi="Times New Roman" w:cs="Times New Roman"/>
          <w:lang w:val="en-GB"/>
        </w:rPr>
        <w:t>MuSSA</w:t>
      </w:r>
      <w:r w:rsidR="00B51CD0">
        <w:rPr>
          <w:rFonts w:ascii="Times New Roman" w:hAnsi="Times New Roman" w:cs="Times New Roman"/>
          <w:lang w:val="en-GB"/>
        </w:rPr>
        <w:t>)</w:t>
      </w:r>
      <w:r w:rsidR="00AE690B">
        <w:rPr>
          <w:rFonts w:ascii="Times New Roman" w:hAnsi="Times New Roman" w:cs="Times New Roman"/>
          <w:lang w:val="en-GB"/>
        </w:rPr>
        <w:t xml:space="preserve"> system </w:t>
      </w:r>
      <w:r>
        <w:rPr>
          <w:rFonts w:ascii="Times New Roman" w:hAnsi="Times New Roman" w:cs="Times New Roman"/>
          <w:lang w:val="en-GB"/>
        </w:rPr>
        <w:t>are one of the tools assisting</w:t>
      </w:r>
      <w:r w:rsidRPr="002B73D2">
        <w:rPr>
          <w:rFonts w:ascii="Times New Roman" w:hAnsi="Times New Roman" w:cs="Times New Roman"/>
          <w:lang w:val="en-GB"/>
        </w:rPr>
        <w:t xml:space="preserve"> municipalities </w:t>
      </w:r>
      <w:r>
        <w:rPr>
          <w:rFonts w:ascii="Times New Roman" w:hAnsi="Times New Roman" w:cs="Times New Roman"/>
          <w:lang w:val="en-GB"/>
        </w:rPr>
        <w:t>in proving</w:t>
      </w:r>
      <w:r w:rsidR="00AE690B">
        <w:rPr>
          <w:rFonts w:ascii="Times New Roman" w:hAnsi="Times New Roman" w:cs="Times New Roman"/>
          <w:lang w:val="en-GB"/>
        </w:rPr>
        <w:t xml:space="preserve"> </w:t>
      </w:r>
      <w:r w:rsidR="0083061D">
        <w:rPr>
          <w:rFonts w:ascii="Times New Roman" w:hAnsi="Times New Roman" w:cs="Times New Roman"/>
          <w:lang w:val="en-GB"/>
        </w:rPr>
        <w:t>the</w:t>
      </w:r>
      <w:r w:rsidR="00AE690B">
        <w:rPr>
          <w:rFonts w:ascii="Times New Roman" w:hAnsi="Times New Roman" w:cs="Times New Roman"/>
          <w:lang w:val="en-GB"/>
        </w:rPr>
        <w:t xml:space="preserve"> reliability</w:t>
      </w:r>
      <w:r w:rsidR="0083061D">
        <w:rPr>
          <w:rFonts w:ascii="Times New Roman" w:hAnsi="Times New Roman" w:cs="Times New Roman"/>
          <w:lang w:val="en-GB"/>
        </w:rPr>
        <w:t xml:space="preserve"> of their </w:t>
      </w:r>
      <w:r w:rsidR="00AE690B">
        <w:rPr>
          <w:rFonts w:ascii="Times New Roman" w:hAnsi="Times New Roman" w:cs="Times New Roman"/>
          <w:lang w:val="en-GB"/>
        </w:rPr>
        <w:t>services and targets.</w:t>
      </w:r>
    </w:p>
    <w:p w:rsidR="00AE690B" w:rsidRPr="00F80D2C" w:rsidRDefault="00AE690B" w:rsidP="009B7146">
      <w:pPr>
        <w:spacing w:after="0" w:line="360" w:lineRule="auto"/>
        <w:jc w:val="both"/>
        <w:rPr>
          <w:rFonts w:ascii="Times New Roman" w:hAnsi="Times New Roman" w:cs="Times New Roman"/>
          <w:sz w:val="16"/>
          <w:szCs w:val="16"/>
          <w:lang w:val="en-GB"/>
        </w:rPr>
      </w:pPr>
    </w:p>
    <w:p w:rsidR="00EE1353" w:rsidRDefault="00043A30" w:rsidP="00EE1353">
      <w:pPr>
        <w:spacing w:after="0" w:line="360" w:lineRule="auto"/>
        <w:jc w:val="both"/>
        <w:rPr>
          <w:rFonts w:ascii="Times New Roman" w:hAnsi="Times New Roman" w:cs="Times New Roman"/>
          <w:lang w:val="en-GB"/>
        </w:rPr>
      </w:pPr>
      <w:r w:rsidRPr="00043A30">
        <w:rPr>
          <w:rFonts w:ascii="Times New Roman" w:hAnsi="Times New Roman" w:cs="Times New Roman"/>
          <w:lang w:val="en-GB"/>
        </w:rPr>
        <w:t>The following will be undertaken to ensure that the water services side is adequately regulated</w:t>
      </w:r>
      <w:r w:rsidR="00EE1353">
        <w:rPr>
          <w:rFonts w:ascii="Times New Roman" w:hAnsi="Times New Roman" w:cs="Times New Roman"/>
          <w:lang w:val="en-GB"/>
        </w:rPr>
        <w:t xml:space="preserve">: </w:t>
      </w:r>
      <w:r w:rsidR="00AE690B">
        <w:rPr>
          <w:rFonts w:ascii="Times New Roman" w:hAnsi="Times New Roman" w:cs="Times New Roman"/>
          <w:lang w:val="en-GB"/>
        </w:rPr>
        <w:t>Minor amendments to the Water Services Act will be submitted to C</w:t>
      </w:r>
      <w:r w:rsidR="00433937" w:rsidRPr="00AE690B">
        <w:rPr>
          <w:rFonts w:ascii="Times New Roman" w:hAnsi="Times New Roman" w:cs="Times New Roman"/>
          <w:lang w:val="en-GB"/>
        </w:rPr>
        <w:t xml:space="preserve">abinet this financial year. </w:t>
      </w:r>
      <w:r w:rsidR="00AE690B">
        <w:rPr>
          <w:rFonts w:ascii="Times New Roman" w:hAnsi="Times New Roman" w:cs="Times New Roman"/>
          <w:lang w:val="en-GB"/>
        </w:rPr>
        <w:t xml:space="preserve">Submitting to Cabinet a Norms and Standards for water and sanitation services, </w:t>
      </w:r>
      <w:r w:rsidR="00433937" w:rsidRPr="00AE690B">
        <w:rPr>
          <w:rFonts w:ascii="Times New Roman" w:hAnsi="Times New Roman" w:cs="Times New Roman"/>
          <w:lang w:val="en-GB"/>
        </w:rPr>
        <w:t xml:space="preserve">including a standard sanitation framework to ensure greater equity in standards in the country. </w:t>
      </w:r>
    </w:p>
    <w:p w:rsidR="00EE1353" w:rsidRPr="00FE7937" w:rsidRDefault="00EE1353" w:rsidP="00EE1353">
      <w:pPr>
        <w:spacing w:after="0" w:line="360" w:lineRule="auto"/>
        <w:jc w:val="both"/>
        <w:rPr>
          <w:rFonts w:ascii="Times New Roman" w:hAnsi="Times New Roman" w:cs="Times New Roman"/>
          <w:sz w:val="16"/>
          <w:szCs w:val="16"/>
          <w:lang w:val="en-GB"/>
        </w:rPr>
      </w:pPr>
    </w:p>
    <w:p w:rsidR="00AD767D" w:rsidRPr="00517E0F" w:rsidRDefault="00AE690B" w:rsidP="00EE1353">
      <w:pPr>
        <w:spacing w:after="0" w:line="360" w:lineRule="auto"/>
        <w:jc w:val="both"/>
        <w:rPr>
          <w:rFonts w:ascii="Times New Roman" w:hAnsi="Times New Roman" w:cs="Times New Roman"/>
          <w:lang w:val="en-GB"/>
        </w:rPr>
      </w:pPr>
      <w:r>
        <w:rPr>
          <w:rFonts w:ascii="Times New Roman" w:hAnsi="Times New Roman" w:cs="Times New Roman"/>
          <w:lang w:val="en-GB"/>
        </w:rPr>
        <w:t xml:space="preserve">As with the Green Drop Report, the Blue Drop Report will be </w:t>
      </w:r>
      <w:r w:rsidR="002B73D2">
        <w:rPr>
          <w:rFonts w:ascii="Times New Roman" w:hAnsi="Times New Roman" w:cs="Times New Roman"/>
          <w:lang w:val="en-GB"/>
        </w:rPr>
        <w:t>renewed</w:t>
      </w:r>
      <w:r>
        <w:rPr>
          <w:rFonts w:ascii="Times New Roman" w:hAnsi="Times New Roman" w:cs="Times New Roman"/>
          <w:lang w:val="en-GB"/>
        </w:rPr>
        <w:t xml:space="preserve"> under the Water Services Management programme</w:t>
      </w:r>
      <w:r w:rsidR="00517E0F">
        <w:rPr>
          <w:rFonts w:ascii="Times New Roman" w:hAnsi="Times New Roman" w:cs="Times New Roman"/>
          <w:lang w:val="en-GB"/>
        </w:rPr>
        <w:t xml:space="preserve"> to assess water treatment works and related infrastructure. A progress report on Blue Drop Assessment has been issued, with the completed Blue Drop Report to be </w:t>
      </w:r>
      <w:r w:rsidR="002B73D2">
        <w:rPr>
          <w:rFonts w:ascii="Times New Roman" w:hAnsi="Times New Roman" w:cs="Times New Roman"/>
          <w:lang w:val="en-GB"/>
        </w:rPr>
        <w:t>published</w:t>
      </w:r>
      <w:r w:rsidR="00517E0F">
        <w:rPr>
          <w:rFonts w:ascii="Times New Roman" w:hAnsi="Times New Roman" w:cs="Times New Roman"/>
          <w:lang w:val="en-GB"/>
        </w:rPr>
        <w:t xml:space="preserve"> in this current financial year and thereafter every two years.</w:t>
      </w:r>
      <w:r w:rsidR="00EE1353">
        <w:rPr>
          <w:rFonts w:ascii="Times New Roman" w:hAnsi="Times New Roman" w:cs="Times New Roman"/>
          <w:lang w:val="en-GB"/>
        </w:rPr>
        <w:t xml:space="preserve"> </w:t>
      </w:r>
      <w:r w:rsidR="00433937" w:rsidRPr="00517E0F">
        <w:rPr>
          <w:rFonts w:ascii="Times New Roman" w:hAnsi="Times New Roman" w:cs="Times New Roman"/>
          <w:lang w:val="en-GB"/>
        </w:rPr>
        <w:t>One of the priorities to streamline water services institutional arrangements</w:t>
      </w:r>
      <w:r w:rsidR="00517E0F">
        <w:rPr>
          <w:rFonts w:ascii="Times New Roman" w:hAnsi="Times New Roman" w:cs="Times New Roman"/>
          <w:lang w:val="en-GB"/>
        </w:rPr>
        <w:t xml:space="preserve"> is the dissolution of </w:t>
      </w:r>
      <w:r w:rsidR="0083061D">
        <w:rPr>
          <w:rFonts w:ascii="Times New Roman" w:hAnsi="Times New Roman" w:cs="Times New Roman"/>
          <w:lang w:val="en-GB"/>
        </w:rPr>
        <w:t xml:space="preserve">the </w:t>
      </w:r>
      <w:r w:rsidR="00517E0F">
        <w:rPr>
          <w:rFonts w:ascii="Times New Roman" w:hAnsi="Times New Roman" w:cs="Times New Roman"/>
          <w:lang w:val="en-GB"/>
        </w:rPr>
        <w:t xml:space="preserve">Sedibeng Water Board and the </w:t>
      </w:r>
      <w:r w:rsidR="002B73D2">
        <w:rPr>
          <w:rFonts w:ascii="Times New Roman" w:hAnsi="Times New Roman" w:cs="Times New Roman"/>
          <w:lang w:val="en-GB"/>
        </w:rPr>
        <w:t>rationalisation</w:t>
      </w:r>
      <w:r w:rsidR="00517E0F">
        <w:rPr>
          <w:rFonts w:ascii="Times New Roman" w:hAnsi="Times New Roman" w:cs="Times New Roman"/>
          <w:lang w:val="en-GB"/>
        </w:rPr>
        <w:t xml:space="preserve"> of water boards and amendments to the geographical boundaries of water boards.  </w:t>
      </w:r>
      <w:r w:rsidR="002B73D2" w:rsidRPr="002B73D2">
        <w:rPr>
          <w:rFonts w:ascii="Times New Roman" w:hAnsi="Times New Roman" w:cs="Times New Roman"/>
          <w:lang w:val="en-GB"/>
        </w:rPr>
        <w:t>The Department will make an announcement on this matter</w:t>
      </w:r>
      <w:r w:rsidR="00517E0F">
        <w:rPr>
          <w:rFonts w:ascii="Times New Roman" w:hAnsi="Times New Roman" w:cs="Times New Roman"/>
          <w:lang w:val="en-GB"/>
        </w:rPr>
        <w:t>.</w:t>
      </w:r>
      <w:r w:rsidR="00433937" w:rsidRPr="00517E0F">
        <w:rPr>
          <w:rFonts w:ascii="Times New Roman" w:hAnsi="Times New Roman" w:cs="Times New Roman"/>
          <w:lang w:val="en-GB"/>
        </w:rPr>
        <w:t xml:space="preserve"> </w:t>
      </w:r>
    </w:p>
    <w:p w:rsidR="007C728E" w:rsidRPr="00F80D2C" w:rsidRDefault="007C728E" w:rsidP="009B7146">
      <w:pPr>
        <w:spacing w:after="0" w:line="360" w:lineRule="auto"/>
        <w:jc w:val="both"/>
        <w:rPr>
          <w:rFonts w:ascii="Times New Roman" w:hAnsi="Times New Roman" w:cs="Times New Roman"/>
          <w:sz w:val="16"/>
          <w:szCs w:val="16"/>
          <w:lang w:val="en-GB"/>
        </w:rPr>
      </w:pPr>
    </w:p>
    <w:p w:rsidR="00A6692E" w:rsidRDefault="007C728E" w:rsidP="00A6692E">
      <w:pPr>
        <w:spacing w:after="0" w:line="360" w:lineRule="auto"/>
        <w:jc w:val="both"/>
        <w:rPr>
          <w:rFonts w:ascii="Times New Roman" w:hAnsi="Times New Roman" w:cs="Times New Roman"/>
          <w:b/>
        </w:rPr>
      </w:pPr>
      <w:r>
        <w:rPr>
          <w:rFonts w:ascii="Times New Roman" w:hAnsi="Times New Roman" w:cs="Times New Roman"/>
          <w:b/>
          <w:lang w:val="en-GB"/>
        </w:rPr>
        <w:t>6.</w:t>
      </w:r>
      <w:r w:rsidR="00D10F2D">
        <w:rPr>
          <w:rFonts w:ascii="Times New Roman" w:hAnsi="Times New Roman" w:cs="Times New Roman"/>
          <w:b/>
        </w:rPr>
        <w:tab/>
        <w:t>Overview of Infrastructure Allocations</w:t>
      </w:r>
      <w:r w:rsidR="00DA11E9">
        <w:rPr>
          <w:rFonts w:ascii="Times New Roman" w:hAnsi="Times New Roman" w:cs="Times New Roman"/>
          <w:b/>
        </w:rPr>
        <w:t xml:space="preserve"> for R</w:t>
      </w:r>
      <w:r w:rsidR="00600449">
        <w:rPr>
          <w:rFonts w:ascii="Times New Roman" w:hAnsi="Times New Roman" w:cs="Times New Roman"/>
          <w:b/>
        </w:rPr>
        <w:t xml:space="preserve">egional Bulk Infrastructure Grant and </w:t>
      </w:r>
      <w:r w:rsidR="00600449">
        <w:rPr>
          <w:rFonts w:ascii="Times New Roman" w:hAnsi="Times New Roman" w:cs="Times New Roman"/>
          <w:b/>
        </w:rPr>
        <w:tab/>
        <w:t xml:space="preserve">Water Services Infrastructure Grant </w:t>
      </w:r>
      <w:r w:rsidR="00DA11E9">
        <w:rPr>
          <w:rFonts w:ascii="Times New Roman" w:hAnsi="Times New Roman" w:cs="Times New Roman"/>
          <w:b/>
        </w:rPr>
        <w:t>projects</w:t>
      </w:r>
      <w:r w:rsidR="006753B7">
        <w:rPr>
          <w:rFonts w:ascii="Times New Roman" w:hAnsi="Times New Roman" w:cs="Times New Roman"/>
          <w:b/>
        </w:rPr>
        <w:t>,</w:t>
      </w:r>
      <w:r w:rsidR="00DA11E9">
        <w:rPr>
          <w:rFonts w:ascii="Times New Roman" w:hAnsi="Times New Roman" w:cs="Times New Roman"/>
          <w:b/>
        </w:rPr>
        <w:t xml:space="preserve"> </w:t>
      </w:r>
      <w:r w:rsidR="00D56CE6">
        <w:rPr>
          <w:rFonts w:ascii="Times New Roman" w:hAnsi="Times New Roman" w:cs="Times New Roman"/>
          <w:b/>
        </w:rPr>
        <w:t>water boards</w:t>
      </w:r>
      <w:r w:rsidR="006753B7">
        <w:rPr>
          <w:rFonts w:ascii="Times New Roman" w:hAnsi="Times New Roman" w:cs="Times New Roman"/>
          <w:b/>
        </w:rPr>
        <w:t>, Water Trading Entity and</w:t>
      </w:r>
    </w:p>
    <w:p w:rsidR="006753B7" w:rsidRPr="00D10F2D" w:rsidRDefault="006753B7" w:rsidP="00A6692E">
      <w:pPr>
        <w:spacing w:after="0" w:line="360" w:lineRule="auto"/>
        <w:jc w:val="both"/>
        <w:rPr>
          <w:rFonts w:ascii="Times New Roman" w:hAnsi="Times New Roman" w:cs="Times New Roman"/>
          <w:b/>
        </w:rPr>
      </w:pPr>
      <w:r>
        <w:rPr>
          <w:rFonts w:ascii="Times New Roman" w:hAnsi="Times New Roman" w:cs="Times New Roman"/>
          <w:b/>
        </w:rPr>
        <w:tab/>
        <w:t>KOBWA</w:t>
      </w:r>
    </w:p>
    <w:p w:rsidR="009D23F0" w:rsidRPr="00F80D2C" w:rsidRDefault="009D23F0" w:rsidP="00A6692E">
      <w:pPr>
        <w:spacing w:after="0" w:line="360" w:lineRule="auto"/>
        <w:jc w:val="both"/>
        <w:rPr>
          <w:rFonts w:ascii="Times New Roman" w:hAnsi="Times New Roman" w:cs="Times New Roman"/>
          <w:sz w:val="16"/>
          <w:szCs w:val="16"/>
        </w:rPr>
      </w:pPr>
    </w:p>
    <w:p w:rsidR="009D23F0" w:rsidRDefault="00B46026" w:rsidP="00A6692E">
      <w:pPr>
        <w:spacing w:after="0" w:line="360" w:lineRule="auto"/>
        <w:jc w:val="both"/>
        <w:rPr>
          <w:rFonts w:ascii="Times New Roman" w:hAnsi="Times New Roman" w:cs="Times New Roman"/>
        </w:rPr>
      </w:pPr>
      <w:r>
        <w:rPr>
          <w:rFonts w:ascii="Times New Roman" w:hAnsi="Times New Roman" w:cs="Times New Roman"/>
        </w:rPr>
        <w:t>Under Programme 3: Water Services Management, t</w:t>
      </w:r>
      <w:r w:rsidR="008912AA">
        <w:rPr>
          <w:rFonts w:ascii="Times New Roman" w:hAnsi="Times New Roman" w:cs="Times New Roman"/>
        </w:rPr>
        <w:t xml:space="preserve">he total Regional Bulk Infrastructure Grant (conditional allocations to local government and allocations in kind to municipalities for </w:t>
      </w:r>
      <w:r>
        <w:rPr>
          <w:rFonts w:ascii="Times New Roman" w:hAnsi="Times New Roman" w:cs="Times New Roman"/>
        </w:rPr>
        <w:t xml:space="preserve">the </w:t>
      </w:r>
      <w:r w:rsidR="008912AA">
        <w:rPr>
          <w:rFonts w:ascii="Times New Roman" w:hAnsi="Times New Roman" w:cs="Times New Roman"/>
        </w:rPr>
        <w:t xml:space="preserve">designated special programme) allocations over the </w:t>
      </w:r>
      <w:r w:rsidR="0054531F">
        <w:rPr>
          <w:rFonts w:ascii="Times New Roman" w:hAnsi="Times New Roman" w:cs="Times New Roman"/>
        </w:rPr>
        <w:t>Medium-Term Expenditure Framework (</w:t>
      </w:r>
      <w:r w:rsidR="008912AA">
        <w:rPr>
          <w:rFonts w:ascii="Times New Roman" w:hAnsi="Times New Roman" w:cs="Times New Roman"/>
        </w:rPr>
        <w:t>MTEF</w:t>
      </w:r>
      <w:r w:rsidR="0054531F">
        <w:rPr>
          <w:rFonts w:ascii="Times New Roman" w:hAnsi="Times New Roman" w:cs="Times New Roman"/>
        </w:rPr>
        <w:t>)</w:t>
      </w:r>
      <w:r w:rsidR="008912AA">
        <w:rPr>
          <w:rFonts w:ascii="Times New Roman" w:hAnsi="Times New Roman" w:cs="Times New Roman"/>
        </w:rPr>
        <w:t xml:space="preserve"> </w:t>
      </w:r>
      <w:r>
        <w:rPr>
          <w:rFonts w:ascii="Times New Roman" w:hAnsi="Times New Roman" w:cs="Times New Roman"/>
        </w:rPr>
        <w:t>are</w:t>
      </w:r>
      <w:r w:rsidR="008912AA">
        <w:rPr>
          <w:rFonts w:ascii="Times New Roman" w:hAnsi="Times New Roman" w:cs="Times New Roman"/>
        </w:rPr>
        <w:t xml:space="preserve"> R5.9 billion, R6.4 billion and R6.5 billion</w:t>
      </w:r>
      <w:r w:rsidR="00D56CE6">
        <w:rPr>
          <w:rFonts w:ascii="Times New Roman" w:hAnsi="Times New Roman" w:cs="Times New Roman"/>
        </w:rPr>
        <w:t>, respectively</w:t>
      </w:r>
      <w:r w:rsidR="008912AA">
        <w:rPr>
          <w:rFonts w:ascii="Times New Roman" w:hAnsi="Times New Roman" w:cs="Times New Roman"/>
        </w:rPr>
        <w:t xml:space="preserve">. The total Water Services Infrastructure Grant (conditional and </w:t>
      </w:r>
      <w:r>
        <w:rPr>
          <w:rFonts w:ascii="Times New Roman" w:hAnsi="Times New Roman" w:cs="Times New Roman"/>
        </w:rPr>
        <w:t>in-kind</w:t>
      </w:r>
      <w:r w:rsidR="008912AA">
        <w:rPr>
          <w:rFonts w:ascii="Times New Roman" w:hAnsi="Times New Roman" w:cs="Times New Roman"/>
        </w:rPr>
        <w:t xml:space="preserve">) allocations over the MTEF </w:t>
      </w:r>
      <w:r>
        <w:rPr>
          <w:rFonts w:ascii="Times New Roman" w:hAnsi="Times New Roman" w:cs="Times New Roman"/>
        </w:rPr>
        <w:t>are</w:t>
      </w:r>
      <w:r w:rsidR="008912AA">
        <w:rPr>
          <w:rFonts w:ascii="Times New Roman" w:hAnsi="Times New Roman" w:cs="Times New Roman"/>
        </w:rPr>
        <w:t xml:space="preserve"> R4.4 billion, R4.6 billion and R4.8 billion</w:t>
      </w:r>
      <w:r w:rsidR="00D56CE6">
        <w:rPr>
          <w:rFonts w:ascii="Times New Roman" w:hAnsi="Times New Roman" w:cs="Times New Roman"/>
        </w:rPr>
        <w:t>, respectively</w:t>
      </w:r>
      <w:r w:rsidR="008912AA">
        <w:rPr>
          <w:rFonts w:ascii="Times New Roman" w:hAnsi="Times New Roman" w:cs="Times New Roman"/>
        </w:rPr>
        <w:t xml:space="preserve">.  </w:t>
      </w:r>
    </w:p>
    <w:p w:rsidR="006D15B7" w:rsidRPr="00F80D2C" w:rsidRDefault="006D15B7" w:rsidP="00A6692E">
      <w:pPr>
        <w:spacing w:after="0" w:line="360" w:lineRule="auto"/>
        <w:jc w:val="both"/>
        <w:rPr>
          <w:rFonts w:ascii="Times New Roman" w:hAnsi="Times New Roman" w:cs="Times New Roman"/>
          <w:sz w:val="16"/>
          <w:szCs w:val="16"/>
        </w:rPr>
      </w:pPr>
    </w:p>
    <w:p w:rsidR="009D23F0" w:rsidRPr="008213C3" w:rsidRDefault="008213C3" w:rsidP="00F80D2C">
      <w:pPr>
        <w:spacing w:after="0" w:line="360" w:lineRule="auto"/>
        <w:jc w:val="both"/>
        <w:rPr>
          <w:rFonts w:ascii="Times New Roman" w:hAnsi="Times New Roman" w:cs="Times New Roman"/>
        </w:rPr>
      </w:pPr>
      <w:r>
        <w:rPr>
          <w:rFonts w:ascii="Times New Roman" w:hAnsi="Times New Roman" w:cs="Times New Roman"/>
        </w:rPr>
        <w:t>Total allocations of R4.4 billion over the Medium-Term</w:t>
      </w:r>
      <w:r w:rsidR="008912AA">
        <w:rPr>
          <w:rFonts w:ascii="Times New Roman" w:hAnsi="Times New Roman" w:cs="Times New Roman"/>
        </w:rPr>
        <w:t xml:space="preserve"> to water bo</w:t>
      </w:r>
      <w:r>
        <w:rPr>
          <w:rFonts w:ascii="Times New Roman" w:hAnsi="Times New Roman" w:cs="Times New Roman"/>
        </w:rPr>
        <w:t>ards for specific infrastructure projects include the following:</w:t>
      </w:r>
      <w:r w:rsidR="00F80D2C">
        <w:rPr>
          <w:rFonts w:ascii="Times New Roman" w:hAnsi="Times New Roman" w:cs="Times New Roman"/>
        </w:rPr>
        <w:t xml:space="preserve"> </w:t>
      </w:r>
      <w:r w:rsidR="008912AA" w:rsidRPr="008213C3">
        <w:rPr>
          <w:rFonts w:ascii="Times New Roman" w:hAnsi="Times New Roman" w:cs="Times New Roman"/>
        </w:rPr>
        <w:t>Magalies Water for the Pilanesberg bulk water supply sch</w:t>
      </w:r>
      <w:r w:rsidR="00F80D2C">
        <w:rPr>
          <w:rFonts w:ascii="Times New Roman" w:hAnsi="Times New Roman" w:cs="Times New Roman"/>
        </w:rPr>
        <w:t xml:space="preserve">eme, </w:t>
      </w:r>
      <w:r w:rsidR="008912AA" w:rsidRPr="008213C3">
        <w:rPr>
          <w:rFonts w:ascii="Times New Roman" w:hAnsi="Times New Roman" w:cs="Times New Roman"/>
        </w:rPr>
        <w:t>Umgeni Water for the Umsh</w:t>
      </w:r>
      <w:r w:rsidR="006753B7" w:rsidRPr="008213C3">
        <w:rPr>
          <w:rFonts w:ascii="Times New Roman" w:hAnsi="Times New Roman" w:cs="Times New Roman"/>
        </w:rPr>
        <w:t>wathi Regional Bulk Water Scheme, Maphumulo Regional Bulk Schemes, Greater Mpofana Phase 1 -3 and uMkhoma</w:t>
      </w:r>
      <w:r w:rsidR="00F80D2C">
        <w:rPr>
          <w:rFonts w:ascii="Times New Roman" w:hAnsi="Times New Roman" w:cs="Times New Roman"/>
        </w:rPr>
        <w:t xml:space="preserve">zi Bulk Water Supply Scheme, </w:t>
      </w:r>
      <w:r w:rsidR="009D23F0" w:rsidRPr="008213C3">
        <w:rPr>
          <w:rFonts w:ascii="Times New Roman" w:hAnsi="Times New Roman" w:cs="Times New Roman"/>
        </w:rPr>
        <w:t>Sedibeng</w:t>
      </w:r>
      <w:r w:rsidR="00406C2D" w:rsidRPr="008213C3">
        <w:rPr>
          <w:rFonts w:ascii="Times New Roman" w:hAnsi="Times New Roman" w:cs="Times New Roman"/>
        </w:rPr>
        <w:t xml:space="preserve"> </w:t>
      </w:r>
      <w:r w:rsidR="006753B7" w:rsidRPr="008213C3">
        <w:rPr>
          <w:rFonts w:ascii="Times New Roman" w:hAnsi="Times New Roman" w:cs="Times New Roman"/>
        </w:rPr>
        <w:t>Water for the replaceme</w:t>
      </w:r>
      <w:r w:rsidR="00F80D2C">
        <w:rPr>
          <w:rFonts w:ascii="Times New Roman" w:hAnsi="Times New Roman" w:cs="Times New Roman"/>
        </w:rPr>
        <w:t xml:space="preserve">nt of Namakwa Bulk Water Supply and </w:t>
      </w:r>
      <w:r w:rsidR="009D23F0" w:rsidRPr="008213C3">
        <w:rPr>
          <w:rFonts w:ascii="Times New Roman" w:hAnsi="Times New Roman" w:cs="Times New Roman"/>
        </w:rPr>
        <w:t>Lepelle Water</w:t>
      </w:r>
      <w:r w:rsidR="006753B7" w:rsidRPr="008213C3">
        <w:rPr>
          <w:rFonts w:ascii="Times New Roman" w:hAnsi="Times New Roman" w:cs="Times New Roman"/>
        </w:rPr>
        <w:t xml:space="preserve"> for the </w:t>
      </w:r>
      <w:r w:rsidRPr="008213C3">
        <w:rPr>
          <w:rFonts w:ascii="Times New Roman" w:hAnsi="Times New Roman" w:cs="Times New Roman"/>
        </w:rPr>
        <w:t>upgrade</w:t>
      </w:r>
      <w:r w:rsidR="006753B7" w:rsidRPr="008213C3">
        <w:rPr>
          <w:rFonts w:ascii="Times New Roman" w:hAnsi="Times New Roman" w:cs="Times New Roman"/>
        </w:rPr>
        <w:t xml:space="preserve"> of the Olifants and Ebenezer water supply schemes.</w:t>
      </w:r>
    </w:p>
    <w:p w:rsidR="00D56CE6" w:rsidRPr="00F80D2C" w:rsidRDefault="00D56CE6" w:rsidP="009D23F0">
      <w:pPr>
        <w:spacing w:after="0" w:line="360" w:lineRule="auto"/>
        <w:jc w:val="both"/>
        <w:rPr>
          <w:rFonts w:ascii="Times New Roman" w:hAnsi="Times New Roman" w:cs="Times New Roman"/>
          <w:sz w:val="16"/>
          <w:szCs w:val="16"/>
        </w:rPr>
      </w:pPr>
    </w:p>
    <w:p w:rsidR="006753B7" w:rsidRDefault="008213C3" w:rsidP="009D23F0">
      <w:pPr>
        <w:spacing w:after="0" w:line="360" w:lineRule="auto"/>
        <w:jc w:val="both"/>
        <w:rPr>
          <w:rFonts w:ascii="Times New Roman" w:hAnsi="Times New Roman" w:cs="Times New Roman"/>
        </w:rPr>
      </w:pPr>
      <w:r>
        <w:rPr>
          <w:rFonts w:ascii="Times New Roman" w:hAnsi="Times New Roman" w:cs="Times New Roman"/>
        </w:rPr>
        <w:t>The Water Trading Entity receives allocations for the following projects – acid mine drainage and other capital projects, raising the Clanwilliam Dam and Olifants-Doorn River water resource project, operations and maintenance of infrastructure, and establishment of catchment management agencies.  KOBWA, over the medium-term, receives an amount of R768 million.</w:t>
      </w:r>
    </w:p>
    <w:p w:rsidR="001A1010" w:rsidRDefault="007C728E" w:rsidP="00A669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A6692E" w:rsidRPr="00F20ABC">
        <w:rPr>
          <w:rFonts w:ascii="Times New Roman" w:hAnsi="Times New Roman" w:cs="Times New Roman"/>
          <w:b/>
          <w:sz w:val="24"/>
          <w:szCs w:val="24"/>
        </w:rPr>
        <w:t>.</w:t>
      </w:r>
      <w:r w:rsidR="00A6692E" w:rsidRPr="00F20ABC">
        <w:rPr>
          <w:rFonts w:ascii="Times New Roman" w:hAnsi="Times New Roman" w:cs="Times New Roman"/>
          <w:b/>
          <w:sz w:val="24"/>
          <w:szCs w:val="24"/>
        </w:rPr>
        <w:tab/>
        <w:t xml:space="preserve">Overview of the plans and budgets of entities supporting the work of the </w:t>
      </w:r>
      <w:r w:rsidR="00A6692E">
        <w:rPr>
          <w:rFonts w:ascii="Times New Roman" w:hAnsi="Times New Roman" w:cs="Times New Roman"/>
          <w:b/>
          <w:sz w:val="24"/>
          <w:szCs w:val="24"/>
        </w:rPr>
        <w:tab/>
      </w:r>
      <w:r w:rsidR="00A6692E" w:rsidRPr="00F20ABC">
        <w:rPr>
          <w:rFonts w:ascii="Times New Roman" w:hAnsi="Times New Roman" w:cs="Times New Roman"/>
          <w:b/>
          <w:sz w:val="24"/>
          <w:szCs w:val="24"/>
        </w:rPr>
        <w:t>Department</w:t>
      </w:r>
    </w:p>
    <w:p w:rsidR="001A1010" w:rsidRPr="00F80D2C" w:rsidRDefault="001A1010" w:rsidP="008032D0">
      <w:pPr>
        <w:spacing w:after="0" w:line="360" w:lineRule="auto"/>
        <w:jc w:val="both"/>
        <w:rPr>
          <w:rFonts w:ascii="Times New Roman" w:hAnsi="Times New Roman" w:cs="Times New Roman"/>
          <w:b/>
          <w:sz w:val="16"/>
          <w:szCs w:val="16"/>
        </w:rPr>
      </w:pPr>
    </w:p>
    <w:p w:rsidR="00A6692E" w:rsidRPr="008032D0" w:rsidRDefault="00E64E9F" w:rsidP="008032D0">
      <w:pPr>
        <w:spacing w:after="0" w:line="360" w:lineRule="auto"/>
        <w:jc w:val="both"/>
        <w:rPr>
          <w:rFonts w:ascii="Times New Roman" w:hAnsi="Times New Roman" w:cs="Times New Roman"/>
        </w:rPr>
      </w:pPr>
      <w:r w:rsidRPr="00E64E9F">
        <w:rPr>
          <w:rFonts w:ascii="Times New Roman" w:hAnsi="Times New Roman" w:cs="Times New Roman"/>
        </w:rPr>
        <w:t>As a sector leader, regulator and oversight body of institutions undertaking work on its behalf, the Department has had interactions with Breede-Gouritz Catchment Management Agency, Water Research Commission and Trans-Caledon Tunnel Authority</w:t>
      </w:r>
      <w:r w:rsidR="001A1010" w:rsidRPr="008032D0">
        <w:rPr>
          <w:rFonts w:ascii="Times New Roman" w:hAnsi="Times New Roman" w:cs="Times New Roman"/>
        </w:rPr>
        <w:t xml:space="preserve"> to discuss and understand annual performance plans and will oversee the implementation thereof.  The interactions with the Inkomathi-Usuthu </w:t>
      </w:r>
      <w:r w:rsidR="006353B2" w:rsidRPr="008032D0">
        <w:rPr>
          <w:rFonts w:ascii="Times New Roman" w:hAnsi="Times New Roman" w:cs="Times New Roman"/>
        </w:rPr>
        <w:t>will be undertaken in this financial year.</w:t>
      </w:r>
    </w:p>
    <w:p w:rsidR="007C728E" w:rsidRPr="00F80D2C" w:rsidRDefault="007C728E" w:rsidP="008032D0">
      <w:pPr>
        <w:spacing w:after="0" w:line="360" w:lineRule="auto"/>
        <w:jc w:val="both"/>
        <w:rPr>
          <w:rFonts w:ascii="Times New Roman" w:hAnsi="Times New Roman" w:cs="Times New Roman"/>
          <w:sz w:val="16"/>
          <w:szCs w:val="16"/>
        </w:rPr>
      </w:pPr>
    </w:p>
    <w:p w:rsidR="00A6692E" w:rsidRDefault="007C728E" w:rsidP="00A6692E">
      <w:pPr>
        <w:spacing w:after="0" w:line="360" w:lineRule="auto"/>
        <w:jc w:val="both"/>
        <w:rPr>
          <w:rFonts w:ascii="Times New Roman" w:hAnsi="Times New Roman" w:cs="Times New Roman"/>
          <w:b/>
        </w:rPr>
      </w:pPr>
      <w:r>
        <w:rPr>
          <w:rFonts w:ascii="Times New Roman" w:hAnsi="Times New Roman" w:cs="Times New Roman"/>
          <w:b/>
        </w:rPr>
        <w:t>7</w:t>
      </w:r>
      <w:r w:rsidR="00A6692E">
        <w:rPr>
          <w:rFonts w:ascii="Times New Roman" w:hAnsi="Times New Roman" w:cs="Times New Roman"/>
          <w:b/>
        </w:rPr>
        <w:t>.1</w:t>
      </w:r>
      <w:r w:rsidR="00A6692E">
        <w:rPr>
          <w:rFonts w:ascii="Times New Roman" w:hAnsi="Times New Roman" w:cs="Times New Roman"/>
          <w:b/>
        </w:rPr>
        <w:tab/>
        <w:t>Catchment Management Agencies</w:t>
      </w:r>
    </w:p>
    <w:p w:rsidR="00A6692E" w:rsidRDefault="00A6692E" w:rsidP="00A6692E">
      <w:pPr>
        <w:spacing w:after="0" w:line="360" w:lineRule="auto"/>
        <w:jc w:val="both"/>
        <w:rPr>
          <w:rFonts w:ascii="Times New Roman" w:hAnsi="Times New Roman" w:cs="Times New Roman"/>
          <w:b/>
          <w:sz w:val="16"/>
          <w:szCs w:val="16"/>
        </w:rPr>
      </w:pPr>
    </w:p>
    <w:p w:rsidR="00157688" w:rsidRPr="008032D0" w:rsidRDefault="00B36077" w:rsidP="008032D0">
      <w:pPr>
        <w:spacing w:after="0" w:line="360" w:lineRule="auto"/>
        <w:jc w:val="both"/>
        <w:rPr>
          <w:rFonts w:ascii="Times New Roman" w:hAnsi="Times New Roman" w:cs="Times New Roman"/>
        </w:rPr>
      </w:pPr>
      <w:r w:rsidRPr="008032D0">
        <w:rPr>
          <w:rFonts w:ascii="Times New Roman" w:hAnsi="Times New Roman" w:cs="Times New Roman"/>
        </w:rPr>
        <w:t xml:space="preserve">South Africa’s </w:t>
      </w:r>
      <w:r w:rsidR="00E64E9F" w:rsidRPr="00E64E9F">
        <w:rPr>
          <w:rFonts w:ascii="Times New Roman" w:hAnsi="Times New Roman" w:cs="Times New Roman"/>
        </w:rPr>
        <w:t xml:space="preserve">Catchment Management Agencies were established in </w:t>
      </w:r>
      <w:r w:rsidR="00E64E9F">
        <w:rPr>
          <w:rFonts w:ascii="Times New Roman" w:hAnsi="Times New Roman" w:cs="Times New Roman"/>
        </w:rPr>
        <w:t xml:space="preserve">terms of </w:t>
      </w:r>
      <w:r w:rsidRPr="008032D0">
        <w:rPr>
          <w:rFonts w:ascii="Times New Roman" w:hAnsi="Times New Roman" w:cs="Times New Roman"/>
        </w:rPr>
        <w:t>section 78</w:t>
      </w:r>
      <w:r w:rsidR="008032D0">
        <w:rPr>
          <w:rFonts w:ascii="Times New Roman" w:hAnsi="Times New Roman" w:cs="Times New Roman"/>
        </w:rPr>
        <w:t xml:space="preserve">(1) of the National Water Act, 1998. </w:t>
      </w:r>
      <w:r w:rsidRPr="008032D0">
        <w:rPr>
          <w:rFonts w:ascii="Times New Roman" w:hAnsi="Times New Roman" w:cs="Times New Roman"/>
        </w:rPr>
        <w:t xml:space="preserve">One of the main principles of the National Water Act is its focus on decentralisation. Decentralisation </w:t>
      </w:r>
      <w:r w:rsidR="00E64E9F">
        <w:rPr>
          <w:rFonts w:ascii="Times New Roman" w:hAnsi="Times New Roman" w:cs="Times New Roman"/>
        </w:rPr>
        <w:t>emphasises</w:t>
      </w:r>
      <w:r w:rsidRPr="008032D0">
        <w:rPr>
          <w:rFonts w:ascii="Times New Roman" w:hAnsi="Times New Roman" w:cs="Times New Roman"/>
        </w:rPr>
        <w:t xml:space="preserve"> public participation in water management and related decision-making processes. </w:t>
      </w:r>
      <w:r w:rsidR="008032D0">
        <w:rPr>
          <w:rFonts w:ascii="Times New Roman" w:hAnsi="Times New Roman" w:cs="Times New Roman"/>
        </w:rPr>
        <w:t>Currently, t</w:t>
      </w:r>
      <w:r w:rsidR="00157688" w:rsidRPr="008032D0">
        <w:rPr>
          <w:rFonts w:ascii="Times New Roman" w:hAnsi="Times New Roman" w:cs="Times New Roman"/>
        </w:rPr>
        <w:t xml:space="preserve">wo (2) </w:t>
      </w:r>
      <w:r w:rsidR="008032D0">
        <w:rPr>
          <w:rFonts w:ascii="Times New Roman" w:hAnsi="Times New Roman" w:cs="Times New Roman"/>
        </w:rPr>
        <w:t>Catchment Management Agencies</w:t>
      </w:r>
      <w:r w:rsidR="00157688" w:rsidRPr="008032D0">
        <w:rPr>
          <w:rFonts w:ascii="Times New Roman" w:hAnsi="Times New Roman" w:cs="Times New Roman"/>
        </w:rPr>
        <w:t xml:space="preserve"> have been established, the </w:t>
      </w:r>
      <w:r w:rsidR="00A556B5" w:rsidRPr="008032D0">
        <w:rPr>
          <w:rFonts w:ascii="Times New Roman" w:hAnsi="Times New Roman" w:cs="Times New Roman"/>
        </w:rPr>
        <w:t>Breede-Gouritz and the Inkomati</w:t>
      </w:r>
      <w:r w:rsidR="008032D0">
        <w:rPr>
          <w:rFonts w:ascii="Times New Roman" w:hAnsi="Times New Roman" w:cs="Times New Roman"/>
        </w:rPr>
        <w:t>-</w:t>
      </w:r>
      <w:r w:rsidR="00A556B5" w:rsidRPr="008032D0">
        <w:rPr>
          <w:rFonts w:ascii="Times New Roman" w:hAnsi="Times New Roman" w:cs="Times New Roman"/>
        </w:rPr>
        <w:t>Usutu CMAs.  Currently and apart from the Breede</w:t>
      </w:r>
      <w:r w:rsidR="00A515E8">
        <w:rPr>
          <w:rFonts w:ascii="Times New Roman" w:hAnsi="Times New Roman" w:cs="Times New Roman"/>
        </w:rPr>
        <w:t>-</w:t>
      </w:r>
      <w:r w:rsidR="00A556B5" w:rsidRPr="008032D0">
        <w:rPr>
          <w:rFonts w:ascii="Times New Roman" w:hAnsi="Times New Roman" w:cs="Times New Roman"/>
        </w:rPr>
        <w:t xml:space="preserve">Gouritz and Inkomati-Usutu CMAs, the remaining seven CMAs are considered the so-called proto-CMAs since they are in the process of being established. Those proto-CMAs are managed </w:t>
      </w:r>
      <w:r w:rsidR="000949A0" w:rsidRPr="008032D0">
        <w:rPr>
          <w:rFonts w:ascii="Times New Roman" w:hAnsi="Times New Roman" w:cs="Times New Roman"/>
        </w:rPr>
        <w:t>by the respective regional offi</w:t>
      </w:r>
      <w:r w:rsidR="00157688" w:rsidRPr="008032D0">
        <w:rPr>
          <w:rFonts w:ascii="Times New Roman" w:hAnsi="Times New Roman" w:cs="Times New Roman"/>
        </w:rPr>
        <w:t>ces of the Department.</w:t>
      </w:r>
      <w:r w:rsidR="00A556B5" w:rsidRPr="008032D0">
        <w:rPr>
          <w:rFonts w:ascii="Times New Roman" w:hAnsi="Times New Roman" w:cs="Times New Roman"/>
        </w:rPr>
        <w:t xml:space="preserve"> </w:t>
      </w:r>
    </w:p>
    <w:p w:rsidR="007C728E" w:rsidRPr="00F80D2C" w:rsidRDefault="007C728E" w:rsidP="00F613AE">
      <w:pPr>
        <w:spacing w:after="0" w:line="360" w:lineRule="auto"/>
        <w:jc w:val="both"/>
        <w:rPr>
          <w:rFonts w:ascii="Times New Roman" w:hAnsi="Times New Roman" w:cs="Times New Roman"/>
          <w:sz w:val="16"/>
          <w:szCs w:val="16"/>
        </w:rPr>
      </w:pPr>
    </w:p>
    <w:p w:rsidR="00DF5682" w:rsidRDefault="00A556B5" w:rsidP="008032D0">
      <w:pPr>
        <w:spacing w:after="0" w:line="360" w:lineRule="auto"/>
        <w:jc w:val="both"/>
        <w:rPr>
          <w:rFonts w:ascii="Times New Roman" w:hAnsi="Times New Roman" w:cs="Times New Roman"/>
        </w:rPr>
      </w:pPr>
      <w:r w:rsidRPr="008032D0">
        <w:rPr>
          <w:rFonts w:ascii="Times New Roman" w:hAnsi="Times New Roman" w:cs="Times New Roman"/>
        </w:rPr>
        <w:t xml:space="preserve">Water </w:t>
      </w:r>
      <w:r w:rsidR="008032D0">
        <w:rPr>
          <w:rFonts w:ascii="Times New Roman" w:hAnsi="Times New Roman" w:cs="Times New Roman"/>
        </w:rPr>
        <w:t xml:space="preserve">resource </w:t>
      </w:r>
      <w:r w:rsidRPr="008032D0">
        <w:rPr>
          <w:rFonts w:ascii="Times New Roman" w:hAnsi="Times New Roman" w:cs="Times New Roman"/>
        </w:rPr>
        <w:t xml:space="preserve">management </w:t>
      </w:r>
      <w:r w:rsidR="000928F0">
        <w:rPr>
          <w:rFonts w:ascii="Times New Roman" w:hAnsi="Times New Roman" w:cs="Times New Roman"/>
        </w:rPr>
        <w:t xml:space="preserve">of the CMAs </w:t>
      </w:r>
      <w:r w:rsidR="00E64E9F">
        <w:rPr>
          <w:rFonts w:ascii="Times New Roman" w:hAnsi="Times New Roman" w:cs="Times New Roman"/>
        </w:rPr>
        <w:t>is</w:t>
      </w:r>
      <w:r w:rsidR="000928F0">
        <w:rPr>
          <w:rFonts w:ascii="Times New Roman" w:hAnsi="Times New Roman" w:cs="Times New Roman"/>
        </w:rPr>
        <w:t xml:space="preserve"> aligned to </w:t>
      </w:r>
      <w:r w:rsidRPr="008032D0">
        <w:rPr>
          <w:rFonts w:ascii="Times New Roman" w:hAnsi="Times New Roman" w:cs="Times New Roman"/>
        </w:rPr>
        <w:t xml:space="preserve">the water management area’s internal </w:t>
      </w:r>
      <w:r w:rsidR="00157688" w:rsidRPr="008032D0">
        <w:rPr>
          <w:rFonts w:ascii="Times New Roman" w:hAnsi="Times New Roman" w:cs="Times New Roman"/>
        </w:rPr>
        <w:t>strategic perspective</w:t>
      </w:r>
      <w:r w:rsidRPr="008032D0">
        <w:rPr>
          <w:rFonts w:ascii="Times New Roman" w:hAnsi="Times New Roman" w:cs="Times New Roman"/>
        </w:rPr>
        <w:t xml:space="preserve">.  </w:t>
      </w:r>
      <w:r w:rsidR="000928F0">
        <w:rPr>
          <w:rFonts w:ascii="Times New Roman" w:hAnsi="Times New Roman" w:cs="Times New Roman"/>
        </w:rPr>
        <w:t xml:space="preserve">The </w:t>
      </w:r>
      <w:r w:rsidRPr="008032D0">
        <w:rPr>
          <w:rFonts w:ascii="Times New Roman" w:hAnsi="Times New Roman" w:cs="Times New Roman"/>
        </w:rPr>
        <w:t xml:space="preserve">functions </w:t>
      </w:r>
      <w:r w:rsidR="000928F0">
        <w:rPr>
          <w:rFonts w:ascii="Times New Roman" w:hAnsi="Times New Roman" w:cs="Times New Roman"/>
        </w:rPr>
        <w:t>of CMAs are</w:t>
      </w:r>
      <w:r w:rsidRPr="008032D0">
        <w:rPr>
          <w:rFonts w:ascii="Times New Roman" w:hAnsi="Times New Roman" w:cs="Times New Roman"/>
        </w:rPr>
        <w:t xml:space="preserve"> to cooperate and seek agreement on water-related matters amongst various stakeholders and interested parties. CMAs are service delivery agencies listed in the Public Finance Manageme</w:t>
      </w:r>
      <w:r w:rsidR="000949A0" w:rsidRPr="008032D0">
        <w:rPr>
          <w:rFonts w:ascii="Times New Roman" w:hAnsi="Times New Roman" w:cs="Times New Roman"/>
        </w:rPr>
        <w:t>nt Act, 1999</w:t>
      </w:r>
      <w:r w:rsidRPr="008032D0">
        <w:rPr>
          <w:rFonts w:ascii="Times New Roman" w:hAnsi="Times New Roman" w:cs="Times New Roman"/>
        </w:rPr>
        <w:t>. The CMAs are also linked to Tr</w:t>
      </w:r>
      <w:r w:rsidR="000949A0" w:rsidRPr="008032D0">
        <w:rPr>
          <w:rFonts w:ascii="Times New Roman" w:hAnsi="Times New Roman" w:cs="Times New Roman"/>
        </w:rPr>
        <w:t>easury Regulations to ensure fi</w:t>
      </w:r>
      <w:r w:rsidRPr="008032D0">
        <w:rPr>
          <w:rFonts w:ascii="Times New Roman" w:hAnsi="Times New Roman" w:cs="Times New Roman"/>
        </w:rPr>
        <w:t>nancial viability a</w:t>
      </w:r>
      <w:r w:rsidR="00157688" w:rsidRPr="008032D0">
        <w:rPr>
          <w:rFonts w:ascii="Times New Roman" w:hAnsi="Times New Roman" w:cs="Times New Roman"/>
        </w:rPr>
        <w:t>nd good governance.</w:t>
      </w:r>
      <w:r w:rsidR="00F613AE">
        <w:rPr>
          <w:rFonts w:ascii="Times New Roman" w:hAnsi="Times New Roman" w:cs="Times New Roman"/>
        </w:rPr>
        <w:t xml:space="preserve"> Catchment Management Agencies are Schedule 3A Public Entities and must comply with the Public Finance Management Act.</w:t>
      </w:r>
      <w:r w:rsidR="00A515E8">
        <w:rPr>
          <w:rFonts w:ascii="Times New Roman" w:hAnsi="Times New Roman" w:cs="Times New Roman"/>
        </w:rPr>
        <w:t xml:space="preserve"> </w:t>
      </w:r>
      <w:r w:rsidR="000928F0">
        <w:rPr>
          <w:rFonts w:ascii="Times New Roman" w:hAnsi="Times New Roman" w:cs="Times New Roman"/>
        </w:rPr>
        <w:t>A critical mandate of CMAs is the development of a catchment management strategy</w:t>
      </w:r>
      <w:r w:rsidR="003D6DA6">
        <w:rPr>
          <w:rFonts w:ascii="Times New Roman" w:hAnsi="Times New Roman" w:cs="Times New Roman"/>
        </w:rPr>
        <w:t xml:space="preserve">. The strategy is </w:t>
      </w:r>
      <w:r w:rsidR="000928F0">
        <w:rPr>
          <w:rFonts w:ascii="Times New Roman" w:hAnsi="Times New Roman" w:cs="Times New Roman"/>
        </w:rPr>
        <w:t xml:space="preserve">a plan to </w:t>
      </w:r>
      <w:r w:rsidRPr="008032D0">
        <w:rPr>
          <w:rFonts w:ascii="Times New Roman" w:hAnsi="Times New Roman" w:cs="Times New Roman"/>
        </w:rPr>
        <w:t>realise the protection, use, development, conservation, management and control</w:t>
      </w:r>
      <w:r w:rsidR="000928F0">
        <w:rPr>
          <w:rFonts w:ascii="Times New Roman" w:hAnsi="Times New Roman" w:cs="Times New Roman"/>
        </w:rPr>
        <w:t xml:space="preserve"> of water resources, processing water use applications, </w:t>
      </w:r>
      <w:r w:rsidR="00E64E9F" w:rsidRPr="00E64E9F">
        <w:rPr>
          <w:rFonts w:ascii="Times New Roman" w:hAnsi="Times New Roman" w:cs="Times New Roman"/>
        </w:rPr>
        <w:t>recommending to the Department approval or non-approval of respective applications, and setting</w:t>
      </w:r>
      <w:r w:rsidR="000928F0">
        <w:rPr>
          <w:rFonts w:ascii="Times New Roman" w:hAnsi="Times New Roman" w:cs="Times New Roman"/>
        </w:rPr>
        <w:t xml:space="preserve"> principles for water allocation </w:t>
      </w:r>
      <w:r w:rsidR="00157688" w:rsidRPr="008032D0">
        <w:rPr>
          <w:rFonts w:ascii="Times New Roman" w:hAnsi="Times New Roman" w:cs="Times New Roman"/>
        </w:rPr>
        <w:t xml:space="preserve">in </w:t>
      </w:r>
      <w:r w:rsidRPr="008032D0">
        <w:rPr>
          <w:rFonts w:ascii="Times New Roman" w:hAnsi="Times New Roman" w:cs="Times New Roman"/>
        </w:rPr>
        <w:t xml:space="preserve">respective </w:t>
      </w:r>
      <w:r w:rsidR="000949A0" w:rsidRPr="008032D0">
        <w:rPr>
          <w:rFonts w:ascii="Times New Roman" w:hAnsi="Times New Roman" w:cs="Times New Roman"/>
        </w:rPr>
        <w:t>water management areas.</w:t>
      </w:r>
      <w:r w:rsidRPr="008032D0">
        <w:rPr>
          <w:rFonts w:ascii="Times New Roman" w:hAnsi="Times New Roman" w:cs="Times New Roman"/>
        </w:rPr>
        <w:t xml:space="preserve"> </w:t>
      </w:r>
      <w:r w:rsidR="000928F0">
        <w:rPr>
          <w:rFonts w:ascii="Times New Roman" w:hAnsi="Times New Roman" w:cs="Times New Roman"/>
        </w:rPr>
        <w:t>T</w:t>
      </w:r>
      <w:r w:rsidRPr="008032D0">
        <w:rPr>
          <w:rFonts w:ascii="Times New Roman" w:hAnsi="Times New Roman" w:cs="Times New Roman"/>
        </w:rPr>
        <w:t>hese measures must be in line with the National Water Resource Strategy</w:t>
      </w:r>
      <w:r w:rsidR="00157688" w:rsidRPr="008032D0">
        <w:rPr>
          <w:rFonts w:ascii="Times New Roman" w:hAnsi="Times New Roman" w:cs="Times New Roman"/>
        </w:rPr>
        <w:t>.</w:t>
      </w:r>
      <w:r w:rsidR="00EC4D91">
        <w:rPr>
          <w:rStyle w:val="FootnoteReference"/>
          <w:rFonts w:ascii="Times New Roman" w:hAnsi="Times New Roman" w:cs="Times New Roman"/>
        </w:rPr>
        <w:footnoteReference w:id="8"/>
      </w:r>
    </w:p>
    <w:p w:rsidR="00F80D2C" w:rsidRDefault="00F80D2C" w:rsidP="00A6692E">
      <w:pPr>
        <w:spacing w:after="0" w:line="360" w:lineRule="auto"/>
        <w:jc w:val="both"/>
        <w:rPr>
          <w:rFonts w:ascii="Times New Roman" w:hAnsi="Times New Roman" w:cs="Times New Roman"/>
          <w:b/>
          <w:sz w:val="16"/>
          <w:szCs w:val="16"/>
        </w:rPr>
      </w:pPr>
    </w:p>
    <w:p w:rsidR="00570E6E" w:rsidRDefault="00570E6E" w:rsidP="00A6692E">
      <w:pPr>
        <w:spacing w:after="0" w:line="360" w:lineRule="auto"/>
        <w:jc w:val="both"/>
        <w:rPr>
          <w:rFonts w:ascii="Times New Roman" w:hAnsi="Times New Roman" w:cs="Times New Roman"/>
          <w:b/>
          <w:sz w:val="16"/>
          <w:szCs w:val="16"/>
        </w:rPr>
      </w:pPr>
    </w:p>
    <w:p w:rsidR="00570E6E" w:rsidRDefault="00570E6E" w:rsidP="00A6692E">
      <w:pPr>
        <w:spacing w:after="0" w:line="360" w:lineRule="auto"/>
        <w:jc w:val="both"/>
        <w:rPr>
          <w:rFonts w:ascii="Times New Roman" w:hAnsi="Times New Roman" w:cs="Times New Roman"/>
          <w:b/>
          <w:sz w:val="16"/>
          <w:szCs w:val="16"/>
        </w:rPr>
      </w:pPr>
    </w:p>
    <w:p w:rsidR="00570E6E" w:rsidRDefault="00570E6E" w:rsidP="00A6692E">
      <w:pPr>
        <w:spacing w:after="0" w:line="360" w:lineRule="auto"/>
        <w:jc w:val="both"/>
        <w:rPr>
          <w:rFonts w:ascii="Times New Roman" w:hAnsi="Times New Roman" w:cs="Times New Roman"/>
          <w:b/>
          <w:sz w:val="16"/>
          <w:szCs w:val="16"/>
        </w:rPr>
      </w:pPr>
    </w:p>
    <w:p w:rsidR="00570E6E" w:rsidRDefault="00570E6E" w:rsidP="00A6692E">
      <w:pPr>
        <w:spacing w:after="0" w:line="360" w:lineRule="auto"/>
        <w:jc w:val="both"/>
        <w:rPr>
          <w:rFonts w:ascii="Times New Roman" w:hAnsi="Times New Roman" w:cs="Times New Roman"/>
          <w:b/>
          <w:sz w:val="16"/>
          <w:szCs w:val="16"/>
        </w:rPr>
      </w:pPr>
    </w:p>
    <w:p w:rsidR="00570E6E" w:rsidRPr="00740A66" w:rsidRDefault="00570E6E" w:rsidP="00A6692E">
      <w:pPr>
        <w:spacing w:after="0" w:line="360" w:lineRule="auto"/>
        <w:jc w:val="both"/>
        <w:rPr>
          <w:rFonts w:ascii="Times New Roman" w:hAnsi="Times New Roman" w:cs="Times New Roman"/>
          <w:b/>
          <w:sz w:val="16"/>
          <w:szCs w:val="16"/>
        </w:rPr>
      </w:pPr>
    </w:p>
    <w:p w:rsidR="00A6692E" w:rsidRPr="009A1101" w:rsidRDefault="007C728E" w:rsidP="00A6692E">
      <w:pPr>
        <w:spacing w:after="0" w:line="360" w:lineRule="auto"/>
        <w:jc w:val="both"/>
        <w:rPr>
          <w:rFonts w:ascii="Times New Roman" w:hAnsi="Times New Roman" w:cs="Times New Roman"/>
          <w:b/>
        </w:rPr>
      </w:pPr>
      <w:r>
        <w:rPr>
          <w:rFonts w:ascii="Times New Roman" w:hAnsi="Times New Roman" w:cs="Times New Roman"/>
          <w:b/>
        </w:rPr>
        <w:lastRenderedPageBreak/>
        <w:t>7</w:t>
      </w:r>
      <w:r w:rsidR="00A6692E">
        <w:rPr>
          <w:rFonts w:ascii="Times New Roman" w:hAnsi="Times New Roman" w:cs="Times New Roman"/>
          <w:b/>
        </w:rPr>
        <w:t>.1.1</w:t>
      </w:r>
      <w:r w:rsidR="00A6692E">
        <w:rPr>
          <w:rFonts w:ascii="Times New Roman" w:hAnsi="Times New Roman" w:cs="Times New Roman"/>
          <w:b/>
        </w:rPr>
        <w:tab/>
        <w:t>Breede-Gouritz Catchment Management Agency</w:t>
      </w:r>
    </w:p>
    <w:p w:rsidR="00570E6E" w:rsidRPr="00570E6E" w:rsidRDefault="00570E6E" w:rsidP="00A6692E">
      <w:pPr>
        <w:spacing w:after="0" w:line="360" w:lineRule="auto"/>
        <w:jc w:val="both"/>
        <w:rPr>
          <w:rFonts w:ascii="Times New Roman" w:hAnsi="Times New Roman" w:cs="Times New Roman"/>
          <w:sz w:val="16"/>
          <w:szCs w:val="16"/>
        </w:rPr>
      </w:pPr>
    </w:p>
    <w:p w:rsidR="003D6DA6" w:rsidRDefault="003D6DA6" w:rsidP="00A6692E">
      <w:pPr>
        <w:spacing w:after="0" w:line="360" w:lineRule="auto"/>
        <w:jc w:val="both"/>
        <w:rPr>
          <w:rFonts w:ascii="Times New Roman" w:hAnsi="Times New Roman" w:cs="Times New Roman"/>
        </w:rPr>
      </w:pPr>
      <w:r>
        <w:rPr>
          <w:rFonts w:ascii="Times New Roman" w:hAnsi="Times New Roman" w:cs="Times New Roman"/>
        </w:rPr>
        <w:t>The Breede-Gouritz Catchment Management Agency, in aligning its mandate to fulfil its obligations as highlighted in the section above</w:t>
      </w:r>
      <w:r w:rsidR="00CA4F62">
        <w:rPr>
          <w:rFonts w:ascii="Times New Roman" w:hAnsi="Times New Roman" w:cs="Times New Roman"/>
        </w:rPr>
        <w:t>,</w:t>
      </w:r>
      <w:r>
        <w:rPr>
          <w:rFonts w:ascii="Times New Roman" w:hAnsi="Times New Roman" w:cs="Times New Roman"/>
        </w:rPr>
        <w:t xml:space="preserve"> delineated</w:t>
      </w:r>
      <w:r w:rsidR="00B21580">
        <w:rPr>
          <w:rFonts w:ascii="Times New Roman" w:hAnsi="Times New Roman" w:cs="Times New Roman"/>
        </w:rPr>
        <w:t xml:space="preserve"> six (6)</w:t>
      </w:r>
      <w:r>
        <w:rPr>
          <w:rFonts w:ascii="Times New Roman" w:hAnsi="Times New Roman" w:cs="Times New Roman"/>
        </w:rPr>
        <w:t xml:space="preserve"> </w:t>
      </w:r>
      <w:r w:rsidR="008140E6">
        <w:rPr>
          <w:rFonts w:ascii="Times New Roman" w:hAnsi="Times New Roman" w:cs="Times New Roman"/>
        </w:rPr>
        <w:t>strategic focus areas</w:t>
      </w:r>
      <w:r>
        <w:rPr>
          <w:rFonts w:ascii="Times New Roman" w:hAnsi="Times New Roman" w:cs="Times New Roman"/>
        </w:rPr>
        <w:t xml:space="preserve"> in its 2022/23 Annual Performance Plan. These are to:</w:t>
      </w:r>
    </w:p>
    <w:p w:rsidR="003D6DA6" w:rsidRPr="00F80D2C" w:rsidRDefault="003D6DA6" w:rsidP="00A6692E">
      <w:pPr>
        <w:spacing w:after="0" w:line="360" w:lineRule="auto"/>
        <w:jc w:val="both"/>
        <w:rPr>
          <w:rFonts w:ascii="Times New Roman" w:hAnsi="Times New Roman" w:cs="Times New Roman"/>
          <w:sz w:val="16"/>
          <w:szCs w:val="16"/>
        </w:rPr>
      </w:pPr>
    </w:p>
    <w:p w:rsidR="008140E6" w:rsidRDefault="008140E6" w:rsidP="00A72758">
      <w:pPr>
        <w:pStyle w:val="ListParagraph"/>
        <w:numPr>
          <w:ilvl w:val="0"/>
          <w:numId w:val="29"/>
        </w:numPr>
        <w:spacing w:after="0" w:line="360" w:lineRule="auto"/>
        <w:jc w:val="both"/>
        <w:rPr>
          <w:rFonts w:ascii="Times New Roman" w:hAnsi="Times New Roman" w:cs="Times New Roman"/>
        </w:rPr>
      </w:pPr>
      <w:r w:rsidRPr="00A72758">
        <w:rPr>
          <w:rFonts w:ascii="Times New Roman" w:hAnsi="Times New Roman" w:cs="Times New Roman"/>
        </w:rPr>
        <w:t xml:space="preserve">Ensure legal water use </w:t>
      </w:r>
      <w:r w:rsidR="00A72758" w:rsidRPr="00A72758">
        <w:rPr>
          <w:rFonts w:ascii="Times New Roman" w:hAnsi="Times New Roman" w:cs="Times New Roman"/>
        </w:rPr>
        <w:t xml:space="preserve">is </w:t>
      </w:r>
      <w:r w:rsidRPr="00A72758">
        <w:rPr>
          <w:rFonts w:ascii="Times New Roman" w:hAnsi="Times New Roman" w:cs="Times New Roman"/>
        </w:rPr>
        <w:t>maintained by ensuring 90% comments of land use planning and rezoning applications are achieved</w:t>
      </w:r>
      <w:r w:rsidR="00A72758" w:rsidRPr="00A72758">
        <w:rPr>
          <w:rFonts w:ascii="Times New Roman" w:hAnsi="Times New Roman" w:cs="Times New Roman"/>
        </w:rPr>
        <w:t xml:space="preserve">, finalisation of 85% water registrations, 200 signed and finalised validation and verification confirmation letters, and 100% capturing of water use authorisation audit. Within this strategic focus area, the agency also commits to an 85% recommendation of licences as per the regulation, 100% of general authorisations to be confirmed, and 80% completion of audit reports for water use compliance. The agency intends to complete </w:t>
      </w:r>
      <w:r w:rsidR="00A72758">
        <w:rPr>
          <w:rFonts w:ascii="Times New Roman" w:hAnsi="Times New Roman" w:cs="Times New Roman"/>
        </w:rPr>
        <w:t>four (4) water quality compliance reports of Municipal Wastewater Treatment Works that discharge</w:t>
      </w:r>
      <w:r w:rsidR="004C5E4D">
        <w:rPr>
          <w:rFonts w:ascii="Times New Roman" w:hAnsi="Times New Roman" w:cs="Times New Roman"/>
        </w:rPr>
        <w:t xml:space="preserve"> effluent to water sources.</w:t>
      </w:r>
    </w:p>
    <w:p w:rsidR="004C5E4D" w:rsidRDefault="001355B5" w:rsidP="00A72758">
      <w:pPr>
        <w:pStyle w:val="ListParagraph"/>
        <w:numPr>
          <w:ilvl w:val="0"/>
          <w:numId w:val="29"/>
        </w:numPr>
        <w:spacing w:after="0" w:line="360" w:lineRule="auto"/>
        <w:jc w:val="both"/>
        <w:rPr>
          <w:rFonts w:ascii="Times New Roman" w:hAnsi="Times New Roman" w:cs="Times New Roman"/>
        </w:rPr>
      </w:pPr>
      <w:r>
        <w:rPr>
          <w:rFonts w:ascii="Times New Roman" w:hAnsi="Times New Roman" w:cs="Times New Roman"/>
        </w:rPr>
        <w:t>C</w:t>
      </w:r>
      <w:r w:rsidR="004C5E4D">
        <w:rPr>
          <w:rFonts w:ascii="Times New Roman" w:hAnsi="Times New Roman" w:cs="Times New Roman"/>
        </w:rPr>
        <w:t xml:space="preserve">apacitate 5000 learners and stakeholders on </w:t>
      </w:r>
      <w:r w:rsidR="00E64E9F">
        <w:rPr>
          <w:rFonts w:ascii="Times New Roman" w:hAnsi="Times New Roman" w:cs="Times New Roman"/>
        </w:rPr>
        <w:t>water resource management awareness</w:t>
      </w:r>
      <w:r w:rsidR="004C5E4D">
        <w:rPr>
          <w:rFonts w:ascii="Times New Roman" w:hAnsi="Times New Roman" w:cs="Times New Roman"/>
        </w:rPr>
        <w:t xml:space="preserve"> and attain four (4) intergovernmental cooperation initiatives to facilitate and enhance water resource management. </w:t>
      </w:r>
    </w:p>
    <w:p w:rsidR="004C5E4D" w:rsidRDefault="004C5E4D" w:rsidP="00A72758">
      <w:pPr>
        <w:pStyle w:val="ListParagraph"/>
        <w:numPr>
          <w:ilvl w:val="0"/>
          <w:numId w:val="29"/>
        </w:numPr>
        <w:spacing w:after="0" w:line="360" w:lineRule="auto"/>
        <w:jc w:val="both"/>
        <w:rPr>
          <w:rFonts w:ascii="Times New Roman" w:hAnsi="Times New Roman" w:cs="Times New Roman"/>
        </w:rPr>
      </w:pPr>
      <w:r>
        <w:rPr>
          <w:rFonts w:ascii="Times New Roman" w:hAnsi="Times New Roman" w:cs="Times New Roman"/>
        </w:rPr>
        <w:t>The Integrated Water Resource Management and Empowerment of Stakeholders component of its work is projected at 100%, with 40 forums being undertaken to support water resource management.</w:t>
      </w:r>
    </w:p>
    <w:p w:rsidR="004C5E4D" w:rsidRDefault="001355B5" w:rsidP="00A72758">
      <w:pPr>
        <w:pStyle w:val="ListParagraph"/>
        <w:numPr>
          <w:ilvl w:val="0"/>
          <w:numId w:val="29"/>
        </w:numPr>
        <w:spacing w:after="0" w:line="360" w:lineRule="auto"/>
        <w:jc w:val="both"/>
        <w:rPr>
          <w:rFonts w:ascii="Times New Roman" w:hAnsi="Times New Roman" w:cs="Times New Roman"/>
        </w:rPr>
      </w:pPr>
      <w:r>
        <w:rPr>
          <w:rFonts w:ascii="Times New Roman" w:hAnsi="Times New Roman" w:cs="Times New Roman"/>
        </w:rPr>
        <w:t>C</w:t>
      </w:r>
      <w:r w:rsidR="004C5E4D">
        <w:rPr>
          <w:rFonts w:ascii="Times New Roman" w:hAnsi="Times New Roman" w:cs="Times New Roman"/>
        </w:rPr>
        <w:t xml:space="preserve">apacitating Historically Disadvantaged Individuals (HDIs) and </w:t>
      </w:r>
      <w:r w:rsidR="00E64E9F">
        <w:rPr>
          <w:rFonts w:ascii="Times New Roman" w:hAnsi="Times New Roman" w:cs="Times New Roman"/>
        </w:rPr>
        <w:t>resource-poor</w:t>
      </w:r>
      <w:r w:rsidR="004C5E4D">
        <w:rPr>
          <w:rFonts w:ascii="Times New Roman" w:hAnsi="Times New Roman" w:cs="Times New Roman"/>
        </w:rPr>
        <w:t xml:space="preserve"> farmers with water supply, the intention is to attain a 100%, with </w:t>
      </w:r>
      <w:r w:rsidR="00E64E9F">
        <w:rPr>
          <w:rFonts w:ascii="Times New Roman" w:hAnsi="Times New Roman" w:cs="Times New Roman"/>
        </w:rPr>
        <w:t>two</w:t>
      </w:r>
      <w:r w:rsidR="004C5E4D">
        <w:rPr>
          <w:rFonts w:ascii="Times New Roman" w:hAnsi="Times New Roman" w:cs="Times New Roman"/>
        </w:rPr>
        <w:t xml:space="preserve"> workshops to </w:t>
      </w:r>
      <w:r w:rsidR="00E64E9F">
        <w:rPr>
          <w:rFonts w:ascii="Times New Roman" w:hAnsi="Times New Roman" w:cs="Times New Roman"/>
        </w:rPr>
        <w:t>capacitate</w:t>
      </w:r>
      <w:r w:rsidR="004C5E4D">
        <w:rPr>
          <w:rFonts w:ascii="Times New Roman" w:hAnsi="Times New Roman" w:cs="Times New Roman"/>
        </w:rPr>
        <w:t xml:space="preserve"> and empower </w:t>
      </w:r>
      <w:r w:rsidR="00E64E9F">
        <w:rPr>
          <w:rFonts w:ascii="Times New Roman" w:hAnsi="Times New Roman" w:cs="Times New Roman"/>
        </w:rPr>
        <w:t>resource-poor</w:t>
      </w:r>
      <w:r w:rsidR="004C5E4D">
        <w:rPr>
          <w:rFonts w:ascii="Times New Roman" w:hAnsi="Times New Roman" w:cs="Times New Roman"/>
        </w:rPr>
        <w:t xml:space="preserve"> farmers and 400 rainwater harvesting tanks to be installed.</w:t>
      </w:r>
    </w:p>
    <w:p w:rsidR="004C5E4D" w:rsidRDefault="001355B5" w:rsidP="00A72758">
      <w:pPr>
        <w:pStyle w:val="ListParagraph"/>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Ensuring </w:t>
      </w:r>
      <w:r w:rsidR="00B21580">
        <w:rPr>
          <w:rFonts w:ascii="Times New Roman" w:hAnsi="Times New Roman" w:cs="Times New Roman"/>
        </w:rPr>
        <w:t xml:space="preserve">water quality and legal water use, the agency will monitor 80 water resource points in its catchment area, </w:t>
      </w:r>
      <w:r w:rsidR="00E64E9F">
        <w:rPr>
          <w:rFonts w:ascii="Times New Roman" w:hAnsi="Times New Roman" w:cs="Times New Roman"/>
        </w:rPr>
        <w:t>three</w:t>
      </w:r>
      <w:r w:rsidR="00B21580">
        <w:rPr>
          <w:rFonts w:ascii="Times New Roman" w:hAnsi="Times New Roman" w:cs="Times New Roman"/>
        </w:rPr>
        <w:t xml:space="preserve"> river rehabilitation projects to be funded and technically supported</w:t>
      </w:r>
      <w:r w:rsidR="00E64E9F">
        <w:rPr>
          <w:rFonts w:ascii="Times New Roman" w:hAnsi="Times New Roman" w:cs="Times New Roman"/>
        </w:rPr>
        <w:t>, and</w:t>
      </w:r>
      <w:r w:rsidR="00B21580">
        <w:rPr>
          <w:rFonts w:ascii="Times New Roman" w:hAnsi="Times New Roman" w:cs="Times New Roman"/>
        </w:rPr>
        <w:t xml:space="preserve"> investigate 100% of non-compliance cases, </w:t>
      </w:r>
      <w:r w:rsidR="00E64E9F">
        <w:rPr>
          <w:rFonts w:ascii="Times New Roman" w:hAnsi="Times New Roman" w:cs="Times New Roman"/>
        </w:rPr>
        <w:t>to</w:t>
      </w:r>
      <w:r w:rsidR="00B21580">
        <w:rPr>
          <w:rFonts w:ascii="Times New Roman" w:hAnsi="Times New Roman" w:cs="Times New Roman"/>
        </w:rPr>
        <w:t xml:space="preserve"> resolve 80% of investigated cases.</w:t>
      </w:r>
    </w:p>
    <w:p w:rsidR="00B21580" w:rsidRDefault="001355B5" w:rsidP="00A72758">
      <w:pPr>
        <w:pStyle w:val="ListParagraph"/>
        <w:numPr>
          <w:ilvl w:val="0"/>
          <w:numId w:val="29"/>
        </w:numPr>
        <w:spacing w:after="0" w:line="360" w:lineRule="auto"/>
        <w:jc w:val="both"/>
        <w:rPr>
          <w:rFonts w:ascii="Times New Roman" w:hAnsi="Times New Roman" w:cs="Times New Roman"/>
        </w:rPr>
      </w:pPr>
      <w:r>
        <w:rPr>
          <w:rFonts w:ascii="Times New Roman" w:hAnsi="Times New Roman" w:cs="Times New Roman"/>
        </w:rPr>
        <w:t>Ensuring</w:t>
      </w:r>
      <w:r w:rsidR="00B21580">
        <w:rPr>
          <w:rFonts w:ascii="Times New Roman" w:hAnsi="Times New Roman" w:cs="Times New Roman"/>
        </w:rPr>
        <w:t xml:space="preserve"> compliance with listed financial reporting prescripts, the agency will work toward 100% of reports</w:t>
      </w:r>
      <w:r w:rsidR="00E64E9F">
        <w:rPr>
          <w:rFonts w:ascii="Times New Roman" w:hAnsi="Times New Roman" w:cs="Times New Roman"/>
        </w:rPr>
        <w:t xml:space="preserve"> and submit one proposed tariff report</w:t>
      </w:r>
      <w:r w:rsidR="00B21580">
        <w:rPr>
          <w:rFonts w:ascii="Times New Roman" w:hAnsi="Times New Roman" w:cs="Times New Roman"/>
        </w:rPr>
        <w:t xml:space="preserve"> to the Department to comply with the pricing strategy.</w:t>
      </w:r>
    </w:p>
    <w:p w:rsidR="00B21580" w:rsidRPr="00F80D2C" w:rsidRDefault="00B21580" w:rsidP="00B21580">
      <w:pPr>
        <w:spacing w:after="0" w:line="360" w:lineRule="auto"/>
        <w:jc w:val="both"/>
        <w:rPr>
          <w:rFonts w:ascii="Times New Roman" w:hAnsi="Times New Roman" w:cs="Times New Roman"/>
          <w:sz w:val="16"/>
          <w:szCs w:val="16"/>
        </w:rPr>
      </w:pPr>
    </w:p>
    <w:p w:rsidR="00B21580" w:rsidRDefault="00B21580" w:rsidP="00B21580">
      <w:pPr>
        <w:spacing w:after="0" w:line="360" w:lineRule="auto"/>
        <w:jc w:val="both"/>
        <w:rPr>
          <w:rFonts w:ascii="Times New Roman" w:hAnsi="Times New Roman" w:cs="Times New Roman"/>
        </w:rPr>
      </w:pPr>
      <w:r>
        <w:rPr>
          <w:rFonts w:ascii="Times New Roman" w:hAnsi="Times New Roman" w:cs="Times New Roman"/>
        </w:rPr>
        <w:t xml:space="preserve">For the financial year under review, the </w:t>
      </w:r>
      <w:r w:rsidR="001355B5">
        <w:rPr>
          <w:rFonts w:ascii="Times New Roman" w:hAnsi="Times New Roman" w:cs="Times New Roman"/>
        </w:rPr>
        <w:t xml:space="preserve">agency has a proposed </w:t>
      </w:r>
      <w:r>
        <w:rPr>
          <w:rFonts w:ascii="Times New Roman" w:hAnsi="Times New Roman" w:cs="Times New Roman"/>
        </w:rPr>
        <w:t xml:space="preserve">budget of R82 million, which shows an increase of R7 million compared to the prior year.  </w:t>
      </w:r>
      <w:r w:rsidR="001355B5">
        <w:rPr>
          <w:rFonts w:ascii="Times New Roman" w:hAnsi="Times New Roman" w:cs="Times New Roman"/>
        </w:rPr>
        <w:t xml:space="preserve">The </w:t>
      </w:r>
      <w:r w:rsidR="00E64E9F">
        <w:rPr>
          <w:rFonts w:ascii="Times New Roman" w:hAnsi="Times New Roman" w:cs="Times New Roman"/>
        </w:rPr>
        <w:t>funding</w:t>
      </w:r>
      <w:r w:rsidR="001355B5">
        <w:rPr>
          <w:rFonts w:ascii="Times New Roman" w:hAnsi="Times New Roman" w:cs="Times New Roman"/>
        </w:rPr>
        <w:t xml:space="preserve"> comprises an augmentation budget from the Department </w:t>
      </w:r>
      <w:r w:rsidR="00E64E9F">
        <w:rPr>
          <w:rFonts w:ascii="Times New Roman" w:hAnsi="Times New Roman" w:cs="Times New Roman"/>
        </w:rPr>
        <w:t>and</w:t>
      </w:r>
      <w:r w:rsidR="001355B5">
        <w:rPr>
          <w:rFonts w:ascii="Times New Roman" w:hAnsi="Times New Roman" w:cs="Times New Roman"/>
        </w:rPr>
        <w:t xml:space="preserve"> water use charges. </w:t>
      </w:r>
      <w:r>
        <w:rPr>
          <w:rFonts w:ascii="Times New Roman" w:hAnsi="Times New Roman" w:cs="Times New Roman"/>
        </w:rPr>
        <w:t xml:space="preserve">The main factor for this increase relates to employer relation costs, which increased from R51 million to R55 million, with amounts budgeted for the appointment of a Chief Executive Officer (CEO), and other water-related vacancy positions to capacitate the agency to improve service delivery.  </w:t>
      </w:r>
      <w:r w:rsidR="00E87050">
        <w:rPr>
          <w:rFonts w:ascii="Times New Roman" w:hAnsi="Times New Roman" w:cs="Times New Roman"/>
        </w:rPr>
        <w:t xml:space="preserve">Goods and Services </w:t>
      </w:r>
      <w:r w:rsidR="00E64E9F">
        <w:rPr>
          <w:rFonts w:ascii="Times New Roman" w:hAnsi="Times New Roman" w:cs="Times New Roman"/>
        </w:rPr>
        <w:t>receive</w:t>
      </w:r>
      <w:r w:rsidR="00E87050">
        <w:rPr>
          <w:rFonts w:ascii="Times New Roman" w:hAnsi="Times New Roman" w:cs="Times New Roman"/>
        </w:rPr>
        <w:t xml:space="preserve"> an amount of R24 million, repairs and maintenance of R259 million, </w:t>
      </w:r>
      <w:r w:rsidR="00E64E9F">
        <w:rPr>
          <w:rFonts w:ascii="Times New Roman" w:hAnsi="Times New Roman" w:cs="Times New Roman"/>
        </w:rPr>
        <w:t xml:space="preserve">and </w:t>
      </w:r>
      <w:r w:rsidR="00E87050">
        <w:rPr>
          <w:rFonts w:ascii="Times New Roman" w:hAnsi="Times New Roman" w:cs="Times New Roman"/>
        </w:rPr>
        <w:t xml:space="preserve">capital outlay of R1.2 million with </w:t>
      </w:r>
      <w:r w:rsidR="00E64E9F">
        <w:rPr>
          <w:rFonts w:ascii="Times New Roman" w:hAnsi="Times New Roman" w:cs="Times New Roman"/>
        </w:rPr>
        <w:t>board-related</w:t>
      </w:r>
      <w:r w:rsidR="00E87050">
        <w:rPr>
          <w:rFonts w:ascii="Times New Roman" w:hAnsi="Times New Roman" w:cs="Times New Roman"/>
        </w:rPr>
        <w:t xml:space="preserve"> costs of R947.8 thousand.</w:t>
      </w:r>
    </w:p>
    <w:p w:rsidR="00AD400C" w:rsidRDefault="00A72758" w:rsidP="00AD400C">
      <w:pPr>
        <w:spacing w:after="0" w:line="360" w:lineRule="auto"/>
        <w:jc w:val="both"/>
        <w:rPr>
          <w:rFonts w:ascii="Times New Roman" w:hAnsi="Times New Roman" w:cs="Times New Roman"/>
        </w:rPr>
      </w:pPr>
      <w:r>
        <w:rPr>
          <w:rFonts w:ascii="Times New Roman" w:hAnsi="Times New Roman" w:cs="Times New Roman"/>
        </w:rPr>
        <w:lastRenderedPageBreak/>
        <w:t>E</w:t>
      </w:r>
      <w:r w:rsidR="00CA6763">
        <w:rPr>
          <w:rFonts w:ascii="Times New Roman" w:hAnsi="Times New Roman" w:cs="Times New Roman"/>
        </w:rPr>
        <w:t xml:space="preserve">xpenditure is expected to increase at an average annual rate of 7.8 per cent from R75.1 million in 2021/22 to R94.2 million in 2024/25.  The agency’s main cost driver is </w:t>
      </w:r>
      <w:r w:rsidR="00157B7D">
        <w:rPr>
          <w:rFonts w:ascii="Times New Roman" w:hAnsi="Times New Roman" w:cs="Times New Roman"/>
        </w:rPr>
        <w:t xml:space="preserve">the </w:t>
      </w:r>
      <w:r w:rsidR="00CA6763">
        <w:rPr>
          <w:rFonts w:ascii="Times New Roman" w:hAnsi="Times New Roman" w:cs="Times New Roman"/>
        </w:rPr>
        <w:t>compensation of employees, which accounts for an estimated 64.1 per cent (R168.9 million) of its total expenditure ov</w:t>
      </w:r>
      <w:r w:rsidR="000A47B1">
        <w:rPr>
          <w:rFonts w:ascii="Times New Roman" w:hAnsi="Times New Roman" w:cs="Times New Roman"/>
        </w:rPr>
        <w:t xml:space="preserve">er the period ahead.  </w:t>
      </w:r>
      <w:r w:rsidR="00DD6FDC">
        <w:rPr>
          <w:rFonts w:ascii="Times New Roman" w:hAnsi="Times New Roman" w:cs="Times New Roman"/>
        </w:rPr>
        <w:t xml:space="preserve"> </w:t>
      </w:r>
    </w:p>
    <w:p w:rsidR="00AD400C" w:rsidRPr="00596470" w:rsidRDefault="00AD400C" w:rsidP="00A6692E">
      <w:pPr>
        <w:spacing w:after="0" w:line="360" w:lineRule="auto"/>
        <w:jc w:val="both"/>
        <w:rPr>
          <w:rFonts w:ascii="Times New Roman" w:hAnsi="Times New Roman" w:cs="Times New Roman"/>
          <w:sz w:val="16"/>
          <w:szCs w:val="16"/>
        </w:rPr>
      </w:pPr>
    </w:p>
    <w:p w:rsidR="00A6692E" w:rsidRDefault="007C728E" w:rsidP="00A6692E">
      <w:pPr>
        <w:spacing w:after="0" w:line="360" w:lineRule="auto"/>
        <w:jc w:val="both"/>
        <w:rPr>
          <w:rFonts w:ascii="Times New Roman" w:hAnsi="Times New Roman" w:cs="Times New Roman"/>
          <w:b/>
        </w:rPr>
      </w:pPr>
      <w:r>
        <w:rPr>
          <w:rFonts w:ascii="Times New Roman" w:hAnsi="Times New Roman" w:cs="Times New Roman"/>
          <w:b/>
        </w:rPr>
        <w:t>7</w:t>
      </w:r>
      <w:r w:rsidR="00A6692E">
        <w:rPr>
          <w:rFonts w:ascii="Times New Roman" w:hAnsi="Times New Roman" w:cs="Times New Roman"/>
          <w:b/>
        </w:rPr>
        <w:t>.1.2</w:t>
      </w:r>
      <w:r w:rsidR="00A6692E">
        <w:rPr>
          <w:rFonts w:ascii="Times New Roman" w:hAnsi="Times New Roman" w:cs="Times New Roman"/>
          <w:b/>
        </w:rPr>
        <w:tab/>
        <w:t>Inkomati-Usuthu Catchment Management Agency</w:t>
      </w:r>
    </w:p>
    <w:p w:rsidR="00A6692E" w:rsidRPr="00596470" w:rsidRDefault="00A6692E" w:rsidP="00A6692E">
      <w:pPr>
        <w:spacing w:after="0" w:line="360" w:lineRule="auto"/>
        <w:jc w:val="both"/>
        <w:rPr>
          <w:rFonts w:ascii="Times New Roman" w:hAnsi="Times New Roman" w:cs="Times New Roman"/>
          <w:b/>
          <w:sz w:val="16"/>
          <w:szCs w:val="16"/>
        </w:rPr>
      </w:pPr>
    </w:p>
    <w:p w:rsidR="00DD6FDC" w:rsidRDefault="00E64E9F" w:rsidP="00A6692E">
      <w:pPr>
        <w:spacing w:after="0" w:line="360" w:lineRule="auto"/>
        <w:jc w:val="both"/>
        <w:rPr>
          <w:rFonts w:ascii="Times New Roman" w:hAnsi="Times New Roman" w:cs="Times New Roman"/>
        </w:rPr>
      </w:pPr>
      <w:r w:rsidRPr="00E64E9F">
        <w:rPr>
          <w:rFonts w:ascii="Times New Roman" w:hAnsi="Times New Roman" w:cs="Times New Roman"/>
        </w:rPr>
        <w:t xml:space="preserve">The Inkomati-Usuthu Catchment Management Agency's water use activities in Mpumalanga are strategic use to ESKOM and Sasol Secunda Complex, </w:t>
      </w:r>
      <w:r w:rsidR="00567C11">
        <w:rPr>
          <w:rFonts w:ascii="Times New Roman" w:hAnsi="Times New Roman" w:cs="Times New Roman"/>
        </w:rPr>
        <w:t>supporting</w:t>
      </w:r>
      <w:r w:rsidRPr="00E64E9F">
        <w:rPr>
          <w:rFonts w:ascii="Times New Roman" w:hAnsi="Times New Roman" w:cs="Times New Roman"/>
        </w:rPr>
        <w:t xml:space="preserve"> irrigation and forestry sector</w:t>
      </w:r>
      <w:r w:rsidR="008F5F07">
        <w:rPr>
          <w:rFonts w:ascii="Times New Roman" w:hAnsi="Times New Roman" w:cs="Times New Roman"/>
        </w:rPr>
        <w:t xml:space="preserve"> </w:t>
      </w:r>
      <w:r w:rsidR="00AB4AFE">
        <w:rPr>
          <w:rFonts w:ascii="Times New Roman" w:hAnsi="Times New Roman" w:cs="Times New Roman"/>
        </w:rPr>
        <w:t xml:space="preserve">transboundary international obligations to Mozambique and </w:t>
      </w:r>
      <w:r w:rsidR="001355B5">
        <w:rPr>
          <w:rFonts w:ascii="Times New Roman" w:hAnsi="Times New Roman" w:cs="Times New Roman"/>
        </w:rPr>
        <w:t>Swaziland</w:t>
      </w:r>
      <w:r w:rsidR="00AB4AFE">
        <w:rPr>
          <w:rFonts w:ascii="Times New Roman" w:hAnsi="Times New Roman" w:cs="Times New Roman"/>
        </w:rPr>
        <w:t xml:space="preserve">. Funding is received appropriated funds and water resources charges. </w:t>
      </w:r>
      <w:r w:rsidR="001355B5">
        <w:rPr>
          <w:rFonts w:ascii="Times New Roman" w:hAnsi="Times New Roman" w:cs="Times New Roman"/>
        </w:rPr>
        <w:t xml:space="preserve">The agency’s water management area is part of the Inco Maputo River Basin, </w:t>
      </w:r>
      <w:r w:rsidR="00567C11">
        <w:rPr>
          <w:rFonts w:ascii="Times New Roman" w:hAnsi="Times New Roman" w:cs="Times New Roman"/>
        </w:rPr>
        <w:t>covering</w:t>
      </w:r>
      <w:r w:rsidR="001355B5">
        <w:rPr>
          <w:rFonts w:ascii="Times New Roman" w:hAnsi="Times New Roman" w:cs="Times New Roman"/>
        </w:rPr>
        <w:t xml:space="preserve"> Mozambique and Swaziland under the interim Inco Maputo Agreement.</w:t>
      </w:r>
    </w:p>
    <w:p w:rsidR="00F80D2C" w:rsidRPr="00F80D2C" w:rsidRDefault="00F80D2C" w:rsidP="00A6692E">
      <w:pPr>
        <w:spacing w:after="0" w:line="360" w:lineRule="auto"/>
        <w:jc w:val="both"/>
        <w:rPr>
          <w:rFonts w:ascii="Times New Roman" w:hAnsi="Times New Roman" w:cs="Times New Roman"/>
          <w:sz w:val="16"/>
          <w:szCs w:val="16"/>
        </w:rPr>
      </w:pPr>
    </w:p>
    <w:p w:rsidR="00365227" w:rsidRDefault="001355B5" w:rsidP="00EE1353">
      <w:pPr>
        <w:spacing w:after="0" w:line="360" w:lineRule="auto"/>
        <w:jc w:val="both"/>
        <w:rPr>
          <w:rFonts w:ascii="Times New Roman" w:hAnsi="Times New Roman" w:cs="Times New Roman"/>
        </w:rPr>
      </w:pPr>
      <w:r>
        <w:rPr>
          <w:rFonts w:ascii="Times New Roman" w:hAnsi="Times New Roman" w:cs="Times New Roman"/>
        </w:rPr>
        <w:t>For the financial year under review, and further elaborated in its Annual Performance Plan, the agency identified four outcomes</w:t>
      </w:r>
      <w:r w:rsidR="00E64E9F">
        <w:t xml:space="preserve"> – </w:t>
      </w:r>
      <w:r w:rsidR="00E64E9F" w:rsidRPr="00E64E9F">
        <w:rPr>
          <w:rFonts w:ascii="Times New Roman" w:hAnsi="Times New Roman" w:cs="Times New Roman"/>
        </w:rPr>
        <w:t xml:space="preserve"> increased stakeholder satisfaction, enhanced human resources capabilities, maintained financial sustainability, and protected</w:t>
      </w:r>
      <w:r>
        <w:rPr>
          <w:rFonts w:ascii="Times New Roman" w:hAnsi="Times New Roman" w:cs="Times New Roman"/>
        </w:rPr>
        <w:t xml:space="preserve"> water resources. The output indicators aligned to targets are:</w:t>
      </w:r>
      <w:r w:rsidR="00EE1353">
        <w:rPr>
          <w:rFonts w:ascii="Times New Roman" w:hAnsi="Times New Roman" w:cs="Times New Roman"/>
        </w:rPr>
        <w:t xml:space="preserve"> </w:t>
      </w:r>
      <w:r w:rsidR="003033C9">
        <w:rPr>
          <w:rFonts w:ascii="Times New Roman" w:hAnsi="Times New Roman" w:cs="Times New Roman"/>
        </w:rPr>
        <w:t>Implementation of a stakeholder engagement plan, inclusive of technical, governance, support and finance issues, at 80%.</w:t>
      </w:r>
      <w:r w:rsidR="00EE1353">
        <w:rPr>
          <w:rFonts w:ascii="Times New Roman" w:hAnsi="Times New Roman" w:cs="Times New Roman"/>
        </w:rPr>
        <w:t xml:space="preserve"> </w:t>
      </w:r>
      <w:r w:rsidR="003033C9">
        <w:rPr>
          <w:rFonts w:ascii="Times New Roman" w:hAnsi="Times New Roman" w:cs="Times New Roman"/>
        </w:rPr>
        <w:t xml:space="preserve">Attainment of </w:t>
      </w:r>
      <w:r w:rsidR="00E64E9F">
        <w:rPr>
          <w:rFonts w:ascii="Times New Roman" w:hAnsi="Times New Roman" w:cs="Times New Roman"/>
        </w:rPr>
        <w:t>a ratio</w:t>
      </w:r>
      <w:r w:rsidR="003033C9">
        <w:rPr>
          <w:rFonts w:ascii="Times New Roman" w:hAnsi="Times New Roman" w:cs="Times New Roman"/>
        </w:rPr>
        <w:t xml:space="preserve"> in terms </w:t>
      </w:r>
      <w:r w:rsidR="00E64E9F">
        <w:rPr>
          <w:rFonts w:ascii="Times New Roman" w:hAnsi="Times New Roman" w:cs="Times New Roman"/>
        </w:rPr>
        <w:t xml:space="preserve">of </w:t>
      </w:r>
      <w:r w:rsidR="003033C9">
        <w:rPr>
          <w:rFonts w:ascii="Times New Roman" w:hAnsi="Times New Roman" w:cs="Times New Roman"/>
        </w:rPr>
        <w:t xml:space="preserve">working (80%), </w:t>
      </w:r>
      <w:r w:rsidR="00365227">
        <w:rPr>
          <w:rFonts w:ascii="Times New Roman" w:hAnsi="Times New Roman" w:cs="Times New Roman"/>
        </w:rPr>
        <w:t>current (1.1%)</w:t>
      </w:r>
      <w:r w:rsidR="003033C9">
        <w:rPr>
          <w:rFonts w:ascii="Times New Roman" w:hAnsi="Times New Roman" w:cs="Times New Roman"/>
        </w:rPr>
        <w:t xml:space="preserve">, </w:t>
      </w:r>
      <w:r w:rsidR="00365227">
        <w:rPr>
          <w:rFonts w:ascii="Times New Roman" w:hAnsi="Times New Roman" w:cs="Times New Roman"/>
        </w:rPr>
        <w:t>debt collection of historical debt owed to the Department (4%) and current debt collection of 60%.</w:t>
      </w:r>
      <w:r w:rsidR="00EE1353">
        <w:rPr>
          <w:rFonts w:ascii="Times New Roman" w:hAnsi="Times New Roman" w:cs="Times New Roman"/>
        </w:rPr>
        <w:t xml:space="preserve"> </w:t>
      </w:r>
      <w:r w:rsidR="00365227">
        <w:rPr>
          <w:rFonts w:ascii="Times New Roman" w:hAnsi="Times New Roman" w:cs="Times New Roman"/>
        </w:rPr>
        <w:t>Monitoring compliance to water resource quality objectives and international obligations at 90% and 90%</w:t>
      </w:r>
      <w:r w:rsidR="00E64E9F">
        <w:rPr>
          <w:rFonts w:ascii="Times New Roman" w:hAnsi="Times New Roman" w:cs="Times New Roman"/>
        </w:rPr>
        <w:t>,</w:t>
      </w:r>
      <w:r w:rsidR="00365227">
        <w:rPr>
          <w:rFonts w:ascii="Times New Roman" w:hAnsi="Times New Roman" w:cs="Times New Roman"/>
        </w:rPr>
        <w:t xml:space="preserve"> respectively.</w:t>
      </w:r>
      <w:r w:rsidR="00EE1353">
        <w:rPr>
          <w:rFonts w:ascii="Times New Roman" w:hAnsi="Times New Roman" w:cs="Times New Roman"/>
        </w:rPr>
        <w:t xml:space="preserve"> </w:t>
      </w:r>
      <w:r w:rsidR="00365227">
        <w:rPr>
          <w:rFonts w:ascii="Times New Roman" w:hAnsi="Times New Roman" w:cs="Times New Roman"/>
        </w:rPr>
        <w:t>Processing water use authorisations within the regulated timeframe at 80%, with 90% issuance of water use authorisations registered on WARMS.</w:t>
      </w:r>
      <w:r w:rsidR="00EE1353">
        <w:rPr>
          <w:rFonts w:ascii="Times New Roman" w:hAnsi="Times New Roman" w:cs="Times New Roman"/>
        </w:rPr>
        <w:t xml:space="preserve"> </w:t>
      </w:r>
      <w:r w:rsidR="00365227">
        <w:rPr>
          <w:rFonts w:ascii="Times New Roman" w:hAnsi="Times New Roman" w:cs="Times New Roman"/>
        </w:rPr>
        <w:t>Monitoring activities for compliance at 90 per cent and 100% of enforcement action taken against the non-compliant facilities/users.</w:t>
      </w:r>
    </w:p>
    <w:p w:rsidR="00365227" w:rsidRPr="00F80D2C" w:rsidRDefault="00365227" w:rsidP="00365227">
      <w:pPr>
        <w:spacing w:after="0" w:line="360" w:lineRule="auto"/>
        <w:jc w:val="both"/>
        <w:rPr>
          <w:rFonts w:ascii="Times New Roman" w:hAnsi="Times New Roman" w:cs="Times New Roman"/>
          <w:sz w:val="16"/>
          <w:szCs w:val="16"/>
        </w:rPr>
      </w:pPr>
    </w:p>
    <w:p w:rsidR="00365227" w:rsidRDefault="00567C11" w:rsidP="00365227">
      <w:pPr>
        <w:spacing w:after="0" w:line="360" w:lineRule="auto"/>
        <w:jc w:val="both"/>
        <w:rPr>
          <w:rFonts w:ascii="Times New Roman" w:hAnsi="Times New Roman" w:cs="Times New Roman"/>
        </w:rPr>
      </w:pPr>
      <w:r w:rsidRPr="00567C11">
        <w:rPr>
          <w:rFonts w:ascii="Times New Roman" w:hAnsi="Times New Roman" w:cs="Times New Roman"/>
        </w:rPr>
        <w:t xml:space="preserve">The agency's current ratio figure of 1.1% is </w:t>
      </w:r>
      <w:r>
        <w:rPr>
          <w:rFonts w:ascii="Times New Roman" w:hAnsi="Times New Roman" w:cs="Times New Roman"/>
        </w:rPr>
        <w:t>an essential consideration</w:t>
      </w:r>
      <w:r w:rsidR="00570E6E">
        <w:rPr>
          <w:rFonts w:ascii="Times New Roman" w:hAnsi="Times New Roman" w:cs="Times New Roman"/>
        </w:rPr>
        <w:t xml:space="preserve">, as it factors </w:t>
      </w:r>
      <w:r w:rsidR="00043A30">
        <w:rPr>
          <w:rFonts w:ascii="Times New Roman" w:hAnsi="Times New Roman" w:cs="Times New Roman"/>
        </w:rPr>
        <w:t>the agency’s ability</w:t>
      </w:r>
      <w:r w:rsidR="00570E6E">
        <w:rPr>
          <w:rFonts w:ascii="Times New Roman" w:hAnsi="Times New Roman" w:cs="Times New Roman"/>
        </w:rPr>
        <w:t xml:space="preserve"> to manage its debt. However, the agency’s current ratio </w:t>
      </w:r>
      <w:r>
        <w:rPr>
          <w:rFonts w:ascii="Times New Roman" w:hAnsi="Times New Roman" w:cs="Times New Roman"/>
        </w:rPr>
        <w:t>is lower than</w:t>
      </w:r>
      <w:r w:rsidR="00F613AE">
        <w:rPr>
          <w:rFonts w:ascii="Times New Roman" w:hAnsi="Times New Roman" w:cs="Times New Roman"/>
        </w:rPr>
        <w:t xml:space="preserve"> a good current ratio</w:t>
      </w:r>
      <w:r>
        <w:rPr>
          <w:rFonts w:ascii="Times New Roman" w:hAnsi="Times New Roman" w:cs="Times New Roman"/>
        </w:rPr>
        <w:t xml:space="preserve"> of</w:t>
      </w:r>
      <w:r w:rsidR="00570E6E">
        <w:rPr>
          <w:rFonts w:ascii="Times New Roman" w:hAnsi="Times New Roman" w:cs="Times New Roman"/>
        </w:rPr>
        <w:t xml:space="preserve"> 1.2 to 2.</w:t>
      </w:r>
      <w:r w:rsidR="00225894">
        <w:rPr>
          <w:rFonts w:ascii="Times New Roman" w:hAnsi="Times New Roman" w:cs="Times New Roman"/>
        </w:rPr>
        <w:t xml:space="preserve"> The lower ratio figure is</w:t>
      </w:r>
      <w:r w:rsidR="00CE4FCE">
        <w:rPr>
          <w:rFonts w:ascii="Times New Roman" w:hAnsi="Times New Roman" w:cs="Times New Roman"/>
        </w:rPr>
        <w:t xml:space="preserve"> due to challenges associated with payment </w:t>
      </w:r>
      <w:r w:rsidR="00225894">
        <w:rPr>
          <w:rFonts w:ascii="Times New Roman" w:hAnsi="Times New Roman" w:cs="Times New Roman"/>
        </w:rPr>
        <w:t xml:space="preserve">of </w:t>
      </w:r>
      <w:r w:rsidR="00E64E9F">
        <w:rPr>
          <w:rFonts w:ascii="Times New Roman" w:hAnsi="Times New Roman" w:cs="Times New Roman"/>
        </w:rPr>
        <w:t xml:space="preserve">a </w:t>
      </w:r>
      <w:r w:rsidR="00225894">
        <w:rPr>
          <w:rFonts w:ascii="Times New Roman" w:hAnsi="Times New Roman" w:cs="Times New Roman"/>
        </w:rPr>
        <w:t>historical debt which impact</w:t>
      </w:r>
      <w:r w:rsidR="00CE4FCE">
        <w:rPr>
          <w:rFonts w:ascii="Times New Roman" w:hAnsi="Times New Roman" w:cs="Times New Roman"/>
        </w:rPr>
        <w:t xml:space="preserve"> the going concern of the agency. The agency is working toward a change in the outer years to increase revenue from other streams by working on two specific targets. </w:t>
      </w:r>
      <w:r w:rsidR="00E64E9F">
        <w:rPr>
          <w:rFonts w:ascii="Times New Roman" w:hAnsi="Times New Roman" w:cs="Times New Roman"/>
        </w:rPr>
        <w:t>One</w:t>
      </w:r>
      <w:r w:rsidR="00CE4FCE">
        <w:rPr>
          <w:rFonts w:ascii="Times New Roman" w:hAnsi="Times New Roman" w:cs="Times New Roman"/>
        </w:rPr>
        <w:t xml:space="preserve"> </w:t>
      </w:r>
      <w:r w:rsidR="00E64E9F">
        <w:rPr>
          <w:rFonts w:ascii="Times New Roman" w:hAnsi="Times New Roman" w:cs="Times New Roman"/>
        </w:rPr>
        <w:t>is</w:t>
      </w:r>
      <w:r w:rsidR="00CE4FCE">
        <w:rPr>
          <w:rFonts w:ascii="Times New Roman" w:hAnsi="Times New Roman" w:cs="Times New Roman"/>
        </w:rPr>
        <w:t xml:space="preserve"> its ability to increase its debt collection ratio by ensuring that a 4% target of retrieval of past debt is achieved</w:t>
      </w:r>
      <w:r w:rsidR="00E64E9F">
        <w:rPr>
          <w:rFonts w:ascii="Times New Roman" w:hAnsi="Times New Roman" w:cs="Times New Roman"/>
        </w:rPr>
        <w:t xml:space="preserve"> and</w:t>
      </w:r>
      <w:r w:rsidR="00CE4FCE">
        <w:rPr>
          <w:rFonts w:ascii="Times New Roman" w:hAnsi="Times New Roman" w:cs="Times New Roman"/>
        </w:rPr>
        <w:t xml:space="preserve"> ensuring that current data information capturing of invoices is aligned to the validation and verification programme to increase the percentage around </w:t>
      </w:r>
      <w:r w:rsidR="00E64E9F">
        <w:rPr>
          <w:rFonts w:ascii="Times New Roman" w:hAnsi="Times New Roman" w:cs="Times New Roman"/>
        </w:rPr>
        <w:t xml:space="preserve">the </w:t>
      </w:r>
      <w:r w:rsidR="00CE4FCE">
        <w:rPr>
          <w:rFonts w:ascii="Times New Roman" w:hAnsi="Times New Roman" w:cs="Times New Roman"/>
        </w:rPr>
        <w:t>collection.</w:t>
      </w:r>
    </w:p>
    <w:p w:rsidR="00EE1353" w:rsidRPr="00570E6E" w:rsidRDefault="00EE1353" w:rsidP="00D1514F">
      <w:pPr>
        <w:spacing w:after="0" w:line="360" w:lineRule="auto"/>
        <w:jc w:val="both"/>
        <w:rPr>
          <w:rFonts w:ascii="Times New Roman" w:hAnsi="Times New Roman" w:cs="Times New Roman"/>
          <w:sz w:val="16"/>
          <w:szCs w:val="16"/>
        </w:rPr>
      </w:pPr>
    </w:p>
    <w:p w:rsidR="00A345B5" w:rsidRDefault="00225894" w:rsidP="00D1514F">
      <w:pPr>
        <w:spacing w:after="0" w:line="360" w:lineRule="auto"/>
        <w:jc w:val="both"/>
        <w:rPr>
          <w:rFonts w:ascii="Times New Roman" w:hAnsi="Times New Roman" w:cs="Times New Roman"/>
        </w:rPr>
      </w:pPr>
      <w:r>
        <w:rPr>
          <w:rFonts w:ascii="Times New Roman" w:hAnsi="Times New Roman" w:cs="Times New Roman"/>
        </w:rPr>
        <w:t>The overall budget component allocation to the agency to undertake work in the financial year under review amounts to R147.8</w:t>
      </w:r>
      <w:r w:rsidR="00A57B37">
        <w:rPr>
          <w:rFonts w:ascii="Times New Roman" w:hAnsi="Times New Roman" w:cs="Times New Roman"/>
        </w:rPr>
        <w:t>79.141</w:t>
      </w:r>
      <w:r>
        <w:rPr>
          <w:rFonts w:ascii="Times New Roman" w:hAnsi="Times New Roman" w:cs="Times New Roman"/>
        </w:rPr>
        <w:t xml:space="preserve"> million. </w:t>
      </w:r>
      <w:r w:rsidR="00CE4FCE">
        <w:rPr>
          <w:rFonts w:ascii="Times New Roman" w:hAnsi="Times New Roman" w:cs="Times New Roman"/>
        </w:rPr>
        <w:t>F</w:t>
      </w:r>
      <w:r>
        <w:rPr>
          <w:rFonts w:ascii="Times New Roman" w:hAnsi="Times New Roman" w:cs="Times New Roman"/>
        </w:rPr>
        <w:t xml:space="preserve">unding </w:t>
      </w:r>
      <w:r w:rsidR="003033C9">
        <w:rPr>
          <w:rFonts w:ascii="Times New Roman" w:hAnsi="Times New Roman" w:cs="Times New Roman"/>
        </w:rPr>
        <w:t xml:space="preserve">sources for the current year </w:t>
      </w:r>
      <w:r w:rsidR="00E64E9F">
        <w:rPr>
          <w:rFonts w:ascii="Times New Roman" w:hAnsi="Times New Roman" w:cs="Times New Roman"/>
        </w:rPr>
        <w:t>are</w:t>
      </w:r>
      <w:r w:rsidR="003033C9">
        <w:rPr>
          <w:rFonts w:ascii="Times New Roman" w:hAnsi="Times New Roman" w:cs="Times New Roman"/>
        </w:rPr>
        <w:t xml:space="preserve"> derived from augmentation from the Department</w:t>
      </w:r>
      <w:r>
        <w:rPr>
          <w:rFonts w:ascii="Times New Roman" w:hAnsi="Times New Roman" w:cs="Times New Roman"/>
        </w:rPr>
        <w:t xml:space="preserve"> through the Main Account</w:t>
      </w:r>
      <w:r w:rsidR="00A57B37">
        <w:rPr>
          <w:rFonts w:ascii="Times New Roman" w:hAnsi="Times New Roman" w:cs="Times New Roman"/>
        </w:rPr>
        <w:t xml:space="preserve"> and Water Trading Entity for water use charges paid into the</w:t>
      </w:r>
      <w:r>
        <w:rPr>
          <w:rFonts w:ascii="Times New Roman" w:hAnsi="Times New Roman" w:cs="Times New Roman"/>
        </w:rPr>
        <w:t xml:space="preserve"> Water Trading Entity and interest received.</w:t>
      </w:r>
      <w:r w:rsidR="00A57B37">
        <w:rPr>
          <w:rFonts w:ascii="Times New Roman" w:hAnsi="Times New Roman" w:cs="Times New Roman"/>
        </w:rPr>
        <w:t xml:space="preserve"> The economic classifica</w:t>
      </w:r>
      <w:r w:rsidR="002421F4">
        <w:rPr>
          <w:rFonts w:ascii="Times New Roman" w:hAnsi="Times New Roman" w:cs="Times New Roman"/>
        </w:rPr>
        <w:t xml:space="preserve">tion </w:t>
      </w:r>
      <w:r w:rsidR="00A57B37">
        <w:rPr>
          <w:rFonts w:ascii="Times New Roman" w:hAnsi="Times New Roman" w:cs="Times New Roman"/>
        </w:rPr>
        <w:t xml:space="preserve">indicates </w:t>
      </w:r>
      <w:r w:rsidR="00A57B37">
        <w:rPr>
          <w:rFonts w:ascii="Times New Roman" w:hAnsi="Times New Roman" w:cs="Times New Roman"/>
        </w:rPr>
        <w:lastRenderedPageBreak/>
        <w:t>that salaries and wages amount to R96.890 million, R26.038.723 for Goods and Services, R21.902.096 for bad debt</w:t>
      </w:r>
      <w:r w:rsidR="00A345B5">
        <w:rPr>
          <w:rFonts w:ascii="Times New Roman" w:hAnsi="Times New Roman" w:cs="Times New Roman"/>
        </w:rPr>
        <w:t xml:space="preserve">, </w:t>
      </w:r>
      <w:r w:rsidR="00E64E9F">
        <w:rPr>
          <w:rFonts w:ascii="Times New Roman" w:hAnsi="Times New Roman" w:cs="Times New Roman"/>
        </w:rPr>
        <w:t xml:space="preserve">and </w:t>
      </w:r>
      <w:r w:rsidR="00A345B5">
        <w:rPr>
          <w:rFonts w:ascii="Times New Roman" w:hAnsi="Times New Roman" w:cs="Times New Roman"/>
        </w:rPr>
        <w:t>repair and maintenance at R348 000, capital outlay at R200 000 and boa</w:t>
      </w:r>
      <w:r w:rsidR="005C18FF">
        <w:rPr>
          <w:rFonts w:ascii="Times New Roman" w:hAnsi="Times New Roman" w:cs="Times New Roman"/>
        </w:rPr>
        <w:t xml:space="preserve">rd related costs at </w:t>
      </w:r>
      <w:r w:rsidR="002421F4">
        <w:rPr>
          <w:rFonts w:ascii="Times New Roman" w:hAnsi="Times New Roman" w:cs="Times New Roman"/>
        </w:rPr>
        <w:t>R2.5 million.</w:t>
      </w:r>
    </w:p>
    <w:p w:rsidR="00A345B5" w:rsidRPr="00F80D2C" w:rsidRDefault="00A345B5" w:rsidP="00D1514F">
      <w:pPr>
        <w:spacing w:after="0" w:line="360" w:lineRule="auto"/>
        <w:jc w:val="both"/>
        <w:rPr>
          <w:rFonts w:ascii="Times New Roman" w:hAnsi="Times New Roman" w:cs="Times New Roman"/>
          <w:sz w:val="16"/>
          <w:szCs w:val="16"/>
        </w:rPr>
      </w:pPr>
    </w:p>
    <w:p w:rsidR="002421F4" w:rsidRDefault="00A345B5" w:rsidP="00D1514F">
      <w:pPr>
        <w:spacing w:after="0" w:line="360" w:lineRule="auto"/>
        <w:jc w:val="both"/>
        <w:rPr>
          <w:rFonts w:ascii="Times New Roman" w:hAnsi="Times New Roman" w:cs="Times New Roman"/>
          <w:color w:val="333333"/>
          <w:shd w:val="clear" w:color="auto" w:fill="FFFFFF"/>
        </w:rPr>
      </w:pPr>
      <w:r w:rsidRPr="002421F4">
        <w:rPr>
          <w:rFonts w:ascii="Times New Roman" w:hAnsi="Times New Roman" w:cs="Times New Roman"/>
        </w:rPr>
        <w:t>The agency proposed an initial budget for the current year</w:t>
      </w:r>
      <w:r w:rsidR="00043A30">
        <w:rPr>
          <w:rFonts w:ascii="Times New Roman" w:hAnsi="Times New Roman" w:cs="Times New Roman"/>
        </w:rPr>
        <w:t>,</w:t>
      </w:r>
      <w:r w:rsidRPr="002421F4">
        <w:rPr>
          <w:rFonts w:ascii="Times New Roman" w:hAnsi="Times New Roman" w:cs="Times New Roman"/>
        </w:rPr>
        <w:t xml:space="preserve"> an amount of R174 million but received R147 million</w:t>
      </w:r>
      <w:r w:rsidR="009C0BC9" w:rsidRPr="002421F4">
        <w:rPr>
          <w:rFonts w:ascii="Times New Roman" w:hAnsi="Times New Roman" w:cs="Times New Roman"/>
        </w:rPr>
        <w:t xml:space="preserve">. This </w:t>
      </w:r>
      <w:r w:rsidRPr="002421F4">
        <w:rPr>
          <w:rFonts w:ascii="Times New Roman" w:hAnsi="Times New Roman" w:cs="Times New Roman"/>
        </w:rPr>
        <w:t>translates to a shortfall of R50</w:t>
      </w:r>
      <w:r w:rsidR="002421F4" w:rsidRPr="002421F4">
        <w:rPr>
          <w:rFonts w:ascii="Times New Roman" w:hAnsi="Times New Roman" w:cs="Times New Roman"/>
        </w:rPr>
        <w:t>.7</w:t>
      </w:r>
      <w:r w:rsidRPr="002421F4">
        <w:rPr>
          <w:rFonts w:ascii="Times New Roman" w:hAnsi="Times New Roman" w:cs="Times New Roman"/>
        </w:rPr>
        <w:t xml:space="preserve"> million, </w:t>
      </w:r>
      <w:r w:rsidR="000347DC" w:rsidRPr="002421F4">
        <w:rPr>
          <w:rFonts w:ascii="Times New Roman" w:hAnsi="Times New Roman" w:cs="Times New Roman"/>
        </w:rPr>
        <w:t xml:space="preserve">a 23% decrease in the augmentation grant, translating to a 40% reduction in </w:t>
      </w:r>
      <w:r w:rsidRPr="002421F4">
        <w:rPr>
          <w:rFonts w:ascii="Times New Roman" w:hAnsi="Times New Roman" w:cs="Times New Roman"/>
        </w:rPr>
        <w:t>service charges due to historical bad debt inherited from the Department</w:t>
      </w:r>
      <w:r w:rsidR="009C0BC9" w:rsidRPr="002421F4">
        <w:rPr>
          <w:rFonts w:ascii="Times New Roman" w:hAnsi="Times New Roman" w:cs="Times New Roman"/>
        </w:rPr>
        <w:t xml:space="preserve">. </w:t>
      </w:r>
      <w:r w:rsidR="002421F4" w:rsidRPr="002421F4">
        <w:rPr>
          <w:rFonts w:ascii="Times New Roman" w:hAnsi="Times New Roman" w:cs="Times New Roman"/>
          <w:color w:val="333333"/>
          <w:shd w:val="clear" w:color="auto" w:fill="FFFFFF"/>
        </w:rPr>
        <w:t> The impact of the budget cuts was that the budget was not sufficient to cover all personnel and critical contractual obligations. Critical earmarked activities which would remain unfunded were valued at R50.7m, which would result in a reduction of the Agency's ability to fully execute its mandate and overall public value, cessation and/or downsizing of key strategic projects, and immediate suspension of any further appointments to critical positions.</w:t>
      </w:r>
    </w:p>
    <w:p w:rsidR="002421F4" w:rsidRDefault="002421F4" w:rsidP="00D1514F">
      <w:pPr>
        <w:spacing w:after="0" w:line="360" w:lineRule="auto"/>
        <w:jc w:val="both"/>
        <w:rPr>
          <w:rFonts w:ascii="Times New Roman" w:hAnsi="Times New Roman" w:cs="Times New Roman"/>
          <w:color w:val="333333"/>
          <w:shd w:val="clear" w:color="auto" w:fill="FFFFFF"/>
        </w:rPr>
      </w:pPr>
      <w:r w:rsidRPr="002421F4">
        <w:rPr>
          <w:rFonts w:ascii="Times New Roman" w:hAnsi="Times New Roman" w:cs="Times New Roman"/>
          <w:color w:val="333333"/>
        </w:rPr>
        <w:br/>
      </w:r>
      <w:r w:rsidRPr="002421F4">
        <w:rPr>
          <w:rFonts w:ascii="Times New Roman" w:hAnsi="Times New Roman" w:cs="Times New Roman"/>
          <w:color w:val="333333"/>
          <w:shd w:val="clear" w:color="auto" w:fill="FFFFFF"/>
        </w:rPr>
        <w:t>In the short term, the proposed action plan was to engage urgently with the Department to revise allocations for 2022/23 to ensure effective delivery of the IUCMA mandates and approved strategic outcomes and the implementation of debt management and cost containment strategy. In the long term, the plan was to identify other revenue streams to augment already strained sources and to engage the Department to review and redevelop a sustainable funding model.</w:t>
      </w:r>
    </w:p>
    <w:p w:rsidR="002421F4" w:rsidRPr="002421F4" w:rsidRDefault="002421F4" w:rsidP="00D1514F">
      <w:pPr>
        <w:spacing w:after="0" w:line="360" w:lineRule="auto"/>
        <w:jc w:val="both"/>
        <w:rPr>
          <w:rFonts w:ascii="Times New Roman" w:hAnsi="Times New Roman" w:cs="Times New Roman"/>
        </w:rPr>
      </w:pPr>
      <w:r w:rsidRPr="002421F4">
        <w:rPr>
          <w:rFonts w:ascii="Times New Roman" w:hAnsi="Times New Roman" w:cs="Times New Roman"/>
          <w:color w:val="333333"/>
        </w:rPr>
        <w:br/>
      </w:r>
      <w:r w:rsidRPr="002421F4">
        <w:rPr>
          <w:rFonts w:ascii="Times New Roman" w:hAnsi="Times New Roman" w:cs="Times New Roman"/>
          <w:color w:val="333333"/>
          <w:shd w:val="clear" w:color="auto" w:fill="FFFFFF"/>
        </w:rPr>
        <w:t xml:space="preserve">The challenges the IUCMA faced included the increased international obligations to Mozambique, hence the need for </w:t>
      </w:r>
      <w:r w:rsidR="00043A30">
        <w:rPr>
          <w:rFonts w:ascii="Times New Roman" w:hAnsi="Times New Roman" w:cs="Times New Roman"/>
          <w:color w:val="333333"/>
          <w:shd w:val="clear" w:color="auto" w:fill="FFFFFF"/>
        </w:rPr>
        <w:t xml:space="preserve">the construction of the </w:t>
      </w:r>
      <w:r w:rsidRPr="002421F4">
        <w:rPr>
          <w:rFonts w:ascii="Times New Roman" w:hAnsi="Times New Roman" w:cs="Times New Roman"/>
          <w:color w:val="333333"/>
          <w:shd w:val="clear" w:color="auto" w:fill="FFFFFF"/>
        </w:rPr>
        <w:t>Mbombela Dam; the slow pace of transformation; the bulk water allocated to irrigation boards; costly maintenance of integrated decision support systems; and the expansion of the water management area to include the Pongola Catchment.</w:t>
      </w:r>
    </w:p>
    <w:p w:rsidR="002421F4" w:rsidRPr="00F80D2C" w:rsidRDefault="002421F4" w:rsidP="00D1514F">
      <w:pPr>
        <w:spacing w:after="0" w:line="360" w:lineRule="auto"/>
        <w:jc w:val="both"/>
        <w:rPr>
          <w:rFonts w:ascii="Times New Roman" w:hAnsi="Times New Roman" w:cs="Times New Roman"/>
          <w:sz w:val="16"/>
          <w:szCs w:val="16"/>
        </w:rPr>
      </w:pPr>
    </w:p>
    <w:p w:rsidR="00A345B5" w:rsidRDefault="009C0BC9" w:rsidP="00D1514F">
      <w:pPr>
        <w:spacing w:after="0" w:line="360" w:lineRule="auto"/>
        <w:jc w:val="both"/>
        <w:rPr>
          <w:rFonts w:ascii="Times New Roman" w:hAnsi="Times New Roman" w:cs="Times New Roman"/>
        </w:rPr>
      </w:pPr>
      <w:r>
        <w:rPr>
          <w:rFonts w:ascii="Times New Roman" w:hAnsi="Times New Roman" w:cs="Times New Roman"/>
        </w:rPr>
        <w:t xml:space="preserve">The agency is </w:t>
      </w:r>
      <w:r w:rsidR="000347DC">
        <w:rPr>
          <w:rFonts w:ascii="Times New Roman" w:hAnsi="Times New Roman" w:cs="Times New Roman"/>
        </w:rPr>
        <w:t>continuously engaged</w:t>
      </w:r>
      <w:r>
        <w:rPr>
          <w:rFonts w:ascii="Times New Roman" w:hAnsi="Times New Roman" w:cs="Times New Roman"/>
        </w:rPr>
        <w:t xml:space="preserve"> with the Department for assistance and advice on addressing the shortfall as it impacts critical contractual obligations. </w:t>
      </w:r>
      <w:r w:rsidR="00E64E9F">
        <w:rPr>
          <w:rFonts w:ascii="Times New Roman" w:hAnsi="Times New Roman" w:cs="Times New Roman"/>
        </w:rPr>
        <w:t>However, the agency has</w:t>
      </w:r>
      <w:r w:rsidR="000347DC" w:rsidRPr="000347DC">
        <w:rPr>
          <w:rFonts w:ascii="Times New Roman" w:hAnsi="Times New Roman" w:cs="Times New Roman"/>
        </w:rPr>
        <w:t xml:space="preserve"> developed a debt management strategy and </w:t>
      </w:r>
      <w:r w:rsidR="00E64E9F">
        <w:rPr>
          <w:rFonts w:ascii="Times New Roman" w:hAnsi="Times New Roman" w:cs="Times New Roman"/>
        </w:rPr>
        <w:t>engages</w:t>
      </w:r>
      <w:r>
        <w:rPr>
          <w:rFonts w:ascii="Times New Roman" w:hAnsi="Times New Roman" w:cs="Times New Roman"/>
        </w:rPr>
        <w:t xml:space="preserve"> the Department </w:t>
      </w:r>
      <w:r w:rsidR="000347DC">
        <w:rPr>
          <w:rFonts w:ascii="Times New Roman" w:hAnsi="Times New Roman" w:cs="Times New Roman"/>
        </w:rPr>
        <w:t>in</w:t>
      </w:r>
      <w:r>
        <w:rPr>
          <w:rFonts w:ascii="Times New Roman" w:hAnsi="Times New Roman" w:cs="Times New Roman"/>
        </w:rPr>
        <w:t xml:space="preserve"> revising the current water pricing strategy.   The current water pricing strategy places curbs on some of the tariffs for water use that the agency can charge, particularly for domestic use and </w:t>
      </w:r>
      <w:r w:rsidR="000347DC">
        <w:rPr>
          <w:rFonts w:ascii="Times New Roman" w:hAnsi="Times New Roman" w:cs="Times New Roman"/>
        </w:rPr>
        <w:t xml:space="preserve">the </w:t>
      </w:r>
      <w:r>
        <w:rPr>
          <w:rFonts w:ascii="Times New Roman" w:hAnsi="Times New Roman" w:cs="Times New Roman"/>
        </w:rPr>
        <w:t>forestry sector.</w:t>
      </w:r>
    </w:p>
    <w:p w:rsidR="00DF5682" w:rsidRPr="00F80D2C" w:rsidRDefault="00DF5682" w:rsidP="00A6692E">
      <w:pPr>
        <w:spacing w:after="0" w:line="360" w:lineRule="auto"/>
        <w:jc w:val="both"/>
        <w:rPr>
          <w:rFonts w:ascii="Times New Roman" w:hAnsi="Times New Roman" w:cs="Times New Roman"/>
          <w:sz w:val="16"/>
          <w:szCs w:val="16"/>
        </w:rPr>
      </w:pPr>
    </w:p>
    <w:p w:rsidR="00CA6763" w:rsidRDefault="00CA6763" w:rsidP="00A6692E">
      <w:pPr>
        <w:spacing w:after="0" w:line="360" w:lineRule="auto"/>
        <w:jc w:val="both"/>
        <w:rPr>
          <w:rFonts w:ascii="Times New Roman" w:hAnsi="Times New Roman" w:cs="Times New Roman"/>
        </w:rPr>
      </w:pPr>
      <w:r>
        <w:rPr>
          <w:rFonts w:ascii="Times New Roman" w:hAnsi="Times New Roman" w:cs="Times New Roman"/>
        </w:rPr>
        <w:t>Expenditure is expected to increase at an average annual rate of 11.8 per cent, from R139.7 million in 2021/22 to R195.4 million in 2024/25.</w:t>
      </w:r>
      <w:r w:rsidR="003812B6">
        <w:rPr>
          <w:rFonts w:ascii="Times New Roman" w:hAnsi="Times New Roman" w:cs="Times New Roman"/>
        </w:rPr>
        <w:t xml:space="preserve"> Transfers from the Department account for an estimated 66.5 per cent (R373.4 million) </w:t>
      </w:r>
      <w:r w:rsidR="00157B7D">
        <w:rPr>
          <w:rFonts w:ascii="Times New Roman" w:hAnsi="Times New Roman" w:cs="Times New Roman"/>
        </w:rPr>
        <w:t>of</w:t>
      </w:r>
      <w:r w:rsidR="003812B6">
        <w:rPr>
          <w:rFonts w:ascii="Times New Roman" w:hAnsi="Times New Roman" w:cs="Times New Roman"/>
        </w:rPr>
        <w:t xml:space="preserve"> the agency’s revenue over the period ahead, with the remainder generated through licence fees for water use.</w:t>
      </w:r>
    </w:p>
    <w:p w:rsidR="00570E6E" w:rsidRDefault="00570E6E" w:rsidP="00A6692E">
      <w:pPr>
        <w:spacing w:after="0" w:line="360" w:lineRule="auto"/>
        <w:jc w:val="both"/>
        <w:rPr>
          <w:rFonts w:ascii="Times New Roman" w:hAnsi="Times New Roman" w:cs="Times New Roman"/>
        </w:rPr>
      </w:pPr>
    </w:p>
    <w:p w:rsidR="00570E6E" w:rsidRDefault="00570E6E" w:rsidP="00A6692E">
      <w:pPr>
        <w:spacing w:after="0" w:line="360" w:lineRule="auto"/>
        <w:jc w:val="both"/>
        <w:rPr>
          <w:rFonts w:ascii="Times New Roman" w:hAnsi="Times New Roman" w:cs="Times New Roman"/>
        </w:rPr>
      </w:pPr>
    </w:p>
    <w:p w:rsidR="00570E6E" w:rsidRDefault="00570E6E" w:rsidP="00A6692E">
      <w:pPr>
        <w:spacing w:after="0" w:line="360" w:lineRule="auto"/>
        <w:jc w:val="both"/>
        <w:rPr>
          <w:rFonts w:ascii="Times New Roman" w:hAnsi="Times New Roman" w:cs="Times New Roman"/>
        </w:rPr>
      </w:pPr>
    </w:p>
    <w:p w:rsidR="00EE1353" w:rsidRPr="00F80D2C" w:rsidRDefault="00EE1353" w:rsidP="00A6692E">
      <w:pPr>
        <w:spacing w:after="0" w:line="360" w:lineRule="auto"/>
        <w:jc w:val="both"/>
        <w:rPr>
          <w:rFonts w:ascii="Times New Roman" w:hAnsi="Times New Roman" w:cs="Times New Roman"/>
          <w:sz w:val="16"/>
          <w:szCs w:val="16"/>
        </w:rPr>
      </w:pPr>
    </w:p>
    <w:p w:rsidR="00A6692E" w:rsidRDefault="007C728E" w:rsidP="00A6692E">
      <w:pPr>
        <w:spacing w:after="0" w:line="360" w:lineRule="auto"/>
        <w:jc w:val="both"/>
        <w:rPr>
          <w:rFonts w:ascii="Times New Roman" w:hAnsi="Times New Roman" w:cs="Times New Roman"/>
        </w:rPr>
      </w:pPr>
      <w:r>
        <w:rPr>
          <w:rFonts w:ascii="Times New Roman" w:hAnsi="Times New Roman" w:cs="Times New Roman"/>
          <w:b/>
        </w:rPr>
        <w:lastRenderedPageBreak/>
        <w:t>7</w:t>
      </w:r>
      <w:r w:rsidR="00A6692E">
        <w:rPr>
          <w:rFonts w:ascii="Times New Roman" w:hAnsi="Times New Roman" w:cs="Times New Roman"/>
          <w:b/>
        </w:rPr>
        <w:t>.1.3</w:t>
      </w:r>
      <w:r w:rsidR="00A6692E">
        <w:rPr>
          <w:rFonts w:ascii="Times New Roman" w:hAnsi="Times New Roman" w:cs="Times New Roman"/>
          <w:b/>
        </w:rPr>
        <w:tab/>
        <w:t>Trans-Caledon Tunnel Authority</w:t>
      </w:r>
      <w:r w:rsidR="00A6692E">
        <w:rPr>
          <w:rFonts w:ascii="Times New Roman" w:hAnsi="Times New Roman" w:cs="Times New Roman"/>
        </w:rPr>
        <w:t xml:space="preserve">  </w:t>
      </w:r>
    </w:p>
    <w:p w:rsidR="006C1600" w:rsidRPr="00F80D2C" w:rsidRDefault="006C1600" w:rsidP="00A6692E">
      <w:pPr>
        <w:spacing w:after="0" w:line="360" w:lineRule="auto"/>
        <w:jc w:val="both"/>
        <w:rPr>
          <w:rFonts w:ascii="Times New Roman" w:hAnsi="Times New Roman" w:cs="Times New Roman"/>
          <w:sz w:val="16"/>
          <w:szCs w:val="16"/>
        </w:rPr>
      </w:pPr>
    </w:p>
    <w:p w:rsidR="006C1600" w:rsidRDefault="006C1600" w:rsidP="00A6692E">
      <w:pPr>
        <w:spacing w:after="0" w:line="360" w:lineRule="auto"/>
        <w:jc w:val="both"/>
        <w:rPr>
          <w:rFonts w:ascii="Times New Roman" w:hAnsi="Times New Roman" w:cs="Times New Roman"/>
        </w:rPr>
      </w:pPr>
      <w:r>
        <w:rPr>
          <w:rFonts w:ascii="Times New Roman" w:hAnsi="Times New Roman" w:cs="Times New Roman"/>
        </w:rPr>
        <w:t>The Trans-Caledon Tunnel Authority</w:t>
      </w:r>
      <w:r w:rsidR="0002261E">
        <w:rPr>
          <w:rFonts w:ascii="Times New Roman" w:hAnsi="Times New Roman" w:cs="Times New Roman"/>
        </w:rPr>
        <w:t xml:space="preserve"> (TCTA) </w:t>
      </w:r>
      <w:r>
        <w:rPr>
          <w:rFonts w:ascii="Times New Roman" w:hAnsi="Times New Roman" w:cs="Times New Roman"/>
        </w:rPr>
        <w:t xml:space="preserve">is a specialised liability management entity that derives its mandate from the National Water Act, 1998.  It is responsible for financing and implementing </w:t>
      </w:r>
      <w:r w:rsidR="00DC52DF" w:rsidRPr="00DC52DF">
        <w:rPr>
          <w:rFonts w:ascii="Times New Roman" w:hAnsi="Times New Roman" w:cs="Times New Roman"/>
        </w:rPr>
        <w:t xml:space="preserve">bulk raw water infrastructure development </w:t>
      </w:r>
      <w:r>
        <w:rPr>
          <w:rFonts w:ascii="Times New Roman" w:hAnsi="Times New Roman" w:cs="Times New Roman"/>
        </w:rPr>
        <w:t>and providing treasury management services to the Department.</w:t>
      </w:r>
      <w:r w:rsidR="007E19D3">
        <w:rPr>
          <w:rFonts w:ascii="Times New Roman" w:hAnsi="Times New Roman" w:cs="Times New Roman"/>
        </w:rPr>
        <w:t xml:space="preserve"> TCT</w:t>
      </w:r>
      <w:r w:rsidR="0002261E">
        <w:rPr>
          <w:rFonts w:ascii="Times New Roman" w:hAnsi="Times New Roman" w:cs="Times New Roman"/>
        </w:rPr>
        <w:t>A’s mandate is set out in terms of the Notice of Establishment and directives issued from time to time by the Executive Authority.</w:t>
      </w:r>
    </w:p>
    <w:p w:rsidR="00570E6E" w:rsidRPr="00570E6E" w:rsidRDefault="00570E6E" w:rsidP="00A6692E">
      <w:pPr>
        <w:spacing w:after="0" w:line="360" w:lineRule="auto"/>
        <w:jc w:val="both"/>
        <w:rPr>
          <w:rFonts w:ascii="Times New Roman" w:hAnsi="Times New Roman" w:cs="Times New Roman"/>
          <w:sz w:val="16"/>
          <w:szCs w:val="16"/>
        </w:rPr>
      </w:pPr>
    </w:p>
    <w:p w:rsidR="0002261E" w:rsidRDefault="0002261E" w:rsidP="00A6692E">
      <w:pPr>
        <w:spacing w:after="0" w:line="360" w:lineRule="auto"/>
        <w:jc w:val="both"/>
        <w:rPr>
          <w:rFonts w:ascii="Times New Roman" w:hAnsi="Times New Roman" w:cs="Times New Roman"/>
        </w:rPr>
      </w:pPr>
      <w:r>
        <w:rPr>
          <w:rFonts w:ascii="Times New Roman" w:hAnsi="Times New Roman" w:cs="Times New Roman"/>
        </w:rPr>
        <w:t>The strategic goals for 2022/23 of the authority are to raise funding for implementation of infrastructure, implement capital projects on time, within budget, to the appropriate standards and in a sustainable socio/environmental manner, manage debt within the approved borrowing limit, effective control of corporate expenditure, ensure organisational positioning for the planned water agency, enhance the internal control environment, risk management and supply chain management system, coordinate and monitor the efficient implement</w:t>
      </w:r>
      <w:r w:rsidR="00567C11">
        <w:rPr>
          <w:rFonts w:ascii="Times New Roman" w:hAnsi="Times New Roman" w:cs="Times New Roman"/>
        </w:rPr>
        <w:t>ation of the projects within Strategic Integrated Project</w:t>
      </w:r>
      <w:r>
        <w:rPr>
          <w:rFonts w:ascii="Times New Roman" w:hAnsi="Times New Roman" w:cs="Times New Roman"/>
        </w:rPr>
        <w:t>-19</w:t>
      </w:r>
      <w:r w:rsidR="00567C11">
        <w:rPr>
          <w:rStyle w:val="FootnoteReference"/>
          <w:rFonts w:ascii="Times New Roman" w:hAnsi="Times New Roman" w:cs="Times New Roman"/>
        </w:rPr>
        <w:footnoteReference w:id="9"/>
      </w:r>
      <w:r>
        <w:rPr>
          <w:rFonts w:ascii="Times New Roman" w:hAnsi="Times New Roman" w:cs="Times New Roman"/>
        </w:rPr>
        <w:t xml:space="preserve">, clear irregular and fruitless and wasteful expenditure and develop a </w:t>
      </w:r>
      <w:r w:rsidR="00DC52DF">
        <w:rPr>
          <w:rFonts w:ascii="Times New Roman" w:hAnsi="Times New Roman" w:cs="Times New Roman"/>
        </w:rPr>
        <w:t>high-performance</w:t>
      </w:r>
      <w:r>
        <w:rPr>
          <w:rFonts w:ascii="Times New Roman" w:hAnsi="Times New Roman" w:cs="Times New Roman"/>
        </w:rPr>
        <w:t xml:space="preserve"> culture that contributes to the achievement of the organisational goals.</w:t>
      </w:r>
    </w:p>
    <w:p w:rsidR="0002261E" w:rsidRPr="00F80D2C" w:rsidRDefault="0002261E" w:rsidP="00A6692E">
      <w:pPr>
        <w:spacing w:after="0" w:line="360" w:lineRule="auto"/>
        <w:jc w:val="both"/>
        <w:rPr>
          <w:rFonts w:ascii="Times New Roman" w:hAnsi="Times New Roman" w:cs="Times New Roman"/>
          <w:sz w:val="16"/>
          <w:szCs w:val="16"/>
        </w:rPr>
      </w:pPr>
    </w:p>
    <w:p w:rsidR="0002261E" w:rsidRDefault="0002261E" w:rsidP="00A6692E">
      <w:pPr>
        <w:spacing w:after="0" w:line="360" w:lineRule="auto"/>
        <w:jc w:val="both"/>
        <w:rPr>
          <w:rFonts w:ascii="Times New Roman" w:hAnsi="Times New Roman" w:cs="Times New Roman"/>
        </w:rPr>
      </w:pPr>
      <w:r>
        <w:rPr>
          <w:rFonts w:ascii="Times New Roman" w:hAnsi="Times New Roman" w:cs="Times New Roman"/>
        </w:rPr>
        <w:t xml:space="preserve">The rollout of infrastructure projects </w:t>
      </w:r>
      <w:r w:rsidR="00DC52DF">
        <w:rPr>
          <w:rFonts w:ascii="Times New Roman" w:hAnsi="Times New Roman" w:cs="Times New Roman"/>
        </w:rPr>
        <w:t>in</w:t>
      </w:r>
      <w:r>
        <w:rPr>
          <w:rFonts w:ascii="Times New Roman" w:hAnsi="Times New Roman" w:cs="Times New Roman"/>
        </w:rPr>
        <w:t xml:space="preserve"> </w:t>
      </w:r>
      <w:r w:rsidR="00DC52DF">
        <w:rPr>
          <w:rFonts w:ascii="Times New Roman" w:hAnsi="Times New Roman" w:cs="Times New Roman"/>
        </w:rPr>
        <w:t xml:space="preserve">the </w:t>
      </w:r>
      <w:r>
        <w:rPr>
          <w:rFonts w:ascii="Times New Roman" w:hAnsi="Times New Roman" w:cs="Times New Roman"/>
        </w:rPr>
        <w:t xml:space="preserve">preparation phase </w:t>
      </w:r>
      <w:r w:rsidR="00DD3F25" w:rsidRPr="00DD3F25">
        <w:rPr>
          <w:rFonts w:ascii="Times New Roman" w:hAnsi="Times New Roman" w:cs="Times New Roman"/>
        </w:rPr>
        <w:t xml:space="preserve">is the uMkhomazi Water Project – Phase 1, at the implementation phase of </w:t>
      </w:r>
      <w:r w:rsidR="00DC52DF">
        <w:rPr>
          <w:rFonts w:ascii="Times New Roman" w:hAnsi="Times New Roman" w:cs="Times New Roman"/>
        </w:rPr>
        <w:t>the Mokolo Crocodile Wate</w:t>
      </w:r>
      <w:r w:rsidR="009A1C7F">
        <w:rPr>
          <w:rFonts w:ascii="Times New Roman" w:hAnsi="Times New Roman" w:cs="Times New Roman"/>
        </w:rPr>
        <w:t>r Project and the Berg River Voȅ</w:t>
      </w:r>
      <w:r w:rsidR="00DC52DF">
        <w:rPr>
          <w:rFonts w:ascii="Times New Roman" w:hAnsi="Times New Roman" w:cs="Times New Roman"/>
        </w:rPr>
        <w:t>lvlei Augmentation Scheme. Operations and maintenance will focus on Acid Mine Drainage and the Lesotho Highlands Water Project Phase 1.</w:t>
      </w:r>
    </w:p>
    <w:p w:rsidR="00DC52DF" w:rsidRPr="00F80D2C" w:rsidRDefault="00DC52DF" w:rsidP="00A6692E">
      <w:pPr>
        <w:spacing w:after="0" w:line="360" w:lineRule="auto"/>
        <w:jc w:val="both"/>
        <w:rPr>
          <w:rFonts w:ascii="Times New Roman" w:hAnsi="Times New Roman" w:cs="Times New Roman"/>
          <w:sz w:val="16"/>
          <w:szCs w:val="16"/>
        </w:rPr>
      </w:pPr>
    </w:p>
    <w:p w:rsidR="00DC52DF" w:rsidRDefault="00DC52DF" w:rsidP="00A6692E">
      <w:pPr>
        <w:spacing w:after="0" w:line="360" w:lineRule="auto"/>
        <w:jc w:val="both"/>
        <w:rPr>
          <w:rFonts w:ascii="Times New Roman" w:hAnsi="Times New Roman" w:cs="Times New Roman"/>
        </w:rPr>
      </w:pPr>
      <w:r>
        <w:rPr>
          <w:rFonts w:ascii="Times New Roman" w:hAnsi="Times New Roman" w:cs="Times New Roman"/>
        </w:rPr>
        <w:t>Expenditure is expected to increase at an average annual rate of 24.1 per cent, from R7.9 billion to R15.1 billion in 2024/25.  The authority projects a surplus of R5.6 billion over the period</w:t>
      </w:r>
      <w:r w:rsidR="00DD3F25">
        <w:rPr>
          <w:rFonts w:ascii="Times New Roman" w:hAnsi="Times New Roman" w:cs="Times New Roman"/>
        </w:rPr>
        <w:t>,</w:t>
      </w:r>
      <w:r>
        <w:rPr>
          <w:rFonts w:ascii="Times New Roman" w:hAnsi="Times New Roman" w:cs="Times New Roman"/>
        </w:rPr>
        <w:t xml:space="preserve"> mainly due to delays in the delivery tunnel for the Lesotho Highlands Water Project, while revenue is expected to increase at an annual average rate of 27.3 per cent from R8.4 billion in 2021/22 to R17.4 billion in 2024/25, mainly due to funding for construction received from the Water Trading Entity.</w:t>
      </w:r>
    </w:p>
    <w:p w:rsidR="00DC52DF" w:rsidRPr="00F80D2C" w:rsidRDefault="00DC52DF" w:rsidP="00A6692E">
      <w:pPr>
        <w:spacing w:after="0" w:line="360" w:lineRule="auto"/>
        <w:jc w:val="both"/>
        <w:rPr>
          <w:rFonts w:ascii="Times New Roman" w:hAnsi="Times New Roman" w:cs="Times New Roman"/>
          <w:sz w:val="16"/>
          <w:szCs w:val="16"/>
        </w:rPr>
      </w:pPr>
    </w:p>
    <w:p w:rsidR="00DC52DF" w:rsidRDefault="00DD3F25" w:rsidP="00A6692E">
      <w:pPr>
        <w:spacing w:after="0" w:line="360" w:lineRule="auto"/>
        <w:jc w:val="both"/>
        <w:rPr>
          <w:rFonts w:ascii="Times New Roman" w:hAnsi="Times New Roman" w:cs="Times New Roman"/>
        </w:rPr>
      </w:pPr>
      <w:r>
        <w:rPr>
          <w:rFonts w:ascii="Times New Roman" w:hAnsi="Times New Roman" w:cs="Times New Roman"/>
        </w:rPr>
        <w:t>The TCTA presentation highlighted the risks it faces as a public entity due to the following challenges:</w:t>
      </w:r>
    </w:p>
    <w:p w:rsidR="00DD3F25" w:rsidRPr="00F80D2C" w:rsidRDefault="00DD3F25" w:rsidP="00A6692E">
      <w:pPr>
        <w:spacing w:after="0" w:line="360" w:lineRule="auto"/>
        <w:jc w:val="both"/>
        <w:rPr>
          <w:rFonts w:ascii="Times New Roman" w:hAnsi="Times New Roman" w:cs="Times New Roman"/>
          <w:sz w:val="16"/>
          <w:szCs w:val="16"/>
        </w:rPr>
      </w:pPr>
    </w:p>
    <w:p w:rsidR="00DD3F25" w:rsidRDefault="00DD3F25" w:rsidP="00DD3F25">
      <w:pPr>
        <w:pStyle w:val="ListParagraph"/>
        <w:numPr>
          <w:ilvl w:val="0"/>
          <w:numId w:val="24"/>
        </w:numPr>
        <w:spacing w:after="0" w:line="360" w:lineRule="auto"/>
        <w:jc w:val="both"/>
        <w:rPr>
          <w:rFonts w:ascii="Times New Roman" w:hAnsi="Times New Roman" w:cs="Times New Roman"/>
        </w:rPr>
      </w:pPr>
      <w:r>
        <w:rPr>
          <w:rFonts w:ascii="Times New Roman" w:hAnsi="Times New Roman" w:cs="Times New Roman"/>
        </w:rPr>
        <w:t>Project implementation: Challenges in agreeing on funding models with project beneficiaries and obtaining their commitment to sign offtake agreements contribute to raising funding.</w:t>
      </w:r>
    </w:p>
    <w:p w:rsidR="00DD3F25" w:rsidRDefault="00DD3F25" w:rsidP="00DD3F25">
      <w:pPr>
        <w:pStyle w:val="ListParagraph"/>
        <w:numPr>
          <w:ilvl w:val="0"/>
          <w:numId w:val="24"/>
        </w:numPr>
        <w:spacing w:after="0" w:line="360" w:lineRule="auto"/>
        <w:jc w:val="both"/>
        <w:rPr>
          <w:rFonts w:ascii="Times New Roman" w:hAnsi="Times New Roman" w:cs="Times New Roman"/>
        </w:rPr>
      </w:pPr>
      <w:r>
        <w:rPr>
          <w:rFonts w:ascii="Times New Roman" w:hAnsi="Times New Roman" w:cs="Times New Roman"/>
        </w:rPr>
        <w:t>Raise funding: Reduced funders’ appetite for lending to SOEs and generally tight lending conditions.</w:t>
      </w:r>
    </w:p>
    <w:p w:rsidR="00DD3F25" w:rsidRPr="00DD3F25" w:rsidRDefault="00DD3F25" w:rsidP="00DD3F25">
      <w:pPr>
        <w:pStyle w:val="ListParagraph"/>
        <w:numPr>
          <w:ilvl w:val="0"/>
          <w:numId w:val="24"/>
        </w:numPr>
        <w:spacing w:after="0" w:line="360" w:lineRule="auto"/>
        <w:jc w:val="both"/>
        <w:rPr>
          <w:rFonts w:ascii="Times New Roman" w:hAnsi="Times New Roman" w:cs="Times New Roman"/>
        </w:rPr>
      </w:pPr>
      <w:r>
        <w:rPr>
          <w:rFonts w:ascii="Times New Roman" w:hAnsi="Times New Roman" w:cs="Times New Roman"/>
        </w:rPr>
        <w:lastRenderedPageBreak/>
        <w:t>Debt management: Municipalities’ ability to pay water tariffs, ensuring that tariffs are affordable and sustainable to assure the viability of water sector institutions, tighter conditions of regulatory approval for borrowings reduce flexibility to deal with unforeseen liquidity challenges.</w:t>
      </w:r>
    </w:p>
    <w:p w:rsidR="00A6692E" w:rsidRPr="00D24C03" w:rsidRDefault="00A6692E" w:rsidP="00A6692E">
      <w:pPr>
        <w:spacing w:after="0" w:line="360" w:lineRule="auto"/>
        <w:jc w:val="both"/>
        <w:rPr>
          <w:rFonts w:ascii="Times New Roman" w:hAnsi="Times New Roman" w:cs="Times New Roman"/>
          <w:sz w:val="16"/>
          <w:szCs w:val="16"/>
        </w:rPr>
      </w:pPr>
    </w:p>
    <w:p w:rsidR="00A6692E" w:rsidRDefault="007C728E" w:rsidP="00A6692E">
      <w:pPr>
        <w:spacing w:after="0" w:line="360" w:lineRule="auto"/>
        <w:jc w:val="both"/>
        <w:rPr>
          <w:rFonts w:ascii="Times New Roman" w:hAnsi="Times New Roman" w:cs="Times New Roman"/>
          <w:b/>
        </w:rPr>
      </w:pPr>
      <w:r>
        <w:rPr>
          <w:rFonts w:ascii="Times New Roman" w:hAnsi="Times New Roman" w:cs="Times New Roman"/>
          <w:b/>
        </w:rPr>
        <w:t>7</w:t>
      </w:r>
      <w:r w:rsidR="00A6692E">
        <w:rPr>
          <w:rFonts w:ascii="Times New Roman" w:hAnsi="Times New Roman" w:cs="Times New Roman"/>
          <w:b/>
        </w:rPr>
        <w:t>.1.4</w:t>
      </w:r>
      <w:r w:rsidR="00A6692E">
        <w:rPr>
          <w:rFonts w:ascii="Times New Roman" w:hAnsi="Times New Roman" w:cs="Times New Roman"/>
          <w:b/>
        </w:rPr>
        <w:tab/>
        <w:t>Water Research Commission</w:t>
      </w:r>
    </w:p>
    <w:p w:rsidR="00A6692E" w:rsidRPr="00596470" w:rsidRDefault="00A6692E" w:rsidP="00A6692E">
      <w:pPr>
        <w:spacing w:after="0" w:line="360" w:lineRule="auto"/>
        <w:jc w:val="both"/>
        <w:rPr>
          <w:rFonts w:ascii="Times New Roman" w:hAnsi="Times New Roman" w:cs="Times New Roman"/>
          <w:b/>
          <w:sz w:val="16"/>
          <w:szCs w:val="16"/>
        </w:rPr>
      </w:pPr>
    </w:p>
    <w:p w:rsidR="00DD3F25" w:rsidRDefault="00A6692E" w:rsidP="00A6692E">
      <w:pPr>
        <w:spacing w:after="0" w:line="360" w:lineRule="auto"/>
        <w:jc w:val="both"/>
        <w:rPr>
          <w:rFonts w:ascii="Times New Roman" w:hAnsi="Times New Roman" w:cs="Times New Roman"/>
        </w:rPr>
      </w:pPr>
      <w:r>
        <w:rPr>
          <w:rFonts w:ascii="Times New Roman" w:hAnsi="Times New Roman" w:cs="Times New Roman"/>
        </w:rPr>
        <w:t xml:space="preserve">The Water Research Commission was established in terms of the Water Research Act 1971.  It is mandated to research the water sector by determining needs and priorities for research, promoting coordination, cooperation and communication in the area of water research development, stimulating and funding water research, promoting the effective transfer of information and technology, and enhancing knowledge and building capacity in the water sector.  </w:t>
      </w:r>
    </w:p>
    <w:p w:rsidR="00DD3F25" w:rsidRPr="00F80D2C" w:rsidRDefault="00DD3F25" w:rsidP="00A6692E">
      <w:pPr>
        <w:spacing w:after="0" w:line="360" w:lineRule="auto"/>
        <w:jc w:val="both"/>
        <w:rPr>
          <w:rFonts w:ascii="Times New Roman" w:hAnsi="Times New Roman" w:cs="Times New Roman"/>
          <w:sz w:val="16"/>
          <w:szCs w:val="16"/>
        </w:rPr>
      </w:pPr>
    </w:p>
    <w:p w:rsidR="00A6692E" w:rsidRDefault="00A6692E" w:rsidP="00A6692E">
      <w:pPr>
        <w:spacing w:after="0" w:line="360" w:lineRule="auto"/>
        <w:jc w:val="both"/>
        <w:rPr>
          <w:rFonts w:ascii="Times New Roman" w:hAnsi="Times New Roman" w:cs="Times New Roman"/>
        </w:rPr>
      </w:pPr>
      <w:r>
        <w:rPr>
          <w:rFonts w:ascii="Times New Roman" w:hAnsi="Times New Roman" w:cs="Times New Roman"/>
        </w:rPr>
        <w:t xml:space="preserve">Over the </w:t>
      </w:r>
      <w:r w:rsidR="00CA1818">
        <w:rPr>
          <w:rFonts w:ascii="Times New Roman" w:hAnsi="Times New Roman" w:cs="Times New Roman"/>
        </w:rPr>
        <w:t>medium term</w:t>
      </w:r>
      <w:r w:rsidR="00B46026">
        <w:rPr>
          <w:rFonts w:ascii="Times New Roman" w:hAnsi="Times New Roman" w:cs="Times New Roman"/>
        </w:rPr>
        <w:t>,</w:t>
      </w:r>
      <w:r>
        <w:rPr>
          <w:rFonts w:ascii="Times New Roman" w:hAnsi="Times New Roman" w:cs="Times New Roman"/>
        </w:rPr>
        <w:t xml:space="preserve"> </w:t>
      </w:r>
      <w:r w:rsidR="00DD3F25">
        <w:rPr>
          <w:rFonts w:ascii="Times New Roman" w:hAnsi="Times New Roman" w:cs="Times New Roman"/>
        </w:rPr>
        <w:t>the commission plans to bridge knowledge gaps in the sector by prioritising research informed by government policies, needs and international trends.  The commission’s research will focus on the desalination of seawater, climate change modelling and water availability.</w:t>
      </w:r>
    </w:p>
    <w:p w:rsidR="00A6692E" w:rsidRPr="008869E1" w:rsidRDefault="00A6692E" w:rsidP="00A6692E">
      <w:pPr>
        <w:spacing w:after="0" w:line="360" w:lineRule="auto"/>
        <w:jc w:val="both"/>
        <w:rPr>
          <w:rFonts w:ascii="Times New Roman" w:hAnsi="Times New Roman" w:cs="Times New Roman"/>
          <w:sz w:val="16"/>
          <w:szCs w:val="16"/>
        </w:rPr>
      </w:pPr>
    </w:p>
    <w:p w:rsidR="00A6692E" w:rsidRDefault="00E66A1F" w:rsidP="00A6692E">
      <w:pPr>
        <w:spacing w:after="0" w:line="360" w:lineRule="auto"/>
        <w:jc w:val="both"/>
        <w:rPr>
          <w:rFonts w:ascii="Times New Roman" w:hAnsi="Times New Roman" w:cs="Times New Roman"/>
        </w:rPr>
      </w:pPr>
      <w:r>
        <w:rPr>
          <w:rFonts w:ascii="Times New Roman" w:hAnsi="Times New Roman" w:cs="Times New Roman"/>
        </w:rPr>
        <w:t xml:space="preserve">Expenditure is expected </w:t>
      </w:r>
      <w:r w:rsidR="00DD3F25">
        <w:rPr>
          <w:rFonts w:ascii="Times New Roman" w:hAnsi="Times New Roman" w:cs="Times New Roman"/>
        </w:rPr>
        <w:t>to increase at an average annual rate of 5 per cent, from R337 million in 2021/23 to R390.7 million in 2024/25.  Spending on Research and Development and Innovation and Impact Programmes account for an estimated 5.1 per cent (R557.9 million) of the commission’s total expenditure</w:t>
      </w:r>
      <w:r>
        <w:rPr>
          <w:rFonts w:ascii="Times New Roman" w:hAnsi="Times New Roman" w:cs="Times New Roman"/>
        </w:rPr>
        <w:t>.  Compensation of employees is the commission’s main cost driver, increasing at an average annual rate of 8.6 per cent, from R113.6 million in 2021/23 to R145.5 million in 2024/25.  The commission expects to derive 80.6 per cent (R889 million) of its revenue over the MTEF period through the water research levy.</w:t>
      </w:r>
    </w:p>
    <w:p w:rsidR="00567C11" w:rsidRDefault="00567C11" w:rsidP="00A6692E">
      <w:pPr>
        <w:spacing w:after="0" w:line="360" w:lineRule="auto"/>
        <w:jc w:val="both"/>
        <w:rPr>
          <w:rFonts w:ascii="Times New Roman" w:hAnsi="Times New Roman" w:cs="Times New Roman"/>
          <w:b/>
          <w:sz w:val="16"/>
          <w:szCs w:val="16"/>
        </w:rPr>
      </w:pPr>
    </w:p>
    <w:p w:rsidR="00A6692E" w:rsidRPr="00F20ABC" w:rsidRDefault="007C728E" w:rsidP="00A669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A6692E" w:rsidRPr="00F20ABC">
        <w:rPr>
          <w:rFonts w:ascii="Times New Roman" w:hAnsi="Times New Roman" w:cs="Times New Roman"/>
          <w:b/>
          <w:sz w:val="24"/>
          <w:szCs w:val="24"/>
        </w:rPr>
        <w:t>.</w:t>
      </w:r>
      <w:r w:rsidR="00A6692E" w:rsidRPr="00F20ABC">
        <w:rPr>
          <w:rFonts w:ascii="Times New Roman" w:hAnsi="Times New Roman" w:cs="Times New Roman"/>
          <w:b/>
          <w:sz w:val="24"/>
          <w:szCs w:val="24"/>
        </w:rPr>
        <w:tab/>
        <w:t>Observations and Recommendations</w:t>
      </w:r>
      <w:r w:rsidR="00A6692E">
        <w:rPr>
          <w:rFonts w:ascii="Times New Roman" w:hAnsi="Times New Roman" w:cs="Times New Roman"/>
          <w:b/>
          <w:sz w:val="24"/>
          <w:szCs w:val="24"/>
        </w:rPr>
        <w:t xml:space="preserve"> </w:t>
      </w:r>
    </w:p>
    <w:p w:rsidR="00A6692E" w:rsidRPr="00596470" w:rsidRDefault="00A6692E" w:rsidP="00A6692E">
      <w:pPr>
        <w:spacing w:after="0" w:line="360" w:lineRule="auto"/>
        <w:jc w:val="both"/>
        <w:rPr>
          <w:rFonts w:ascii="Times New Roman" w:hAnsi="Times New Roman" w:cs="Times New Roman"/>
          <w:b/>
          <w:sz w:val="16"/>
          <w:szCs w:val="16"/>
        </w:rPr>
      </w:pPr>
    </w:p>
    <w:p w:rsidR="00A6692E"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6692E">
        <w:rPr>
          <w:rFonts w:ascii="Times New Roman" w:hAnsi="Times New Roman" w:cs="Times New Roman"/>
          <w:b/>
        </w:rPr>
        <w:t>.1</w:t>
      </w:r>
      <w:r w:rsidR="00A6692E">
        <w:rPr>
          <w:rFonts w:ascii="Times New Roman" w:hAnsi="Times New Roman" w:cs="Times New Roman"/>
          <w:b/>
        </w:rPr>
        <w:tab/>
        <w:t>Department of Water and Sanitation</w:t>
      </w:r>
    </w:p>
    <w:p w:rsidR="00E95960" w:rsidRPr="00EE2567" w:rsidRDefault="00E95960" w:rsidP="00A6692E">
      <w:pPr>
        <w:spacing w:after="0" w:line="360" w:lineRule="auto"/>
        <w:jc w:val="both"/>
        <w:rPr>
          <w:rFonts w:ascii="Times New Roman" w:hAnsi="Times New Roman" w:cs="Times New Roman"/>
          <w:b/>
          <w:color w:val="FF0000"/>
          <w:sz w:val="16"/>
          <w:szCs w:val="16"/>
        </w:rPr>
      </w:pPr>
    </w:p>
    <w:p w:rsidR="00E66A1F" w:rsidRPr="00567C11"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E66A1F" w:rsidRPr="00567C11">
        <w:rPr>
          <w:rFonts w:ascii="Times New Roman" w:hAnsi="Times New Roman" w:cs="Times New Roman"/>
          <w:b/>
        </w:rPr>
        <w:t xml:space="preserve">.1.1 </w:t>
      </w:r>
      <w:r w:rsidR="00E66A1F" w:rsidRPr="00567C11">
        <w:rPr>
          <w:rFonts w:ascii="Times New Roman" w:hAnsi="Times New Roman" w:cs="Times New Roman"/>
          <w:b/>
        </w:rPr>
        <w:tab/>
      </w:r>
      <w:r w:rsidR="00A000CE" w:rsidRPr="00567C11">
        <w:rPr>
          <w:rFonts w:ascii="Times New Roman" w:hAnsi="Times New Roman" w:cs="Times New Roman"/>
          <w:b/>
        </w:rPr>
        <w:t>Eradication of the Bucket Sanitation Systems in Formal Settlements</w:t>
      </w:r>
      <w:r w:rsidR="00514949">
        <w:rPr>
          <w:rFonts w:ascii="Times New Roman" w:hAnsi="Times New Roman" w:cs="Times New Roman"/>
          <w:b/>
        </w:rPr>
        <w:t xml:space="preserve"> and Pit Latrines in </w:t>
      </w:r>
      <w:r w:rsidR="00514949">
        <w:rPr>
          <w:rFonts w:ascii="Times New Roman" w:hAnsi="Times New Roman" w:cs="Times New Roman"/>
          <w:b/>
        </w:rPr>
        <w:tab/>
        <w:t>Public Schools</w:t>
      </w:r>
    </w:p>
    <w:p w:rsidR="00E66A1F" w:rsidRPr="001A5BDC" w:rsidRDefault="00E66A1F" w:rsidP="00A6692E">
      <w:pPr>
        <w:spacing w:after="0" w:line="360" w:lineRule="auto"/>
        <w:jc w:val="both"/>
        <w:rPr>
          <w:rFonts w:ascii="Times New Roman" w:hAnsi="Times New Roman" w:cs="Times New Roman"/>
          <w:i/>
          <w:sz w:val="16"/>
          <w:szCs w:val="16"/>
        </w:rPr>
      </w:pPr>
    </w:p>
    <w:p w:rsidR="00A81A90" w:rsidRDefault="00380B0C" w:rsidP="000347DC">
      <w:pPr>
        <w:spacing w:after="0" w:line="360" w:lineRule="auto"/>
        <w:jc w:val="both"/>
        <w:rPr>
          <w:rFonts w:ascii="Times New Roman" w:hAnsi="Times New Roman" w:cs="Times New Roman"/>
        </w:rPr>
      </w:pPr>
      <w:r w:rsidRPr="00514949">
        <w:rPr>
          <w:rFonts w:ascii="Times New Roman" w:hAnsi="Times New Roman" w:cs="Times New Roman"/>
        </w:rPr>
        <w:t>Members of the</w:t>
      </w:r>
      <w:r w:rsidR="00570E6E">
        <w:rPr>
          <w:rFonts w:ascii="Times New Roman" w:hAnsi="Times New Roman" w:cs="Times New Roman"/>
        </w:rPr>
        <w:t xml:space="preserve"> Portfolio Committee noted</w:t>
      </w:r>
      <w:r w:rsidRPr="00514949">
        <w:rPr>
          <w:rFonts w:ascii="Times New Roman" w:hAnsi="Times New Roman" w:cs="Times New Roman"/>
        </w:rPr>
        <w:t xml:space="preserve"> that the Depa</w:t>
      </w:r>
      <w:r w:rsidR="00E9206C" w:rsidRPr="00514949">
        <w:rPr>
          <w:rFonts w:ascii="Times New Roman" w:hAnsi="Times New Roman" w:cs="Times New Roman"/>
        </w:rPr>
        <w:t>rtment</w:t>
      </w:r>
      <w:r w:rsidR="00EE1353">
        <w:rPr>
          <w:rFonts w:ascii="Times New Roman" w:hAnsi="Times New Roman" w:cs="Times New Roman"/>
        </w:rPr>
        <w:t xml:space="preserve"> of Water and Sanitation</w:t>
      </w:r>
      <w:r w:rsidR="00E9206C" w:rsidRPr="00514949">
        <w:rPr>
          <w:rFonts w:ascii="Times New Roman" w:hAnsi="Times New Roman" w:cs="Times New Roman"/>
        </w:rPr>
        <w:t xml:space="preserve"> intends to eradicate 10 </w:t>
      </w:r>
      <w:r w:rsidRPr="00514949">
        <w:rPr>
          <w:rFonts w:ascii="Times New Roman" w:hAnsi="Times New Roman" w:cs="Times New Roman"/>
        </w:rPr>
        <w:t>798 existing bucket sanitation systems in formal settleme</w:t>
      </w:r>
      <w:r w:rsidR="00600449" w:rsidRPr="00514949">
        <w:rPr>
          <w:rFonts w:ascii="Times New Roman" w:hAnsi="Times New Roman" w:cs="Times New Roman"/>
        </w:rPr>
        <w:t>nts in the year under review</w:t>
      </w:r>
      <w:r w:rsidR="00EE1353">
        <w:rPr>
          <w:rFonts w:ascii="Times New Roman" w:hAnsi="Times New Roman" w:cs="Times New Roman"/>
        </w:rPr>
        <w:t>, as highlighted in their 2022/23 Annual Performance Plan</w:t>
      </w:r>
      <w:r w:rsidR="00600449" w:rsidRPr="00514949">
        <w:rPr>
          <w:rFonts w:ascii="Times New Roman" w:hAnsi="Times New Roman" w:cs="Times New Roman"/>
        </w:rPr>
        <w:t xml:space="preserve">. </w:t>
      </w:r>
      <w:r w:rsidR="00514949">
        <w:rPr>
          <w:rFonts w:ascii="Times New Roman" w:hAnsi="Times New Roman" w:cs="Times New Roman"/>
        </w:rPr>
        <w:t>The argument made by Members of the Portfolio Committee related to the transfer of elimination of the bucket system</w:t>
      </w:r>
      <w:r w:rsidR="00A81A90">
        <w:rPr>
          <w:rFonts w:ascii="Times New Roman" w:hAnsi="Times New Roman" w:cs="Times New Roman"/>
        </w:rPr>
        <w:t xml:space="preserve"> in the Free State</w:t>
      </w:r>
      <w:r w:rsidR="00514949">
        <w:rPr>
          <w:rFonts w:ascii="Times New Roman" w:hAnsi="Times New Roman" w:cs="Times New Roman"/>
        </w:rPr>
        <w:t xml:space="preserve"> to an Entity (Housing Development Agency) of the Departm</w:t>
      </w:r>
      <w:r w:rsidR="001D0D4A">
        <w:rPr>
          <w:rFonts w:ascii="Times New Roman" w:hAnsi="Times New Roman" w:cs="Times New Roman"/>
        </w:rPr>
        <w:t xml:space="preserve">ent of Human Settlement in </w:t>
      </w:r>
      <w:r w:rsidR="00043A30">
        <w:rPr>
          <w:rFonts w:ascii="Times New Roman" w:hAnsi="Times New Roman" w:cs="Times New Roman"/>
        </w:rPr>
        <w:t xml:space="preserve">the </w:t>
      </w:r>
      <w:r w:rsidR="001D0D4A">
        <w:rPr>
          <w:rFonts w:ascii="Times New Roman" w:hAnsi="Times New Roman" w:cs="Times New Roman"/>
        </w:rPr>
        <w:t>2019</w:t>
      </w:r>
      <w:r w:rsidR="00CD107E">
        <w:rPr>
          <w:rFonts w:ascii="Times New Roman" w:hAnsi="Times New Roman" w:cs="Times New Roman"/>
        </w:rPr>
        <w:t>/20 financial year.</w:t>
      </w:r>
      <w:r w:rsidR="00514949">
        <w:rPr>
          <w:rFonts w:ascii="Times New Roman" w:hAnsi="Times New Roman" w:cs="Times New Roman"/>
        </w:rPr>
        <w:t xml:space="preserve"> </w:t>
      </w:r>
      <w:r w:rsidR="00AE1F6F">
        <w:rPr>
          <w:rFonts w:ascii="Times New Roman" w:hAnsi="Times New Roman" w:cs="Times New Roman"/>
        </w:rPr>
        <w:t xml:space="preserve">The </w:t>
      </w:r>
      <w:r w:rsidR="001D0D4A">
        <w:rPr>
          <w:rFonts w:ascii="Times New Roman" w:hAnsi="Times New Roman" w:cs="Times New Roman"/>
        </w:rPr>
        <w:t xml:space="preserve">HDA, as </w:t>
      </w:r>
      <w:r w:rsidR="00043A30">
        <w:rPr>
          <w:rFonts w:ascii="Times New Roman" w:hAnsi="Times New Roman" w:cs="Times New Roman"/>
        </w:rPr>
        <w:t xml:space="preserve">the </w:t>
      </w:r>
      <w:r w:rsidR="001D0D4A">
        <w:rPr>
          <w:rFonts w:ascii="Times New Roman" w:hAnsi="Times New Roman" w:cs="Times New Roman"/>
        </w:rPr>
        <w:t xml:space="preserve">implementing agent for the Department of Water and Sanitation, was to provide programme management services to seven projects in the Free State to eradicate the bucket </w:t>
      </w:r>
      <w:r w:rsidR="001D0D4A">
        <w:rPr>
          <w:rFonts w:ascii="Times New Roman" w:hAnsi="Times New Roman" w:cs="Times New Roman"/>
        </w:rPr>
        <w:lastRenderedPageBreak/>
        <w:t xml:space="preserve">toilet system. The </w:t>
      </w:r>
      <w:r w:rsidR="005416C6">
        <w:rPr>
          <w:rFonts w:ascii="Times New Roman" w:hAnsi="Times New Roman" w:cs="Times New Roman"/>
        </w:rPr>
        <w:t xml:space="preserve">scope of work included construction, </w:t>
      </w:r>
      <w:r w:rsidR="001D0D4A">
        <w:rPr>
          <w:rFonts w:ascii="Times New Roman" w:hAnsi="Times New Roman" w:cs="Times New Roman"/>
        </w:rPr>
        <w:t xml:space="preserve">refurbishment, and upgrading </w:t>
      </w:r>
      <w:r w:rsidR="00043A30">
        <w:rPr>
          <w:rFonts w:ascii="Times New Roman" w:hAnsi="Times New Roman" w:cs="Times New Roman"/>
        </w:rPr>
        <w:t xml:space="preserve">of </w:t>
      </w:r>
      <w:r w:rsidR="001D0D4A">
        <w:rPr>
          <w:rFonts w:ascii="Times New Roman" w:hAnsi="Times New Roman" w:cs="Times New Roman"/>
        </w:rPr>
        <w:t>wastewater infrastructure in i</w:t>
      </w:r>
      <w:r w:rsidR="005416C6">
        <w:rPr>
          <w:rFonts w:ascii="Times New Roman" w:hAnsi="Times New Roman" w:cs="Times New Roman"/>
        </w:rPr>
        <w:t xml:space="preserve">dentified towns to </w:t>
      </w:r>
      <w:r w:rsidR="00043A30">
        <w:rPr>
          <w:rFonts w:ascii="Times New Roman" w:hAnsi="Times New Roman" w:cs="Times New Roman"/>
        </w:rPr>
        <w:t>eliminate</w:t>
      </w:r>
      <w:r w:rsidR="005416C6">
        <w:rPr>
          <w:rFonts w:ascii="Times New Roman" w:hAnsi="Times New Roman" w:cs="Times New Roman"/>
        </w:rPr>
        <w:t xml:space="preserve"> bucket toilets.</w:t>
      </w:r>
    </w:p>
    <w:p w:rsidR="00A81A90" w:rsidRPr="007E19D3" w:rsidRDefault="00A81A90" w:rsidP="000347DC">
      <w:pPr>
        <w:spacing w:after="0" w:line="360" w:lineRule="auto"/>
        <w:jc w:val="both"/>
        <w:rPr>
          <w:rFonts w:ascii="Times New Roman" w:hAnsi="Times New Roman" w:cs="Times New Roman"/>
          <w:sz w:val="16"/>
          <w:szCs w:val="16"/>
        </w:rPr>
      </w:pPr>
    </w:p>
    <w:p w:rsidR="000347DC" w:rsidRPr="00514949" w:rsidRDefault="00514949" w:rsidP="000347DC">
      <w:pPr>
        <w:spacing w:after="0" w:line="360" w:lineRule="auto"/>
        <w:jc w:val="both"/>
        <w:rPr>
          <w:rFonts w:ascii="Times New Roman" w:hAnsi="Times New Roman" w:cs="Times New Roman"/>
        </w:rPr>
      </w:pPr>
      <w:r>
        <w:rPr>
          <w:rFonts w:ascii="Times New Roman" w:hAnsi="Times New Roman" w:cs="Times New Roman"/>
        </w:rPr>
        <w:t>I</w:t>
      </w:r>
      <w:r w:rsidR="00043A30">
        <w:rPr>
          <w:rFonts w:ascii="Times New Roman" w:hAnsi="Times New Roman" w:cs="Times New Roman"/>
        </w:rPr>
        <w:t xml:space="preserve">ssues were raised on whether HDA </w:t>
      </w:r>
      <w:r>
        <w:rPr>
          <w:rFonts w:ascii="Times New Roman" w:hAnsi="Times New Roman" w:cs="Times New Roman"/>
        </w:rPr>
        <w:t>had undertaken any work in the two years the f</w:t>
      </w:r>
      <w:r w:rsidR="00043A30">
        <w:rPr>
          <w:rFonts w:ascii="Times New Roman" w:hAnsi="Times New Roman" w:cs="Times New Roman"/>
        </w:rPr>
        <w:t>unction was transferred to the a</w:t>
      </w:r>
      <w:r>
        <w:rPr>
          <w:rFonts w:ascii="Times New Roman" w:hAnsi="Times New Roman" w:cs="Times New Roman"/>
        </w:rPr>
        <w:t>gency. In response, the Department provided statisti</w:t>
      </w:r>
      <w:r w:rsidR="000138C5">
        <w:rPr>
          <w:rFonts w:ascii="Times New Roman" w:hAnsi="Times New Roman" w:cs="Times New Roman"/>
        </w:rPr>
        <w:t>cs on the number of households that received toilets in the last financial year.</w:t>
      </w:r>
      <w:r>
        <w:rPr>
          <w:rFonts w:ascii="Times New Roman" w:hAnsi="Times New Roman" w:cs="Times New Roman"/>
        </w:rPr>
        <w:t xml:space="preserve"> </w:t>
      </w:r>
      <w:r w:rsidR="00600449" w:rsidRPr="00514949">
        <w:rPr>
          <w:rFonts w:ascii="Times New Roman" w:hAnsi="Times New Roman" w:cs="Times New Roman"/>
        </w:rPr>
        <w:t xml:space="preserve"> </w:t>
      </w:r>
      <w:r w:rsidRPr="00514949">
        <w:rPr>
          <w:rFonts w:ascii="Times New Roman" w:hAnsi="Times New Roman" w:cs="Times New Roman"/>
          <w:sz w:val="21"/>
          <w:szCs w:val="21"/>
          <w:shd w:val="clear" w:color="auto" w:fill="FFFFFF"/>
        </w:rPr>
        <w:t xml:space="preserve">Regarding bucket eradication in the Northern Cape and Free State, out of 12 221 houses, only 1 409 had received toilets in the </w:t>
      </w:r>
      <w:r w:rsidR="00043A30">
        <w:rPr>
          <w:rFonts w:ascii="Times New Roman" w:hAnsi="Times New Roman" w:cs="Times New Roman"/>
          <w:sz w:val="21"/>
          <w:szCs w:val="21"/>
          <w:shd w:val="clear" w:color="auto" w:fill="FFFFFF"/>
        </w:rPr>
        <w:t>previous</w:t>
      </w:r>
      <w:r w:rsidRPr="00514949">
        <w:rPr>
          <w:rFonts w:ascii="Times New Roman" w:hAnsi="Times New Roman" w:cs="Times New Roman"/>
          <w:sz w:val="21"/>
          <w:szCs w:val="21"/>
          <w:shd w:val="clear" w:color="auto" w:fill="FFFFFF"/>
        </w:rPr>
        <w:t xml:space="preserve"> fiscal year. This meant that 10 798 houses in the formal areas were still on the bucket system, mainly in the Free State. </w:t>
      </w:r>
    </w:p>
    <w:p w:rsidR="00514949" w:rsidRPr="00514949" w:rsidRDefault="00514949" w:rsidP="000347DC">
      <w:pPr>
        <w:spacing w:after="0" w:line="360" w:lineRule="auto"/>
        <w:jc w:val="both"/>
        <w:rPr>
          <w:rFonts w:ascii="Times New Roman" w:hAnsi="Times New Roman" w:cs="Times New Roman"/>
          <w:sz w:val="16"/>
          <w:szCs w:val="16"/>
        </w:rPr>
      </w:pPr>
    </w:p>
    <w:p w:rsidR="000138C5" w:rsidRDefault="000347DC" w:rsidP="00955836">
      <w:pPr>
        <w:spacing w:after="0" w:line="360" w:lineRule="auto"/>
        <w:jc w:val="both"/>
        <w:rPr>
          <w:rFonts w:ascii="Times New Roman" w:hAnsi="Times New Roman" w:cs="Times New Roman"/>
          <w:b/>
          <w:i/>
        </w:rPr>
      </w:pPr>
      <w:r w:rsidRPr="00514949">
        <w:rPr>
          <w:rFonts w:ascii="Times New Roman" w:hAnsi="Times New Roman" w:cs="Times New Roman"/>
          <w:b/>
          <w:i/>
        </w:rPr>
        <w:t>The</w:t>
      </w:r>
      <w:r w:rsidR="00C43AC8" w:rsidRPr="00514949">
        <w:rPr>
          <w:rFonts w:ascii="Times New Roman" w:hAnsi="Times New Roman" w:cs="Times New Roman"/>
          <w:b/>
          <w:i/>
        </w:rPr>
        <w:t xml:space="preserve"> Portfolio Committee recommended that the Depa</w:t>
      </w:r>
      <w:r w:rsidR="00600449" w:rsidRPr="00514949">
        <w:rPr>
          <w:rFonts w:ascii="Times New Roman" w:hAnsi="Times New Roman" w:cs="Times New Roman"/>
          <w:b/>
          <w:i/>
        </w:rPr>
        <w:t xml:space="preserve">rtment provide clarity on this </w:t>
      </w:r>
      <w:r w:rsidR="00C43AC8" w:rsidRPr="00514949">
        <w:rPr>
          <w:rFonts w:ascii="Times New Roman" w:hAnsi="Times New Roman" w:cs="Times New Roman"/>
          <w:b/>
          <w:i/>
        </w:rPr>
        <w:t>programme and indicate how it intends to address budget shortfalls</w:t>
      </w:r>
      <w:r w:rsidR="000138C5">
        <w:rPr>
          <w:rFonts w:ascii="Times New Roman" w:hAnsi="Times New Roman" w:cs="Times New Roman"/>
          <w:b/>
          <w:i/>
        </w:rPr>
        <w:t>, quarterly briefings and action plans</w:t>
      </w:r>
      <w:r w:rsidR="00C43AC8" w:rsidRPr="00514949">
        <w:rPr>
          <w:rFonts w:ascii="Times New Roman" w:hAnsi="Times New Roman" w:cs="Times New Roman"/>
          <w:b/>
          <w:i/>
        </w:rPr>
        <w:t xml:space="preserve"> on bucket toilets</w:t>
      </w:r>
      <w:r w:rsidR="002B73D2" w:rsidRPr="00514949">
        <w:rPr>
          <w:rFonts w:ascii="Times New Roman" w:hAnsi="Times New Roman" w:cs="Times New Roman"/>
          <w:b/>
          <w:i/>
        </w:rPr>
        <w:t xml:space="preserve"> </w:t>
      </w:r>
      <w:r w:rsidR="00C43AC8" w:rsidRPr="00514949">
        <w:rPr>
          <w:rFonts w:ascii="Times New Roman" w:hAnsi="Times New Roman" w:cs="Times New Roman"/>
          <w:b/>
          <w:i/>
        </w:rPr>
        <w:t>eradication</w:t>
      </w:r>
      <w:r w:rsidR="000138C5">
        <w:rPr>
          <w:rFonts w:ascii="Times New Roman" w:hAnsi="Times New Roman" w:cs="Times New Roman"/>
          <w:b/>
          <w:i/>
        </w:rPr>
        <w:t xml:space="preserve"> by the proposed date of March 2023</w:t>
      </w:r>
      <w:r w:rsidR="00C43AC8" w:rsidRPr="00514949">
        <w:rPr>
          <w:rFonts w:ascii="Times New Roman" w:hAnsi="Times New Roman" w:cs="Times New Roman"/>
          <w:b/>
          <w:i/>
        </w:rPr>
        <w:t xml:space="preserve"> in the Free State and Northern Cape.</w:t>
      </w:r>
      <w:r w:rsidR="00681C2A" w:rsidRPr="00514949">
        <w:rPr>
          <w:rFonts w:ascii="Times New Roman" w:hAnsi="Times New Roman" w:cs="Times New Roman"/>
          <w:b/>
          <w:i/>
        </w:rPr>
        <w:t xml:space="preserve"> </w:t>
      </w:r>
      <w:r w:rsidR="00955836" w:rsidRPr="00514949">
        <w:rPr>
          <w:rFonts w:ascii="Times New Roman" w:hAnsi="Times New Roman" w:cs="Times New Roman"/>
          <w:b/>
          <w:i/>
        </w:rPr>
        <w:t xml:space="preserve">Furthermore, the Department should provide a progress report on its National Sanitation Framework to ensure that </w:t>
      </w:r>
      <w:r w:rsidR="00A54EF7" w:rsidRPr="00514949">
        <w:rPr>
          <w:rFonts w:ascii="Times New Roman" w:hAnsi="Times New Roman" w:cs="Times New Roman"/>
          <w:b/>
          <w:i/>
        </w:rPr>
        <w:t>the country's bucket system is eliminated in terms of Norms and Standards</w:t>
      </w:r>
      <w:r w:rsidR="000138C5">
        <w:rPr>
          <w:rFonts w:ascii="Times New Roman" w:hAnsi="Times New Roman" w:cs="Times New Roman"/>
          <w:b/>
          <w:i/>
        </w:rPr>
        <w:t>.</w:t>
      </w:r>
      <w:r w:rsidR="00EE2567" w:rsidRPr="00514949">
        <w:rPr>
          <w:rFonts w:ascii="Times New Roman" w:hAnsi="Times New Roman" w:cs="Times New Roman"/>
          <w:b/>
          <w:i/>
        </w:rPr>
        <w:t xml:space="preserve"> </w:t>
      </w:r>
    </w:p>
    <w:p w:rsidR="000138C5" w:rsidRPr="004E5415" w:rsidRDefault="000138C5" w:rsidP="00955836">
      <w:pPr>
        <w:spacing w:after="0" w:line="360" w:lineRule="auto"/>
        <w:jc w:val="both"/>
        <w:rPr>
          <w:rFonts w:ascii="Times New Roman" w:hAnsi="Times New Roman" w:cs="Times New Roman"/>
          <w:b/>
          <w:i/>
          <w:sz w:val="16"/>
          <w:szCs w:val="16"/>
        </w:rPr>
      </w:pPr>
    </w:p>
    <w:p w:rsidR="00681C2A" w:rsidRPr="00514949" w:rsidRDefault="000138C5" w:rsidP="00955836">
      <w:pPr>
        <w:spacing w:after="0" w:line="360" w:lineRule="auto"/>
        <w:jc w:val="both"/>
        <w:rPr>
          <w:rFonts w:ascii="Times New Roman" w:hAnsi="Times New Roman" w:cs="Times New Roman"/>
          <w:b/>
          <w:i/>
        </w:rPr>
      </w:pPr>
      <w:r>
        <w:rPr>
          <w:rFonts w:ascii="Times New Roman" w:hAnsi="Times New Roman" w:cs="Times New Roman"/>
          <w:b/>
          <w:i/>
        </w:rPr>
        <w:t>Of further importance is the collaboration between the Department of Water and Sanitation and Basic Education to eradicate pit toilets in public schools, as well as collaboration between the Department of Water and Sanita</w:t>
      </w:r>
      <w:r w:rsidR="00171BDF">
        <w:rPr>
          <w:rFonts w:ascii="Times New Roman" w:hAnsi="Times New Roman" w:cs="Times New Roman"/>
          <w:b/>
          <w:i/>
        </w:rPr>
        <w:t>tion</w:t>
      </w:r>
      <w:r>
        <w:rPr>
          <w:rFonts w:ascii="Times New Roman" w:hAnsi="Times New Roman" w:cs="Times New Roman"/>
          <w:b/>
          <w:i/>
        </w:rPr>
        <w:t xml:space="preserve"> and Human Settlements o</w:t>
      </w:r>
      <w:r w:rsidR="00043A30">
        <w:rPr>
          <w:rFonts w:ascii="Times New Roman" w:hAnsi="Times New Roman" w:cs="Times New Roman"/>
          <w:b/>
          <w:i/>
        </w:rPr>
        <w:t xml:space="preserve">n regulating the ‘mushrooming’ </w:t>
      </w:r>
      <w:r>
        <w:rPr>
          <w:rFonts w:ascii="Times New Roman" w:hAnsi="Times New Roman" w:cs="Times New Roman"/>
          <w:b/>
          <w:i/>
        </w:rPr>
        <w:t>of informal settlements by allocating suitable land and ensuring suitable social amenities, such as water and sanitation.</w:t>
      </w:r>
    </w:p>
    <w:p w:rsidR="00681C2A" w:rsidRPr="001A5BDC" w:rsidRDefault="00681C2A" w:rsidP="00A6692E">
      <w:pPr>
        <w:spacing w:after="0" w:line="360" w:lineRule="auto"/>
        <w:jc w:val="both"/>
        <w:rPr>
          <w:rFonts w:ascii="Times New Roman" w:hAnsi="Times New Roman" w:cs="Times New Roman"/>
          <w:sz w:val="16"/>
          <w:szCs w:val="16"/>
        </w:rPr>
      </w:pPr>
    </w:p>
    <w:p w:rsidR="00A000CE" w:rsidRPr="00567C11"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567C11">
        <w:rPr>
          <w:rFonts w:ascii="Times New Roman" w:hAnsi="Times New Roman" w:cs="Times New Roman"/>
          <w:b/>
        </w:rPr>
        <w:t>.1.2</w:t>
      </w:r>
      <w:r w:rsidR="003648F3" w:rsidRPr="00567C11">
        <w:rPr>
          <w:rFonts w:ascii="Times New Roman" w:hAnsi="Times New Roman" w:cs="Times New Roman"/>
          <w:b/>
        </w:rPr>
        <w:tab/>
      </w:r>
      <w:r w:rsidR="00A000CE" w:rsidRPr="00567C11">
        <w:rPr>
          <w:rFonts w:ascii="Times New Roman" w:hAnsi="Times New Roman" w:cs="Times New Roman"/>
          <w:b/>
        </w:rPr>
        <w:t>Shortage of funding for mega infrastructure development</w:t>
      </w:r>
    </w:p>
    <w:p w:rsidR="00A000CE" w:rsidRPr="00570E6E" w:rsidRDefault="00A000CE" w:rsidP="00A6692E">
      <w:pPr>
        <w:spacing w:after="0" w:line="360" w:lineRule="auto"/>
        <w:jc w:val="both"/>
        <w:rPr>
          <w:rFonts w:ascii="Times New Roman" w:hAnsi="Times New Roman" w:cs="Times New Roman"/>
          <w:sz w:val="16"/>
          <w:szCs w:val="16"/>
        </w:rPr>
      </w:pPr>
      <w:r>
        <w:rPr>
          <w:rFonts w:ascii="Times New Roman" w:hAnsi="Times New Roman" w:cs="Times New Roman"/>
        </w:rPr>
        <w:tab/>
      </w:r>
    </w:p>
    <w:p w:rsidR="003648F3" w:rsidRDefault="003648F3" w:rsidP="00A6692E">
      <w:pPr>
        <w:spacing w:after="0" w:line="360" w:lineRule="auto"/>
        <w:jc w:val="both"/>
        <w:rPr>
          <w:rFonts w:ascii="Times New Roman" w:hAnsi="Times New Roman" w:cs="Times New Roman"/>
        </w:rPr>
      </w:pPr>
      <w:r>
        <w:rPr>
          <w:rFonts w:ascii="Times New Roman" w:hAnsi="Times New Roman" w:cs="Times New Roman"/>
        </w:rPr>
        <w:t>Members of the Portfolio Committee noted the s</w:t>
      </w:r>
      <w:r w:rsidR="00600449">
        <w:rPr>
          <w:rFonts w:ascii="Times New Roman" w:hAnsi="Times New Roman" w:cs="Times New Roman"/>
        </w:rPr>
        <w:t xml:space="preserve">hortage for mega infrastructure </w:t>
      </w:r>
      <w:r>
        <w:rPr>
          <w:rFonts w:ascii="Times New Roman" w:hAnsi="Times New Roman" w:cs="Times New Roman"/>
        </w:rPr>
        <w:t>development as the estimated cost of the mega infrastructure</w:t>
      </w:r>
      <w:r w:rsidR="00600449">
        <w:rPr>
          <w:rFonts w:ascii="Times New Roman" w:hAnsi="Times New Roman" w:cs="Times New Roman"/>
        </w:rPr>
        <w:t xml:space="preserve"> projects is in access of R100 </w:t>
      </w:r>
      <w:r>
        <w:rPr>
          <w:rFonts w:ascii="Times New Roman" w:hAnsi="Times New Roman" w:cs="Times New Roman"/>
        </w:rPr>
        <w:t>billion</w:t>
      </w:r>
      <w:r w:rsidR="006753B7">
        <w:rPr>
          <w:rFonts w:ascii="Times New Roman" w:hAnsi="Times New Roman" w:cs="Times New Roman"/>
        </w:rPr>
        <w:t>. The</w:t>
      </w:r>
      <w:r>
        <w:rPr>
          <w:rFonts w:ascii="Times New Roman" w:hAnsi="Times New Roman" w:cs="Times New Roman"/>
        </w:rPr>
        <w:t xml:space="preserve"> available budget is less than one per cent of this estimated cost. This means that</w:t>
      </w:r>
      <w:r w:rsidR="002B73D2">
        <w:rPr>
          <w:rFonts w:ascii="Times New Roman" w:hAnsi="Times New Roman" w:cs="Times New Roman"/>
        </w:rPr>
        <w:t xml:space="preserve"> </w:t>
      </w:r>
      <w:r>
        <w:rPr>
          <w:rFonts w:ascii="Times New Roman" w:hAnsi="Times New Roman" w:cs="Times New Roman"/>
        </w:rPr>
        <w:t xml:space="preserve">it will take decades </w:t>
      </w:r>
      <w:r w:rsidRPr="003648F3">
        <w:rPr>
          <w:rFonts w:ascii="Times New Roman" w:hAnsi="Times New Roman" w:cs="Times New Roman"/>
        </w:rPr>
        <w:t xml:space="preserve">to </w:t>
      </w:r>
      <w:r w:rsidR="0083061D" w:rsidRPr="0083061D">
        <w:rPr>
          <w:rFonts w:ascii="Times New Roman" w:hAnsi="Times New Roman" w:cs="Times New Roman"/>
        </w:rPr>
        <w:t>fully achieve the country’s infrastructure needs</w:t>
      </w:r>
      <w:r>
        <w:rPr>
          <w:rFonts w:ascii="Times New Roman" w:hAnsi="Times New Roman" w:cs="Times New Roman"/>
        </w:rPr>
        <w:t>.</w:t>
      </w:r>
      <w:r w:rsidR="00171BDF">
        <w:rPr>
          <w:rFonts w:ascii="Times New Roman" w:hAnsi="Times New Roman" w:cs="Times New Roman"/>
        </w:rPr>
        <w:t xml:space="preserve">  Members requested the Department to consider accessing financial resources, with the assistance of National Treasury, for mega infrastructure projects from unspent funds within departmental and Entities’ programmes.</w:t>
      </w:r>
    </w:p>
    <w:p w:rsidR="003648F3" w:rsidRPr="001A5BDC" w:rsidRDefault="003648F3" w:rsidP="00A6692E">
      <w:pPr>
        <w:spacing w:after="0" w:line="360" w:lineRule="auto"/>
        <w:jc w:val="both"/>
        <w:rPr>
          <w:rFonts w:ascii="Times New Roman" w:hAnsi="Times New Roman" w:cs="Times New Roman"/>
          <w:sz w:val="16"/>
          <w:szCs w:val="16"/>
        </w:rPr>
      </w:pPr>
    </w:p>
    <w:p w:rsidR="00406C2D" w:rsidRPr="00EE2567" w:rsidRDefault="003648F3" w:rsidP="00406C2D">
      <w:pPr>
        <w:spacing w:after="0" w:line="360" w:lineRule="auto"/>
        <w:jc w:val="both"/>
        <w:rPr>
          <w:rFonts w:ascii="Times New Roman" w:hAnsi="Times New Roman" w:cs="Times New Roman"/>
          <w:b/>
          <w:i/>
          <w:color w:val="FF0000"/>
        </w:rPr>
      </w:pPr>
      <w:r w:rsidRPr="005C2EC4">
        <w:rPr>
          <w:rFonts w:ascii="Times New Roman" w:hAnsi="Times New Roman" w:cs="Times New Roman"/>
          <w:b/>
          <w:i/>
        </w:rPr>
        <w:t>The Portfolio Committee recommended that the Departme</w:t>
      </w:r>
      <w:r w:rsidR="00E44003" w:rsidRPr="005C2EC4">
        <w:rPr>
          <w:rFonts w:ascii="Times New Roman" w:hAnsi="Times New Roman" w:cs="Times New Roman"/>
          <w:b/>
          <w:i/>
        </w:rPr>
        <w:t xml:space="preserve">nt provide plans/interventions </w:t>
      </w:r>
      <w:r w:rsidR="00600449" w:rsidRPr="005C2EC4">
        <w:rPr>
          <w:rFonts w:ascii="Times New Roman" w:hAnsi="Times New Roman" w:cs="Times New Roman"/>
          <w:b/>
          <w:i/>
        </w:rPr>
        <w:t xml:space="preserve">to </w:t>
      </w:r>
      <w:r w:rsidRPr="005C2EC4">
        <w:rPr>
          <w:rFonts w:ascii="Times New Roman" w:hAnsi="Times New Roman" w:cs="Times New Roman"/>
          <w:b/>
          <w:i/>
        </w:rPr>
        <w:t>address this issue and provide detai</w:t>
      </w:r>
      <w:r w:rsidR="00E44003" w:rsidRPr="005C2EC4">
        <w:rPr>
          <w:rFonts w:ascii="Times New Roman" w:hAnsi="Times New Roman" w:cs="Times New Roman"/>
          <w:b/>
          <w:i/>
        </w:rPr>
        <w:t xml:space="preserve">ls on whether it is considering </w:t>
      </w:r>
      <w:r w:rsidR="00600449" w:rsidRPr="005C2EC4">
        <w:rPr>
          <w:rFonts w:ascii="Times New Roman" w:hAnsi="Times New Roman" w:cs="Times New Roman"/>
          <w:b/>
          <w:i/>
        </w:rPr>
        <w:t xml:space="preserve">Public-Private </w:t>
      </w:r>
      <w:r w:rsidRPr="005C2EC4">
        <w:rPr>
          <w:rFonts w:ascii="Times New Roman" w:hAnsi="Times New Roman" w:cs="Times New Roman"/>
          <w:b/>
          <w:i/>
        </w:rPr>
        <w:t>Partnerships to develop mega infrastructure projects.</w:t>
      </w:r>
      <w:r w:rsidR="00EE2567">
        <w:rPr>
          <w:rFonts w:ascii="Times New Roman" w:hAnsi="Times New Roman" w:cs="Times New Roman"/>
          <w:b/>
          <w:i/>
        </w:rPr>
        <w:t xml:space="preserve"> </w:t>
      </w:r>
      <w:r w:rsidR="00EE2567">
        <w:rPr>
          <w:rFonts w:ascii="Times New Roman" w:hAnsi="Times New Roman" w:cs="Times New Roman"/>
          <w:b/>
          <w:i/>
          <w:color w:val="FF0000"/>
        </w:rPr>
        <w:t xml:space="preserve"> </w:t>
      </w:r>
    </w:p>
    <w:p w:rsidR="004E5415" w:rsidRPr="001A5BDC" w:rsidRDefault="004E5415" w:rsidP="00406C2D">
      <w:pPr>
        <w:spacing w:after="0" w:line="360" w:lineRule="auto"/>
        <w:jc w:val="both"/>
        <w:rPr>
          <w:rFonts w:ascii="Times New Roman" w:hAnsi="Times New Roman" w:cs="Times New Roman"/>
          <w:i/>
          <w:sz w:val="16"/>
          <w:szCs w:val="16"/>
        </w:rPr>
      </w:pPr>
    </w:p>
    <w:p w:rsidR="00A000CE" w:rsidRDefault="007C728E" w:rsidP="00406C2D">
      <w:pPr>
        <w:spacing w:after="0" w:line="360" w:lineRule="auto"/>
        <w:jc w:val="both"/>
        <w:rPr>
          <w:rFonts w:ascii="Times New Roman" w:hAnsi="Times New Roman" w:cs="Times New Roman"/>
          <w:b/>
        </w:rPr>
      </w:pPr>
      <w:r>
        <w:rPr>
          <w:rFonts w:ascii="Times New Roman" w:hAnsi="Times New Roman" w:cs="Times New Roman"/>
          <w:b/>
        </w:rPr>
        <w:t>8</w:t>
      </w:r>
      <w:r w:rsidR="00567C11">
        <w:rPr>
          <w:rFonts w:ascii="Times New Roman" w:hAnsi="Times New Roman" w:cs="Times New Roman"/>
          <w:b/>
        </w:rPr>
        <w:t>.1.3</w:t>
      </w:r>
      <w:r w:rsidR="003648F3" w:rsidRPr="005C2EC4">
        <w:rPr>
          <w:rFonts w:ascii="Times New Roman" w:hAnsi="Times New Roman" w:cs="Times New Roman"/>
          <w:b/>
        </w:rPr>
        <w:tab/>
      </w:r>
      <w:r w:rsidR="00A000CE" w:rsidRPr="005C2EC4">
        <w:rPr>
          <w:rFonts w:ascii="Times New Roman" w:hAnsi="Times New Roman" w:cs="Times New Roman"/>
          <w:b/>
        </w:rPr>
        <w:t xml:space="preserve">Amendments to the National Water Act </w:t>
      </w:r>
      <w:r w:rsidR="005C2EC4">
        <w:rPr>
          <w:rFonts w:ascii="Times New Roman" w:hAnsi="Times New Roman" w:cs="Times New Roman"/>
          <w:b/>
        </w:rPr>
        <w:t xml:space="preserve">and the </w:t>
      </w:r>
      <w:r w:rsidR="00A000CE" w:rsidRPr="005C2EC4">
        <w:rPr>
          <w:rFonts w:ascii="Times New Roman" w:hAnsi="Times New Roman" w:cs="Times New Roman"/>
          <w:b/>
        </w:rPr>
        <w:t xml:space="preserve">Water Services Act </w:t>
      </w:r>
    </w:p>
    <w:p w:rsidR="005C2EC4" w:rsidRPr="001A5BDC" w:rsidRDefault="005C2EC4" w:rsidP="00406C2D">
      <w:pPr>
        <w:spacing w:after="0" w:line="360" w:lineRule="auto"/>
        <w:jc w:val="both"/>
        <w:rPr>
          <w:rFonts w:ascii="Times New Roman" w:hAnsi="Times New Roman" w:cs="Times New Roman"/>
          <w:sz w:val="16"/>
          <w:szCs w:val="16"/>
        </w:rPr>
      </w:pPr>
    </w:p>
    <w:p w:rsidR="005C2EC4" w:rsidRDefault="00157FB4" w:rsidP="00406C2D">
      <w:pPr>
        <w:spacing w:after="0" w:line="360" w:lineRule="auto"/>
        <w:jc w:val="both"/>
        <w:rPr>
          <w:rFonts w:ascii="Times New Roman" w:hAnsi="Times New Roman" w:cs="Times New Roman"/>
        </w:rPr>
      </w:pPr>
      <w:r w:rsidRPr="00406C2D">
        <w:rPr>
          <w:rFonts w:ascii="Times New Roman" w:hAnsi="Times New Roman" w:cs="Times New Roman"/>
        </w:rPr>
        <w:t xml:space="preserve">The amendment of both the National Water Act and </w:t>
      </w:r>
      <w:r w:rsidR="002B73D2">
        <w:rPr>
          <w:rFonts w:ascii="Times New Roman" w:hAnsi="Times New Roman" w:cs="Times New Roman"/>
        </w:rPr>
        <w:t xml:space="preserve">the </w:t>
      </w:r>
      <w:r w:rsidRPr="00406C2D">
        <w:rPr>
          <w:rFonts w:ascii="Times New Roman" w:hAnsi="Times New Roman" w:cs="Times New Roman"/>
        </w:rPr>
        <w:t xml:space="preserve">Water Services Act is long </w:t>
      </w:r>
      <w:r w:rsidR="00406C2D">
        <w:rPr>
          <w:rFonts w:ascii="Times New Roman" w:hAnsi="Times New Roman" w:cs="Times New Roman"/>
        </w:rPr>
        <w:t xml:space="preserve">overdue. </w:t>
      </w:r>
      <w:r w:rsidR="006E118B">
        <w:rPr>
          <w:rFonts w:ascii="Times New Roman" w:hAnsi="Times New Roman" w:cs="Times New Roman"/>
        </w:rPr>
        <w:t>The</w:t>
      </w:r>
      <w:r w:rsidR="002B73D2">
        <w:rPr>
          <w:rFonts w:ascii="Times New Roman" w:hAnsi="Times New Roman" w:cs="Times New Roman"/>
        </w:rPr>
        <w:t xml:space="preserve"> </w:t>
      </w:r>
      <w:r w:rsidRPr="00406C2D">
        <w:rPr>
          <w:rFonts w:ascii="Times New Roman" w:hAnsi="Times New Roman" w:cs="Times New Roman"/>
        </w:rPr>
        <w:t>A</w:t>
      </w:r>
      <w:r w:rsidR="00E9206C">
        <w:rPr>
          <w:rFonts w:ascii="Times New Roman" w:hAnsi="Times New Roman" w:cs="Times New Roman"/>
        </w:rPr>
        <w:t xml:space="preserve">nnual Performance Plan </w:t>
      </w:r>
      <w:r w:rsidRPr="00406C2D">
        <w:rPr>
          <w:rFonts w:ascii="Times New Roman" w:hAnsi="Times New Roman" w:cs="Times New Roman"/>
        </w:rPr>
        <w:t xml:space="preserve">indicates that the National Water Act will be amended under Programme 2, while the </w:t>
      </w:r>
      <w:r w:rsidRPr="00406C2D">
        <w:rPr>
          <w:rFonts w:ascii="Times New Roman" w:hAnsi="Times New Roman" w:cs="Times New Roman"/>
        </w:rPr>
        <w:lastRenderedPageBreak/>
        <w:t xml:space="preserve">Water Services Act will be amended under Programme 3. However, </w:t>
      </w:r>
      <w:r w:rsidR="006E118B" w:rsidRPr="006E118B">
        <w:rPr>
          <w:rFonts w:ascii="Times New Roman" w:hAnsi="Times New Roman" w:cs="Times New Roman"/>
        </w:rPr>
        <w:t>the speed at which the</w:t>
      </w:r>
      <w:r w:rsidR="002B73D2">
        <w:rPr>
          <w:rFonts w:ascii="Times New Roman" w:hAnsi="Times New Roman" w:cs="Times New Roman"/>
        </w:rPr>
        <w:t xml:space="preserve"> </w:t>
      </w:r>
      <w:r w:rsidR="006E118B" w:rsidRPr="006E118B">
        <w:rPr>
          <w:rFonts w:ascii="Times New Roman" w:hAnsi="Times New Roman" w:cs="Times New Roman"/>
        </w:rPr>
        <w:t>amendment process is going is concerning</w:t>
      </w:r>
      <w:r w:rsidRPr="00406C2D">
        <w:rPr>
          <w:rFonts w:ascii="Times New Roman" w:hAnsi="Times New Roman" w:cs="Times New Roman"/>
        </w:rPr>
        <w:t>, as it</w:t>
      </w:r>
      <w:r w:rsidR="006E118B">
        <w:rPr>
          <w:rFonts w:ascii="Times New Roman" w:hAnsi="Times New Roman" w:cs="Times New Roman"/>
        </w:rPr>
        <w:t xml:space="preserve"> </w:t>
      </w:r>
      <w:r w:rsidR="00E9206C">
        <w:rPr>
          <w:rFonts w:ascii="Times New Roman" w:hAnsi="Times New Roman" w:cs="Times New Roman"/>
        </w:rPr>
        <w:t>may not reach</w:t>
      </w:r>
      <w:r w:rsidRPr="00406C2D">
        <w:rPr>
          <w:rFonts w:ascii="Times New Roman" w:hAnsi="Times New Roman" w:cs="Times New Roman"/>
        </w:rPr>
        <w:t xml:space="preserve"> Parliament during the year under</w:t>
      </w:r>
      <w:r w:rsidR="002B73D2">
        <w:rPr>
          <w:rFonts w:ascii="Times New Roman" w:hAnsi="Times New Roman" w:cs="Times New Roman"/>
        </w:rPr>
        <w:t xml:space="preserve"> </w:t>
      </w:r>
      <w:r w:rsidRPr="00406C2D">
        <w:rPr>
          <w:rFonts w:ascii="Times New Roman" w:hAnsi="Times New Roman" w:cs="Times New Roman"/>
        </w:rPr>
        <w:t xml:space="preserve">review. </w:t>
      </w:r>
    </w:p>
    <w:p w:rsidR="007C728E" w:rsidRPr="007E19D3" w:rsidRDefault="007C728E" w:rsidP="00406C2D">
      <w:pPr>
        <w:spacing w:after="0" w:line="360" w:lineRule="auto"/>
        <w:jc w:val="both"/>
        <w:rPr>
          <w:rFonts w:ascii="Times New Roman" w:hAnsi="Times New Roman" w:cs="Times New Roman"/>
          <w:b/>
          <w:i/>
          <w:sz w:val="16"/>
          <w:szCs w:val="16"/>
        </w:rPr>
      </w:pPr>
    </w:p>
    <w:p w:rsidR="00157FB4" w:rsidRPr="005C2EC4" w:rsidRDefault="005C2EC4" w:rsidP="00406C2D">
      <w:pPr>
        <w:spacing w:after="0" w:line="360" w:lineRule="auto"/>
        <w:jc w:val="both"/>
        <w:rPr>
          <w:rFonts w:ascii="Times New Roman" w:hAnsi="Times New Roman" w:cs="Times New Roman"/>
          <w:b/>
          <w:i/>
        </w:rPr>
      </w:pPr>
      <w:r w:rsidRPr="005C2EC4">
        <w:rPr>
          <w:rFonts w:ascii="Times New Roman" w:hAnsi="Times New Roman" w:cs="Times New Roman"/>
          <w:b/>
          <w:i/>
        </w:rPr>
        <w:t>The Portfolio Committee recommended that t</w:t>
      </w:r>
      <w:r w:rsidR="002B73D2" w:rsidRPr="005C2EC4">
        <w:rPr>
          <w:rFonts w:ascii="Times New Roman" w:hAnsi="Times New Roman" w:cs="Times New Roman"/>
          <w:b/>
          <w:i/>
        </w:rPr>
        <w:t>he</w:t>
      </w:r>
      <w:r w:rsidR="00157FB4" w:rsidRPr="005C2EC4">
        <w:rPr>
          <w:rFonts w:ascii="Times New Roman" w:hAnsi="Times New Roman" w:cs="Times New Roman"/>
          <w:b/>
          <w:i/>
        </w:rPr>
        <w:t xml:space="preserve"> Department</w:t>
      </w:r>
      <w:r w:rsidR="006E118B" w:rsidRPr="005C2EC4">
        <w:rPr>
          <w:rFonts w:ascii="Times New Roman" w:hAnsi="Times New Roman" w:cs="Times New Roman"/>
          <w:b/>
          <w:i/>
        </w:rPr>
        <w:t xml:space="preserve"> clarify</w:t>
      </w:r>
      <w:r w:rsidR="00157FB4" w:rsidRPr="005C2EC4">
        <w:rPr>
          <w:rFonts w:ascii="Times New Roman" w:hAnsi="Times New Roman" w:cs="Times New Roman"/>
          <w:b/>
          <w:i/>
        </w:rPr>
        <w:t xml:space="preserve"> the slow</w:t>
      </w:r>
      <w:r w:rsidR="002B73D2" w:rsidRPr="005C2EC4">
        <w:rPr>
          <w:rFonts w:ascii="Times New Roman" w:hAnsi="Times New Roman" w:cs="Times New Roman"/>
          <w:b/>
          <w:i/>
        </w:rPr>
        <w:t xml:space="preserve"> </w:t>
      </w:r>
      <w:r w:rsidR="00157FB4" w:rsidRPr="005C2EC4">
        <w:rPr>
          <w:rFonts w:ascii="Times New Roman" w:hAnsi="Times New Roman" w:cs="Times New Roman"/>
          <w:b/>
          <w:i/>
        </w:rPr>
        <w:t>progress and how these delays</w:t>
      </w:r>
      <w:r w:rsidR="002B73D2" w:rsidRPr="005C2EC4">
        <w:rPr>
          <w:rFonts w:ascii="Times New Roman" w:hAnsi="Times New Roman" w:cs="Times New Roman"/>
          <w:b/>
          <w:i/>
        </w:rPr>
        <w:t xml:space="preserve"> </w:t>
      </w:r>
      <w:r w:rsidR="00157FB4" w:rsidRPr="005C2EC4">
        <w:rPr>
          <w:rFonts w:ascii="Times New Roman" w:hAnsi="Times New Roman" w:cs="Times New Roman"/>
          <w:b/>
          <w:i/>
        </w:rPr>
        <w:t xml:space="preserve">will affect the </w:t>
      </w:r>
      <w:r w:rsidR="006E118B" w:rsidRPr="005C2EC4">
        <w:rPr>
          <w:rFonts w:ascii="Times New Roman" w:hAnsi="Times New Roman" w:cs="Times New Roman"/>
          <w:b/>
          <w:i/>
        </w:rPr>
        <w:t>long-overdue</w:t>
      </w:r>
      <w:r w:rsidR="00157FB4" w:rsidRPr="005C2EC4">
        <w:rPr>
          <w:rFonts w:ascii="Times New Roman" w:hAnsi="Times New Roman" w:cs="Times New Roman"/>
          <w:b/>
          <w:i/>
        </w:rPr>
        <w:t xml:space="preserve"> water allocation transformation. </w:t>
      </w:r>
    </w:p>
    <w:p w:rsidR="007E19D3" w:rsidRPr="001A5BDC" w:rsidRDefault="007E19D3" w:rsidP="00406C2D">
      <w:pPr>
        <w:spacing w:after="0" w:line="360" w:lineRule="auto"/>
        <w:contextualSpacing/>
        <w:jc w:val="both"/>
        <w:rPr>
          <w:rFonts w:ascii="Times New Roman" w:hAnsi="Times New Roman" w:cs="Times New Roman"/>
          <w:b/>
          <w:sz w:val="16"/>
          <w:szCs w:val="16"/>
        </w:rPr>
      </w:pPr>
    </w:p>
    <w:p w:rsidR="00A000CE" w:rsidRPr="00567C11" w:rsidRDefault="007C728E" w:rsidP="00406C2D">
      <w:pPr>
        <w:spacing w:after="0" w:line="360" w:lineRule="auto"/>
        <w:contextualSpacing/>
        <w:jc w:val="both"/>
        <w:rPr>
          <w:rFonts w:ascii="Times New Roman" w:hAnsi="Times New Roman" w:cs="Times New Roman"/>
          <w:b/>
        </w:rPr>
      </w:pPr>
      <w:r>
        <w:rPr>
          <w:rFonts w:ascii="Times New Roman" w:hAnsi="Times New Roman" w:cs="Times New Roman"/>
          <w:b/>
        </w:rPr>
        <w:t>8</w:t>
      </w:r>
      <w:r w:rsidR="00567C11" w:rsidRPr="00567C11">
        <w:rPr>
          <w:rFonts w:ascii="Times New Roman" w:hAnsi="Times New Roman" w:cs="Times New Roman"/>
          <w:b/>
        </w:rPr>
        <w:t>.1.4</w:t>
      </w:r>
      <w:r w:rsidR="00406C2D" w:rsidRPr="00567C11">
        <w:rPr>
          <w:rFonts w:ascii="Times New Roman" w:hAnsi="Times New Roman" w:cs="Times New Roman"/>
          <w:b/>
        </w:rPr>
        <w:tab/>
      </w:r>
      <w:r w:rsidR="00A000CE" w:rsidRPr="00567C11">
        <w:rPr>
          <w:rFonts w:ascii="Times New Roman" w:hAnsi="Times New Roman" w:cs="Times New Roman"/>
          <w:b/>
        </w:rPr>
        <w:t>Deferment of 2021/22 targets to the 2022/23 financial year</w:t>
      </w:r>
    </w:p>
    <w:p w:rsidR="00A000CE" w:rsidRPr="001A5BDC" w:rsidRDefault="00A000CE" w:rsidP="00406C2D">
      <w:pPr>
        <w:spacing w:after="0" w:line="360" w:lineRule="auto"/>
        <w:contextualSpacing/>
        <w:jc w:val="both"/>
        <w:rPr>
          <w:rFonts w:ascii="Times New Roman" w:hAnsi="Times New Roman" w:cs="Times New Roman"/>
          <w:sz w:val="16"/>
          <w:szCs w:val="16"/>
        </w:rPr>
      </w:pPr>
    </w:p>
    <w:p w:rsidR="005C2EC4" w:rsidRDefault="00E9206C" w:rsidP="00406C2D">
      <w:pPr>
        <w:spacing w:after="0" w:line="360" w:lineRule="auto"/>
        <w:contextualSpacing/>
        <w:jc w:val="both"/>
        <w:rPr>
          <w:rFonts w:ascii="Times New Roman" w:hAnsi="Times New Roman" w:cs="Times New Roman"/>
        </w:rPr>
      </w:pPr>
      <w:r>
        <w:rPr>
          <w:rFonts w:ascii="Times New Roman" w:hAnsi="Times New Roman" w:cs="Times New Roman"/>
        </w:rPr>
        <w:t xml:space="preserve">Some </w:t>
      </w:r>
      <w:r w:rsidR="00157FB4" w:rsidRPr="00406C2D">
        <w:rPr>
          <w:rFonts w:ascii="Times New Roman" w:hAnsi="Times New Roman" w:cs="Times New Roman"/>
        </w:rPr>
        <w:t xml:space="preserve">of </w:t>
      </w:r>
      <w:r>
        <w:rPr>
          <w:rFonts w:ascii="Times New Roman" w:hAnsi="Times New Roman" w:cs="Times New Roman"/>
        </w:rPr>
        <w:t xml:space="preserve">the </w:t>
      </w:r>
      <w:r w:rsidR="00157FB4" w:rsidRPr="00406C2D">
        <w:rPr>
          <w:rFonts w:ascii="Times New Roman" w:hAnsi="Times New Roman" w:cs="Times New Roman"/>
        </w:rPr>
        <w:t xml:space="preserve">2021/22 targets appear to have been transferred to the 2022/23 financial year. These include targets such as </w:t>
      </w:r>
      <w:r w:rsidR="006E118B" w:rsidRPr="006E118B">
        <w:rPr>
          <w:rFonts w:ascii="Times New Roman" w:hAnsi="Times New Roman" w:cs="Times New Roman"/>
        </w:rPr>
        <w:t>eradicating the bucket toilet</w:t>
      </w:r>
      <w:r w:rsidR="0083061D">
        <w:rPr>
          <w:rFonts w:ascii="Times New Roman" w:hAnsi="Times New Roman" w:cs="Times New Roman"/>
        </w:rPr>
        <w:t xml:space="preserve"> </w:t>
      </w:r>
      <w:r w:rsidR="006E118B" w:rsidRPr="006E118B">
        <w:rPr>
          <w:rFonts w:ascii="Times New Roman" w:hAnsi="Times New Roman" w:cs="Times New Roman"/>
        </w:rPr>
        <w:t>system, establishing an economic regulator,</w:t>
      </w:r>
      <w:r w:rsidR="00157FB4" w:rsidRPr="00406C2D">
        <w:rPr>
          <w:rFonts w:ascii="Times New Roman" w:hAnsi="Times New Roman" w:cs="Times New Roman"/>
        </w:rPr>
        <w:t xml:space="preserve"> and amendment of legislation. </w:t>
      </w:r>
    </w:p>
    <w:p w:rsidR="005C2EC4" w:rsidRPr="001A5BDC" w:rsidRDefault="005C2EC4" w:rsidP="00406C2D">
      <w:pPr>
        <w:spacing w:after="0" w:line="360" w:lineRule="auto"/>
        <w:contextualSpacing/>
        <w:jc w:val="both"/>
        <w:rPr>
          <w:rFonts w:ascii="Times New Roman" w:hAnsi="Times New Roman" w:cs="Times New Roman"/>
          <w:sz w:val="16"/>
          <w:szCs w:val="16"/>
        </w:rPr>
      </w:pPr>
    </w:p>
    <w:p w:rsidR="00406C2D" w:rsidRPr="00E9206C" w:rsidRDefault="005C2EC4" w:rsidP="00406C2D">
      <w:pPr>
        <w:spacing w:after="0" w:line="360" w:lineRule="auto"/>
        <w:contextualSpacing/>
        <w:jc w:val="both"/>
        <w:rPr>
          <w:rFonts w:ascii="Times New Roman" w:hAnsi="Times New Roman" w:cs="Times New Roman"/>
          <w:b/>
          <w:i/>
        </w:rPr>
      </w:pPr>
      <w:r w:rsidRPr="00E9206C">
        <w:rPr>
          <w:rFonts w:ascii="Times New Roman" w:hAnsi="Times New Roman" w:cs="Times New Roman"/>
          <w:b/>
          <w:i/>
        </w:rPr>
        <w:t xml:space="preserve">The Portfolio Committee recommended that the </w:t>
      </w:r>
      <w:r w:rsidR="00157FB4" w:rsidRPr="00E9206C">
        <w:rPr>
          <w:rFonts w:ascii="Times New Roman" w:hAnsi="Times New Roman" w:cs="Times New Roman"/>
          <w:b/>
          <w:i/>
        </w:rPr>
        <w:t xml:space="preserve">Department provide an overview of the 2021/22 performance </w:t>
      </w:r>
      <w:r w:rsidR="006E118B" w:rsidRPr="00E9206C">
        <w:rPr>
          <w:rFonts w:ascii="Times New Roman" w:hAnsi="Times New Roman" w:cs="Times New Roman"/>
          <w:b/>
          <w:i/>
        </w:rPr>
        <w:t>concerning</w:t>
      </w:r>
      <w:r w:rsidR="00157FB4" w:rsidRPr="00E9206C">
        <w:rPr>
          <w:rFonts w:ascii="Times New Roman" w:hAnsi="Times New Roman" w:cs="Times New Roman"/>
          <w:b/>
          <w:i/>
        </w:rPr>
        <w:t xml:space="preserve"> achievements of targets and indicate targets that were transferred to</w:t>
      </w:r>
      <w:r w:rsidRPr="00E9206C">
        <w:rPr>
          <w:rFonts w:ascii="Times New Roman" w:hAnsi="Times New Roman" w:cs="Times New Roman"/>
          <w:b/>
          <w:i/>
        </w:rPr>
        <w:t xml:space="preserve"> 2022/23, with reasons for the postponement. </w:t>
      </w:r>
      <w:r w:rsidR="00157FB4" w:rsidRPr="00E9206C">
        <w:rPr>
          <w:rFonts w:ascii="Times New Roman" w:hAnsi="Times New Roman" w:cs="Times New Roman"/>
          <w:b/>
          <w:i/>
        </w:rPr>
        <w:t xml:space="preserve"> </w:t>
      </w:r>
    </w:p>
    <w:p w:rsidR="009B7146" w:rsidRPr="001A5BDC" w:rsidRDefault="009B7146" w:rsidP="00406C2D">
      <w:pPr>
        <w:spacing w:after="0" w:line="360" w:lineRule="auto"/>
        <w:contextualSpacing/>
        <w:jc w:val="both"/>
        <w:rPr>
          <w:rFonts w:ascii="Times New Roman" w:hAnsi="Times New Roman" w:cs="Times New Roman"/>
          <w:sz w:val="16"/>
          <w:szCs w:val="16"/>
        </w:rPr>
      </w:pPr>
    </w:p>
    <w:p w:rsidR="00BF7E52" w:rsidRDefault="007C728E" w:rsidP="00BF7E52">
      <w:pPr>
        <w:spacing w:after="0" w:line="360" w:lineRule="auto"/>
        <w:contextualSpacing/>
        <w:jc w:val="both"/>
        <w:rPr>
          <w:rFonts w:ascii="Times New Roman" w:hAnsi="Times New Roman" w:cs="Times New Roman"/>
          <w:b/>
        </w:rPr>
      </w:pPr>
      <w:r>
        <w:rPr>
          <w:rFonts w:ascii="Times New Roman" w:hAnsi="Times New Roman" w:cs="Times New Roman"/>
          <w:b/>
        </w:rPr>
        <w:t>8</w:t>
      </w:r>
      <w:r w:rsidR="001A5BDC">
        <w:rPr>
          <w:rFonts w:ascii="Times New Roman" w:hAnsi="Times New Roman" w:cs="Times New Roman"/>
          <w:b/>
        </w:rPr>
        <w:t>.1.5</w:t>
      </w:r>
      <w:r w:rsidR="00BF7E52">
        <w:rPr>
          <w:rFonts w:ascii="Times New Roman" w:hAnsi="Times New Roman" w:cs="Times New Roman"/>
          <w:b/>
        </w:rPr>
        <w:tab/>
        <w:t xml:space="preserve">Department’s partnership with the private sector in developing bulk infrastructure </w:t>
      </w:r>
      <w:r w:rsidR="00BF7E52">
        <w:rPr>
          <w:rFonts w:ascii="Times New Roman" w:hAnsi="Times New Roman" w:cs="Times New Roman"/>
          <w:b/>
        </w:rPr>
        <w:tab/>
        <w:t>projects</w:t>
      </w:r>
    </w:p>
    <w:p w:rsidR="00BF7E52" w:rsidRPr="001A5BDC" w:rsidRDefault="00BF7E52" w:rsidP="00BF7E52">
      <w:pPr>
        <w:spacing w:after="0" w:line="360" w:lineRule="auto"/>
        <w:contextualSpacing/>
        <w:jc w:val="both"/>
        <w:rPr>
          <w:rFonts w:ascii="Times New Roman" w:hAnsi="Times New Roman" w:cs="Times New Roman"/>
          <w:b/>
          <w:sz w:val="16"/>
          <w:szCs w:val="16"/>
        </w:rPr>
      </w:pPr>
    </w:p>
    <w:p w:rsidR="00BF7E52" w:rsidRDefault="00BF7E52" w:rsidP="00BF7E52">
      <w:pPr>
        <w:spacing w:after="0" w:line="360" w:lineRule="auto"/>
        <w:contextualSpacing/>
        <w:jc w:val="both"/>
        <w:rPr>
          <w:rFonts w:ascii="Times New Roman" w:hAnsi="Times New Roman" w:cs="Times New Roman"/>
        </w:rPr>
      </w:pPr>
      <w:r>
        <w:rPr>
          <w:rFonts w:ascii="Times New Roman" w:hAnsi="Times New Roman" w:cs="Times New Roman"/>
        </w:rPr>
        <w:t>Members of the Portfolio Committee requested more information on the Department’s engagement with the Development Bank of Southern Africa (DBSA), with allocations from National Treasury, to develop bulk infrastructure projects.</w:t>
      </w:r>
    </w:p>
    <w:p w:rsidR="00BF7E52" w:rsidRPr="001A5BDC" w:rsidRDefault="00BF7E52" w:rsidP="00BF7E52">
      <w:pPr>
        <w:spacing w:after="0" w:line="360" w:lineRule="auto"/>
        <w:contextualSpacing/>
        <w:jc w:val="both"/>
        <w:rPr>
          <w:rFonts w:ascii="Times New Roman" w:hAnsi="Times New Roman" w:cs="Times New Roman"/>
          <w:sz w:val="16"/>
          <w:szCs w:val="16"/>
        </w:rPr>
      </w:pPr>
    </w:p>
    <w:p w:rsidR="00BF7E52" w:rsidRDefault="00BF7E52" w:rsidP="00BF7E52">
      <w:pPr>
        <w:spacing w:after="0" w:line="360" w:lineRule="auto"/>
        <w:contextualSpacing/>
        <w:jc w:val="both"/>
        <w:rPr>
          <w:rFonts w:ascii="Times New Roman" w:hAnsi="Times New Roman" w:cs="Times New Roman"/>
          <w:b/>
          <w:i/>
        </w:rPr>
      </w:pPr>
      <w:r>
        <w:rPr>
          <w:rFonts w:ascii="Times New Roman" w:hAnsi="Times New Roman" w:cs="Times New Roman"/>
          <w:b/>
          <w:i/>
        </w:rPr>
        <w:t xml:space="preserve">The Portfolio Committee recommended that a progress report be provided on </w:t>
      </w:r>
      <w:r w:rsidR="00CD3205" w:rsidRPr="00CD3205">
        <w:rPr>
          <w:rFonts w:ascii="Times New Roman" w:hAnsi="Times New Roman" w:cs="Times New Roman"/>
          <w:b/>
          <w:i/>
        </w:rPr>
        <w:t>specific projects and implementation amounts allocated</w:t>
      </w:r>
      <w:r>
        <w:rPr>
          <w:rFonts w:ascii="Times New Roman" w:hAnsi="Times New Roman" w:cs="Times New Roman"/>
          <w:b/>
          <w:i/>
        </w:rPr>
        <w:t>.</w:t>
      </w:r>
    </w:p>
    <w:p w:rsidR="00681C2A" w:rsidRPr="001A5BDC" w:rsidRDefault="00681C2A" w:rsidP="00BF7E52">
      <w:pPr>
        <w:spacing w:after="0" w:line="360" w:lineRule="auto"/>
        <w:contextualSpacing/>
        <w:jc w:val="both"/>
        <w:rPr>
          <w:rFonts w:ascii="Times New Roman" w:hAnsi="Times New Roman" w:cs="Times New Roman"/>
          <w:b/>
          <w:i/>
          <w:sz w:val="16"/>
          <w:szCs w:val="16"/>
        </w:rPr>
      </w:pPr>
    </w:p>
    <w:p w:rsidR="00BF7E52" w:rsidRDefault="007C728E" w:rsidP="00BF7E52">
      <w:pPr>
        <w:spacing w:after="0" w:line="360" w:lineRule="auto"/>
        <w:contextualSpacing/>
        <w:jc w:val="both"/>
        <w:rPr>
          <w:rFonts w:ascii="Times New Roman" w:hAnsi="Times New Roman" w:cs="Times New Roman"/>
          <w:b/>
        </w:rPr>
      </w:pPr>
      <w:r>
        <w:rPr>
          <w:rFonts w:ascii="Times New Roman" w:hAnsi="Times New Roman" w:cs="Times New Roman"/>
          <w:b/>
        </w:rPr>
        <w:t>8.1.6</w:t>
      </w:r>
      <w:r w:rsidR="00BF7E52">
        <w:rPr>
          <w:rFonts w:ascii="Times New Roman" w:hAnsi="Times New Roman" w:cs="Times New Roman"/>
          <w:b/>
        </w:rPr>
        <w:tab/>
      </w:r>
      <w:r w:rsidR="00681C2A">
        <w:rPr>
          <w:rFonts w:ascii="Times New Roman" w:hAnsi="Times New Roman" w:cs="Times New Roman"/>
          <w:b/>
        </w:rPr>
        <w:t xml:space="preserve">Mechanisms in place to mitigate the challenges of </w:t>
      </w:r>
      <w:r w:rsidR="00BF7E52">
        <w:rPr>
          <w:rFonts w:ascii="Times New Roman" w:hAnsi="Times New Roman" w:cs="Times New Roman"/>
          <w:b/>
        </w:rPr>
        <w:t xml:space="preserve">trade debtors and non-payment to the </w:t>
      </w:r>
      <w:r w:rsidR="00681C2A">
        <w:rPr>
          <w:rFonts w:ascii="Times New Roman" w:hAnsi="Times New Roman" w:cs="Times New Roman"/>
          <w:b/>
        </w:rPr>
        <w:tab/>
      </w:r>
      <w:r w:rsidR="00BF7E52">
        <w:rPr>
          <w:rFonts w:ascii="Times New Roman" w:hAnsi="Times New Roman" w:cs="Times New Roman"/>
          <w:b/>
        </w:rPr>
        <w:t>Water Trading Entity</w:t>
      </w:r>
    </w:p>
    <w:p w:rsidR="00681C2A" w:rsidRPr="001A5BDC" w:rsidRDefault="00681C2A" w:rsidP="00BF7E52">
      <w:pPr>
        <w:spacing w:after="0" w:line="360" w:lineRule="auto"/>
        <w:contextualSpacing/>
        <w:jc w:val="both"/>
        <w:rPr>
          <w:rFonts w:ascii="Times New Roman" w:hAnsi="Times New Roman" w:cs="Times New Roman"/>
          <w:b/>
          <w:sz w:val="16"/>
          <w:szCs w:val="16"/>
        </w:rPr>
      </w:pPr>
    </w:p>
    <w:p w:rsidR="00BF7E52" w:rsidRDefault="00681C2A" w:rsidP="00681C2A">
      <w:pPr>
        <w:spacing w:after="0" w:line="360" w:lineRule="auto"/>
        <w:contextualSpacing/>
        <w:jc w:val="both"/>
        <w:rPr>
          <w:rFonts w:ascii="Times New Roman" w:hAnsi="Times New Roman" w:cs="Times New Roman"/>
        </w:rPr>
      </w:pPr>
      <w:r>
        <w:rPr>
          <w:rFonts w:ascii="Times New Roman" w:hAnsi="Times New Roman" w:cs="Times New Roman"/>
        </w:rPr>
        <w:t xml:space="preserve">Members of the Portfolio Committee noted that </w:t>
      </w:r>
      <w:r w:rsidR="00A54EF7" w:rsidRPr="00A54EF7">
        <w:rPr>
          <w:rFonts w:ascii="Times New Roman" w:hAnsi="Times New Roman" w:cs="Times New Roman"/>
        </w:rPr>
        <w:t>the Department must devise control measures and plans</w:t>
      </w:r>
      <w:r>
        <w:rPr>
          <w:rFonts w:ascii="Times New Roman" w:hAnsi="Times New Roman" w:cs="Times New Roman"/>
        </w:rPr>
        <w:t xml:space="preserve"> to address long-standing challenges of trade debtors and non-payment. </w:t>
      </w:r>
    </w:p>
    <w:p w:rsidR="00681C2A" w:rsidRPr="00F80D2C" w:rsidRDefault="00681C2A" w:rsidP="00681C2A">
      <w:pPr>
        <w:spacing w:after="0" w:line="360" w:lineRule="auto"/>
        <w:contextualSpacing/>
        <w:jc w:val="both"/>
        <w:rPr>
          <w:rFonts w:ascii="Times New Roman" w:hAnsi="Times New Roman" w:cs="Times New Roman"/>
          <w:sz w:val="16"/>
          <w:szCs w:val="16"/>
        </w:rPr>
      </w:pPr>
    </w:p>
    <w:p w:rsidR="00681C2A" w:rsidRPr="00681C2A" w:rsidRDefault="00681C2A" w:rsidP="00681C2A">
      <w:pPr>
        <w:spacing w:after="0" w:line="360" w:lineRule="auto"/>
        <w:contextualSpacing/>
        <w:jc w:val="both"/>
        <w:rPr>
          <w:rFonts w:ascii="Times New Roman" w:hAnsi="Times New Roman" w:cs="Times New Roman"/>
          <w:b/>
          <w:i/>
        </w:rPr>
      </w:pPr>
      <w:r>
        <w:rPr>
          <w:rFonts w:ascii="Times New Roman" w:hAnsi="Times New Roman" w:cs="Times New Roman"/>
          <w:b/>
          <w:i/>
        </w:rPr>
        <w:t xml:space="preserve">The Portfolio Committee recommended that the Department present its action plans and control measures to recover monies owed to the Department and Entities, as well as provide more details on the progress made by the Multidisciplinary Revenue Committee comprising </w:t>
      </w:r>
      <w:r w:rsidR="00A54EF7">
        <w:rPr>
          <w:rFonts w:ascii="Times New Roman" w:hAnsi="Times New Roman" w:cs="Times New Roman"/>
          <w:b/>
          <w:i/>
        </w:rPr>
        <w:t xml:space="preserve">the </w:t>
      </w:r>
      <w:r>
        <w:rPr>
          <w:rFonts w:ascii="Times New Roman" w:hAnsi="Times New Roman" w:cs="Times New Roman"/>
          <w:b/>
          <w:i/>
        </w:rPr>
        <w:t>National Treasury, the South African Local Government Association, Department of Cooperative Governance and Traditional Affairs and municipalities, as part of an intergovernmental relations initiatives to address debt collection.</w:t>
      </w:r>
    </w:p>
    <w:p w:rsidR="00B51CD0" w:rsidRDefault="00B51CD0" w:rsidP="00681C2A">
      <w:pPr>
        <w:spacing w:after="0" w:line="360" w:lineRule="auto"/>
        <w:contextualSpacing/>
        <w:jc w:val="both"/>
        <w:rPr>
          <w:rFonts w:ascii="Times New Roman" w:hAnsi="Times New Roman" w:cs="Times New Roman"/>
          <w:sz w:val="16"/>
          <w:szCs w:val="16"/>
        </w:rPr>
      </w:pPr>
    </w:p>
    <w:p w:rsidR="00FD168C" w:rsidRPr="00F80D2C" w:rsidRDefault="00FD168C" w:rsidP="00681C2A">
      <w:pPr>
        <w:spacing w:after="0" w:line="360" w:lineRule="auto"/>
        <w:contextualSpacing/>
        <w:jc w:val="both"/>
        <w:rPr>
          <w:rFonts w:ascii="Times New Roman" w:hAnsi="Times New Roman" w:cs="Times New Roman"/>
          <w:sz w:val="16"/>
          <w:szCs w:val="16"/>
        </w:rPr>
      </w:pPr>
    </w:p>
    <w:p w:rsidR="00681C2A" w:rsidRDefault="007C728E" w:rsidP="00681C2A">
      <w:pPr>
        <w:spacing w:after="0" w:line="360" w:lineRule="auto"/>
        <w:contextualSpacing/>
        <w:jc w:val="both"/>
        <w:rPr>
          <w:rFonts w:ascii="Times New Roman" w:hAnsi="Times New Roman" w:cs="Times New Roman"/>
          <w:b/>
        </w:rPr>
      </w:pPr>
      <w:r>
        <w:rPr>
          <w:rFonts w:ascii="Times New Roman" w:hAnsi="Times New Roman" w:cs="Times New Roman"/>
          <w:b/>
        </w:rPr>
        <w:lastRenderedPageBreak/>
        <w:t>8.1.7</w:t>
      </w:r>
      <w:r w:rsidR="00955836">
        <w:rPr>
          <w:rFonts w:ascii="Times New Roman" w:hAnsi="Times New Roman" w:cs="Times New Roman"/>
          <w:b/>
        </w:rPr>
        <w:t xml:space="preserve"> </w:t>
      </w:r>
      <w:r w:rsidR="00955836">
        <w:rPr>
          <w:rFonts w:ascii="Times New Roman" w:hAnsi="Times New Roman" w:cs="Times New Roman"/>
          <w:b/>
        </w:rPr>
        <w:tab/>
        <w:t xml:space="preserve">Meeting </w:t>
      </w:r>
      <w:r w:rsidR="00B51CD0">
        <w:rPr>
          <w:rFonts w:ascii="Times New Roman" w:hAnsi="Times New Roman" w:cs="Times New Roman"/>
          <w:b/>
        </w:rPr>
        <w:t>the</w:t>
      </w:r>
      <w:r w:rsidR="00A54EF7">
        <w:rPr>
          <w:rFonts w:ascii="Times New Roman" w:hAnsi="Times New Roman" w:cs="Times New Roman"/>
          <w:b/>
        </w:rPr>
        <w:t xml:space="preserve"> </w:t>
      </w:r>
      <w:r w:rsidR="00B51CD0">
        <w:rPr>
          <w:rFonts w:ascii="Times New Roman" w:hAnsi="Times New Roman" w:cs="Times New Roman"/>
          <w:b/>
        </w:rPr>
        <w:t>deadline of less than 90-day processing of</w:t>
      </w:r>
      <w:r w:rsidR="00955836">
        <w:rPr>
          <w:rFonts w:ascii="Times New Roman" w:hAnsi="Times New Roman" w:cs="Times New Roman"/>
          <w:b/>
        </w:rPr>
        <w:t xml:space="preserve"> water use licencing </w:t>
      </w:r>
    </w:p>
    <w:p w:rsidR="00955836" w:rsidRPr="001A5BDC" w:rsidRDefault="00955836" w:rsidP="00681C2A">
      <w:pPr>
        <w:spacing w:after="0" w:line="360" w:lineRule="auto"/>
        <w:contextualSpacing/>
        <w:jc w:val="both"/>
        <w:rPr>
          <w:rFonts w:ascii="Times New Roman" w:hAnsi="Times New Roman" w:cs="Times New Roman"/>
          <w:b/>
          <w:sz w:val="16"/>
          <w:szCs w:val="16"/>
        </w:rPr>
      </w:pPr>
    </w:p>
    <w:p w:rsidR="00955836" w:rsidRDefault="00955836" w:rsidP="00681C2A">
      <w:pPr>
        <w:spacing w:after="0" w:line="360" w:lineRule="auto"/>
        <w:contextualSpacing/>
        <w:jc w:val="both"/>
        <w:rPr>
          <w:rFonts w:ascii="Times New Roman" w:hAnsi="Times New Roman" w:cs="Times New Roman"/>
        </w:rPr>
      </w:pPr>
      <w:r>
        <w:rPr>
          <w:rFonts w:ascii="Times New Roman" w:hAnsi="Times New Roman" w:cs="Times New Roman"/>
        </w:rPr>
        <w:t>Members of the Portfolio Committee enquired whether the Department would meet its 90-day processing time for water use licencing, as the Annual Performance Plan talks of an improvement plan to process in a more programmatic way to ensure the subsequent attainment of backlogs.</w:t>
      </w:r>
    </w:p>
    <w:p w:rsidR="00955836" w:rsidRPr="001A5BDC" w:rsidRDefault="00955836" w:rsidP="00681C2A">
      <w:pPr>
        <w:spacing w:after="0" w:line="360" w:lineRule="auto"/>
        <w:contextualSpacing/>
        <w:jc w:val="both"/>
        <w:rPr>
          <w:rFonts w:ascii="Times New Roman" w:hAnsi="Times New Roman" w:cs="Times New Roman"/>
          <w:sz w:val="16"/>
          <w:szCs w:val="16"/>
        </w:rPr>
      </w:pPr>
    </w:p>
    <w:p w:rsidR="00955836" w:rsidRDefault="00955836" w:rsidP="00681C2A">
      <w:pPr>
        <w:spacing w:after="0" w:line="360" w:lineRule="auto"/>
        <w:contextualSpacing/>
        <w:jc w:val="both"/>
        <w:rPr>
          <w:rFonts w:ascii="Times New Roman" w:hAnsi="Times New Roman" w:cs="Times New Roman"/>
          <w:b/>
          <w:i/>
        </w:rPr>
      </w:pPr>
      <w:r w:rsidRPr="00955836">
        <w:rPr>
          <w:rFonts w:ascii="Times New Roman" w:hAnsi="Times New Roman" w:cs="Times New Roman"/>
          <w:b/>
          <w:i/>
        </w:rPr>
        <w:t>The Portfolio Committee recommended that the Department provide regular quarterly briefings on achieving the 90-day processing of water use licences.</w:t>
      </w:r>
    </w:p>
    <w:p w:rsidR="00955836" w:rsidRPr="001A5BDC" w:rsidRDefault="00955836" w:rsidP="00681C2A">
      <w:pPr>
        <w:spacing w:after="0" w:line="360" w:lineRule="auto"/>
        <w:contextualSpacing/>
        <w:jc w:val="both"/>
        <w:rPr>
          <w:rFonts w:ascii="Times New Roman" w:hAnsi="Times New Roman" w:cs="Times New Roman"/>
          <w:b/>
          <w:i/>
          <w:sz w:val="16"/>
          <w:szCs w:val="16"/>
        </w:rPr>
      </w:pPr>
    </w:p>
    <w:p w:rsidR="00955836" w:rsidRDefault="007C728E" w:rsidP="00681C2A">
      <w:pPr>
        <w:spacing w:after="0" w:line="360" w:lineRule="auto"/>
        <w:contextualSpacing/>
        <w:jc w:val="both"/>
        <w:rPr>
          <w:rFonts w:ascii="Times New Roman" w:hAnsi="Times New Roman" w:cs="Times New Roman"/>
          <w:b/>
        </w:rPr>
      </w:pPr>
      <w:r>
        <w:rPr>
          <w:rFonts w:ascii="Times New Roman" w:hAnsi="Times New Roman" w:cs="Times New Roman"/>
          <w:b/>
        </w:rPr>
        <w:t>8.1.8</w:t>
      </w:r>
      <w:r w:rsidR="00955836">
        <w:rPr>
          <w:rFonts w:ascii="Times New Roman" w:hAnsi="Times New Roman" w:cs="Times New Roman"/>
          <w:b/>
        </w:rPr>
        <w:t xml:space="preserve"> </w:t>
      </w:r>
      <w:r w:rsidR="00955836">
        <w:rPr>
          <w:rFonts w:ascii="Times New Roman" w:hAnsi="Times New Roman" w:cs="Times New Roman"/>
          <w:b/>
        </w:rPr>
        <w:tab/>
        <w:t>Joint planning</w:t>
      </w:r>
      <w:r w:rsidR="00B75371">
        <w:rPr>
          <w:rFonts w:ascii="Times New Roman" w:hAnsi="Times New Roman" w:cs="Times New Roman"/>
          <w:b/>
        </w:rPr>
        <w:t xml:space="preserve"> with the Southern African Development Community partners on Climate </w:t>
      </w:r>
      <w:r w:rsidR="00B75371">
        <w:rPr>
          <w:rFonts w:ascii="Times New Roman" w:hAnsi="Times New Roman" w:cs="Times New Roman"/>
          <w:b/>
        </w:rPr>
        <w:tab/>
        <w:t xml:space="preserve">Change </w:t>
      </w:r>
      <w:r w:rsidR="00A54EF7">
        <w:rPr>
          <w:rFonts w:ascii="Times New Roman" w:hAnsi="Times New Roman" w:cs="Times New Roman"/>
          <w:b/>
        </w:rPr>
        <w:t>for water security in the region</w:t>
      </w:r>
    </w:p>
    <w:p w:rsidR="00B75371" w:rsidRDefault="00B75371" w:rsidP="00B75371">
      <w:pPr>
        <w:spacing w:after="0" w:line="360" w:lineRule="auto"/>
        <w:contextualSpacing/>
        <w:jc w:val="both"/>
        <w:rPr>
          <w:rFonts w:ascii="Times New Roman" w:hAnsi="Times New Roman" w:cs="Times New Roman"/>
          <w:b/>
        </w:rPr>
      </w:pPr>
      <w:r>
        <w:rPr>
          <w:rFonts w:ascii="Times New Roman" w:hAnsi="Times New Roman" w:cs="Times New Roman"/>
          <w:b/>
        </w:rPr>
        <w:tab/>
      </w:r>
    </w:p>
    <w:p w:rsidR="00B75371" w:rsidRPr="00B75371" w:rsidRDefault="00B75371" w:rsidP="00B75371">
      <w:pPr>
        <w:spacing w:after="0" w:line="360" w:lineRule="auto"/>
        <w:contextualSpacing/>
        <w:jc w:val="both"/>
        <w:rPr>
          <w:rFonts w:ascii="Times New Roman" w:hAnsi="Times New Roman" w:cs="Times New Roman"/>
        </w:rPr>
      </w:pPr>
      <w:r>
        <w:rPr>
          <w:rFonts w:ascii="Times New Roman" w:hAnsi="Times New Roman" w:cs="Times New Roman"/>
        </w:rPr>
        <w:t xml:space="preserve">Members of the Portfolio Committee stressed the importance of the Climate Change Strategy and the Regional Strategic Action Plan for the SADC region. </w:t>
      </w:r>
      <w:r w:rsidR="00171BDF">
        <w:rPr>
          <w:rFonts w:ascii="Times New Roman" w:hAnsi="Times New Roman" w:cs="Times New Roman"/>
        </w:rPr>
        <w:t xml:space="preserve">Clear awareness programmes on climate change and environmental risks should form part of the </w:t>
      </w:r>
      <w:r w:rsidR="00043A30" w:rsidRPr="00043A30">
        <w:rPr>
          <w:rFonts w:ascii="Times New Roman" w:hAnsi="Times New Roman" w:cs="Times New Roman"/>
        </w:rPr>
        <w:t>Department of Water and Sanitation and other Departments' work</w:t>
      </w:r>
      <w:r w:rsidR="00171BDF">
        <w:rPr>
          <w:rFonts w:ascii="Times New Roman" w:hAnsi="Times New Roman" w:cs="Times New Roman"/>
        </w:rPr>
        <w:t>.</w:t>
      </w:r>
    </w:p>
    <w:p w:rsidR="00B75371" w:rsidRPr="001A5BDC" w:rsidRDefault="00B75371" w:rsidP="00B75371">
      <w:pPr>
        <w:spacing w:after="0" w:line="360" w:lineRule="auto"/>
        <w:contextualSpacing/>
        <w:jc w:val="both"/>
        <w:rPr>
          <w:rFonts w:ascii="Times New Roman" w:hAnsi="Times New Roman" w:cs="Times New Roman"/>
          <w:b/>
          <w:sz w:val="16"/>
          <w:szCs w:val="16"/>
        </w:rPr>
      </w:pPr>
    </w:p>
    <w:p w:rsidR="00B75371" w:rsidRPr="00063550" w:rsidRDefault="00B75371" w:rsidP="00B75371">
      <w:pPr>
        <w:spacing w:after="0" w:line="360" w:lineRule="auto"/>
        <w:contextualSpacing/>
        <w:jc w:val="both"/>
        <w:rPr>
          <w:rFonts w:ascii="Times New Roman" w:hAnsi="Times New Roman" w:cs="Times New Roman"/>
          <w:b/>
          <w:i/>
          <w:color w:val="FF0000"/>
        </w:rPr>
      </w:pPr>
      <w:r>
        <w:rPr>
          <w:rFonts w:ascii="Times New Roman" w:hAnsi="Times New Roman" w:cs="Times New Roman"/>
          <w:b/>
          <w:i/>
        </w:rPr>
        <w:t xml:space="preserve">The Portfolio Committee recommended that the Department provide a briefing on </w:t>
      </w:r>
      <w:r w:rsidR="00063550">
        <w:rPr>
          <w:rFonts w:ascii="Times New Roman" w:hAnsi="Times New Roman" w:cs="Times New Roman"/>
          <w:b/>
          <w:i/>
        </w:rPr>
        <w:t>the Climate Change Strategy</w:t>
      </w:r>
      <w:r w:rsidR="00171BDF">
        <w:rPr>
          <w:rFonts w:ascii="Times New Roman" w:hAnsi="Times New Roman" w:cs="Times New Roman"/>
          <w:b/>
          <w:i/>
        </w:rPr>
        <w:t xml:space="preserve"> (adaptation and mitigation plans),</w:t>
      </w:r>
      <w:r w:rsidR="00063550">
        <w:rPr>
          <w:rFonts w:ascii="Times New Roman" w:hAnsi="Times New Roman" w:cs="Times New Roman"/>
          <w:b/>
          <w:i/>
        </w:rPr>
        <w:t xml:space="preserve"> </w:t>
      </w:r>
      <w:r w:rsidR="00171BDF">
        <w:rPr>
          <w:rFonts w:ascii="Times New Roman" w:hAnsi="Times New Roman" w:cs="Times New Roman"/>
          <w:b/>
          <w:i/>
        </w:rPr>
        <w:t>the</w:t>
      </w:r>
      <w:r w:rsidR="00063550">
        <w:rPr>
          <w:rFonts w:ascii="Times New Roman" w:hAnsi="Times New Roman" w:cs="Times New Roman"/>
          <w:b/>
          <w:i/>
        </w:rPr>
        <w:t xml:space="preserve"> </w:t>
      </w:r>
      <w:r>
        <w:rPr>
          <w:rFonts w:ascii="Times New Roman" w:hAnsi="Times New Roman" w:cs="Times New Roman"/>
          <w:b/>
          <w:i/>
        </w:rPr>
        <w:t>Regional Strategic Action Plan</w:t>
      </w:r>
      <w:r w:rsidR="00A54EF7" w:rsidRPr="00A54EF7">
        <w:rPr>
          <w:rFonts w:ascii="Times New Roman" w:hAnsi="Times New Roman" w:cs="Times New Roman"/>
          <w:b/>
          <w:i/>
        </w:rPr>
        <w:t xml:space="preserve"> and the SADC Industrialisation Strategy,</w:t>
      </w:r>
      <w:r w:rsidR="00171BDF">
        <w:rPr>
          <w:rFonts w:ascii="Times New Roman" w:hAnsi="Times New Roman" w:cs="Times New Roman"/>
          <w:b/>
          <w:i/>
        </w:rPr>
        <w:t xml:space="preserve"> whi</w:t>
      </w:r>
      <w:r>
        <w:rPr>
          <w:rFonts w:ascii="Times New Roman" w:hAnsi="Times New Roman" w:cs="Times New Roman"/>
          <w:b/>
          <w:i/>
        </w:rPr>
        <w:t>ch anchors water as a catalyst for industrialisation.</w:t>
      </w:r>
      <w:r w:rsidR="00063550">
        <w:rPr>
          <w:rFonts w:ascii="Times New Roman" w:hAnsi="Times New Roman" w:cs="Times New Roman"/>
          <w:b/>
          <w:i/>
        </w:rPr>
        <w:t xml:space="preserve"> </w:t>
      </w:r>
    </w:p>
    <w:p w:rsidR="00522426" w:rsidRPr="001A5BDC" w:rsidRDefault="00522426" w:rsidP="00B75371">
      <w:pPr>
        <w:spacing w:after="0" w:line="360" w:lineRule="auto"/>
        <w:contextualSpacing/>
        <w:jc w:val="both"/>
        <w:rPr>
          <w:rFonts w:ascii="Times New Roman" w:hAnsi="Times New Roman" w:cs="Times New Roman"/>
          <w:b/>
          <w:i/>
          <w:sz w:val="16"/>
          <w:szCs w:val="16"/>
        </w:rPr>
      </w:pPr>
    </w:p>
    <w:p w:rsidR="00B75371" w:rsidRDefault="007C728E" w:rsidP="00B75371">
      <w:pPr>
        <w:spacing w:after="0" w:line="360" w:lineRule="auto"/>
        <w:contextualSpacing/>
        <w:jc w:val="both"/>
        <w:rPr>
          <w:rFonts w:ascii="Times New Roman" w:hAnsi="Times New Roman" w:cs="Times New Roman"/>
          <w:b/>
        </w:rPr>
      </w:pPr>
      <w:r>
        <w:rPr>
          <w:rFonts w:ascii="Times New Roman" w:hAnsi="Times New Roman" w:cs="Times New Roman"/>
          <w:b/>
        </w:rPr>
        <w:t>8.1.9</w:t>
      </w:r>
      <w:r w:rsidR="00B75371">
        <w:rPr>
          <w:rFonts w:ascii="Times New Roman" w:hAnsi="Times New Roman" w:cs="Times New Roman"/>
          <w:b/>
        </w:rPr>
        <w:tab/>
        <w:t>Departmental contribution to job creation</w:t>
      </w:r>
    </w:p>
    <w:p w:rsidR="00B75371" w:rsidRPr="001A5BDC" w:rsidRDefault="00B75371" w:rsidP="00B75371">
      <w:pPr>
        <w:spacing w:after="0" w:line="360" w:lineRule="auto"/>
        <w:contextualSpacing/>
        <w:jc w:val="both"/>
        <w:rPr>
          <w:rFonts w:ascii="Times New Roman" w:hAnsi="Times New Roman" w:cs="Times New Roman"/>
          <w:b/>
          <w:sz w:val="16"/>
          <w:szCs w:val="16"/>
        </w:rPr>
      </w:pPr>
    </w:p>
    <w:p w:rsidR="00B75371" w:rsidRDefault="00B75371" w:rsidP="00B75371">
      <w:pPr>
        <w:spacing w:after="0" w:line="360" w:lineRule="auto"/>
        <w:contextualSpacing/>
        <w:jc w:val="both"/>
        <w:rPr>
          <w:rFonts w:ascii="Times New Roman" w:hAnsi="Times New Roman" w:cs="Times New Roman"/>
        </w:rPr>
      </w:pPr>
      <w:r>
        <w:rPr>
          <w:rFonts w:ascii="Times New Roman" w:hAnsi="Times New Roman" w:cs="Times New Roman"/>
        </w:rPr>
        <w:t>Members of the Portfolio Committee maintained that the high unemployment rate in the country necessitated the need for the Department to contribute to creating jobs within the water and sanitation sector.</w:t>
      </w:r>
    </w:p>
    <w:p w:rsidR="00522426" w:rsidRPr="001A5BDC" w:rsidRDefault="00522426" w:rsidP="00B75371">
      <w:pPr>
        <w:spacing w:after="0" w:line="360" w:lineRule="auto"/>
        <w:contextualSpacing/>
        <w:jc w:val="both"/>
        <w:rPr>
          <w:rFonts w:ascii="Times New Roman" w:hAnsi="Times New Roman" w:cs="Times New Roman"/>
          <w:b/>
          <w:i/>
          <w:sz w:val="16"/>
          <w:szCs w:val="16"/>
        </w:rPr>
      </w:pPr>
    </w:p>
    <w:p w:rsidR="00B75371" w:rsidRPr="00063550" w:rsidRDefault="002224A5" w:rsidP="00B75371">
      <w:pPr>
        <w:spacing w:after="0" w:line="360" w:lineRule="auto"/>
        <w:contextualSpacing/>
        <w:jc w:val="both"/>
        <w:rPr>
          <w:rFonts w:ascii="Times New Roman" w:hAnsi="Times New Roman" w:cs="Times New Roman"/>
          <w:b/>
          <w:i/>
          <w:color w:val="FF0000"/>
        </w:rPr>
      </w:pPr>
      <w:r>
        <w:rPr>
          <w:rFonts w:ascii="Times New Roman" w:hAnsi="Times New Roman" w:cs="Times New Roman"/>
          <w:b/>
          <w:i/>
        </w:rPr>
        <w:t xml:space="preserve">The Portfolio Committee recommended that the comprehensive outlook framework on job creation within the sector, once finalised, </w:t>
      </w:r>
      <w:r w:rsidR="00171BDF">
        <w:rPr>
          <w:rFonts w:ascii="Times New Roman" w:hAnsi="Times New Roman" w:cs="Times New Roman"/>
          <w:b/>
          <w:i/>
        </w:rPr>
        <w:t>must be presented in a briefing within six (6) months.</w:t>
      </w:r>
      <w:r w:rsidR="00063550">
        <w:rPr>
          <w:rFonts w:ascii="Times New Roman" w:hAnsi="Times New Roman" w:cs="Times New Roman"/>
          <w:b/>
          <w:i/>
          <w:color w:val="FF0000"/>
        </w:rPr>
        <w:t xml:space="preserve"> </w:t>
      </w:r>
    </w:p>
    <w:p w:rsidR="004E5415" w:rsidRPr="001A5BDC" w:rsidRDefault="004E5415" w:rsidP="00B75371">
      <w:pPr>
        <w:spacing w:after="0" w:line="360" w:lineRule="auto"/>
        <w:contextualSpacing/>
        <w:jc w:val="both"/>
        <w:rPr>
          <w:rFonts w:ascii="Times New Roman" w:hAnsi="Times New Roman" w:cs="Times New Roman"/>
          <w:b/>
          <w:sz w:val="16"/>
          <w:szCs w:val="16"/>
        </w:rPr>
      </w:pPr>
    </w:p>
    <w:p w:rsidR="002224A5" w:rsidRDefault="007C728E" w:rsidP="00B75371">
      <w:pPr>
        <w:spacing w:after="0" w:line="360" w:lineRule="auto"/>
        <w:contextualSpacing/>
        <w:jc w:val="both"/>
        <w:rPr>
          <w:rFonts w:ascii="Times New Roman" w:hAnsi="Times New Roman" w:cs="Times New Roman"/>
          <w:b/>
        </w:rPr>
      </w:pPr>
      <w:r>
        <w:rPr>
          <w:rFonts w:ascii="Times New Roman" w:hAnsi="Times New Roman" w:cs="Times New Roman"/>
          <w:b/>
        </w:rPr>
        <w:t>8.2</w:t>
      </w:r>
      <w:r w:rsidR="002224A5">
        <w:rPr>
          <w:rFonts w:ascii="Times New Roman" w:hAnsi="Times New Roman" w:cs="Times New Roman"/>
          <w:b/>
        </w:rPr>
        <w:tab/>
        <w:t>Water Research Commission</w:t>
      </w:r>
    </w:p>
    <w:p w:rsidR="002224A5" w:rsidRDefault="002224A5" w:rsidP="00B75371">
      <w:pPr>
        <w:spacing w:after="0" w:line="360" w:lineRule="auto"/>
        <w:contextualSpacing/>
        <w:jc w:val="both"/>
        <w:rPr>
          <w:rFonts w:ascii="Times New Roman" w:hAnsi="Times New Roman" w:cs="Times New Roman"/>
          <w:b/>
          <w:sz w:val="16"/>
          <w:szCs w:val="16"/>
        </w:rPr>
      </w:pPr>
    </w:p>
    <w:p w:rsidR="00B51CD0" w:rsidRDefault="007C728E" w:rsidP="00B75371">
      <w:pPr>
        <w:spacing w:after="0" w:line="360" w:lineRule="auto"/>
        <w:contextualSpacing/>
        <w:jc w:val="both"/>
        <w:rPr>
          <w:rFonts w:ascii="Times New Roman" w:hAnsi="Times New Roman" w:cs="Times New Roman"/>
          <w:b/>
        </w:rPr>
      </w:pPr>
      <w:r>
        <w:rPr>
          <w:rFonts w:ascii="Times New Roman" w:hAnsi="Times New Roman" w:cs="Times New Roman"/>
          <w:b/>
        </w:rPr>
        <w:t>8.</w:t>
      </w:r>
      <w:r w:rsidR="00B51CD0">
        <w:rPr>
          <w:rFonts w:ascii="Times New Roman" w:hAnsi="Times New Roman" w:cs="Times New Roman"/>
          <w:b/>
        </w:rPr>
        <w:t>2.1</w:t>
      </w:r>
      <w:r w:rsidR="00B51CD0">
        <w:rPr>
          <w:rFonts w:ascii="Times New Roman" w:hAnsi="Times New Roman" w:cs="Times New Roman"/>
          <w:b/>
        </w:rPr>
        <w:tab/>
        <w:t>Limited use of WRC research products and technology</w:t>
      </w:r>
    </w:p>
    <w:p w:rsidR="00B51CD0" w:rsidRPr="00B51CD0" w:rsidRDefault="00B51CD0" w:rsidP="00B75371">
      <w:pPr>
        <w:spacing w:after="0" w:line="360" w:lineRule="auto"/>
        <w:contextualSpacing/>
        <w:jc w:val="both"/>
        <w:rPr>
          <w:rFonts w:ascii="Times New Roman" w:hAnsi="Times New Roman" w:cs="Times New Roman"/>
          <w:b/>
          <w:sz w:val="16"/>
          <w:szCs w:val="16"/>
        </w:rPr>
      </w:pPr>
    </w:p>
    <w:p w:rsidR="00BF7E52" w:rsidRDefault="002224A5" w:rsidP="002224A5">
      <w:pPr>
        <w:spacing w:after="0" w:line="360" w:lineRule="auto"/>
        <w:contextualSpacing/>
        <w:jc w:val="both"/>
        <w:rPr>
          <w:rFonts w:ascii="Times New Roman" w:hAnsi="Times New Roman" w:cs="Times New Roman"/>
        </w:rPr>
      </w:pPr>
      <w:r>
        <w:rPr>
          <w:rFonts w:ascii="Times New Roman" w:hAnsi="Times New Roman" w:cs="Times New Roman"/>
        </w:rPr>
        <w:t xml:space="preserve">Members of the Portfolio Committee expressed concerns </w:t>
      </w:r>
      <w:r w:rsidR="00A54EF7">
        <w:rPr>
          <w:rFonts w:ascii="Times New Roman" w:hAnsi="Times New Roman" w:cs="Times New Roman"/>
        </w:rPr>
        <w:t>about</w:t>
      </w:r>
      <w:r>
        <w:rPr>
          <w:rFonts w:ascii="Times New Roman" w:hAnsi="Times New Roman" w:cs="Times New Roman"/>
        </w:rPr>
        <w:t xml:space="preserve"> the limited or non-use of the extensive knowledge base on water and sanitation issues, the technology produced and </w:t>
      </w:r>
      <w:r w:rsidR="00A54EF7">
        <w:rPr>
          <w:rFonts w:ascii="Times New Roman" w:hAnsi="Times New Roman" w:cs="Times New Roman"/>
        </w:rPr>
        <w:t xml:space="preserve">the </w:t>
      </w:r>
      <w:r>
        <w:rPr>
          <w:rFonts w:ascii="Times New Roman" w:hAnsi="Times New Roman" w:cs="Times New Roman"/>
        </w:rPr>
        <w:t>amount of funding invested but under-utilisation by government departments.</w:t>
      </w:r>
    </w:p>
    <w:p w:rsidR="002224A5" w:rsidRPr="001A5BDC" w:rsidRDefault="002224A5" w:rsidP="002224A5">
      <w:pPr>
        <w:spacing w:after="0" w:line="360" w:lineRule="auto"/>
        <w:contextualSpacing/>
        <w:jc w:val="both"/>
        <w:rPr>
          <w:rFonts w:ascii="Times New Roman" w:hAnsi="Times New Roman" w:cs="Times New Roman"/>
          <w:sz w:val="16"/>
          <w:szCs w:val="16"/>
        </w:rPr>
      </w:pPr>
    </w:p>
    <w:p w:rsidR="00BF7E52" w:rsidRDefault="002224A5" w:rsidP="002224A5">
      <w:pPr>
        <w:spacing w:after="0" w:line="360" w:lineRule="auto"/>
        <w:contextualSpacing/>
        <w:jc w:val="both"/>
        <w:rPr>
          <w:rFonts w:ascii="Times New Roman" w:hAnsi="Times New Roman" w:cs="Times New Roman"/>
          <w:b/>
          <w:i/>
        </w:rPr>
      </w:pPr>
      <w:r>
        <w:rPr>
          <w:rFonts w:ascii="Times New Roman" w:hAnsi="Times New Roman" w:cs="Times New Roman"/>
          <w:b/>
          <w:i/>
        </w:rPr>
        <w:t xml:space="preserve">The Portfolio Committee recommended collaboration with government departments such as the Department of Trade and Industry and Competition, </w:t>
      </w:r>
      <w:r w:rsidR="00A54EF7">
        <w:rPr>
          <w:rFonts w:ascii="Times New Roman" w:hAnsi="Times New Roman" w:cs="Times New Roman"/>
          <w:b/>
          <w:i/>
        </w:rPr>
        <w:t xml:space="preserve">and </w:t>
      </w:r>
      <w:r>
        <w:rPr>
          <w:rFonts w:ascii="Times New Roman" w:hAnsi="Times New Roman" w:cs="Times New Roman"/>
          <w:b/>
          <w:i/>
        </w:rPr>
        <w:t xml:space="preserve">the Department of Cooperative Governance </w:t>
      </w:r>
      <w:r>
        <w:rPr>
          <w:rFonts w:ascii="Times New Roman" w:hAnsi="Times New Roman" w:cs="Times New Roman"/>
          <w:b/>
          <w:i/>
        </w:rPr>
        <w:lastRenderedPageBreak/>
        <w:t>and Traditional Affairs, to ensure the uptake and develop the industry for the mass production of these technologies.</w:t>
      </w:r>
    </w:p>
    <w:p w:rsidR="007E19D3" w:rsidRPr="00F80D2C" w:rsidRDefault="007E19D3" w:rsidP="002224A5">
      <w:pPr>
        <w:spacing w:after="0" w:line="360" w:lineRule="auto"/>
        <w:contextualSpacing/>
        <w:jc w:val="both"/>
        <w:rPr>
          <w:rFonts w:ascii="Times New Roman" w:hAnsi="Times New Roman" w:cs="Times New Roman"/>
          <w:b/>
          <w:i/>
          <w:sz w:val="16"/>
          <w:szCs w:val="16"/>
        </w:rPr>
      </w:pPr>
    </w:p>
    <w:p w:rsidR="002224A5" w:rsidRDefault="007C728E" w:rsidP="002224A5">
      <w:pPr>
        <w:spacing w:after="0" w:line="360" w:lineRule="auto"/>
        <w:contextualSpacing/>
        <w:jc w:val="both"/>
        <w:rPr>
          <w:rFonts w:ascii="Times New Roman" w:hAnsi="Times New Roman" w:cs="Times New Roman"/>
          <w:b/>
        </w:rPr>
      </w:pPr>
      <w:r>
        <w:rPr>
          <w:rFonts w:ascii="Times New Roman" w:hAnsi="Times New Roman" w:cs="Times New Roman"/>
          <w:b/>
        </w:rPr>
        <w:t>8</w:t>
      </w:r>
      <w:r w:rsidR="002224A5">
        <w:rPr>
          <w:rFonts w:ascii="Times New Roman" w:hAnsi="Times New Roman" w:cs="Times New Roman"/>
          <w:b/>
        </w:rPr>
        <w:t>.2.2</w:t>
      </w:r>
      <w:r w:rsidR="002224A5">
        <w:rPr>
          <w:rFonts w:ascii="Times New Roman" w:hAnsi="Times New Roman" w:cs="Times New Roman"/>
          <w:b/>
        </w:rPr>
        <w:tab/>
      </w:r>
      <w:r w:rsidR="00A54EF7">
        <w:rPr>
          <w:rFonts w:ascii="Times New Roman" w:hAnsi="Times New Roman" w:cs="Times New Roman"/>
          <w:b/>
        </w:rPr>
        <w:t>Groundwater</w:t>
      </w:r>
      <w:r w:rsidR="002224A5">
        <w:rPr>
          <w:rFonts w:ascii="Times New Roman" w:hAnsi="Times New Roman" w:cs="Times New Roman"/>
          <w:b/>
        </w:rPr>
        <w:t xml:space="preserve"> use programme</w:t>
      </w:r>
    </w:p>
    <w:p w:rsidR="002224A5" w:rsidRPr="001A5BDC" w:rsidRDefault="002224A5" w:rsidP="002224A5">
      <w:pPr>
        <w:spacing w:after="0" w:line="360" w:lineRule="auto"/>
        <w:contextualSpacing/>
        <w:jc w:val="both"/>
        <w:rPr>
          <w:rFonts w:ascii="Times New Roman" w:hAnsi="Times New Roman" w:cs="Times New Roman"/>
          <w:b/>
          <w:sz w:val="16"/>
          <w:szCs w:val="16"/>
        </w:rPr>
      </w:pPr>
    </w:p>
    <w:p w:rsidR="002224A5" w:rsidRDefault="002224A5" w:rsidP="002224A5">
      <w:pPr>
        <w:spacing w:after="0" w:line="360" w:lineRule="auto"/>
        <w:contextualSpacing/>
        <w:jc w:val="both"/>
        <w:rPr>
          <w:rFonts w:ascii="Times New Roman" w:hAnsi="Times New Roman" w:cs="Times New Roman"/>
        </w:rPr>
      </w:pPr>
      <w:r>
        <w:rPr>
          <w:rFonts w:ascii="Times New Roman" w:hAnsi="Times New Roman" w:cs="Times New Roman"/>
        </w:rPr>
        <w:t xml:space="preserve">Members of the Portfolio Committee required more information on the project that the WRC, in partnership with the Department, is currently working on, </w:t>
      </w:r>
      <w:r w:rsidR="00A54EF7">
        <w:rPr>
          <w:rFonts w:ascii="Times New Roman" w:hAnsi="Times New Roman" w:cs="Times New Roman"/>
        </w:rPr>
        <w:t>reviewing and updating</w:t>
      </w:r>
      <w:r>
        <w:rPr>
          <w:rFonts w:ascii="Times New Roman" w:hAnsi="Times New Roman" w:cs="Times New Roman"/>
        </w:rPr>
        <w:t xml:space="preserve"> maps to </w:t>
      </w:r>
      <w:r w:rsidR="00770772">
        <w:rPr>
          <w:rFonts w:ascii="Times New Roman" w:hAnsi="Times New Roman" w:cs="Times New Roman"/>
        </w:rPr>
        <w:t>detect groundwater supply.</w:t>
      </w:r>
      <w:r>
        <w:rPr>
          <w:rFonts w:ascii="Times New Roman" w:hAnsi="Times New Roman" w:cs="Times New Roman"/>
        </w:rPr>
        <w:t xml:space="preserve"> </w:t>
      </w:r>
      <w:r w:rsidR="00171BDF">
        <w:rPr>
          <w:rFonts w:ascii="Times New Roman" w:hAnsi="Times New Roman" w:cs="Times New Roman"/>
        </w:rPr>
        <w:t xml:space="preserve">The significance of the work of the Water Research Commission to utilise technologies and mechanisms to maximise </w:t>
      </w:r>
      <w:r w:rsidR="00043A30">
        <w:rPr>
          <w:rFonts w:ascii="Times New Roman" w:hAnsi="Times New Roman" w:cs="Times New Roman"/>
        </w:rPr>
        <w:t xml:space="preserve">the </w:t>
      </w:r>
      <w:r w:rsidR="00171BDF">
        <w:rPr>
          <w:rFonts w:ascii="Times New Roman" w:hAnsi="Times New Roman" w:cs="Times New Roman"/>
        </w:rPr>
        <w:t xml:space="preserve">use of groundwater should be optimally incorporated </w:t>
      </w:r>
      <w:r w:rsidR="00043A30">
        <w:rPr>
          <w:rFonts w:ascii="Times New Roman" w:hAnsi="Times New Roman" w:cs="Times New Roman"/>
        </w:rPr>
        <w:t>into</w:t>
      </w:r>
      <w:r w:rsidR="00171BDF">
        <w:rPr>
          <w:rFonts w:ascii="Times New Roman" w:hAnsi="Times New Roman" w:cs="Times New Roman"/>
        </w:rPr>
        <w:t xml:space="preserve"> the work of the Department.</w:t>
      </w:r>
    </w:p>
    <w:p w:rsidR="00770772" w:rsidRPr="001A5BDC" w:rsidRDefault="00770772" w:rsidP="002224A5">
      <w:pPr>
        <w:spacing w:after="0" w:line="360" w:lineRule="auto"/>
        <w:contextualSpacing/>
        <w:jc w:val="both"/>
        <w:rPr>
          <w:rFonts w:ascii="Times New Roman" w:hAnsi="Times New Roman" w:cs="Times New Roman"/>
          <w:sz w:val="16"/>
          <w:szCs w:val="16"/>
        </w:rPr>
      </w:pPr>
    </w:p>
    <w:p w:rsidR="00770772" w:rsidRPr="00EE2567" w:rsidRDefault="00770772" w:rsidP="002224A5">
      <w:pPr>
        <w:spacing w:after="0" w:line="360" w:lineRule="auto"/>
        <w:contextualSpacing/>
        <w:jc w:val="both"/>
        <w:rPr>
          <w:rFonts w:ascii="Times New Roman" w:hAnsi="Times New Roman" w:cs="Times New Roman"/>
          <w:b/>
          <w:i/>
          <w:color w:val="FF0000"/>
        </w:rPr>
      </w:pPr>
      <w:r>
        <w:rPr>
          <w:rFonts w:ascii="Times New Roman" w:hAnsi="Times New Roman" w:cs="Times New Roman"/>
          <w:b/>
          <w:i/>
        </w:rPr>
        <w:t xml:space="preserve">The Portfolio Committee recommended that the Department and the WRC present </w:t>
      </w:r>
      <w:r w:rsidR="00A54EF7">
        <w:rPr>
          <w:rFonts w:ascii="Times New Roman" w:hAnsi="Times New Roman" w:cs="Times New Roman"/>
          <w:b/>
          <w:i/>
        </w:rPr>
        <w:t>their</w:t>
      </w:r>
      <w:r>
        <w:rPr>
          <w:rFonts w:ascii="Times New Roman" w:hAnsi="Times New Roman" w:cs="Times New Roman"/>
          <w:b/>
          <w:i/>
        </w:rPr>
        <w:t xml:space="preserve"> findings on w</w:t>
      </w:r>
      <w:r w:rsidR="00171BDF">
        <w:rPr>
          <w:rFonts w:ascii="Times New Roman" w:hAnsi="Times New Roman" w:cs="Times New Roman"/>
          <w:b/>
          <w:i/>
        </w:rPr>
        <w:t>ork to detect groundwater supply, with focused action and implementation plans in this quarter.</w:t>
      </w:r>
    </w:p>
    <w:p w:rsidR="00770772" w:rsidRPr="001A5BDC" w:rsidRDefault="00770772" w:rsidP="002224A5">
      <w:pPr>
        <w:spacing w:after="0" w:line="360" w:lineRule="auto"/>
        <w:contextualSpacing/>
        <w:jc w:val="both"/>
        <w:rPr>
          <w:rFonts w:ascii="Times New Roman" w:hAnsi="Times New Roman" w:cs="Times New Roman"/>
          <w:b/>
          <w:i/>
          <w:sz w:val="16"/>
          <w:szCs w:val="16"/>
        </w:rPr>
      </w:pPr>
    </w:p>
    <w:p w:rsidR="00770772" w:rsidRDefault="007C728E" w:rsidP="002224A5">
      <w:pPr>
        <w:spacing w:after="0" w:line="360" w:lineRule="auto"/>
        <w:contextualSpacing/>
        <w:jc w:val="both"/>
        <w:rPr>
          <w:rFonts w:ascii="Times New Roman" w:hAnsi="Times New Roman" w:cs="Times New Roman"/>
          <w:b/>
        </w:rPr>
      </w:pPr>
      <w:r>
        <w:rPr>
          <w:rFonts w:ascii="Times New Roman" w:hAnsi="Times New Roman" w:cs="Times New Roman"/>
          <w:b/>
        </w:rPr>
        <w:t>8.2.3</w:t>
      </w:r>
      <w:r w:rsidR="00770772">
        <w:rPr>
          <w:rFonts w:ascii="Times New Roman" w:hAnsi="Times New Roman" w:cs="Times New Roman"/>
          <w:b/>
        </w:rPr>
        <w:t xml:space="preserve"> </w:t>
      </w:r>
      <w:r w:rsidR="00770772">
        <w:rPr>
          <w:rFonts w:ascii="Times New Roman" w:hAnsi="Times New Roman" w:cs="Times New Roman"/>
          <w:b/>
        </w:rPr>
        <w:tab/>
        <w:t xml:space="preserve">Use of the Aquatrip technology to detect water leaks </w:t>
      </w:r>
      <w:r w:rsidR="00171BDF">
        <w:rPr>
          <w:rFonts w:ascii="Times New Roman" w:hAnsi="Times New Roman" w:cs="Times New Roman"/>
          <w:b/>
        </w:rPr>
        <w:t>e</w:t>
      </w:r>
    </w:p>
    <w:p w:rsidR="00770772" w:rsidRPr="001A5BDC" w:rsidRDefault="00770772" w:rsidP="002224A5">
      <w:pPr>
        <w:spacing w:after="0" w:line="360" w:lineRule="auto"/>
        <w:contextualSpacing/>
        <w:jc w:val="both"/>
        <w:rPr>
          <w:rFonts w:ascii="Times New Roman" w:hAnsi="Times New Roman" w:cs="Times New Roman"/>
          <w:b/>
          <w:sz w:val="16"/>
          <w:szCs w:val="16"/>
        </w:rPr>
      </w:pPr>
    </w:p>
    <w:p w:rsidR="00770772" w:rsidRDefault="00770772" w:rsidP="002224A5">
      <w:pPr>
        <w:spacing w:after="0" w:line="360" w:lineRule="auto"/>
        <w:contextualSpacing/>
        <w:jc w:val="both"/>
        <w:rPr>
          <w:rFonts w:ascii="Times New Roman" w:hAnsi="Times New Roman" w:cs="Times New Roman"/>
        </w:rPr>
      </w:pPr>
      <w:r>
        <w:rPr>
          <w:rFonts w:ascii="Times New Roman" w:hAnsi="Times New Roman" w:cs="Times New Roman"/>
        </w:rPr>
        <w:t xml:space="preserve">Members of the Portfolio Committee sought more information on the use of the Aquatrip technology fitted to water pipes to monitor </w:t>
      </w:r>
      <w:r w:rsidR="00A54EF7">
        <w:rPr>
          <w:rFonts w:ascii="Times New Roman" w:hAnsi="Times New Roman" w:cs="Times New Roman"/>
        </w:rPr>
        <w:t>water flow</w:t>
      </w:r>
      <w:r>
        <w:rPr>
          <w:rFonts w:ascii="Times New Roman" w:hAnsi="Times New Roman" w:cs="Times New Roman"/>
        </w:rPr>
        <w:t xml:space="preserve"> over a period of time</w:t>
      </w:r>
      <w:r w:rsidR="00A54EF7">
        <w:rPr>
          <w:rFonts w:ascii="Times New Roman" w:hAnsi="Times New Roman" w:cs="Times New Roman"/>
        </w:rPr>
        <w:t>. If</w:t>
      </w:r>
      <w:r>
        <w:rPr>
          <w:rFonts w:ascii="Times New Roman" w:hAnsi="Times New Roman" w:cs="Times New Roman"/>
        </w:rPr>
        <w:t xml:space="preserve"> leaks are detected, the technology switches off and alerts the user of water leaks. Members queried whether these were produced locally.</w:t>
      </w:r>
    </w:p>
    <w:p w:rsidR="00770772" w:rsidRPr="001A5BDC" w:rsidRDefault="00770772" w:rsidP="002224A5">
      <w:pPr>
        <w:spacing w:after="0" w:line="360" w:lineRule="auto"/>
        <w:contextualSpacing/>
        <w:jc w:val="both"/>
        <w:rPr>
          <w:rFonts w:ascii="Times New Roman" w:hAnsi="Times New Roman" w:cs="Times New Roman"/>
          <w:sz w:val="16"/>
          <w:szCs w:val="16"/>
        </w:rPr>
      </w:pPr>
    </w:p>
    <w:p w:rsidR="00A54EF7" w:rsidRPr="00C41BEC" w:rsidRDefault="00770772" w:rsidP="00A6692E">
      <w:pPr>
        <w:spacing w:after="0" w:line="360" w:lineRule="auto"/>
        <w:contextualSpacing/>
        <w:jc w:val="both"/>
        <w:rPr>
          <w:rFonts w:ascii="Times New Roman" w:hAnsi="Times New Roman" w:cs="Times New Roman"/>
          <w:b/>
          <w:i/>
        </w:rPr>
      </w:pPr>
      <w:r>
        <w:rPr>
          <w:rFonts w:ascii="Times New Roman" w:hAnsi="Times New Roman" w:cs="Times New Roman"/>
          <w:b/>
          <w:i/>
        </w:rPr>
        <w:t xml:space="preserve">The Portfolio Committee recommended </w:t>
      </w:r>
      <w:r w:rsidR="00496004">
        <w:rPr>
          <w:rFonts w:ascii="Times New Roman" w:hAnsi="Times New Roman" w:cs="Times New Roman"/>
          <w:b/>
          <w:i/>
        </w:rPr>
        <w:t>visiting</w:t>
      </w:r>
      <w:r>
        <w:rPr>
          <w:rFonts w:ascii="Times New Roman" w:hAnsi="Times New Roman" w:cs="Times New Roman"/>
          <w:b/>
          <w:i/>
        </w:rPr>
        <w:t xml:space="preserve"> the Water Research Commission to receive a briefing</w:t>
      </w:r>
      <w:r w:rsidR="00A54EF7">
        <w:rPr>
          <w:rFonts w:ascii="Times New Roman" w:hAnsi="Times New Roman" w:cs="Times New Roman"/>
          <w:b/>
          <w:i/>
        </w:rPr>
        <w:t xml:space="preserve"> and see how the technology is utilised.</w:t>
      </w:r>
    </w:p>
    <w:p w:rsidR="00F80D2C" w:rsidRPr="001A5BDC" w:rsidRDefault="00F80D2C" w:rsidP="00A6692E">
      <w:pPr>
        <w:spacing w:after="0" w:line="360" w:lineRule="auto"/>
        <w:jc w:val="both"/>
        <w:rPr>
          <w:rFonts w:ascii="Times New Roman" w:hAnsi="Times New Roman" w:cs="Times New Roman"/>
          <w:b/>
          <w:sz w:val="16"/>
          <w:szCs w:val="16"/>
        </w:rPr>
      </w:pPr>
    </w:p>
    <w:p w:rsidR="00E95960"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54EF7">
        <w:rPr>
          <w:rFonts w:ascii="Times New Roman" w:hAnsi="Times New Roman" w:cs="Times New Roman"/>
          <w:b/>
        </w:rPr>
        <w:t>.</w:t>
      </w:r>
      <w:r w:rsidR="00A515E8">
        <w:rPr>
          <w:rFonts w:ascii="Times New Roman" w:hAnsi="Times New Roman" w:cs="Times New Roman"/>
          <w:b/>
        </w:rPr>
        <w:t>3</w:t>
      </w:r>
      <w:r w:rsidR="00E95960">
        <w:rPr>
          <w:rFonts w:ascii="Times New Roman" w:hAnsi="Times New Roman" w:cs="Times New Roman"/>
          <w:b/>
        </w:rPr>
        <w:tab/>
        <w:t>Catchment Management Agencies</w:t>
      </w:r>
    </w:p>
    <w:p w:rsidR="008032D0" w:rsidRPr="001A5BDC" w:rsidRDefault="008032D0" w:rsidP="00A6692E">
      <w:pPr>
        <w:spacing w:after="0" w:line="360" w:lineRule="auto"/>
        <w:jc w:val="both"/>
        <w:rPr>
          <w:rFonts w:ascii="Times New Roman" w:hAnsi="Times New Roman" w:cs="Times New Roman"/>
          <w:b/>
          <w:sz w:val="16"/>
          <w:szCs w:val="16"/>
          <w:vertAlign w:val="subscript"/>
        </w:rPr>
      </w:pPr>
    </w:p>
    <w:p w:rsidR="008032D0"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54EF7">
        <w:rPr>
          <w:rFonts w:ascii="Times New Roman" w:hAnsi="Times New Roman" w:cs="Times New Roman"/>
          <w:b/>
        </w:rPr>
        <w:t>.</w:t>
      </w:r>
      <w:r w:rsidR="00A515E8">
        <w:rPr>
          <w:rFonts w:ascii="Times New Roman" w:hAnsi="Times New Roman" w:cs="Times New Roman"/>
          <w:b/>
        </w:rPr>
        <w:t>3</w:t>
      </w:r>
      <w:r w:rsidR="00A54EF7">
        <w:rPr>
          <w:rFonts w:ascii="Times New Roman" w:hAnsi="Times New Roman" w:cs="Times New Roman"/>
          <w:b/>
        </w:rPr>
        <w:t>.1</w:t>
      </w:r>
      <w:r w:rsidR="00A54EF7">
        <w:rPr>
          <w:rFonts w:ascii="Times New Roman" w:hAnsi="Times New Roman" w:cs="Times New Roman"/>
          <w:b/>
        </w:rPr>
        <w:tab/>
      </w:r>
      <w:r w:rsidR="00AB7D0F">
        <w:rPr>
          <w:rFonts w:ascii="Times New Roman" w:hAnsi="Times New Roman" w:cs="Times New Roman"/>
          <w:b/>
        </w:rPr>
        <w:t xml:space="preserve">Breede-Gourtiz </w:t>
      </w:r>
    </w:p>
    <w:p w:rsidR="00AB7D0F" w:rsidRPr="001A5BDC" w:rsidRDefault="00AB7D0F" w:rsidP="00A6692E">
      <w:pPr>
        <w:spacing w:after="0" w:line="360" w:lineRule="auto"/>
        <w:jc w:val="both"/>
        <w:rPr>
          <w:rFonts w:ascii="Times New Roman" w:hAnsi="Times New Roman" w:cs="Times New Roman"/>
          <w:b/>
          <w:sz w:val="16"/>
          <w:szCs w:val="16"/>
        </w:rPr>
      </w:pPr>
    </w:p>
    <w:p w:rsidR="00AB7D0F"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.3</w:t>
      </w:r>
      <w:r w:rsidR="00AB7D0F">
        <w:rPr>
          <w:rFonts w:ascii="Times New Roman" w:hAnsi="Times New Roman" w:cs="Times New Roman"/>
          <w:b/>
        </w:rPr>
        <w:t>.1.1</w:t>
      </w:r>
      <w:r w:rsidR="00AB7D0F">
        <w:rPr>
          <w:rFonts w:ascii="Times New Roman" w:hAnsi="Times New Roman" w:cs="Times New Roman"/>
          <w:b/>
        </w:rPr>
        <w:tab/>
        <w:t>Drilling of boreholes</w:t>
      </w:r>
    </w:p>
    <w:p w:rsidR="00A54EF7" w:rsidRPr="001A5BDC" w:rsidRDefault="00A54EF7" w:rsidP="00A6692E">
      <w:pPr>
        <w:spacing w:after="0" w:line="360" w:lineRule="auto"/>
        <w:jc w:val="both"/>
        <w:rPr>
          <w:rFonts w:ascii="Times New Roman" w:hAnsi="Times New Roman" w:cs="Times New Roman"/>
          <w:b/>
          <w:sz w:val="16"/>
          <w:szCs w:val="16"/>
        </w:rPr>
      </w:pPr>
    </w:p>
    <w:p w:rsidR="00A54EF7" w:rsidRDefault="00AB7D0F" w:rsidP="00A6692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raised a question on whether farmers drilled their boreholes with the necessary general authorisation or a water use licence dependent on the water of abstracted water. </w:t>
      </w:r>
    </w:p>
    <w:p w:rsidR="00AB7D0F" w:rsidRPr="001A5BDC" w:rsidRDefault="00AB7D0F" w:rsidP="00A6692E">
      <w:pPr>
        <w:spacing w:after="0" w:line="360" w:lineRule="auto"/>
        <w:jc w:val="both"/>
        <w:rPr>
          <w:rFonts w:ascii="Times New Roman" w:hAnsi="Times New Roman" w:cs="Times New Roman"/>
          <w:sz w:val="16"/>
          <w:szCs w:val="16"/>
        </w:rPr>
      </w:pPr>
    </w:p>
    <w:p w:rsidR="00AB7D0F" w:rsidRPr="00AB7D0F" w:rsidRDefault="00AB7D0F" w:rsidP="00A6692E">
      <w:pPr>
        <w:spacing w:after="0" w:line="360" w:lineRule="auto"/>
        <w:jc w:val="both"/>
        <w:rPr>
          <w:rFonts w:ascii="Times New Roman" w:hAnsi="Times New Roman" w:cs="Times New Roman"/>
          <w:b/>
          <w:i/>
        </w:rPr>
      </w:pPr>
      <w:r>
        <w:rPr>
          <w:rFonts w:ascii="Times New Roman" w:hAnsi="Times New Roman" w:cs="Times New Roman"/>
          <w:b/>
          <w:i/>
        </w:rPr>
        <w:t xml:space="preserve">The Portfolio Committee recommended that a briefing be scheduled with the Department and Catchment Management Agency to obtain substantive information on general authorisation and water use licences for abstracted water through </w:t>
      </w:r>
      <w:r w:rsidR="00C41BEC">
        <w:rPr>
          <w:rFonts w:ascii="Times New Roman" w:hAnsi="Times New Roman" w:cs="Times New Roman"/>
          <w:b/>
          <w:i/>
        </w:rPr>
        <w:t xml:space="preserve">the </w:t>
      </w:r>
      <w:r>
        <w:rPr>
          <w:rFonts w:ascii="Times New Roman" w:hAnsi="Times New Roman" w:cs="Times New Roman"/>
          <w:b/>
          <w:i/>
        </w:rPr>
        <w:t>drilling of boreholes.</w:t>
      </w:r>
    </w:p>
    <w:p w:rsidR="007C728E" w:rsidRDefault="007C728E" w:rsidP="00A6692E">
      <w:pPr>
        <w:spacing w:after="0" w:line="360" w:lineRule="auto"/>
        <w:jc w:val="both"/>
        <w:rPr>
          <w:rFonts w:ascii="Times New Roman" w:hAnsi="Times New Roman" w:cs="Times New Roman"/>
          <w:sz w:val="16"/>
          <w:szCs w:val="16"/>
        </w:rPr>
      </w:pPr>
    </w:p>
    <w:p w:rsidR="00FD168C" w:rsidRDefault="00FD168C" w:rsidP="00A6692E">
      <w:pPr>
        <w:spacing w:after="0" w:line="360" w:lineRule="auto"/>
        <w:jc w:val="both"/>
        <w:rPr>
          <w:rFonts w:ascii="Times New Roman" w:hAnsi="Times New Roman" w:cs="Times New Roman"/>
          <w:sz w:val="16"/>
          <w:szCs w:val="16"/>
        </w:rPr>
      </w:pPr>
    </w:p>
    <w:p w:rsidR="00FD168C" w:rsidRDefault="00FD168C" w:rsidP="00A6692E">
      <w:pPr>
        <w:spacing w:after="0" w:line="360" w:lineRule="auto"/>
        <w:jc w:val="both"/>
        <w:rPr>
          <w:rFonts w:ascii="Times New Roman" w:hAnsi="Times New Roman" w:cs="Times New Roman"/>
          <w:sz w:val="16"/>
          <w:szCs w:val="16"/>
        </w:rPr>
      </w:pPr>
    </w:p>
    <w:p w:rsidR="00FD168C" w:rsidRDefault="00FD168C" w:rsidP="00A6692E">
      <w:pPr>
        <w:spacing w:after="0" w:line="360" w:lineRule="auto"/>
        <w:jc w:val="both"/>
        <w:rPr>
          <w:rFonts w:ascii="Times New Roman" w:hAnsi="Times New Roman" w:cs="Times New Roman"/>
          <w:sz w:val="16"/>
          <w:szCs w:val="16"/>
        </w:rPr>
      </w:pPr>
    </w:p>
    <w:p w:rsidR="00FD168C" w:rsidRDefault="00FD168C" w:rsidP="00A6692E">
      <w:pPr>
        <w:spacing w:after="0" w:line="360" w:lineRule="auto"/>
        <w:jc w:val="both"/>
        <w:rPr>
          <w:rFonts w:ascii="Times New Roman" w:hAnsi="Times New Roman" w:cs="Times New Roman"/>
          <w:sz w:val="16"/>
          <w:szCs w:val="16"/>
        </w:rPr>
      </w:pPr>
    </w:p>
    <w:p w:rsidR="00FD168C" w:rsidRPr="001A5BDC" w:rsidRDefault="00FD168C" w:rsidP="00A6692E">
      <w:pPr>
        <w:spacing w:after="0" w:line="360" w:lineRule="auto"/>
        <w:jc w:val="both"/>
        <w:rPr>
          <w:rFonts w:ascii="Times New Roman" w:hAnsi="Times New Roman" w:cs="Times New Roman"/>
          <w:sz w:val="16"/>
          <w:szCs w:val="16"/>
        </w:rPr>
      </w:pPr>
    </w:p>
    <w:p w:rsidR="00AB7D0F" w:rsidRDefault="007C728E" w:rsidP="00A6692E">
      <w:pPr>
        <w:spacing w:after="0" w:line="360" w:lineRule="auto"/>
        <w:jc w:val="both"/>
        <w:rPr>
          <w:rFonts w:ascii="Times New Roman" w:hAnsi="Times New Roman" w:cs="Times New Roman"/>
          <w:b/>
        </w:rPr>
      </w:pPr>
      <w:r>
        <w:rPr>
          <w:rFonts w:ascii="Times New Roman" w:hAnsi="Times New Roman" w:cs="Times New Roman"/>
          <w:b/>
        </w:rPr>
        <w:lastRenderedPageBreak/>
        <w:t>8</w:t>
      </w:r>
      <w:r w:rsidR="00A515E8">
        <w:rPr>
          <w:rFonts w:ascii="Times New Roman" w:hAnsi="Times New Roman" w:cs="Times New Roman"/>
          <w:b/>
        </w:rPr>
        <w:t>.3</w:t>
      </w:r>
      <w:r w:rsidR="00AB7D0F">
        <w:rPr>
          <w:rFonts w:ascii="Times New Roman" w:hAnsi="Times New Roman" w:cs="Times New Roman"/>
          <w:b/>
        </w:rPr>
        <w:t>.1.2</w:t>
      </w:r>
      <w:r w:rsidR="00AB7D0F">
        <w:rPr>
          <w:rFonts w:ascii="Times New Roman" w:hAnsi="Times New Roman" w:cs="Times New Roman"/>
          <w:b/>
        </w:rPr>
        <w:tab/>
        <w:t>Rollover of unspent funds</w:t>
      </w:r>
    </w:p>
    <w:p w:rsidR="00AB7D0F" w:rsidRPr="001A5BDC" w:rsidRDefault="00AB7D0F" w:rsidP="00A6692E">
      <w:pPr>
        <w:spacing w:after="0" w:line="360" w:lineRule="auto"/>
        <w:jc w:val="both"/>
        <w:rPr>
          <w:rFonts w:ascii="Times New Roman" w:hAnsi="Times New Roman" w:cs="Times New Roman"/>
          <w:b/>
          <w:sz w:val="16"/>
          <w:szCs w:val="16"/>
        </w:rPr>
      </w:pPr>
    </w:p>
    <w:p w:rsidR="00AB7D0F" w:rsidRDefault="00AB7D0F" w:rsidP="00A6692E">
      <w:pPr>
        <w:spacing w:after="0" w:line="360" w:lineRule="auto"/>
        <w:jc w:val="both"/>
        <w:rPr>
          <w:rFonts w:ascii="Times New Roman" w:hAnsi="Times New Roman" w:cs="Times New Roman"/>
        </w:rPr>
      </w:pPr>
      <w:r>
        <w:rPr>
          <w:rFonts w:ascii="Times New Roman" w:hAnsi="Times New Roman" w:cs="Times New Roman"/>
        </w:rPr>
        <w:t>Members of the Portfolio Committee rais</w:t>
      </w:r>
      <w:r w:rsidR="00A96638">
        <w:rPr>
          <w:rFonts w:ascii="Times New Roman" w:hAnsi="Times New Roman" w:cs="Times New Roman"/>
        </w:rPr>
        <w:t>ed a question on the rollover of unspent funds due to</w:t>
      </w:r>
      <w:r>
        <w:rPr>
          <w:rFonts w:ascii="Times New Roman" w:hAnsi="Times New Roman" w:cs="Times New Roman"/>
        </w:rPr>
        <w:t xml:space="preserve"> </w:t>
      </w:r>
      <w:r w:rsidR="00A96638">
        <w:rPr>
          <w:rFonts w:ascii="Times New Roman" w:hAnsi="Times New Roman" w:cs="Times New Roman"/>
        </w:rPr>
        <w:t>the</w:t>
      </w:r>
      <w:r>
        <w:rPr>
          <w:rFonts w:ascii="Times New Roman" w:hAnsi="Times New Roman" w:cs="Times New Roman"/>
        </w:rPr>
        <w:t xml:space="preserve"> late receiving of funds from the Department and committed funds for validation and verification</w:t>
      </w:r>
      <w:r w:rsidR="00A96638">
        <w:rPr>
          <w:rFonts w:ascii="Times New Roman" w:hAnsi="Times New Roman" w:cs="Times New Roman"/>
        </w:rPr>
        <w:t xml:space="preserve"> of water users.</w:t>
      </w:r>
    </w:p>
    <w:p w:rsidR="00A96638" w:rsidRPr="001A5BDC" w:rsidRDefault="00A96638" w:rsidP="00A6692E">
      <w:pPr>
        <w:spacing w:after="0" w:line="360" w:lineRule="auto"/>
        <w:jc w:val="both"/>
        <w:rPr>
          <w:rFonts w:ascii="Times New Roman" w:hAnsi="Times New Roman" w:cs="Times New Roman"/>
          <w:sz w:val="16"/>
          <w:szCs w:val="16"/>
        </w:rPr>
      </w:pPr>
    </w:p>
    <w:p w:rsidR="00A96638" w:rsidRPr="00A96638" w:rsidRDefault="00A96638" w:rsidP="00A6692E">
      <w:pPr>
        <w:spacing w:after="0" w:line="360" w:lineRule="auto"/>
        <w:jc w:val="both"/>
        <w:rPr>
          <w:rFonts w:ascii="Times New Roman" w:hAnsi="Times New Roman" w:cs="Times New Roman"/>
          <w:i/>
        </w:rPr>
      </w:pPr>
      <w:r w:rsidRPr="00A96638">
        <w:rPr>
          <w:rFonts w:ascii="Times New Roman" w:hAnsi="Times New Roman" w:cs="Times New Roman"/>
          <w:b/>
          <w:i/>
        </w:rPr>
        <w:t xml:space="preserve">The Portfolio Committee recommended that a briefing be scheduled with the Department and Breede-Gouritz on late payment by the Department, which results in rollovers, </w:t>
      </w:r>
      <w:r w:rsidR="00C41BEC">
        <w:rPr>
          <w:rFonts w:ascii="Times New Roman" w:hAnsi="Times New Roman" w:cs="Times New Roman"/>
          <w:b/>
          <w:i/>
        </w:rPr>
        <w:t xml:space="preserve">a </w:t>
      </w:r>
      <w:r w:rsidRPr="00A96638">
        <w:rPr>
          <w:rFonts w:ascii="Times New Roman" w:hAnsi="Times New Roman" w:cs="Times New Roman"/>
          <w:b/>
          <w:i/>
        </w:rPr>
        <w:t>progress report from the Agency to confirm registered volumes of water use, as well as programmes such as the removal of alien invasive species and distribution of rainwater harvesting tanks due to the lockdown.</w:t>
      </w:r>
    </w:p>
    <w:p w:rsidR="00E95960" w:rsidRPr="001A5BDC" w:rsidRDefault="00E95960" w:rsidP="00A6692E">
      <w:pPr>
        <w:spacing w:after="0" w:line="360" w:lineRule="auto"/>
        <w:jc w:val="both"/>
        <w:rPr>
          <w:rFonts w:ascii="Times New Roman" w:hAnsi="Times New Roman" w:cs="Times New Roman"/>
          <w:b/>
          <w:sz w:val="16"/>
          <w:szCs w:val="16"/>
        </w:rPr>
      </w:pPr>
    </w:p>
    <w:p w:rsidR="00E95960"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C41BEC">
        <w:rPr>
          <w:rFonts w:ascii="Times New Roman" w:hAnsi="Times New Roman" w:cs="Times New Roman"/>
          <w:b/>
        </w:rPr>
        <w:t>.</w:t>
      </w:r>
      <w:r w:rsidR="00A515E8">
        <w:rPr>
          <w:rFonts w:ascii="Times New Roman" w:hAnsi="Times New Roman" w:cs="Times New Roman"/>
          <w:b/>
        </w:rPr>
        <w:t>3</w:t>
      </w:r>
      <w:r w:rsidR="00C41BEC">
        <w:rPr>
          <w:rFonts w:ascii="Times New Roman" w:hAnsi="Times New Roman" w:cs="Times New Roman"/>
          <w:b/>
        </w:rPr>
        <w:t>.2</w:t>
      </w:r>
      <w:r w:rsidR="00C41BEC">
        <w:rPr>
          <w:rFonts w:ascii="Times New Roman" w:hAnsi="Times New Roman" w:cs="Times New Roman"/>
          <w:b/>
        </w:rPr>
        <w:tab/>
        <w:t xml:space="preserve">Inkomati-Usuthu </w:t>
      </w:r>
    </w:p>
    <w:p w:rsidR="00E95960" w:rsidRPr="001A5BDC" w:rsidRDefault="00E95960" w:rsidP="00A6692E">
      <w:pPr>
        <w:spacing w:after="0" w:line="360" w:lineRule="auto"/>
        <w:jc w:val="both"/>
        <w:rPr>
          <w:rFonts w:ascii="Times New Roman" w:hAnsi="Times New Roman" w:cs="Times New Roman"/>
          <w:b/>
          <w:sz w:val="16"/>
          <w:szCs w:val="16"/>
        </w:rPr>
      </w:pPr>
    </w:p>
    <w:p w:rsidR="007879B3" w:rsidRDefault="00A515E8" w:rsidP="00A6692E">
      <w:pPr>
        <w:spacing w:after="0" w:line="360" w:lineRule="auto"/>
        <w:jc w:val="both"/>
        <w:rPr>
          <w:rFonts w:ascii="Times New Roman" w:hAnsi="Times New Roman" w:cs="Times New Roman"/>
          <w:b/>
        </w:rPr>
      </w:pPr>
      <w:r>
        <w:rPr>
          <w:rFonts w:ascii="Times New Roman" w:hAnsi="Times New Roman" w:cs="Times New Roman"/>
          <w:b/>
        </w:rPr>
        <w:t>8.3</w:t>
      </w:r>
      <w:r w:rsidR="007879B3">
        <w:rPr>
          <w:rFonts w:ascii="Times New Roman" w:hAnsi="Times New Roman" w:cs="Times New Roman"/>
          <w:b/>
        </w:rPr>
        <w:t>.2.1</w:t>
      </w:r>
      <w:r w:rsidR="007879B3">
        <w:rPr>
          <w:rFonts w:ascii="Times New Roman" w:hAnsi="Times New Roman" w:cs="Times New Roman"/>
          <w:b/>
        </w:rPr>
        <w:tab/>
        <w:t>Job creation</w:t>
      </w:r>
    </w:p>
    <w:p w:rsidR="007879B3" w:rsidRPr="001A5BDC" w:rsidRDefault="007879B3" w:rsidP="00A6692E">
      <w:pPr>
        <w:spacing w:after="0" w:line="360" w:lineRule="auto"/>
        <w:jc w:val="both"/>
        <w:rPr>
          <w:rFonts w:ascii="Times New Roman" w:hAnsi="Times New Roman" w:cs="Times New Roman"/>
          <w:b/>
          <w:sz w:val="16"/>
          <w:szCs w:val="16"/>
        </w:rPr>
      </w:pPr>
    </w:p>
    <w:p w:rsidR="007879B3" w:rsidRDefault="007879B3" w:rsidP="00A6692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raised concerns </w:t>
      </w:r>
      <w:r w:rsidR="00CD3205">
        <w:rPr>
          <w:rFonts w:ascii="Times New Roman" w:hAnsi="Times New Roman" w:cs="Times New Roman"/>
        </w:rPr>
        <w:t>about</w:t>
      </w:r>
      <w:r>
        <w:rPr>
          <w:rFonts w:ascii="Times New Roman" w:hAnsi="Times New Roman" w:cs="Times New Roman"/>
        </w:rPr>
        <w:t xml:space="preserve"> the ability of the agency to create jobs in the agency’s area of operations in the short and long term.</w:t>
      </w:r>
    </w:p>
    <w:p w:rsidR="007879B3" w:rsidRPr="001A5BDC" w:rsidRDefault="007879B3" w:rsidP="00A6692E">
      <w:pPr>
        <w:spacing w:after="0" w:line="360" w:lineRule="auto"/>
        <w:jc w:val="both"/>
        <w:rPr>
          <w:rFonts w:ascii="Times New Roman" w:hAnsi="Times New Roman" w:cs="Times New Roman"/>
          <w:sz w:val="16"/>
          <w:szCs w:val="16"/>
        </w:rPr>
      </w:pPr>
    </w:p>
    <w:p w:rsidR="00E95960" w:rsidRDefault="007879B3" w:rsidP="00A6692E">
      <w:pPr>
        <w:spacing w:after="0" w:line="360" w:lineRule="auto"/>
        <w:jc w:val="both"/>
        <w:rPr>
          <w:rFonts w:ascii="Times New Roman" w:hAnsi="Times New Roman" w:cs="Times New Roman"/>
          <w:b/>
          <w:i/>
        </w:rPr>
      </w:pPr>
      <w:r>
        <w:rPr>
          <w:rFonts w:ascii="Times New Roman" w:hAnsi="Times New Roman" w:cs="Times New Roman"/>
          <w:b/>
          <w:i/>
        </w:rPr>
        <w:t xml:space="preserve">The Portfolio Committee recommended that a written response be provided on job creation opportunities </w:t>
      </w:r>
      <w:r w:rsidR="00CD3205">
        <w:rPr>
          <w:rFonts w:ascii="Times New Roman" w:hAnsi="Times New Roman" w:cs="Times New Roman"/>
          <w:b/>
          <w:i/>
        </w:rPr>
        <w:t>regarding</w:t>
      </w:r>
      <w:r>
        <w:rPr>
          <w:rFonts w:ascii="Times New Roman" w:hAnsi="Times New Roman" w:cs="Times New Roman"/>
          <w:b/>
          <w:i/>
        </w:rPr>
        <w:t xml:space="preserve"> </w:t>
      </w:r>
      <w:r w:rsidR="004B3D10">
        <w:rPr>
          <w:rFonts w:ascii="Times New Roman" w:hAnsi="Times New Roman" w:cs="Times New Roman"/>
          <w:b/>
          <w:i/>
        </w:rPr>
        <w:t>installing</w:t>
      </w:r>
      <w:r>
        <w:rPr>
          <w:rFonts w:ascii="Times New Roman" w:hAnsi="Times New Roman" w:cs="Times New Roman"/>
          <w:b/>
          <w:i/>
        </w:rPr>
        <w:t xml:space="preserve"> water tanks and clearance of invasive alien species and other future </w:t>
      </w:r>
      <w:r w:rsidR="00CD3205">
        <w:rPr>
          <w:rFonts w:ascii="Times New Roman" w:hAnsi="Times New Roman" w:cs="Times New Roman"/>
          <w:b/>
          <w:i/>
        </w:rPr>
        <w:t>agency projects</w:t>
      </w:r>
      <w:r>
        <w:rPr>
          <w:rFonts w:ascii="Times New Roman" w:hAnsi="Times New Roman" w:cs="Times New Roman"/>
          <w:b/>
          <w:i/>
        </w:rPr>
        <w:t>.</w:t>
      </w:r>
    </w:p>
    <w:p w:rsidR="00522426" w:rsidRPr="004B3D10" w:rsidRDefault="00522426" w:rsidP="00A6692E">
      <w:pPr>
        <w:spacing w:after="0" w:line="360" w:lineRule="auto"/>
        <w:jc w:val="both"/>
        <w:rPr>
          <w:rFonts w:ascii="Times New Roman" w:hAnsi="Times New Roman" w:cs="Times New Roman"/>
          <w:b/>
          <w:i/>
          <w:sz w:val="16"/>
          <w:szCs w:val="16"/>
        </w:rPr>
      </w:pPr>
    </w:p>
    <w:p w:rsidR="007879B3" w:rsidRPr="007879B3"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.3</w:t>
      </w:r>
      <w:r w:rsidR="007879B3">
        <w:rPr>
          <w:rFonts w:ascii="Times New Roman" w:hAnsi="Times New Roman" w:cs="Times New Roman"/>
          <w:b/>
        </w:rPr>
        <w:t>.2.2</w:t>
      </w:r>
      <w:r w:rsidR="007879B3">
        <w:rPr>
          <w:rFonts w:ascii="Times New Roman" w:hAnsi="Times New Roman" w:cs="Times New Roman"/>
          <w:b/>
        </w:rPr>
        <w:tab/>
        <w:t>Role of the agency in the transformation of irrigation boards to water use associations</w:t>
      </w:r>
    </w:p>
    <w:p w:rsidR="00496004" w:rsidRPr="004B3D10" w:rsidRDefault="00496004" w:rsidP="00A6692E">
      <w:pPr>
        <w:spacing w:after="0" w:line="360" w:lineRule="auto"/>
        <w:jc w:val="both"/>
        <w:rPr>
          <w:rFonts w:ascii="Times New Roman" w:hAnsi="Times New Roman" w:cs="Times New Roman"/>
          <w:b/>
          <w:sz w:val="16"/>
          <w:szCs w:val="16"/>
        </w:rPr>
      </w:pPr>
    </w:p>
    <w:p w:rsidR="007879B3" w:rsidRDefault="007879B3" w:rsidP="00A6692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requested more information on the </w:t>
      </w:r>
      <w:r w:rsidR="00CD3205">
        <w:rPr>
          <w:rFonts w:ascii="Times New Roman" w:hAnsi="Times New Roman" w:cs="Times New Roman"/>
        </w:rPr>
        <w:t>agency’s role</w:t>
      </w:r>
      <w:r>
        <w:rPr>
          <w:rFonts w:ascii="Times New Roman" w:hAnsi="Times New Roman" w:cs="Times New Roman"/>
        </w:rPr>
        <w:t xml:space="preserve"> in </w:t>
      </w:r>
      <w:r w:rsidR="00CD3205">
        <w:rPr>
          <w:rFonts w:ascii="Times New Roman" w:hAnsi="Times New Roman" w:cs="Times New Roman"/>
        </w:rPr>
        <w:t>transforming</w:t>
      </w:r>
      <w:r>
        <w:rPr>
          <w:rFonts w:ascii="Times New Roman" w:hAnsi="Times New Roman" w:cs="Times New Roman"/>
        </w:rPr>
        <w:t xml:space="preserve"> irrigation boards </w:t>
      </w:r>
      <w:r w:rsidR="00CD3205">
        <w:rPr>
          <w:rFonts w:ascii="Times New Roman" w:hAnsi="Times New Roman" w:cs="Times New Roman"/>
        </w:rPr>
        <w:t>into</w:t>
      </w:r>
      <w:r>
        <w:rPr>
          <w:rFonts w:ascii="Times New Roman" w:hAnsi="Times New Roman" w:cs="Times New Roman"/>
        </w:rPr>
        <w:t xml:space="preserve"> water use associations within the catchment management area.</w:t>
      </w:r>
    </w:p>
    <w:p w:rsidR="007879B3" w:rsidRPr="004B3D10" w:rsidRDefault="007879B3" w:rsidP="00A6692E">
      <w:pPr>
        <w:spacing w:after="0" w:line="360" w:lineRule="auto"/>
        <w:jc w:val="both"/>
        <w:rPr>
          <w:rFonts w:ascii="Times New Roman" w:hAnsi="Times New Roman" w:cs="Times New Roman"/>
          <w:sz w:val="16"/>
          <w:szCs w:val="16"/>
        </w:rPr>
      </w:pPr>
    </w:p>
    <w:p w:rsidR="00496004" w:rsidRPr="00B26F6C" w:rsidRDefault="007879B3" w:rsidP="00A6692E">
      <w:pPr>
        <w:spacing w:after="0" w:line="360" w:lineRule="auto"/>
        <w:jc w:val="both"/>
        <w:rPr>
          <w:rFonts w:ascii="Times New Roman" w:hAnsi="Times New Roman" w:cs="Times New Roman"/>
          <w:b/>
          <w:i/>
        </w:rPr>
      </w:pPr>
      <w:r>
        <w:rPr>
          <w:rFonts w:ascii="Times New Roman" w:hAnsi="Times New Roman" w:cs="Times New Roman"/>
          <w:b/>
          <w:i/>
        </w:rPr>
        <w:t>The Portfolio Committee recommended a written response</w:t>
      </w:r>
      <w:r w:rsidR="00B26F6C">
        <w:rPr>
          <w:rFonts w:ascii="Times New Roman" w:hAnsi="Times New Roman" w:cs="Times New Roman"/>
          <w:b/>
          <w:i/>
        </w:rPr>
        <w:t xml:space="preserve"> on the progress</w:t>
      </w:r>
      <w:r>
        <w:rPr>
          <w:rFonts w:ascii="Times New Roman" w:hAnsi="Times New Roman" w:cs="Times New Roman"/>
          <w:b/>
          <w:i/>
        </w:rPr>
        <w:t xml:space="preserve"> </w:t>
      </w:r>
      <w:r w:rsidR="00CD3205">
        <w:rPr>
          <w:rFonts w:ascii="Times New Roman" w:hAnsi="Times New Roman" w:cs="Times New Roman"/>
          <w:b/>
          <w:i/>
        </w:rPr>
        <w:t>of</w:t>
      </w:r>
      <w:r>
        <w:rPr>
          <w:rFonts w:ascii="Times New Roman" w:hAnsi="Times New Roman" w:cs="Times New Roman"/>
          <w:b/>
          <w:i/>
        </w:rPr>
        <w:t xml:space="preserve"> </w:t>
      </w:r>
      <w:r w:rsidR="00CD3205" w:rsidRPr="00CD3205">
        <w:rPr>
          <w:rFonts w:ascii="Times New Roman" w:hAnsi="Times New Roman" w:cs="Times New Roman"/>
          <w:b/>
          <w:i/>
        </w:rPr>
        <w:t xml:space="preserve">setting up an internal task team to facilitate and fast-track the transformation of irrigation boards </w:t>
      </w:r>
      <w:r w:rsidR="00CD3205">
        <w:rPr>
          <w:rFonts w:ascii="Times New Roman" w:hAnsi="Times New Roman" w:cs="Times New Roman"/>
          <w:b/>
          <w:i/>
        </w:rPr>
        <w:t>into</w:t>
      </w:r>
      <w:r w:rsidR="00CD3205" w:rsidRPr="00CD3205">
        <w:rPr>
          <w:rFonts w:ascii="Times New Roman" w:hAnsi="Times New Roman" w:cs="Times New Roman"/>
          <w:b/>
          <w:i/>
        </w:rPr>
        <w:t xml:space="preserve"> water user associations. The</w:t>
      </w:r>
      <w:r w:rsidR="00B26F6C">
        <w:rPr>
          <w:rFonts w:ascii="Times New Roman" w:hAnsi="Times New Roman" w:cs="Times New Roman"/>
          <w:b/>
          <w:i/>
        </w:rPr>
        <w:t xml:space="preserve"> intention is to transform the 26 irrigation boards </w:t>
      </w:r>
      <w:r w:rsidR="00CD3205">
        <w:rPr>
          <w:rFonts w:ascii="Times New Roman" w:hAnsi="Times New Roman" w:cs="Times New Roman"/>
          <w:b/>
          <w:i/>
        </w:rPr>
        <w:t>into</w:t>
      </w:r>
      <w:r w:rsidR="00B26F6C">
        <w:rPr>
          <w:rFonts w:ascii="Times New Roman" w:hAnsi="Times New Roman" w:cs="Times New Roman"/>
          <w:b/>
          <w:i/>
        </w:rPr>
        <w:t xml:space="preserve"> </w:t>
      </w:r>
      <w:r w:rsidR="00CD3205">
        <w:rPr>
          <w:rFonts w:ascii="Times New Roman" w:hAnsi="Times New Roman" w:cs="Times New Roman"/>
          <w:b/>
          <w:i/>
        </w:rPr>
        <w:t>two</w:t>
      </w:r>
      <w:r w:rsidR="00B26F6C">
        <w:rPr>
          <w:rFonts w:ascii="Times New Roman" w:hAnsi="Times New Roman" w:cs="Times New Roman"/>
          <w:b/>
          <w:i/>
        </w:rPr>
        <w:t xml:space="preserve"> water user associations.</w:t>
      </w:r>
    </w:p>
    <w:p w:rsidR="006D3EE9" w:rsidRPr="004B3D10" w:rsidRDefault="006D3EE9" w:rsidP="00A6692E">
      <w:pPr>
        <w:spacing w:after="0" w:line="360" w:lineRule="auto"/>
        <w:jc w:val="both"/>
        <w:rPr>
          <w:rFonts w:ascii="Times New Roman" w:hAnsi="Times New Roman" w:cs="Times New Roman"/>
          <w:b/>
          <w:sz w:val="16"/>
          <w:szCs w:val="16"/>
        </w:rPr>
      </w:pPr>
    </w:p>
    <w:p w:rsidR="006D3EE9" w:rsidRDefault="007C728E" w:rsidP="00A6692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.3</w:t>
      </w:r>
      <w:r w:rsidR="00B26F6C">
        <w:rPr>
          <w:rFonts w:ascii="Times New Roman" w:hAnsi="Times New Roman" w:cs="Times New Roman"/>
          <w:b/>
        </w:rPr>
        <w:t>.2.3</w:t>
      </w:r>
      <w:r w:rsidR="00B26F6C">
        <w:rPr>
          <w:rFonts w:ascii="Times New Roman" w:hAnsi="Times New Roman" w:cs="Times New Roman"/>
          <w:b/>
        </w:rPr>
        <w:tab/>
        <w:t>Allocation to B</w:t>
      </w:r>
      <w:r w:rsidR="00B51CD0">
        <w:rPr>
          <w:rFonts w:ascii="Times New Roman" w:hAnsi="Times New Roman" w:cs="Times New Roman"/>
          <w:b/>
        </w:rPr>
        <w:t>road-Based Black Empowerment (BBBEE)</w:t>
      </w:r>
      <w:r w:rsidR="00B26F6C">
        <w:rPr>
          <w:rFonts w:ascii="Times New Roman" w:hAnsi="Times New Roman" w:cs="Times New Roman"/>
          <w:b/>
        </w:rPr>
        <w:t xml:space="preserve"> entities </w:t>
      </w:r>
    </w:p>
    <w:p w:rsidR="00B26F6C" w:rsidRPr="004B3D10" w:rsidRDefault="00B26F6C" w:rsidP="00A6692E">
      <w:pPr>
        <w:spacing w:after="0" w:line="360" w:lineRule="auto"/>
        <w:jc w:val="both"/>
        <w:rPr>
          <w:rFonts w:ascii="Times New Roman" w:hAnsi="Times New Roman" w:cs="Times New Roman"/>
          <w:b/>
          <w:sz w:val="16"/>
          <w:szCs w:val="16"/>
        </w:rPr>
      </w:pPr>
    </w:p>
    <w:p w:rsidR="00B26F6C" w:rsidRDefault="00B26F6C" w:rsidP="00A6692E">
      <w:pPr>
        <w:spacing w:after="0" w:line="360" w:lineRule="auto"/>
        <w:jc w:val="both"/>
        <w:rPr>
          <w:rFonts w:ascii="Times New Roman" w:hAnsi="Times New Roman" w:cs="Times New Roman"/>
        </w:rPr>
      </w:pPr>
      <w:r>
        <w:rPr>
          <w:rFonts w:ascii="Times New Roman" w:hAnsi="Times New Roman" w:cs="Times New Roman"/>
        </w:rPr>
        <w:t>Members of the Portfolio Committee requested more information on the Board’s commitment to allocate R30 million in the current financial year to support BBBEE entities.</w:t>
      </w:r>
    </w:p>
    <w:p w:rsidR="00B26F6C" w:rsidRPr="004B3D10" w:rsidRDefault="00B26F6C" w:rsidP="00A6692E">
      <w:pPr>
        <w:spacing w:after="0" w:line="360" w:lineRule="auto"/>
        <w:jc w:val="both"/>
        <w:rPr>
          <w:rFonts w:ascii="Times New Roman" w:hAnsi="Times New Roman" w:cs="Times New Roman"/>
          <w:sz w:val="16"/>
          <w:szCs w:val="16"/>
        </w:rPr>
      </w:pPr>
    </w:p>
    <w:p w:rsidR="00B26F6C" w:rsidRPr="00B26F6C" w:rsidRDefault="00B26F6C" w:rsidP="00A6692E">
      <w:pPr>
        <w:spacing w:after="0" w:line="360" w:lineRule="auto"/>
        <w:jc w:val="both"/>
        <w:rPr>
          <w:rFonts w:ascii="Times New Roman" w:hAnsi="Times New Roman" w:cs="Times New Roman"/>
          <w:b/>
          <w:i/>
        </w:rPr>
      </w:pPr>
      <w:r>
        <w:rPr>
          <w:rFonts w:ascii="Times New Roman" w:hAnsi="Times New Roman" w:cs="Times New Roman"/>
          <w:b/>
          <w:i/>
        </w:rPr>
        <w:t xml:space="preserve">The Portfolio Committee recommended that </w:t>
      </w:r>
      <w:r w:rsidR="00CD3205" w:rsidRPr="00CD3205">
        <w:rPr>
          <w:rFonts w:ascii="Times New Roman" w:hAnsi="Times New Roman" w:cs="Times New Roman"/>
          <w:b/>
          <w:i/>
        </w:rPr>
        <w:t>the agency provide a substantive written response</w:t>
      </w:r>
      <w:r>
        <w:rPr>
          <w:rFonts w:ascii="Times New Roman" w:hAnsi="Times New Roman" w:cs="Times New Roman"/>
          <w:b/>
          <w:i/>
        </w:rPr>
        <w:t xml:space="preserve"> on the R30 million commitment to the BBBEE programme.</w:t>
      </w:r>
    </w:p>
    <w:p w:rsidR="007C728E" w:rsidRDefault="007C728E" w:rsidP="00A6692E">
      <w:pPr>
        <w:spacing w:after="0" w:line="360" w:lineRule="auto"/>
        <w:jc w:val="both"/>
        <w:rPr>
          <w:rFonts w:ascii="Times New Roman" w:hAnsi="Times New Roman" w:cs="Times New Roman"/>
          <w:b/>
          <w:sz w:val="16"/>
          <w:szCs w:val="16"/>
        </w:rPr>
      </w:pPr>
    </w:p>
    <w:p w:rsidR="00FD168C" w:rsidRDefault="00FD168C" w:rsidP="00A6692E">
      <w:pPr>
        <w:spacing w:after="0" w:line="360" w:lineRule="auto"/>
        <w:jc w:val="both"/>
        <w:rPr>
          <w:rFonts w:ascii="Times New Roman" w:hAnsi="Times New Roman" w:cs="Times New Roman"/>
          <w:b/>
          <w:sz w:val="16"/>
          <w:szCs w:val="16"/>
        </w:rPr>
      </w:pPr>
    </w:p>
    <w:p w:rsidR="00FD168C" w:rsidRPr="004B3D10" w:rsidRDefault="00FD168C" w:rsidP="00A6692E">
      <w:pPr>
        <w:spacing w:after="0" w:line="360" w:lineRule="auto"/>
        <w:jc w:val="both"/>
        <w:rPr>
          <w:rFonts w:ascii="Times New Roman" w:hAnsi="Times New Roman" w:cs="Times New Roman"/>
          <w:b/>
          <w:sz w:val="16"/>
          <w:szCs w:val="16"/>
        </w:rPr>
      </w:pPr>
    </w:p>
    <w:p w:rsidR="006D3EE9" w:rsidRDefault="007C728E" w:rsidP="00A6692E">
      <w:pPr>
        <w:spacing w:after="0" w:line="360" w:lineRule="auto"/>
        <w:jc w:val="both"/>
        <w:rPr>
          <w:rFonts w:ascii="Times New Roman" w:hAnsi="Times New Roman" w:cs="Times New Roman"/>
          <w:b/>
        </w:rPr>
      </w:pPr>
      <w:r>
        <w:rPr>
          <w:rFonts w:ascii="Times New Roman" w:hAnsi="Times New Roman" w:cs="Times New Roman"/>
          <w:b/>
        </w:rPr>
        <w:lastRenderedPageBreak/>
        <w:t>8</w:t>
      </w:r>
      <w:r w:rsidR="00A515E8">
        <w:rPr>
          <w:rFonts w:ascii="Times New Roman" w:hAnsi="Times New Roman" w:cs="Times New Roman"/>
          <w:b/>
        </w:rPr>
        <w:t>.3</w:t>
      </w:r>
      <w:r w:rsidR="00B26F6C">
        <w:rPr>
          <w:rFonts w:ascii="Times New Roman" w:hAnsi="Times New Roman" w:cs="Times New Roman"/>
          <w:b/>
        </w:rPr>
        <w:t>.2.4</w:t>
      </w:r>
      <w:r w:rsidR="00B26F6C">
        <w:rPr>
          <w:rFonts w:ascii="Times New Roman" w:hAnsi="Times New Roman" w:cs="Times New Roman"/>
          <w:b/>
        </w:rPr>
        <w:tab/>
      </w:r>
      <w:r w:rsidR="00812258">
        <w:rPr>
          <w:rFonts w:ascii="Times New Roman" w:hAnsi="Times New Roman" w:cs="Times New Roman"/>
          <w:b/>
        </w:rPr>
        <w:t xml:space="preserve">Assistance to </w:t>
      </w:r>
      <w:r w:rsidR="00CD3205">
        <w:rPr>
          <w:rFonts w:ascii="Times New Roman" w:hAnsi="Times New Roman" w:cs="Times New Roman"/>
          <w:b/>
        </w:rPr>
        <w:t>resource-poor</w:t>
      </w:r>
      <w:r w:rsidR="00812258">
        <w:rPr>
          <w:rFonts w:ascii="Times New Roman" w:hAnsi="Times New Roman" w:cs="Times New Roman"/>
          <w:b/>
        </w:rPr>
        <w:t xml:space="preserve"> farmers in the catchment management area</w:t>
      </w:r>
    </w:p>
    <w:p w:rsidR="00812258" w:rsidRPr="001A5BDC" w:rsidRDefault="00812258" w:rsidP="00A6692E">
      <w:pPr>
        <w:spacing w:after="0" w:line="360" w:lineRule="auto"/>
        <w:jc w:val="both"/>
        <w:rPr>
          <w:rFonts w:ascii="Times New Roman" w:hAnsi="Times New Roman" w:cs="Times New Roman"/>
          <w:b/>
          <w:sz w:val="16"/>
          <w:szCs w:val="16"/>
        </w:rPr>
      </w:pPr>
    </w:p>
    <w:p w:rsidR="00812258" w:rsidRDefault="00812258" w:rsidP="00A6692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requested further information on the agency’s assistance to the </w:t>
      </w:r>
      <w:r w:rsidR="00CD3205">
        <w:rPr>
          <w:rFonts w:ascii="Times New Roman" w:hAnsi="Times New Roman" w:cs="Times New Roman"/>
        </w:rPr>
        <w:t>resource-poor</w:t>
      </w:r>
      <w:r>
        <w:rPr>
          <w:rFonts w:ascii="Times New Roman" w:hAnsi="Times New Roman" w:cs="Times New Roman"/>
        </w:rPr>
        <w:t xml:space="preserve"> farmers’ programme.</w:t>
      </w:r>
    </w:p>
    <w:p w:rsidR="00812258" w:rsidRPr="001A5BDC" w:rsidRDefault="00812258" w:rsidP="00A6692E">
      <w:pPr>
        <w:spacing w:after="0" w:line="360" w:lineRule="auto"/>
        <w:jc w:val="both"/>
        <w:rPr>
          <w:rFonts w:ascii="Times New Roman" w:hAnsi="Times New Roman" w:cs="Times New Roman"/>
          <w:sz w:val="16"/>
          <w:szCs w:val="16"/>
        </w:rPr>
      </w:pPr>
    </w:p>
    <w:p w:rsidR="00812258" w:rsidRDefault="00812258" w:rsidP="00A6692E">
      <w:pPr>
        <w:spacing w:after="0" w:line="360" w:lineRule="auto"/>
        <w:jc w:val="both"/>
        <w:rPr>
          <w:rFonts w:ascii="Times New Roman" w:hAnsi="Times New Roman" w:cs="Times New Roman"/>
          <w:b/>
          <w:i/>
          <w:color w:val="FF0000"/>
        </w:rPr>
      </w:pPr>
      <w:r>
        <w:rPr>
          <w:rFonts w:ascii="Times New Roman" w:hAnsi="Times New Roman" w:cs="Times New Roman"/>
          <w:b/>
          <w:i/>
        </w:rPr>
        <w:t xml:space="preserve">The Portfolio Committee recommended that </w:t>
      </w:r>
      <w:r w:rsidR="00CD3205" w:rsidRPr="00CD3205">
        <w:rPr>
          <w:rFonts w:ascii="Times New Roman" w:hAnsi="Times New Roman" w:cs="Times New Roman"/>
          <w:b/>
          <w:i/>
        </w:rPr>
        <w:t>the agency provide a written response</w:t>
      </w:r>
      <w:r>
        <w:rPr>
          <w:rFonts w:ascii="Times New Roman" w:hAnsi="Times New Roman" w:cs="Times New Roman"/>
          <w:b/>
          <w:i/>
        </w:rPr>
        <w:t xml:space="preserve"> on supporting </w:t>
      </w:r>
      <w:r w:rsidR="00CD3205">
        <w:rPr>
          <w:rFonts w:ascii="Times New Roman" w:hAnsi="Times New Roman" w:cs="Times New Roman"/>
          <w:b/>
          <w:i/>
        </w:rPr>
        <w:t>resource-poor</w:t>
      </w:r>
      <w:r>
        <w:rPr>
          <w:rFonts w:ascii="Times New Roman" w:hAnsi="Times New Roman" w:cs="Times New Roman"/>
          <w:b/>
          <w:i/>
        </w:rPr>
        <w:t xml:space="preserve"> farmers in its catchment management area.</w:t>
      </w:r>
      <w:r w:rsidR="006331BC">
        <w:rPr>
          <w:rFonts w:ascii="Times New Roman" w:hAnsi="Times New Roman" w:cs="Times New Roman"/>
          <w:b/>
          <w:i/>
        </w:rPr>
        <w:t xml:space="preserve"> </w:t>
      </w:r>
    </w:p>
    <w:p w:rsidR="00FD168C" w:rsidRPr="00FD168C" w:rsidRDefault="00FD168C" w:rsidP="00A6692E">
      <w:pPr>
        <w:spacing w:after="0" w:line="360" w:lineRule="auto"/>
        <w:jc w:val="both"/>
        <w:rPr>
          <w:rFonts w:ascii="Times New Roman" w:hAnsi="Times New Roman" w:cs="Times New Roman"/>
          <w:b/>
          <w:sz w:val="16"/>
          <w:szCs w:val="16"/>
        </w:rPr>
      </w:pPr>
    </w:p>
    <w:p w:rsidR="00A559DA" w:rsidRDefault="00A559DA" w:rsidP="00A6692E">
      <w:pPr>
        <w:spacing w:after="0" w:line="360" w:lineRule="auto"/>
        <w:jc w:val="both"/>
        <w:rPr>
          <w:rFonts w:ascii="Times New Roman" w:hAnsi="Times New Roman" w:cs="Times New Roman"/>
          <w:b/>
        </w:rPr>
      </w:pPr>
      <w:r>
        <w:rPr>
          <w:rFonts w:ascii="Times New Roman" w:hAnsi="Times New Roman" w:cs="Times New Roman"/>
          <w:b/>
        </w:rPr>
        <w:t xml:space="preserve">8.3.2.5 </w:t>
      </w:r>
      <w:r>
        <w:rPr>
          <w:rFonts w:ascii="Times New Roman" w:hAnsi="Times New Roman" w:cs="Times New Roman"/>
          <w:b/>
        </w:rPr>
        <w:tab/>
        <w:t>Budget shortfall of R50</w:t>
      </w:r>
      <w:r w:rsidR="00043A30">
        <w:rPr>
          <w:rFonts w:ascii="Times New Roman" w:hAnsi="Times New Roman" w:cs="Times New Roman"/>
          <w:b/>
        </w:rPr>
        <w:t>.7</w:t>
      </w:r>
      <w:r>
        <w:rPr>
          <w:rFonts w:ascii="Times New Roman" w:hAnsi="Times New Roman" w:cs="Times New Roman"/>
          <w:b/>
        </w:rPr>
        <w:t xml:space="preserve"> million</w:t>
      </w:r>
      <w:r w:rsidR="00043A30">
        <w:rPr>
          <w:rFonts w:ascii="Times New Roman" w:hAnsi="Times New Roman" w:cs="Times New Roman"/>
          <w:b/>
        </w:rPr>
        <w:t>,</w:t>
      </w:r>
      <w:r>
        <w:rPr>
          <w:rFonts w:ascii="Times New Roman" w:hAnsi="Times New Roman" w:cs="Times New Roman"/>
          <w:b/>
        </w:rPr>
        <w:t xml:space="preserve"> which limits the work of the IUCMA for the financial </w:t>
      </w:r>
      <w:r w:rsidR="00043A30">
        <w:rPr>
          <w:rFonts w:ascii="Times New Roman" w:hAnsi="Times New Roman" w:cs="Times New Roman"/>
          <w:b/>
        </w:rPr>
        <w:tab/>
        <w:t xml:space="preserve">year </w:t>
      </w:r>
      <w:r>
        <w:rPr>
          <w:rFonts w:ascii="Times New Roman" w:hAnsi="Times New Roman" w:cs="Times New Roman"/>
          <w:b/>
        </w:rPr>
        <w:t xml:space="preserve">under review </w:t>
      </w:r>
    </w:p>
    <w:p w:rsidR="00A81A90" w:rsidRPr="002B0C0E" w:rsidRDefault="00A81A90" w:rsidP="00A6692E">
      <w:pPr>
        <w:spacing w:after="0" w:line="360" w:lineRule="auto"/>
        <w:jc w:val="both"/>
        <w:rPr>
          <w:rFonts w:ascii="Times New Roman" w:hAnsi="Times New Roman" w:cs="Times New Roman"/>
          <w:b/>
          <w:sz w:val="16"/>
          <w:szCs w:val="16"/>
          <w:vertAlign w:val="subscript"/>
        </w:rPr>
      </w:pPr>
    </w:p>
    <w:p w:rsidR="00A81A90" w:rsidRDefault="00A81A90" w:rsidP="00A6692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noted that the </w:t>
      </w:r>
      <w:r w:rsidR="002B0C0E">
        <w:rPr>
          <w:rFonts w:ascii="Times New Roman" w:hAnsi="Times New Roman" w:cs="Times New Roman"/>
        </w:rPr>
        <w:t>a</w:t>
      </w:r>
      <w:r>
        <w:rPr>
          <w:rFonts w:ascii="Times New Roman" w:hAnsi="Times New Roman" w:cs="Times New Roman"/>
        </w:rPr>
        <w:t>gency reported a shortfall of R50.7 million</w:t>
      </w:r>
      <w:r w:rsidR="00043A30">
        <w:rPr>
          <w:rFonts w:ascii="Times New Roman" w:hAnsi="Times New Roman" w:cs="Times New Roman"/>
        </w:rPr>
        <w:t>, which would negatively impact</w:t>
      </w:r>
      <w:r>
        <w:rPr>
          <w:rFonts w:ascii="Times New Roman" w:hAnsi="Times New Roman" w:cs="Times New Roman"/>
        </w:rPr>
        <w:t xml:space="preserve"> their programmes in the current financial year.</w:t>
      </w:r>
      <w:r w:rsidR="00F80D2C">
        <w:rPr>
          <w:rFonts w:ascii="Times New Roman" w:hAnsi="Times New Roman" w:cs="Times New Roman"/>
        </w:rPr>
        <w:t xml:space="preserve">  </w:t>
      </w:r>
      <w:r w:rsidR="00043A30" w:rsidRPr="00043A30">
        <w:rPr>
          <w:rFonts w:ascii="Times New Roman" w:hAnsi="Times New Roman" w:cs="Times New Roman"/>
        </w:rPr>
        <w:t xml:space="preserve">While the agency has developed a debt management policy and a revenue advancement plan, it was also </w:t>
      </w:r>
      <w:r w:rsidR="00043A30">
        <w:rPr>
          <w:rFonts w:ascii="Times New Roman" w:hAnsi="Times New Roman" w:cs="Times New Roman"/>
        </w:rPr>
        <w:t>crucial</w:t>
      </w:r>
      <w:r w:rsidR="00043A30" w:rsidRPr="00043A30">
        <w:rPr>
          <w:rFonts w:ascii="Times New Roman" w:hAnsi="Times New Roman" w:cs="Times New Roman"/>
        </w:rPr>
        <w:t xml:space="preserve"> for the Department of Water and Sanitation to assist the agency</w:t>
      </w:r>
      <w:r w:rsidR="002B0C0E">
        <w:rPr>
          <w:rFonts w:ascii="Times New Roman" w:hAnsi="Times New Roman" w:cs="Times New Roman"/>
        </w:rPr>
        <w:t>.</w:t>
      </w:r>
    </w:p>
    <w:p w:rsidR="002B0C0E" w:rsidRPr="00FD168C" w:rsidRDefault="002B0C0E" w:rsidP="00A6692E">
      <w:pPr>
        <w:spacing w:after="0" w:line="360" w:lineRule="auto"/>
        <w:jc w:val="both"/>
        <w:rPr>
          <w:rFonts w:ascii="Times New Roman" w:hAnsi="Times New Roman" w:cs="Times New Roman"/>
          <w:sz w:val="16"/>
          <w:szCs w:val="16"/>
        </w:rPr>
      </w:pPr>
    </w:p>
    <w:p w:rsidR="002B0C0E" w:rsidRPr="002B0C0E" w:rsidRDefault="002B0C0E" w:rsidP="00A6692E">
      <w:pPr>
        <w:spacing w:after="0" w:line="360" w:lineRule="auto"/>
        <w:jc w:val="both"/>
        <w:rPr>
          <w:rFonts w:ascii="Times New Roman" w:hAnsi="Times New Roman" w:cs="Times New Roman"/>
          <w:b/>
          <w:i/>
        </w:rPr>
      </w:pPr>
      <w:r>
        <w:rPr>
          <w:rFonts w:ascii="Times New Roman" w:hAnsi="Times New Roman" w:cs="Times New Roman"/>
          <w:b/>
          <w:i/>
        </w:rPr>
        <w:t xml:space="preserve">The Portfolio Committee recommended that the Department </w:t>
      </w:r>
      <w:r w:rsidR="00EE1353">
        <w:rPr>
          <w:rFonts w:ascii="Times New Roman" w:hAnsi="Times New Roman" w:cs="Times New Roman"/>
          <w:b/>
          <w:i/>
        </w:rPr>
        <w:t>fully support the agency in recovering historical debt and further assist in funding solutions for the budget shortfall of R50.7 million. The Portfolio Committee expects a progress report within six months of publication of this report.</w:t>
      </w:r>
      <w:r w:rsidR="00BA5B67">
        <w:rPr>
          <w:rFonts w:ascii="Times New Roman" w:hAnsi="Times New Roman" w:cs="Times New Roman"/>
          <w:b/>
          <w:i/>
        </w:rPr>
        <w:t xml:space="preserve">  The Portfolio Committee also recommended that the Department revise its pricing strategy on water use charges for domestic and forestry use to allow CMAs to recuperate more revenue to meet their obligations.</w:t>
      </w:r>
    </w:p>
    <w:p w:rsidR="00EE1353" w:rsidRPr="001A5BDC" w:rsidRDefault="00EE1353" w:rsidP="00A6692E">
      <w:pPr>
        <w:spacing w:after="0" w:line="360" w:lineRule="auto"/>
        <w:jc w:val="both"/>
        <w:rPr>
          <w:rFonts w:ascii="Times New Roman" w:hAnsi="Times New Roman" w:cs="Times New Roman"/>
          <w:b/>
          <w:sz w:val="16"/>
          <w:szCs w:val="16"/>
        </w:rPr>
      </w:pPr>
    </w:p>
    <w:p w:rsidR="00B8537E" w:rsidRDefault="007C728E" w:rsidP="00B8537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.4</w:t>
      </w:r>
      <w:r w:rsidR="00B8537E">
        <w:rPr>
          <w:rFonts w:ascii="Times New Roman" w:hAnsi="Times New Roman" w:cs="Times New Roman"/>
          <w:b/>
        </w:rPr>
        <w:tab/>
        <w:t>Trans-Caledon Tunnel Authority</w:t>
      </w:r>
    </w:p>
    <w:p w:rsidR="00812258" w:rsidRPr="001A5BDC" w:rsidRDefault="00812258" w:rsidP="00B8537E">
      <w:pPr>
        <w:spacing w:after="0" w:line="360" w:lineRule="auto"/>
        <w:jc w:val="both"/>
        <w:rPr>
          <w:rFonts w:ascii="Times New Roman" w:hAnsi="Times New Roman" w:cs="Times New Roman"/>
          <w:b/>
          <w:sz w:val="16"/>
          <w:szCs w:val="16"/>
        </w:rPr>
      </w:pPr>
    </w:p>
    <w:p w:rsidR="00DD3F83" w:rsidRDefault="00A515E8" w:rsidP="00B8537E">
      <w:pPr>
        <w:spacing w:after="0" w:line="360" w:lineRule="auto"/>
        <w:jc w:val="both"/>
        <w:rPr>
          <w:rFonts w:ascii="Times New Roman" w:hAnsi="Times New Roman" w:cs="Times New Roman"/>
          <w:b/>
        </w:rPr>
      </w:pPr>
      <w:r>
        <w:rPr>
          <w:rFonts w:ascii="Times New Roman" w:hAnsi="Times New Roman" w:cs="Times New Roman"/>
          <w:b/>
        </w:rPr>
        <w:t>8.4.1</w:t>
      </w:r>
      <w:r w:rsidR="00522426">
        <w:rPr>
          <w:rFonts w:ascii="Times New Roman" w:hAnsi="Times New Roman" w:cs="Times New Roman"/>
          <w:b/>
        </w:rPr>
        <w:tab/>
      </w:r>
      <w:r w:rsidR="004C5338">
        <w:rPr>
          <w:rFonts w:ascii="Times New Roman" w:hAnsi="Times New Roman" w:cs="Times New Roman"/>
          <w:b/>
        </w:rPr>
        <w:t>Role of the Trans-Caledon Tunnel Authority</w:t>
      </w:r>
      <w:r w:rsidR="00DD3F83">
        <w:rPr>
          <w:rFonts w:ascii="Times New Roman" w:hAnsi="Times New Roman" w:cs="Times New Roman"/>
          <w:b/>
        </w:rPr>
        <w:t xml:space="preserve"> transformation agenda of the country and </w:t>
      </w:r>
      <w:r w:rsidR="00DD3F83">
        <w:rPr>
          <w:rFonts w:ascii="Times New Roman" w:hAnsi="Times New Roman" w:cs="Times New Roman"/>
          <w:b/>
        </w:rPr>
        <w:tab/>
        <w:t xml:space="preserve">risk management strategies in place to control coercion </w:t>
      </w:r>
      <w:r w:rsidR="00BA5B67">
        <w:rPr>
          <w:rFonts w:ascii="Times New Roman" w:hAnsi="Times New Roman" w:cs="Times New Roman"/>
          <w:b/>
        </w:rPr>
        <w:t>tactics of contractors t</w:t>
      </w:r>
      <w:r w:rsidR="00DD3F83">
        <w:rPr>
          <w:rFonts w:ascii="Times New Roman" w:hAnsi="Times New Roman" w:cs="Times New Roman"/>
          <w:b/>
        </w:rPr>
        <w:t xml:space="preserve">o </w:t>
      </w:r>
      <w:r w:rsidR="00DD3F83">
        <w:rPr>
          <w:rFonts w:ascii="Times New Roman" w:hAnsi="Times New Roman" w:cs="Times New Roman"/>
          <w:b/>
        </w:rPr>
        <w:tab/>
        <w:t>procure tenders</w:t>
      </w:r>
    </w:p>
    <w:p w:rsidR="00DD3F83" w:rsidRPr="001A5BDC" w:rsidRDefault="00DD3F83" w:rsidP="00B8537E">
      <w:pPr>
        <w:spacing w:after="0" w:line="360" w:lineRule="auto"/>
        <w:jc w:val="both"/>
        <w:rPr>
          <w:rFonts w:ascii="Times New Roman" w:hAnsi="Times New Roman" w:cs="Times New Roman"/>
          <w:b/>
          <w:sz w:val="16"/>
          <w:szCs w:val="16"/>
        </w:rPr>
      </w:pPr>
    </w:p>
    <w:p w:rsidR="00522426" w:rsidRDefault="00DD3F83" w:rsidP="00B8537E">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raised </w:t>
      </w:r>
      <w:r w:rsidR="004B3D10">
        <w:rPr>
          <w:rFonts w:ascii="Times New Roman" w:hAnsi="Times New Roman" w:cs="Times New Roman"/>
        </w:rPr>
        <w:t>several</w:t>
      </w:r>
      <w:r>
        <w:rPr>
          <w:rFonts w:ascii="Times New Roman" w:hAnsi="Times New Roman" w:cs="Times New Roman"/>
        </w:rPr>
        <w:t xml:space="preserve"> issues on the involvement of women in the construction industry, as highlighted in a report by the Water Research Commission. Other </w:t>
      </w:r>
      <w:r w:rsidR="004B3D10">
        <w:rPr>
          <w:rFonts w:ascii="Times New Roman" w:hAnsi="Times New Roman" w:cs="Times New Roman"/>
        </w:rPr>
        <w:t>matters</w:t>
      </w:r>
      <w:r>
        <w:rPr>
          <w:rFonts w:ascii="Times New Roman" w:hAnsi="Times New Roman" w:cs="Times New Roman"/>
        </w:rPr>
        <w:t xml:space="preserve"> of concern within the construction industry related to increasing the involvement of blac</w:t>
      </w:r>
      <w:r w:rsidR="004E1A39">
        <w:rPr>
          <w:rFonts w:ascii="Times New Roman" w:hAnsi="Times New Roman" w:cs="Times New Roman"/>
        </w:rPr>
        <w:t>k-</w:t>
      </w:r>
      <w:r>
        <w:rPr>
          <w:rFonts w:ascii="Times New Roman" w:hAnsi="Times New Roman" w:cs="Times New Roman"/>
        </w:rPr>
        <w:t>owned companies</w:t>
      </w:r>
      <w:r w:rsidR="004B3D10">
        <w:rPr>
          <w:rFonts w:ascii="Times New Roman" w:hAnsi="Times New Roman" w:cs="Times New Roman"/>
        </w:rPr>
        <w:t xml:space="preserve"> and</w:t>
      </w:r>
      <w:r>
        <w:rPr>
          <w:rFonts w:ascii="Times New Roman" w:hAnsi="Times New Roman" w:cs="Times New Roman"/>
        </w:rPr>
        <w:t xml:space="preserve"> control of the construction industry</w:t>
      </w:r>
      <w:r w:rsidR="005C18FF">
        <w:rPr>
          <w:rFonts w:ascii="Times New Roman" w:hAnsi="Times New Roman" w:cs="Times New Roman"/>
        </w:rPr>
        <w:t xml:space="preserve"> by coercion tactics of contractors to obtain tenders on construction sites.</w:t>
      </w:r>
    </w:p>
    <w:p w:rsidR="004E1A39" w:rsidRPr="00EC4D91" w:rsidRDefault="004E1A39" w:rsidP="00B8537E">
      <w:pPr>
        <w:spacing w:after="0" w:line="360" w:lineRule="auto"/>
        <w:jc w:val="both"/>
        <w:rPr>
          <w:rFonts w:ascii="Times New Roman" w:hAnsi="Times New Roman" w:cs="Times New Roman"/>
          <w:sz w:val="16"/>
          <w:szCs w:val="16"/>
        </w:rPr>
      </w:pPr>
    </w:p>
    <w:p w:rsidR="00CF35B5" w:rsidRDefault="004E1A39" w:rsidP="00B8537E">
      <w:pPr>
        <w:spacing w:after="0" w:line="360" w:lineRule="auto"/>
        <w:jc w:val="both"/>
        <w:rPr>
          <w:rFonts w:ascii="Times New Roman" w:hAnsi="Times New Roman" w:cs="Times New Roman"/>
          <w:b/>
          <w:i/>
        </w:rPr>
      </w:pPr>
      <w:r w:rsidRPr="001A5BDC">
        <w:rPr>
          <w:rFonts w:ascii="Times New Roman" w:hAnsi="Times New Roman" w:cs="Times New Roman"/>
          <w:b/>
          <w:i/>
        </w:rPr>
        <w:t xml:space="preserve">The Portfolio Committee recommended that a more detailed </w:t>
      </w:r>
      <w:r w:rsidR="005C18FF">
        <w:rPr>
          <w:rFonts w:ascii="Times New Roman" w:hAnsi="Times New Roman" w:cs="Times New Roman"/>
          <w:b/>
          <w:i/>
        </w:rPr>
        <w:t>briefing</w:t>
      </w:r>
      <w:r w:rsidRPr="001A5BDC">
        <w:rPr>
          <w:rFonts w:ascii="Times New Roman" w:hAnsi="Times New Roman" w:cs="Times New Roman"/>
          <w:b/>
          <w:i/>
        </w:rPr>
        <w:t xml:space="preserve"> be provided by the Department and TCTA on issues related to the transformation agenda within the construction industry</w:t>
      </w:r>
      <w:r w:rsidR="005C18FF">
        <w:rPr>
          <w:rFonts w:ascii="Times New Roman" w:hAnsi="Times New Roman" w:cs="Times New Roman"/>
          <w:b/>
          <w:i/>
        </w:rPr>
        <w:t>.</w:t>
      </w:r>
      <w:r w:rsidR="00063550">
        <w:rPr>
          <w:rFonts w:ascii="Times New Roman" w:hAnsi="Times New Roman" w:cs="Times New Roman"/>
          <w:b/>
          <w:i/>
        </w:rPr>
        <w:t xml:space="preserve"> </w:t>
      </w:r>
      <w:r w:rsidR="005C18FF">
        <w:rPr>
          <w:rFonts w:ascii="Times New Roman" w:hAnsi="Times New Roman" w:cs="Times New Roman"/>
          <w:b/>
          <w:i/>
        </w:rPr>
        <w:t xml:space="preserve">The Portfolio Committee further recommended that the Department deal decisively with cases of </w:t>
      </w:r>
      <w:r w:rsidR="005C18FF">
        <w:rPr>
          <w:rFonts w:ascii="Times New Roman" w:hAnsi="Times New Roman" w:cs="Times New Roman"/>
          <w:b/>
          <w:i/>
        </w:rPr>
        <w:lastRenderedPageBreak/>
        <w:t xml:space="preserve">criminality and coercion of the </w:t>
      </w:r>
      <w:r w:rsidR="00043A30">
        <w:rPr>
          <w:rFonts w:ascii="Times New Roman" w:hAnsi="Times New Roman" w:cs="Times New Roman"/>
          <w:b/>
          <w:i/>
        </w:rPr>
        <w:t>set-aside</w:t>
      </w:r>
      <w:r w:rsidR="005C18FF">
        <w:rPr>
          <w:rFonts w:ascii="Times New Roman" w:hAnsi="Times New Roman" w:cs="Times New Roman"/>
          <w:b/>
          <w:i/>
        </w:rPr>
        <w:t xml:space="preserve"> procurement for local communities in the construction industry.</w:t>
      </w:r>
    </w:p>
    <w:p w:rsidR="00CF35B5" w:rsidRDefault="00CF35B5" w:rsidP="00B8537E">
      <w:pPr>
        <w:spacing w:after="0" w:line="360" w:lineRule="auto"/>
        <w:jc w:val="both"/>
        <w:rPr>
          <w:rFonts w:ascii="Times New Roman" w:hAnsi="Times New Roman" w:cs="Times New Roman"/>
          <w:b/>
          <w:i/>
          <w:sz w:val="16"/>
          <w:szCs w:val="16"/>
        </w:rPr>
      </w:pPr>
    </w:p>
    <w:p w:rsidR="00EC4D91" w:rsidRDefault="00EC4D91" w:rsidP="00B8537E">
      <w:pPr>
        <w:spacing w:after="0" w:line="360" w:lineRule="auto"/>
        <w:jc w:val="both"/>
        <w:rPr>
          <w:rFonts w:ascii="Times New Roman" w:hAnsi="Times New Roman" w:cs="Times New Roman"/>
          <w:b/>
          <w:i/>
          <w:sz w:val="16"/>
          <w:szCs w:val="16"/>
        </w:rPr>
      </w:pPr>
    </w:p>
    <w:p w:rsidR="00EC4D91" w:rsidRDefault="007C728E" w:rsidP="00B8537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.4.2</w:t>
      </w:r>
      <w:r w:rsidR="00BA3E61">
        <w:rPr>
          <w:rFonts w:ascii="Times New Roman" w:hAnsi="Times New Roman" w:cs="Times New Roman"/>
          <w:b/>
        </w:rPr>
        <w:tab/>
        <w:t>Role of TCTA in the establishment of the N</w:t>
      </w:r>
      <w:r w:rsidR="001A5BDC">
        <w:rPr>
          <w:rFonts w:ascii="Times New Roman" w:hAnsi="Times New Roman" w:cs="Times New Roman"/>
          <w:b/>
        </w:rPr>
        <w:t xml:space="preserve">ational Water Resources Infrastructure </w:t>
      </w:r>
      <w:r w:rsidR="001A5BDC">
        <w:rPr>
          <w:rFonts w:ascii="Times New Roman" w:hAnsi="Times New Roman" w:cs="Times New Roman"/>
          <w:b/>
        </w:rPr>
        <w:tab/>
        <w:t>Agency</w:t>
      </w:r>
    </w:p>
    <w:p w:rsidR="00EC4D91" w:rsidRPr="00FD168C" w:rsidRDefault="00EC4D91" w:rsidP="00B8537E">
      <w:pPr>
        <w:spacing w:after="0" w:line="360" w:lineRule="auto"/>
        <w:jc w:val="both"/>
        <w:rPr>
          <w:rFonts w:ascii="Times New Roman" w:hAnsi="Times New Roman" w:cs="Times New Roman"/>
          <w:b/>
          <w:sz w:val="16"/>
          <w:szCs w:val="16"/>
        </w:rPr>
      </w:pPr>
    </w:p>
    <w:p w:rsidR="004B3D10" w:rsidRDefault="004B3D10" w:rsidP="00B8537E">
      <w:pPr>
        <w:spacing w:after="0" w:line="360" w:lineRule="auto"/>
        <w:jc w:val="both"/>
        <w:rPr>
          <w:rFonts w:ascii="Times New Roman" w:hAnsi="Times New Roman" w:cs="Times New Roman"/>
        </w:rPr>
      </w:pPr>
      <w:r>
        <w:rPr>
          <w:rFonts w:ascii="Times New Roman" w:hAnsi="Times New Roman" w:cs="Times New Roman"/>
        </w:rPr>
        <w:t>Members queried the role of TCTA in the establishment of the National Water Resources Infrastructure Agency.</w:t>
      </w:r>
    </w:p>
    <w:p w:rsidR="00EC4D91" w:rsidRPr="00FD168C" w:rsidRDefault="00EC4D91" w:rsidP="00B8537E">
      <w:pPr>
        <w:spacing w:after="0" w:line="360" w:lineRule="auto"/>
        <w:jc w:val="both"/>
        <w:rPr>
          <w:rFonts w:ascii="Times New Roman" w:hAnsi="Times New Roman" w:cs="Times New Roman"/>
          <w:b/>
          <w:i/>
          <w:sz w:val="16"/>
          <w:szCs w:val="16"/>
        </w:rPr>
      </w:pPr>
    </w:p>
    <w:p w:rsidR="004B3D10" w:rsidRPr="00063550" w:rsidRDefault="00EC4D91" w:rsidP="00B8537E">
      <w:pPr>
        <w:spacing w:after="0" w:line="360" w:lineRule="auto"/>
        <w:jc w:val="both"/>
        <w:rPr>
          <w:rFonts w:ascii="Times New Roman" w:hAnsi="Times New Roman" w:cs="Times New Roman"/>
          <w:b/>
          <w:i/>
          <w:color w:val="FF0000"/>
        </w:rPr>
      </w:pPr>
      <w:r>
        <w:rPr>
          <w:rFonts w:ascii="Times New Roman" w:hAnsi="Times New Roman" w:cs="Times New Roman"/>
          <w:b/>
          <w:i/>
        </w:rPr>
        <w:t>T</w:t>
      </w:r>
      <w:r w:rsidR="004B3D10">
        <w:rPr>
          <w:rFonts w:ascii="Times New Roman" w:hAnsi="Times New Roman" w:cs="Times New Roman"/>
          <w:b/>
          <w:i/>
        </w:rPr>
        <w:t>he Portfolio Committee recommended that the Department provide a detailed response on the modalities</w:t>
      </w:r>
      <w:r w:rsidR="005C18FF">
        <w:rPr>
          <w:rFonts w:ascii="Times New Roman" w:hAnsi="Times New Roman" w:cs="Times New Roman"/>
          <w:b/>
          <w:i/>
        </w:rPr>
        <w:t xml:space="preserve">, </w:t>
      </w:r>
      <w:r w:rsidR="00043A30">
        <w:rPr>
          <w:rFonts w:ascii="Times New Roman" w:hAnsi="Times New Roman" w:cs="Times New Roman"/>
          <w:b/>
          <w:i/>
        </w:rPr>
        <w:t>including</w:t>
      </w:r>
      <w:r w:rsidR="005C18FF">
        <w:rPr>
          <w:rFonts w:ascii="Times New Roman" w:hAnsi="Times New Roman" w:cs="Times New Roman"/>
          <w:b/>
          <w:i/>
        </w:rPr>
        <w:t xml:space="preserve"> a roadmap with timeframes</w:t>
      </w:r>
      <w:r w:rsidR="004B3D10">
        <w:rPr>
          <w:rFonts w:ascii="Times New Roman" w:hAnsi="Times New Roman" w:cs="Times New Roman"/>
          <w:b/>
          <w:i/>
        </w:rPr>
        <w:t xml:space="preserve"> to establish the National Water Resources Infrastructure Agency.</w:t>
      </w:r>
      <w:r w:rsidR="00063550">
        <w:rPr>
          <w:rFonts w:ascii="Times New Roman" w:hAnsi="Times New Roman" w:cs="Times New Roman"/>
          <w:b/>
          <w:i/>
        </w:rPr>
        <w:t xml:space="preserve"> </w:t>
      </w:r>
    </w:p>
    <w:p w:rsidR="00BA3E61" w:rsidRPr="00FD168C" w:rsidRDefault="00BA3E61" w:rsidP="00B8537E">
      <w:pPr>
        <w:spacing w:after="0" w:line="360" w:lineRule="auto"/>
        <w:jc w:val="both"/>
        <w:rPr>
          <w:rFonts w:ascii="Times New Roman" w:hAnsi="Times New Roman" w:cs="Times New Roman"/>
          <w:b/>
          <w:sz w:val="16"/>
          <w:szCs w:val="16"/>
        </w:rPr>
      </w:pPr>
    </w:p>
    <w:p w:rsidR="00EC0097" w:rsidRDefault="007C728E" w:rsidP="00B8537E">
      <w:pPr>
        <w:spacing w:after="0" w:line="360" w:lineRule="auto"/>
        <w:jc w:val="both"/>
        <w:rPr>
          <w:rFonts w:ascii="Times New Roman" w:hAnsi="Times New Roman" w:cs="Times New Roman"/>
          <w:b/>
        </w:rPr>
      </w:pPr>
      <w:r>
        <w:rPr>
          <w:rFonts w:ascii="Times New Roman" w:hAnsi="Times New Roman" w:cs="Times New Roman"/>
          <w:b/>
        </w:rPr>
        <w:t>8.4</w:t>
      </w:r>
      <w:r w:rsidR="00A515E8">
        <w:rPr>
          <w:rFonts w:ascii="Times New Roman" w:hAnsi="Times New Roman" w:cs="Times New Roman"/>
          <w:b/>
        </w:rPr>
        <w:t>.3</w:t>
      </w:r>
      <w:r w:rsidR="00EC0097">
        <w:rPr>
          <w:rFonts w:ascii="Times New Roman" w:hAnsi="Times New Roman" w:cs="Times New Roman"/>
          <w:b/>
        </w:rPr>
        <w:tab/>
      </w:r>
      <w:r w:rsidR="004E1A39">
        <w:rPr>
          <w:rFonts w:ascii="Times New Roman" w:hAnsi="Times New Roman" w:cs="Times New Roman"/>
          <w:b/>
        </w:rPr>
        <w:t xml:space="preserve">TCTA implementation of AGSA resolution on the accounting systems used </w:t>
      </w:r>
      <w:r w:rsidR="004B3D10">
        <w:rPr>
          <w:rFonts w:ascii="Times New Roman" w:hAnsi="Times New Roman" w:cs="Times New Roman"/>
          <w:b/>
        </w:rPr>
        <w:t>in</w:t>
      </w:r>
      <w:r w:rsidR="004E1A39">
        <w:rPr>
          <w:rFonts w:ascii="Times New Roman" w:hAnsi="Times New Roman" w:cs="Times New Roman"/>
          <w:b/>
        </w:rPr>
        <w:t xml:space="preserve"> the Lesotho </w:t>
      </w:r>
      <w:r w:rsidR="004E1A39">
        <w:rPr>
          <w:rFonts w:ascii="Times New Roman" w:hAnsi="Times New Roman" w:cs="Times New Roman"/>
          <w:b/>
        </w:rPr>
        <w:tab/>
        <w:t>Highlands Water Project Treaty</w:t>
      </w:r>
    </w:p>
    <w:p w:rsidR="00EC0097" w:rsidRPr="004B3D10" w:rsidRDefault="00EC0097" w:rsidP="00B8537E">
      <w:pPr>
        <w:spacing w:after="0" w:line="360" w:lineRule="auto"/>
        <w:jc w:val="both"/>
        <w:rPr>
          <w:rFonts w:ascii="Times New Roman" w:hAnsi="Times New Roman" w:cs="Times New Roman"/>
          <w:b/>
          <w:sz w:val="16"/>
          <w:szCs w:val="16"/>
        </w:rPr>
      </w:pPr>
    </w:p>
    <w:p w:rsidR="004E1A39" w:rsidRPr="004E1A39" w:rsidRDefault="004E1A39" w:rsidP="00B8537E">
      <w:pPr>
        <w:spacing w:after="0" w:line="360" w:lineRule="auto"/>
        <w:jc w:val="both"/>
        <w:rPr>
          <w:rFonts w:ascii="Times New Roman" w:hAnsi="Times New Roman" w:cs="Times New Roman"/>
        </w:rPr>
      </w:pPr>
      <w:r>
        <w:rPr>
          <w:rFonts w:ascii="Times New Roman" w:hAnsi="Times New Roman" w:cs="Times New Roman"/>
        </w:rPr>
        <w:t xml:space="preserve">The issue of reconciling accounting systems </w:t>
      </w:r>
      <w:r w:rsidR="004B3D10">
        <w:rPr>
          <w:rFonts w:ascii="Times New Roman" w:hAnsi="Times New Roman" w:cs="Times New Roman"/>
        </w:rPr>
        <w:t>regarding</w:t>
      </w:r>
      <w:r>
        <w:rPr>
          <w:rFonts w:ascii="Times New Roman" w:hAnsi="Times New Roman" w:cs="Times New Roman"/>
        </w:rPr>
        <w:t xml:space="preserve"> the Lesotho Highlands Water Project, detailed in the Treaty, has been resolved between National Treasury, the Accountant-General and AGSA.</w:t>
      </w:r>
    </w:p>
    <w:p w:rsidR="007C728E" w:rsidRPr="004B3D10" w:rsidRDefault="007C728E" w:rsidP="00B8537E">
      <w:pPr>
        <w:spacing w:after="0" w:line="360" w:lineRule="auto"/>
        <w:jc w:val="both"/>
        <w:rPr>
          <w:rFonts w:ascii="Times New Roman" w:hAnsi="Times New Roman" w:cs="Times New Roman"/>
          <w:b/>
          <w:sz w:val="16"/>
          <w:szCs w:val="16"/>
        </w:rPr>
      </w:pPr>
    </w:p>
    <w:p w:rsidR="004E1A39" w:rsidRDefault="007C728E" w:rsidP="00B8537E">
      <w:pPr>
        <w:spacing w:after="0" w:line="360" w:lineRule="auto"/>
        <w:jc w:val="both"/>
        <w:rPr>
          <w:rFonts w:ascii="Times New Roman" w:hAnsi="Times New Roman" w:cs="Times New Roman"/>
          <w:b/>
        </w:rPr>
      </w:pPr>
      <w:r>
        <w:rPr>
          <w:rFonts w:ascii="Times New Roman" w:hAnsi="Times New Roman" w:cs="Times New Roman"/>
          <w:b/>
        </w:rPr>
        <w:t>8</w:t>
      </w:r>
      <w:r w:rsidR="00A515E8">
        <w:rPr>
          <w:rFonts w:ascii="Times New Roman" w:hAnsi="Times New Roman" w:cs="Times New Roman"/>
          <w:b/>
        </w:rPr>
        <w:t>.4.</w:t>
      </w:r>
      <w:r>
        <w:rPr>
          <w:rFonts w:ascii="Times New Roman" w:hAnsi="Times New Roman" w:cs="Times New Roman"/>
          <w:b/>
        </w:rPr>
        <w:t>4</w:t>
      </w:r>
      <w:r w:rsidR="004E1A39">
        <w:rPr>
          <w:rFonts w:ascii="Times New Roman" w:hAnsi="Times New Roman" w:cs="Times New Roman"/>
          <w:b/>
        </w:rPr>
        <w:tab/>
        <w:t xml:space="preserve"> </w:t>
      </w:r>
      <w:r w:rsidR="004B3D10">
        <w:rPr>
          <w:rFonts w:ascii="Times New Roman" w:hAnsi="Times New Roman" w:cs="Times New Roman"/>
          <w:b/>
        </w:rPr>
        <w:t>Acid Mine Drainage</w:t>
      </w:r>
    </w:p>
    <w:p w:rsidR="00DD3F83" w:rsidRDefault="00DD3F83" w:rsidP="00B8537E">
      <w:pPr>
        <w:spacing w:after="0" w:line="360" w:lineRule="auto"/>
        <w:jc w:val="both"/>
        <w:rPr>
          <w:rFonts w:ascii="Times New Roman" w:hAnsi="Times New Roman" w:cs="Times New Roman"/>
          <w:b/>
          <w:sz w:val="16"/>
          <w:szCs w:val="16"/>
        </w:rPr>
      </w:pPr>
    </w:p>
    <w:p w:rsidR="004B3D10" w:rsidRDefault="004B3D10" w:rsidP="00B8537E">
      <w:pPr>
        <w:spacing w:after="0" w:line="360" w:lineRule="auto"/>
        <w:jc w:val="both"/>
        <w:rPr>
          <w:rFonts w:ascii="Times New Roman" w:hAnsi="Times New Roman" w:cs="Times New Roman"/>
        </w:rPr>
      </w:pPr>
      <w:r>
        <w:rPr>
          <w:rFonts w:ascii="Times New Roman" w:hAnsi="Times New Roman" w:cs="Times New Roman"/>
        </w:rPr>
        <w:t>Members requested more information on TCTA’s short and long-term strategies to mitigate challenges related to acid mine drainage.</w:t>
      </w:r>
    </w:p>
    <w:p w:rsidR="004B3D10" w:rsidRPr="00FD168C" w:rsidRDefault="004B3D10" w:rsidP="00B8537E">
      <w:pPr>
        <w:spacing w:after="0" w:line="360" w:lineRule="auto"/>
        <w:jc w:val="both"/>
        <w:rPr>
          <w:rFonts w:ascii="Times New Roman" w:hAnsi="Times New Roman" w:cs="Times New Roman"/>
          <w:sz w:val="16"/>
          <w:szCs w:val="16"/>
        </w:rPr>
      </w:pPr>
    </w:p>
    <w:p w:rsidR="004B3D10" w:rsidRPr="004B3D10" w:rsidRDefault="004B3D10" w:rsidP="00B8537E">
      <w:pPr>
        <w:spacing w:after="0" w:line="360" w:lineRule="auto"/>
        <w:jc w:val="both"/>
        <w:rPr>
          <w:rFonts w:ascii="Times New Roman" w:hAnsi="Times New Roman" w:cs="Times New Roman"/>
          <w:b/>
          <w:i/>
        </w:rPr>
      </w:pPr>
      <w:r w:rsidRPr="004B3D10">
        <w:rPr>
          <w:rFonts w:ascii="Times New Roman" w:hAnsi="Times New Roman" w:cs="Times New Roman"/>
          <w:b/>
          <w:i/>
        </w:rPr>
        <w:t>The Portfolio Committee recommended a detailed briefing by the TCTA on mitigating challenges related to acid mine drainage.</w:t>
      </w:r>
    </w:p>
    <w:p w:rsidR="00EC0097" w:rsidRDefault="00EC0097" w:rsidP="00B8537E">
      <w:pPr>
        <w:spacing w:after="0" w:line="360" w:lineRule="auto"/>
        <w:jc w:val="both"/>
        <w:rPr>
          <w:rFonts w:ascii="Times New Roman" w:hAnsi="Times New Roman" w:cs="Times New Roman"/>
          <w:b/>
        </w:rPr>
      </w:pPr>
    </w:p>
    <w:p w:rsidR="000169BE" w:rsidRDefault="000169BE" w:rsidP="00B8537E">
      <w:pPr>
        <w:spacing w:after="0" w:line="360" w:lineRule="auto"/>
        <w:jc w:val="both"/>
        <w:rPr>
          <w:rFonts w:ascii="Times New Roman" w:hAnsi="Times New Roman" w:cs="Times New Roman"/>
          <w:b/>
        </w:rPr>
      </w:pPr>
    </w:p>
    <w:p w:rsidR="00A6692E" w:rsidRDefault="00A6692E" w:rsidP="00E1406C">
      <w:pPr>
        <w:tabs>
          <w:tab w:val="left" w:pos="6375"/>
        </w:tabs>
        <w:spacing w:after="0" w:line="360" w:lineRule="auto"/>
        <w:jc w:val="both"/>
        <w:rPr>
          <w:rFonts w:ascii="Times New Roman" w:hAnsi="Times New Roman" w:cs="Times New Roman"/>
          <w:b/>
        </w:rPr>
      </w:pPr>
      <w:r>
        <w:rPr>
          <w:rFonts w:ascii="Times New Roman" w:hAnsi="Times New Roman" w:cs="Times New Roman"/>
          <w:b/>
        </w:rPr>
        <w:t>Report to be considered.</w:t>
      </w:r>
    </w:p>
    <w:sectPr w:rsidR="00A669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88" w:rsidRDefault="00957788" w:rsidP="00A6692E">
      <w:pPr>
        <w:spacing w:after="0" w:line="240" w:lineRule="auto"/>
      </w:pPr>
      <w:r>
        <w:separator/>
      </w:r>
    </w:p>
  </w:endnote>
  <w:endnote w:type="continuationSeparator" w:id="0">
    <w:p w:rsidR="00957788" w:rsidRDefault="00957788" w:rsidP="00A6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18618"/>
      <w:docPartObj>
        <w:docPartGallery w:val="Page Numbers (Bottom of Page)"/>
        <w:docPartUnique/>
      </w:docPartObj>
    </w:sdtPr>
    <w:sdtEndPr>
      <w:rPr>
        <w:noProof/>
      </w:rPr>
    </w:sdtEndPr>
    <w:sdtContent>
      <w:p w:rsidR="00EE1353" w:rsidRDefault="00EE1353">
        <w:pPr>
          <w:pStyle w:val="Footer"/>
          <w:jc w:val="right"/>
        </w:pPr>
        <w:r>
          <w:fldChar w:fldCharType="begin"/>
        </w:r>
        <w:r>
          <w:instrText xml:space="preserve"> PAGE   \* MERGEFORMAT </w:instrText>
        </w:r>
        <w:r>
          <w:fldChar w:fldCharType="separate"/>
        </w:r>
        <w:r w:rsidR="00B83096">
          <w:rPr>
            <w:noProof/>
          </w:rPr>
          <w:t>1</w:t>
        </w:r>
        <w:r>
          <w:rPr>
            <w:noProof/>
          </w:rPr>
          <w:fldChar w:fldCharType="end"/>
        </w:r>
      </w:p>
    </w:sdtContent>
  </w:sdt>
  <w:p w:rsidR="00EE1353" w:rsidRDefault="00EE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88" w:rsidRDefault="00957788" w:rsidP="00A6692E">
      <w:pPr>
        <w:spacing w:after="0" w:line="240" w:lineRule="auto"/>
      </w:pPr>
      <w:r>
        <w:separator/>
      </w:r>
    </w:p>
  </w:footnote>
  <w:footnote w:type="continuationSeparator" w:id="0">
    <w:p w:rsidR="00957788" w:rsidRDefault="00957788" w:rsidP="00A6692E">
      <w:pPr>
        <w:spacing w:after="0" w:line="240" w:lineRule="auto"/>
      </w:pPr>
      <w:r>
        <w:continuationSeparator/>
      </w:r>
    </w:p>
  </w:footnote>
  <w:footnote w:id="1">
    <w:p w:rsidR="00EE1353" w:rsidRPr="00CD107E" w:rsidRDefault="00EE1353" w:rsidP="008A5087">
      <w:pPr>
        <w:pStyle w:val="FootnoteText"/>
        <w:jc w:val="both"/>
        <w:rPr>
          <w:rFonts w:ascii="Times New Roman" w:hAnsi="Times New Roman" w:cs="Times New Roman"/>
          <w:sz w:val="16"/>
          <w:szCs w:val="16"/>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Section 24 of the Bill of Rights proclaims that all citizens have a right to an environment that is not harmful.</w:t>
      </w:r>
    </w:p>
  </w:footnote>
  <w:footnote w:id="2">
    <w:p w:rsidR="00EE1353" w:rsidRDefault="00EE1353">
      <w:pPr>
        <w:pStyle w:val="FootnoteText"/>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Department of Water and Sanitation, Annual Performance Plan 2022/23 to 2024/25.</w:t>
      </w:r>
    </w:p>
  </w:footnote>
  <w:footnote w:id="3">
    <w:p w:rsidR="00EE1353" w:rsidRPr="00996552" w:rsidRDefault="00EE1353" w:rsidP="00996552">
      <w:pPr>
        <w:pStyle w:val="FootnoteText"/>
        <w:jc w:val="both"/>
        <w:rPr>
          <w:rFonts w:ascii="Times New Roman" w:hAnsi="Times New Roman" w:cs="Times New Roman"/>
          <w:sz w:val="16"/>
          <w:szCs w:val="16"/>
        </w:rPr>
      </w:pPr>
      <w:r w:rsidRPr="00996552">
        <w:rPr>
          <w:rStyle w:val="FootnoteReference"/>
          <w:rFonts w:ascii="Times New Roman" w:hAnsi="Times New Roman" w:cs="Times New Roman"/>
          <w:sz w:val="16"/>
          <w:szCs w:val="16"/>
        </w:rPr>
        <w:footnoteRef/>
      </w:r>
      <w:r w:rsidRPr="00996552">
        <w:rPr>
          <w:rFonts w:ascii="Times New Roman" w:hAnsi="Times New Roman" w:cs="Times New Roman"/>
          <w:sz w:val="16"/>
          <w:szCs w:val="16"/>
        </w:rPr>
        <w:t xml:space="preserve"> The information that follows was sourced from the National Treasury Estimates of National Expenditure, Budget Vote 41: Water and Sanitation, 2022/23.</w:t>
      </w:r>
    </w:p>
  </w:footnote>
  <w:footnote w:id="4">
    <w:p w:rsidR="00EE1353" w:rsidRPr="00CD107E" w:rsidRDefault="00EE1353" w:rsidP="008C72F9">
      <w:pPr>
        <w:pStyle w:val="FootnoteText"/>
        <w:jc w:val="both"/>
        <w:rPr>
          <w:rFonts w:ascii="Times New Roman" w:hAnsi="Times New Roman" w:cs="Times New Roman"/>
          <w:sz w:val="16"/>
          <w:szCs w:val="16"/>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Department of Water and Sanitation, Annual Performance Plan, 2022/23 to 2024/25.</w:t>
      </w:r>
    </w:p>
  </w:footnote>
  <w:footnote w:id="5">
    <w:p w:rsidR="00EE1353" w:rsidRPr="00C0369E" w:rsidRDefault="00EE1353" w:rsidP="00C0369E">
      <w:pPr>
        <w:pStyle w:val="FootnoteText"/>
        <w:jc w:val="both"/>
        <w:rPr>
          <w:rFonts w:ascii="Times New Roman" w:hAnsi="Times New Roman" w:cs="Times New Roman"/>
          <w:sz w:val="18"/>
          <w:szCs w:val="18"/>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Department of Water and Sanitation, Annual Performance Plan, 2022/23 to 2024/25.</w:t>
      </w:r>
    </w:p>
  </w:footnote>
  <w:footnote w:id="6">
    <w:p w:rsidR="00EE1353" w:rsidRPr="00CD107E" w:rsidRDefault="00EE1353" w:rsidP="00C0369E">
      <w:pPr>
        <w:pStyle w:val="FootnoteText"/>
        <w:jc w:val="both"/>
        <w:rPr>
          <w:rFonts w:ascii="Times New Roman" w:hAnsi="Times New Roman" w:cs="Times New Roman"/>
          <w:sz w:val="16"/>
          <w:szCs w:val="16"/>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Department of Water and Sanitation, Annual Performance Plan, 2022/23 to 2024/25.</w:t>
      </w:r>
    </w:p>
  </w:footnote>
  <w:footnote w:id="7">
    <w:p w:rsidR="00EE1353" w:rsidRPr="006D15B7" w:rsidRDefault="00EE1353" w:rsidP="00C0369E">
      <w:pPr>
        <w:pStyle w:val="FootnoteText"/>
        <w:jc w:val="both"/>
        <w:rPr>
          <w:sz w:val="18"/>
          <w:szCs w:val="18"/>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The information was sourced from the National Treasury Estimates of National Expenditure, Budget Vote 41: Water and Sanitation 2022/23.</w:t>
      </w:r>
    </w:p>
  </w:footnote>
  <w:footnote w:id="8">
    <w:p w:rsidR="00EC4D91" w:rsidRDefault="00EC4D91">
      <w:pPr>
        <w:pStyle w:val="FootnoteText"/>
      </w:pPr>
      <w:r w:rsidRPr="00570E6E">
        <w:rPr>
          <w:rStyle w:val="FootnoteReference"/>
          <w:rFonts w:ascii="Times New Roman" w:hAnsi="Times New Roman" w:cs="Times New Roman"/>
          <w:sz w:val="16"/>
          <w:szCs w:val="16"/>
        </w:rPr>
        <w:footnoteRef/>
      </w:r>
      <w:r w:rsidRPr="00570E6E">
        <w:rPr>
          <w:rFonts w:ascii="Times New Roman" w:hAnsi="Times New Roman" w:cs="Times New Roman"/>
          <w:sz w:val="16"/>
          <w:szCs w:val="16"/>
        </w:rPr>
        <w:t xml:space="preserve"> Information was sourced from </w:t>
      </w:r>
      <w:r w:rsidR="00570E6E" w:rsidRPr="00570E6E">
        <w:rPr>
          <w:rFonts w:ascii="Times New Roman" w:hAnsi="Times New Roman" w:cs="Times New Roman"/>
          <w:sz w:val="16"/>
          <w:szCs w:val="16"/>
        </w:rPr>
        <w:t>Freshwater Governance in the 21</w:t>
      </w:r>
      <w:r w:rsidR="00570E6E" w:rsidRPr="00570E6E">
        <w:rPr>
          <w:rFonts w:ascii="Times New Roman" w:hAnsi="Times New Roman" w:cs="Times New Roman"/>
          <w:sz w:val="16"/>
          <w:szCs w:val="16"/>
          <w:vertAlign w:val="superscript"/>
        </w:rPr>
        <w:t>st</w:t>
      </w:r>
      <w:r w:rsidR="00570E6E" w:rsidRPr="00570E6E">
        <w:rPr>
          <w:rFonts w:ascii="Times New Roman" w:hAnsi="Times New Roman" w:cs="Times New Roman"/>
          <w:sz w:val="16"/>
          <w:szCs w:val="16"/>
        </w:rPr>
        <w:t xml:space="preserve"> century, edited by Eiman Karar</w:t>
      </w:r>
      <w:r w:rsidR="00570E6E">
        <w:t xml:space="preserve">. </w:t>
      </w:r>
    </w:p>
  </w:footnote>
  <w:footnote w:id="9">
    <w:p w:rsidR="00EE1353" w:rsidRPr="007E19D3" w:rsidRDefault="00EE1353" w:rsidP="00567C11">
      <w:pPr>
        <w:pStyle w:val="FootnoteText"/>
        <w:jc w:val="both"/>
        <w:rPr>
          <w:rFonts w:ascii="Times New Roman" w:hAnsi="Times New Roman" w:cs="Times New Roman"/>
          <w:sz w:val="16"/>
          <w:szCs w:val="16"/>
        </w:rPr>
      </w:pPr>
      <w:r w:rsidRPr="007E19D3">
        <w:rPr>
          <w:rStyle w:val="FootnoteReference"/>
          <w:rFonts w:ascii="Times New Roman" w:hAnsi="Times New Roman" w:cs="Times New Roman"/>
          <w:sz w:val="16"/>
          <w:szCs w:val="16"/>
        </w:rPr>
        <w:footnoteRef/>
      </w:r>
      <w:r w:rsidRPr="007E19D3">
        <w:rPr>
          <w:rFonts w:ascii="Times New Roman" w:hAnsi="Times New Roman" w:cs="Times New Roman"/>
          <w:sz w:val="16"/>
          <w:szCs w:val="16"/>
        </w:rPr>
        <w:t xml:space="preserve"> SIP 19: Ecological Infrastructure for Water Security, which provides an overview of a proposed Strategic Integrated Project (SIP) aimed at improving South Africa's water resources and other environmental goods and services through the conservation, protection, restoration, rehabilitation and/or maintenance of key ecological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1D1"/>
    <w:multiLevelType w:val="hybridMultilevel"/>
    <w:tmpl w:val="4224C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BD0398"/>
    <w:multiLevelType w:val="hybridMultilevel"/>
    <w:tmpl w:val="39085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A812A9"/>
    <w:multiLevelType w:val="hybridMultilevel"/>
    <w:tmpl w:val="2D42C9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6F64255"/>
    <w:multiLevelType w:val="hybridMultilevel"/>
    <w:tmpl w:val="45E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084A"/>
    <w:multiLevelType w:val="hybridMultilevel"/>
    <w:tmpl w:val="52E8E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0467A0"/>
    <w:multiLevelType w:val="hybridMultilevel"/>
    <w:tmpl w:val="43F69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32A66A4"/>
    <w:multiLevelType w:val="hybridMultilevel"/>
    <w:tmpl w:val="FDC065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82C0A3A"/>
    <w:multiLevelType w:val="hybridMultilevel"/>
    <w:tmpl w:val="FA0E6D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B1A5AA6"/>
    <w:multiLevelType w:val="hybridMultilevel"/>
    <w:tmpl w:val="989062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F5B14EB"/>
    <w:multiLevelType w:val="hybridMultilevel"/>
    <w:tmpl w:val="C43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1206D"/>
    <w:multiLevelType w:val="hybridMultilevel"/>
    <w:tmpl w:val="E1A031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4A913BA"/>
    <w:multiLevelType w:val="hybridMultilevel"/>
    <w:tmpl w:val="DF6E2C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9137A1D"/>
    <w:multiLevelType w:val="multilevel"/>
    <w:tmpl w:val="EB04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D6F08"/>
    <w:multiLevelType w:val="hybridMultilevel"/>
    <w:tmpl w:val="C4D477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223347E"/>
    <w:multiLevelType w:val="hybridMultilevel"/>
    <w:tmpl w:val="AD90D85E"/>
    <w:lvl w:ilvl="0" w:tplc="4036E97A">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966184"/>
    <w:multiLevelType w:val="hybridMultilevel"/>
    <w:tmpl w:val="AEE07B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6B17082"/>
    <w:multiLevelType w:val="hybridMultilevel"/>
    <w:tmpl w:val="D2D0F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91D5ABB"/>
    <w:multiLevelType w:val="hybridMultilevel"/>
    <w:tmpl w:val="DE1A21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C2D5802"/>
    <w:multiLevelType w:val="hybridMultilevel"/>
    <w:tmpl w:val="F7B22C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F96209A"/>
    <w:multiLevelType w:val="hybridMultilevel"/>
    <w:tmpl w:val="C720B4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0164671"/>
    <w:multiLevelType w:val="hybridMultilevel"/>
    <w:tmpl w:val="BFB406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17563A8"/>
    <w:multiLevelType w:val="hybridMultilevel"/>
    <w:tmpl w:val="DF204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77B7C5E"/>
    <w:multiLevelType w:val="hybridMultilevel"/>
    <w:tmpl w:val="EBA014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E183D2C"/>
    <w:multiLevelType w:val="hybridMultilevel"/>
    <w:tmpl w:val="06A8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A64FD"/>
    <w:multiLevelType w:val="hybridMultilevel"/>
    <w:tmpl w:val="C7465C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7C90850"/>
    <w:multiLevelType w:val="hybridMultilevel"/>
    <w:tmpl w:val="179626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806312D"/>
    <w:multiLevelType w:val="multilevel"/>
    <w:tmpl w:val="7CECC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435BC6"/>
    <w:multiLevelType w:val="hybridMultilevel"/>
    <w:tmpl w:val="F740F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A820355"/>
    <w:multiLevelType w:val="hybridMultilevel"/>
    <w:tmpl w:val="FCFC10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D27639"/>
    <w:multiLevelType w:val="hybridMultilevel"/>
    <w:tmpl w:val="96F003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2726F23"/>
    <w:multiLevelType w:val="hybridMultilevel"/>
    <w:tmpl w:val="A1D05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6103374"/>
    <w:multiLevelType w:val="hybridMultilevel"/>
    <w:tmpl w:val="68F288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8D7BBC"/>
    <w:multiLevelType w:val="hybridMultilevel"/>
    <w:tmpl w:val="7BA6F3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4"/>
  </w:num>
  <w:num w:numId="4">
    <w:abstractNumId w:val="0"/>
  </w:num>
  <w:num w:numId="5">
    <w:abstractNumId w:val="12"/>
  </w:num>
  <w:num w:numId="6">
    <w:abstractNumId w:val="1"/>
  </w:num>
  <w:num w:numId="7">
    <w:abstractNumId w:val="10"/>
  </w:num>
  <w:num w:numId="8">
    <w:abstractNumId w:val="25"/>
  </w:num>
  <w:num w:numId="9">
    <w:abstractNumId w:val="7"/>
  </w:num>
  <w:num w:numId="10">
    <w:abstractNumId w:val="8"/>
  </w:num>
  <w:num w:numId="11">
    <w:abstractNumId w:val="19"/>
  </w:num>
  <w:num w:numId="12">
    <w:abstractNumId w:val="30"/>
  </w:num>
  <w:num w:numId="13">
    <w:abstractNumId w:val="13"/>
  </w:num>
  <w:num w:numId="14">
    <w:abstractNumId w:val="21"/>
  </w:num>
  <w:num w:numId="15">
    <w:abstractNumId w:val="5"/>
  </w:num>
  <w:num w:numId="16">
    <w:abstractNumId w:val="31"/>
  </w:num>
  <w:num w:numId="17">
    <w:abstractNumId w:val="28"/>
  </w:num>
  <w:num w:numId="18">
    <w:abstractNumId w:val="32"/>
  </w:num>
  <w:num w:numId="19">
    <w:abstractNumId w:val="16"/>
  </w:num>
  <w:num w:numId="20">
    <w:abstractNumId w:val="27"/>
  </w:num>
  <w:num w:numId="21">
    <w:abstractNumId w:val="29"/>
  </w:num>
  <w:num w:numId="22">
    <w:abstractNumId w:val="24"/>
  </w:num>
  <w:num w:numId="23">
    <w:abstractNumId w:val="33"/>
  </w:num>
  <w:num w:numId="24">
    <w:abstractNumId w:val="11"/>
  </w:num>
  <w:num w:numId="25">
    <w:abstractNumId w:val="6"/>
  </w:num>
  <w:num w:numId="26">
    <w:abstractNumId w:val="15"/>
  </w:num>
  <w:num w:numId="27">
    <w:abstractNumId w:val="17"/>
  </w:num>
  <w:num w:numId="28">
    <w:abstractNumId w:val="14"/>
  </w:num>
  <w:num w:numId="29">
    <w:abstractNumId w:val="20"/>
  </w:num>
  <w:num w:numId="30">
    <w:abstractNumId w:val="22"/>
  </w:num>
  <w:num w:numId="31">
    <w:abstractNumId w:val="9"/>
  </w:num>
  <w:num w:numId="32">
    <w:abstractNumId w:val="3"/>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2E"/>
    <w:rsid w:val="000138C5"/>
    <w:rsid w:val="000144ED"/>
    <w:rsid w:val="000169BE"/>
    <w:rsid w:val="0002261E"/>
    <w:rsid w:val="00032D25"/>
    <w:rsid w:val="000347DC"/>
    <w:rsid w:val="0003781E"/>
    <w:rsid w:val="00043A30"/>
    <w:rsid w:val="00051D84"/>
    <w:rsid w:val="00063550"/>
    <w:rsid w:val="00086490"/>
    <w:rsid w:val="000928F0"/>
    <w:rsid w:val="00093645"/>
    <w:rsid w:val="000949A0"/>
    <w:rsid w:val="0009670E"/>
    <w:rsid w:val="00097582"/>
    <w:rsid w:val="000A47B1"/>
    <w:rsid w:val="000D487A"/>
    <w:rsid w:val="000E5A4C"/>
    <w:rsid w:val="0010162C"/>
    <w:rsid w:val="00115EC0"/>
    <w:rsid w:val="001218F3"/>
    <w:rsid w:val="0012654B"/>
    <w:rsid w:val="001355B5"/>
    <w:rsid w:val="001419CA"/>
    <w:rsid w:val="00157688"/>
    <w:rsid w:val="00157B7D"/>
    <w:rsid w:val="00157FB4"/>
    <w:rsid w:val="00171BDF"/>
    <w:rsid w:val="00186925"/>
    <w:rsid w:val="00197963"/>
    <w:rsid w:val="001A1010"/>
    <w:rsid w:val="001A3B25"/>
    <w:rsid w:val="001A5BDC"/>
    <w:rsid w:val="001C0E11"/>
    <w:rsid w:val="001D0D4A"/>
    <w:rsid w:val="001E1753"/>
    <w:rsid w:val="001E2875"/>
    <w:rsid w:val="001F56ED"/>
    <w:rsid w:val="0020438B"/>
    <w:rsid w:val="00204437"/>
    <w:rsid w:val="00206D96"/>
    <w:rsid w:val="00214AAE"/>
    <w:rsid w:val="002224A5"/>
    <w:rsid w:val="00225104"/>
    <w:rsid w:val="00225894"/>
    <w:rsid w:val="00237A52"/>
    <w:rsid w:val="002421F4"/>
    <w:rsid w:val="00244445"/>
    <w:rsid w:val="0028419A"/>
    <w:rsid w:val="00286708"/>
    <w:rsid w:val="002B0C0E"/>
    <w:rsid w:val="002B73D2"/>
    <w:rsid w:val="002C15B4"/>
    <w:rsid w:val="002C51BC"/>
    <w:rsid w:val="002C598C"/>
    <w:rsid w:val="002D6B64"/>
    <w:rsid w:val="002D70A9"/>
    <w:rsid w:val="002E6110"/>
    <w:rsid w:val="002F45CF"/>
    <w:rsid w:val="003033C9"/>
    <w:rsid w:val="003155A1"/>
    <w:rsid w:val="00351412"/>
    <w:rsid w:val="003648F3"/>
    <w:rsid w:val="00365227"/>
    <w:rsid w:val="00380B0C"/>
    <w:rsid w:val="003812B6"/>
    <w:rsid w:val="00387352"/>
    <w:rsid w:val="00390736"/>
    <w:rsid w:val="003A648F"/>
    <w:rsid w:val="003A6E47"/>
    <w:rsid w:val="003B07A4"/>
    <w:rsid w:val="003D6DA6"/>
    <w:rsid w:val="003E3423"/>
    <w:rsid w:val="003F470F"/>
    <w:rsid w:val="00406C2D"/>
    <w:rsid w:val="00423F56"/>
    <w:rsid w:val="00433937"/>
    <w:rsid w:val="00434996"/>
    <w:rsid w:val="004451B4"/>
    <w:rsid w:val="004543D4"/>
    <w:rsid w:val="0045640B"/>
    <w:rsid w:val="004761AB"/>
    <w:rsid w:val="00496004"/>
    <w:rsid w:val="004B3D10"/>
    <w:rsid w:val="004C5338"/>
    <w:rsid w:val="004C5E4D"/>
    <w:rsid w:val="004E1A39"/>
    <w:rsid w:val="004E2C8E"/>
    <w:rsid w:val="004E5415"/>
    <w:rsid w:val="004F645D"/>
    <w:rsid w:val="00514949"/>
    <w:rsid w:val="00515F66"/>
    <w:rsid w:val="00517E0F"/>
    <w:rsid w:val="005203CF"/>
    <w:rsid w:val="00522426"/>
    <w:rsid w:val="00522919"/>
    <w:rsid w:val="005416C6"/>
    <w:rsid w:val="0054287D"/>
    <w:rsid w:val="0054531F"/>
    <w:rsid w:val="00556D3B"/>
    <w:rsid w:val="00565EA6"/>
    <w:rsid w:val="00567C11"/>
    <w:rsid w:val="00570E6E"/>
    <w:rsid w:val="00573AFE"/>
    <w:rsid w:val="005773FC"/>
    <w:rsid w:val="005A612E"/>
    <w:rsid w:val="005B7551"/>
    <w:rsid w:val="005C18FF"/>
    <w:rsid w:val="005C2EC4"/>
    <w:rsid w:val="005C459C"/>
    <w:rsid w:val="005C5C0F"/>
    <w:rsid w:val="005D7AD3"/>
    <w:rsid w:val="005E3585"/>
    <w:rsid w:val="005F11AB"/>
    <w:rsid w:val="00600449"/>
    <w:rsid w:val="00600FE1"/>
    <w:rsid w:val="0060406B"/>
    <w:rsid w:val="006061E9"/>
    <w:rsid w:val="00633055"/>
    <w:rsid w:val="006331BC"/>
    <w:rsid w:val="006353B2"/>
    <w:rsid w:val="006610D5"/>
    <w:rsid w:val="006708EF"/>
    <w:rsid w:val="006753B7"/>
    <w:rsid w:val="00677D31"/>
    <w:rsid w:val="00681C2A"/>
    <w:rsid w:val="006C1600"/>
    <w:rsid w:val="006D15B7"/>
    <w:rsid w:val="006D3EE9"/>
    <w:rsid w:val="006E118B"/>
    <w:rsid w:val="006F233B"/>
    <w:rsid w:val="00726067"/>
    <w:rsid w:val="00753059"/>
    <w:rsid w:val="007542DC"/>
    <w:rsid w:val="00770772"/>
    <w:rsid w:val="007879B3"/>
    <w:rsid w:val="007B5D1B"/>
    <w:rsid w:val="007C728E"/>
    <w:rsid w:val="007E19D3"/>
    <w:rsid w:val="007F35A4"/>
    <w:rsid w:val="008032D0"/>
    <w:rsid w:val="00803B7D"/>
    <w:rsid w:val="00812258"/>
    <w:rsid w:val="008140E6"/>
    <w:rsid w:val="00816313"/>
    <w:rsid w:val="008213C3"/>
    <w:rsid w:val="0083061D"/>
    <w:rsid w:val="00857365"/>
    <w:rsid w:val="00880E09"/>
    <w:rsid w:val="00883989"/>
    <w:rsid w:val="008903A2"/>
    <w:rsid w:val="008912AA"/>
    <w:rsid w:val="00893C5E"/>
    <w:rsid w:val="008A5087"/>
    <w:rsid w:val="008C72F9"/>
    <w:rsid w:val="008F5F07"/>
    <w:rsid w:val="008F6244"/>
    <w:rsid w:val="008F7EC2"/>
    <w:rsid w:val="009075CB"/>
    <w:rsid w:val="00912BD4"/>
    <w:rsid w:val="009157EC"/>
    <w:rsid w:val="0091738E"/>
    <w:rsid w:val="00955836"/>
    <w:rsid w:val="00957788"/>
    <w:rsid w:val="00960935"/>
    <w:rsid w:val="00972A7B"/>
    <w:rsid w:val="00986EC5"/>
    <w:rsid w:val="00996552"/>
    <w:rsid w:val="00997E10"/>
    <w:rsid w:val="009A1C7F"/>
    <w:rsid w:val="009A2470"/>
    <w:rsid w:val="009B7146"/>
    <w:rsid w:val="009C0BC9"/>
    <w:rsid w:val="009C2E06"/>
    <w:rsid w:val="009D23F0"/>
    <w:rsid w:val="009E4677"/>
    <w:rsid w:val="00A000CE"/>
    <w:rsid w:val="00A0308F"/>
    <w:rsid w:val="00A345B5"/>
    <w:rsid w:val="00A515E8"/>
    <w:rsid w:val="00A54EF7"/>
    <w:rsid w:val="00A556B5"/>
    <w:rsid w:val="00A559DA"/>
    <w:rsid w:val="00A57B37"/>
    <w:rsid w:val="00A6692E"/>
    <w:rsid w:val="00A70C46"/>
    <w:rsid w:val="00A72758"/>
    <w:rsid w:val="00A81A90"/>
    <w:rsid w:val="00A96638"/>
    <w:rsid w:val="00AB4AFE"/>
    <w:rsid w:val="00AB7D0F"/>
    <w:rsid w:val="00AD0A5E"/>
    <w:rsid w:val="00AD2A9D"/>
    <w:rsid w:val="00AD400C"/>
    <w:rsid w:val="00AD767D"/>
    <w:rsid w:val="00AE1E38"/>
    <w:rsid w:val="00AE1F6F"/>
    <w:rsid w:val="00AE2338"/>
    <w:rsid w:val="00AE690B"/>
    <w:rsid w:val="00AF6F59"/>
    <w:rsid w:val="00B21580"/>
    <w:rsid w:val="00B26F6C"/>
    <w:rsid w:val="00B36077"/>
    <w:rsid w:val="00B46026"/>
    <w:rsid w:val="00B51CD0"/>
    <w:rsid w:val="00B54D18"/>
    <w:rsid w:val="00B702D1"/>
    <w:rsid w:val="00B734D8"/>
    <w:rsid w:val="00B75371"/>
    <w:rsid w:val="00B81C32"/>
    <w:rsid w:val="00B83096"/>
    <w:rsid w:val="00B8537E"/>
    <w:rsid w:val="00B87557"/>
    <w:rsid w:val="00BA3E61"/>
    <w:rsid w:val="00BA5B67"/>
    <w:rsid w:val="00BB5A55"/>
    <w:rsid w:val="00BC7278"/>
    <w:rsid w:val="00BE4D19"/>
    <w:rsid w:val="00BF7E52"/>
    <w:rsid w:val="00C0369E"/>
    <w:rsid w:val="00C21303"/>
    <w:rsid w:val="00C41BEC"/>
    <w:rsid w:val="00C43AC8"/>
    <w:rsid w:val="00C57E99"/>
    <w:rsid w:val="00C809F3"/>
    <w:rsid w:val="00C87E2C"/>
    <w:rsid w:val="00C9171A"/>
    <w:rsid w:val="00CA1818"/>
    <w:rsid w:val="00CA4F62"/>
    <w:rsid w:val="00CA6763"/>
    <w:rsid w:val="00CA7248"/>
    <w:rsid w:val="00CB7B31"/>
    <w:rsid w:val="00CC66F4"/>
    <w:rsid w:val="00CD107E"/>
    <w:rsid w:val="00CD3205"/>
    <w:rsid w:val="00CE40AE"/>
    <w:rsid w:val="00CE4FCE"/>
    <w:rsid w:val="00CF35B5"/>
    <w:rsid w:val="00CF4B49"/>
    <w:rsid w:val="00D10F2D"/>
    <w:rsid w:val="00D1514F"/>
    <w:rsid w:val="00D2357E"/>
    <w:rsid w:val="00D56CE6"/>
    <w:rsid w:val="00D665A7"/>
    <w:rsid w:val="00D75F57"/>
    <w:rsid w:val="00D776F6"/>
    <w:rsid w:val="00D83CB2"/>
    <w:rsid w:val="00DA11E9"/>
    <w:rsid w:val="00DA2FD1"/>
    <w:rsid w:val="00DA47AD"/>
    <w:rsid w:val="00DA4AC7"/>
    <w:rsid w:val="00DB3607"/>
    <w:rsid w:val="00DB3CCB"/>
    <w:rsid w:val="00DC52DF"/>
    <w:rsid w:val="00DC56F3"/>
    <w:rsid w:val="00DD3F25"/>
    <w:rsid w:val="00DD3F83"/>
    <w:rsid w:val="00DD6FDC"/>
    <w:rsid w:val="00DF3105"/>
    <w:rsid w:val="00DF5682"/>
    <w:rsid w:val="00E1406C"/>
    <w:rsid w:val="00E27A82"/>
    <w:rsid w:val="00E44003"/>
    <w:rsid w:val="00E47B93"/>
    <w:rsid w:val="00E52F2B"/>
    <w:rsid w:val="00E64E9F"/>
    <w:rsid w:val="00E66A1F"/>
    <w:rsid w:val="00E7783A"/>
    <w:rsid w:val="00E87050"/>
    <w:rsid w:val="00E9206C"/>
    <w:rsid w:val="00E95960"/>
    <w:rsid w:val="00EA1544"/>
    <w:rsid w:val="00EC0097"/>
    <w:rsid w:val="00EC4D91"/>
    <w:rsid w:val="00EE1353"/>
    <w:rsid w:val="00EE2567"/>
    <w:rsid w:val="00F31ED8"/>
    <w:rsid w:val="00F37244"/>
    <w:rsid w:val="00F613AE"/>
    <w:rsid w:val="00F80D2C"/>
    <w:rsid w:val="00FB49CA"/>
    <w:rsid w:val="00FB731F"/>
    <w:rsid w:val="00FC7239"/>
    <w:rsid w:val="00FD168C"/>
    <w:rsid w:val="00FE1E03"/>
    <w:rsid w:val="00FE79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1FCC"/>
  <w15:chartTrackingRefBased/>
  <w15:docId w15:val="{FED4A29C-DAF7-44F1-9D85-B8B5AE12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E"/>
  </w:style>
  <w:style w:type="paragraph" w:styleId="Heading2">
    <w:name w:val="heading 2"/>
    <w:basedOn w:val="Normal"/>
    <w:next w:val="Normal"/>
    <w:link w:val="Heading2Char"/>
    <w:uiPriority w:val="9"/>
    <w:unhideWhenUsed/>
    <w:qFormat/>
    <w:rsid w:val="00D75F57"/>
    <w:pPr>
      <w:keepNext/>
      <w:keepLines/>
      <w:spacing w:before="40" w:after="0" w:line="280" w:lineRule="exact"/>
      <w:contextualSpacing/>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92E"/>
    <w:rPr>
      <w:sz w:val="20"/>
      <w:szCs w:val="20"/>
    </w:rPr>
  </w:style>
  <w:style w:type="character" w:styleId="FootnoteReference">
    <w:name w:val="footnote reference"/>
    <w:basedOn w:val="DefaultParagraphFont"/>
    <w:uiPriority w:val="99"/>
    <w:unhideWhenUsed/>
    <w:rsid w:val="00A6692E"/>
    <w:rPr>
      <w:vertAlign w:val="superscript"/>
    </w:rPr>
  </w:style>
  <w:style w:type="paragraph" w:styleId="ListParagraph">
    <w:name w:val="List Paragraph"/>
    <w:basedOn w:val="Normal"/>
    <w:uiPriority w:val="34"/>
    <w:qFormat/>
    <w:rsid w:val="00A6692E"/>
    <w:pPr>
      <w:ind w:left="720"/>
      <w:contextualSpacing/>
    </w:pPr>
  </w:style>
  <w:style w:type="table" w:styleId="TableGrid">
    <w:name w:val="Table Grid"/>
    <w:basedOn w:val="TableNormal"/>
    <w:uiPriority w:val="39"/>
    <w:rsid w:val="00A6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92E"/>
  </w:style>
  <w:style w:type="paragraph" w:styleId="Footer">
    <w:name w:val="footer"/>
    <w:basedOn w:val="Normal"/>
    <w:link w:val="FooterChar"/>
    <w:uiPriority w:val="99"/>
    <w:unhideWhenUsed/>
    <w:rsid w:val="00A6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92E"/>
  </w:style>
  <w:style w:type="paragraph" w:customStyle="1" w:styleId="Default">
    <w:name w:val="Default"/>
    <w:rsid w:val="00A669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75F57"/>
    <w:rPr>
      <w:rFonts w:ascii="Arial" w:eastAsiaTheme="majorEastAsia" w:hAnsi="Arial" w:cstheme="majorBidi"/>
      <w:b/>
      <w:color w:val="538135" w:themeColor="accent6" w:themeShade="BF"/>
      <w:szCs w:val="26"/>
    </w:rPr>
  </w:style>
  <w:style w:type="character" w:styleId="CommentReference">
    <w:name w:val="annotation reference"/>
    <w:basedOn w:val="DefaultParagraphFont"/>
    <w:uiPriority w:val="99"/>
    <w:semiHidden/>
    <w:unhideWhenUsed/>
    <w:rsid w:val="00AD767D"/>
    <w:rPr>
      <w:sz w:val="16"/>
      <w:szCs w:val="16"/>
    </w:rPr>
  </w:style>
  <w:style w:type="paragraph" w:styleId="CommentText">
    <w:name w:val="annotation text"/>
    <w:basedOn w:val="Normal"/>
    <w:link w:val="CommentTextChar"/>
    <w:uiPriority w:val="99"/>
    <w:semiHidden/>
    <w:unhideWhenUsed/>
    <w:rsid w:val="00AD767D"/>
    <w:pPr>
      <w:spacing w:line="240" w:lineRule="auto"/>
    </w:pPr>
    <w:rPr>
      <w:sz w:val="20"/>
      <w:szCs w:val="20"/>
    </w:rPr>
  </w:style>
  <w:style w:type="character" w:customStyle="1" w:styleId="CommentTextChar">
    <w:name w:val="Comment Text Char"/>
    <w:basedOn w:val="DefaultParagraphFont"/>
    <w:link w:val="CommentText"/>
    <w:uiPriority w:val="99"/>
    <w:semiHidden/>
    <w:rsid w:val="00AD767D"/>
    <w:rPr>
      <w:sz w:val="20"/>
      <w:szCs w:val="20"/>
    </w:rPr>
  </w:style>
  <w:style w:type="paragraph" w:styleId="CommentSubject">
    <w:name w:val="annotation subject"/>
    <w:basedOn w:val="CommentText"/>
    <w:next w:val="CommentText"/>
    <w:link w:val="CommentSubjectChar"/>
    <w:uiPriority w:val="99"/>
    <w:semiHidden/>
    <w:unhideWhenUsed/>
    <w:rsid w:val="00AD767D"/>
    <w:rPr>
      <w:b/>
      <w:bCs/>
    </w:rPr>
  </w:style>
  <w:style w:type="character" w:customStyle="1" w:styleId="CommentSubjectChar">
    <w:name w:val="Comment Subject Char"/>
    <w:basedOn w:val="CommentTextChar"/>
    <w:link w:val="CommentSubject"/>
    <w:uiPriority w:val="99"/>
    <w:semiHidden/>
    <w:rsid w:val="00AD767D"/>
    <w:rPr>
      <w:b/>
      <w:bCs/>
      <w:sz w:val="20"/>
      <w:szCs w:val="20"/>
    </w:rPr>
  </w:style>
  <w:style w:type="paragraph" w:styleId="Revision">
    <w:name w:val="Revision"/>
    <w:hidden/>
    <w:uiPriority w:val="99"/>
    <w:semiHidden/>
    <w:rsid w:val="00AD767D"/>
    <w:pPr>
      <w:spacing w:after="0" w:line="240" w:lineRule="auto"/>
    </w:pPr>
  </w:style>
  <w:style w:type="paragraph" w:styleId="BalloonText">
    <w:name w:val="Balloon Text"/>
    <w:basedOn w:val="Normal"/>
    <w:link w:val="BalloonTextChar"/>
    <w:uiPriority w:val="99"/>
    <w:semiHidden/>
    <w:unhideWhenUsed/>
    <w:rsid w:val="00AD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5950-3BA1-416B-9076-4098C4E1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9368</Words>
  <Characters>53402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B Dawood</dc:creator>
  <cp:keywords/>
  <dc:description/>
  <cp:lastModifiedBy>Bradley Viljoen</cp:lastModifiedBy>
  <cp:revision>2</cp:revision>
  <dcterms:created xsi:type="dcterms:W3CDTF">2022-05-11T13:24:00Z</dcterms:created>
  <dcterms:modified xsi:type="dcterms:W3CDTF">2022-05-11T13:24:00Z</dcterms:modified>
</cp:coreProperties>
</file>