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701" w:rsidRPr="00B460CF" w:rsidRDefault="00B460CF" w:rsidP="00C40B85">
      <w:pPr>
        <w:spacing w:line="360" w:lineRule="auto"/>
        <w:jc w:val="both"/>
        <w:rPr>
          <w:rFonts w:ascii="Times New Roman" w:hAnsi="Times New Roman" w:cs="Times New Roman"/>
          <w:b/>
          <w:sz w:val="28"/>
          <w:szCs w:val="28"/>
        </w:rPr>
      </w:pPr>
      <w:bookmarkStart w:id="0" w:name="_GoBack"/>
      <w:bookmarkEnd w:id="0"/>
      <w:r w:rsidRPr="00B460CF">
        <w:rPr>
          <w:rFonts w:ascii="Times New Roman" w:hAnsi="Times New Roman" w:cs="Times New Roman"/>
          <w:b/>
          <w:sz w:val="28"/>
          <w:szCs w:val="28"/>
        </w:rPr>
        <w:t xml:space="preserve">1. </w:t>
      </w:r>
      <w:r w:rsidR="00D05701" w:rsidRPr="00B460CF">
        <w:rPr>
          <w:rFonts w:ascii="Times New Roman" w:hAnsi="Times New Roman" w:cs="Times New Roman"/>
          <w:b/>
          <w:sz w:val="28"/>
          <w:szCs w:val="28"/>
        </w:rPr>
        <w:t xml:space="preserve">REPORT OF THE SELECT COMMITTEE ON APPROPRIATIONS ON THE </w:t>
      </w:r>
      <w:r w:rsidR="00D05701" w:rsidRPr="00B460CF">
        <w:rPr>
          <w:rFonts w:ascii="Times New Roman" w:hAnsi="Times New Roman" w:cs="Times New Roman"/>
          <w:b/>
          <w:i/>
          <w:sz w:val="28"/>
          <w:szCs w:val="28"/>
        </w:rPr>
        <w:t xml:space="preserve">DIVISION OF REVENUE BILL </w:t>
      </w:r>
      <w:r w:rsidR="00D05701" w:rsidRPr="00B460CF">
        <w:rPr>
          <w:rFonts w:ascii="Times New Roman" w:hAnsi="Times New Roman" w:cs="Times New Roman"/>
          <w:b/>
          <w:sz w:val="28"/>
          <w:szCs w:val="28"/>
        </w:rPr>
        <w:t>[B6-2022], DATED 11 MAY 2022</w:t>
      </w:r>
    </w:p>
    <w:p w:rsidR="00D05701" w:rsidRPr="003A377E" w:rsidRDefault="00D05701">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The Select Committee on Appropriations, having considered the </w:t>
      </w:r>
      <w:r w:rsidRPr="003A377E">
        <w:rPr>
          <w:rFonts w:ascii="Times New Roman" w:hAnsi="Times New Roman" w:cs="Times New Roman"/>
          <w:i/>
          <w:sz w:val="24"/>
          <w:szCs w:val="24"/>
        </w:rPr>
        <w:t xml:space="preserve">Division of Revenue Bill </w:t>
      </w:r>
      <w:r w:rsidRPr="003A377E">
        <w:rPr>
          <w:rFonts w:ascii="Times New Roman" w:hAnsi="Times New Roman" w:cs="Times New Roman"/>
          <w:sz w:val="24"/>
          <w:szCs w:val="24"/>
        </w:rPr>
        <w:t xml:space="preserve">[B6 – 2022] (National Assembly-Section 76(1)), referred to it and classified by the JTM as a Section 76(1) </w:t>
      </w:r>
      <w:r w:rsidR="0091030E" w:rsidRPr="003A377E">
        <w:rPr>
          <w:rFonts w:ascii="Times New Roman" w:hAnsi="Times New Roman" w:cs="Times New Roman"/>
          <w:sz w:val="24"/>
          <w:szCs w:val="24"/>
        </w:rPr>
        <w:t>B</w:t>
      </w:r>
      <w:r w:rsidRPr="003A377E">
        <w:rPr>
          <w:rFonts w:ascii="Times New Roman" w:hAnsi="Times New Roman" w:cs="Times New Roman"/>
          <w:sz w:val="24"/>
          <w:szCs w:val="24"/>
        </w:rPr>
        <w:t>ill, reports as follows:</w:t>
      </w:r>
    </w:p>
    <w:p w:rsidR="00D05701" w:rsidRPr="003A377E" w:rsidRDefault="00D05701">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 </w:t>
      </w:r>
    </w:p>
    <w:p w:rsidR="00D05701" w:rsidRPr="003A377E" w:rsidRDefault="00D05701">
      <w:pPr>
        <w:pStyle w:val="ListParagraph"/>
        <w:numPr>
          <w:ilvl w:val="0"/>
          <w:numId w:val="2"/>
        </w:numPr>
        <w:spacing w:after="0" w:line="360" w:lineRule="auto"/>
        <w:ind w:left="426" w:hanging="426"/>
        <w:jc w:val="both"/>
        <w:rPr>
          <w:rFonts w:ascii="Times New Roman" w:hAnsi="Times New Roman" w:cs="Times New Roman"/>
          <w:b/>
          <w:sz w:val="24"/>
          <w:szCs w:val="24"/>
        </w:rPr>
      </w:pPr>
      <w:r w:rsidRPr="003A377E">
        <w:rPr>
          <w:rFonts w:ascii="Times New Roman" w:hAnsi="Times New Roman" w:cs="Times New Roman"/>
          <w:b/>
          <w:sz w:val="24"/>
          <w:szCs w:val="24"/>
        </w:rPr>
        <w:t>Introduction and background</w:t>
      </w:r>
    </w:p>
    <w:p w:rsidR="00D05701" w:rsidRPr="003A377E" w:rsidRDefault="00D05701">
      <w:pPr>
        <w:spacing w:line="360" w:lineRule="auto"/>
        <w:jc w:val="both"/>
        <w:rPr>
          <w:rFonts w:ascii="Times New Roman" w:hAnsi="Times New Roman" w:cs="Times New Roman"/>
          <w:sz w:val="24"/>
          <w:szCs w:val="24"/>
        </w:rPr>
      </w:pPr>
      <w:r w:rsidRPr="003A377E">
        <w:rPr>
          <w:rFonts w:ascii="Times New Roman" w:eastAsia="Times New Roman" w:hAnsi="Times New Roman" w:cs="Times New Roman"/>
          <w:sz w:val="24"/>
          <w:szCs w:val="24"/>
          <w:lang w:eastAsia="en-GB"/>
        </w:rPr>
        <w:t xml:space="preserve">Section 214(1) of the Constitution of the Republic of South Africa requires that every year a Division of Revenue Act should determine the equitable division of nationally raised revenue between national, provincial and local government. In line with </w:t>
      </w:r>
      <w:r w:rsidRPr="003A377E">
        <w:rPr>
          <w:rFonts w:ascii="Times New Roman" w:hAnsi="Times New Roman" w:cs="Times New Roman"/>
          <w:sz w:val="24"/>
          <w:szCs w:val="24"/>
        </w:rPr>
        <w:t>Section 7(1)(3) of the Money Bills and Related Matters Act No</w:t>
      </w:r>
      <w:r w:rsidR="00BD2268" w:rsidRPr="003A377E">
        <w:rPr>
          <w:rFonts w:ascii="Times New Roman" w:hAnsi="Times New Roman" w:cs="Times New Roman"/>
          <w:sz w:val="24"/>
          <w:szCs w:val="24"/>
        </w:rPr>
        <w:t>.</w:t>
      </w:r>
      <w:r w:rsidRPr="003A377E">
        <w:rPr>
          <w:rFonts w:ascii="Times New Roman" w:hAnsi="Times New Roman" w:cs="Times New Roman"/>
          <w:sz w:val="24"/>
          <w:szCs w:val="24"/>
        </w:rPr>
        <w:t xml:space="preserve"> 9 of 2009, as amended by Act No</w:t>
      </w:r>
      <w:r w:rsidR="00BD2268" w:rsidRPr="003A377E">
        <w:rPr>
          <w:rFonts w:ascii="Times New Roman" w:hAnsi="Times New Roman" w:cs="Times New Roman"/>
          <w:sz w:val="24"/>
          <w:szCs w:val="24"/>
        </w:rPr>
        <w:t>.</w:t>
      </w:r>
      <w:r w:rsidR="008D617C" w:rsidRPr="003A377E">
        <w:rPr>
          <w:rFonts w:ascii="Times New Roman" w:hAnsi="Times New Roman" w:cs="Times New Roman"/>
          <w:sz w:val="24"/>
          <w:szCs w:val="24"/>
        </w:rPr>
        <w:t xml:space="preserve"> </w:t>
      </w:r>
      <w:r w:rsidRPr="003A377E">
        <w:rPr>
          <w:rFonts w:ascii="Times New Roman" w:hAnsi="Times New Roman" w:cs="Times New Roman"/>
          <w:sz w:val="24"/>
          <w:szCs w:val="24"/>
        </w:rPr>
        <w:t>13 of 2018 (the Money Bills Act); Section 27(1) of the Public Finance Management Act No</w:t>
      </w:r>
      <w:r w:rsidR="00BD2268" w:rsidRPr="003A377E">
        <w:rPr>
          <w:rFonts w:ascii="Times New Roman" w:hAnsi="Times New Roman" w:cs="Times New Roman"/>
          <w:sz w:val="24"/>
          <w:szCs w:val="24"/>
        </w:rPr>
        <w:t>.</w:t>
      </w:r>
      <w:r w:rsidRPr="003A377E">
        <w:rPr>
          <w:rFonts w:ascii="Times New Roman" w:hAnsi="Times New Roman" w:cs="Times New Roman"/>
          <w:sz w:val="24"/>
          <w:szCs w:val="24"/>
        </w:rPr>
        <w:t xml:space="preserve"> 1 of 1999, as amended by Act 29 of 1999 (the PFMA), and  Section 10(1) of the Intergovernmental Fiscal Relations Act No. 97 of 1997, the Minister of Finance, Mr E Godongwana, tabled the 2022 annual national Budget, including the </w:t>
      </w:r>
      <w:r w:rsidRPr="003A377E">
        <w:rPr>
          <w:rFonts w:ascii="Times New Roman" w:hAnsi="Times New Roman" w:cs="Times New Roman"/>
          <w:i/>
          <w:sz w:val="24"/>
          <w:szCs w:val="24"/>
        </w:rPr>
        <w:t>Division of Revenue Bill</w:t>
      </w:r>
      <w:r w:rsidRPr="003A377E">
        <w:rPr>
          <w:rFonts w:ascii="Times New Roman" w:hAnsi="Times New Roman" w:cs="Times New Roman"/>
          <w:sz w:val="24"/>
          <w:szCs w:val="24"/>
        </w:rPr>
        <w:t xml:space="preserve"> </w:t>
      </w:r>
      <w:r w:rsidR="00A94D41" w:rsidRPr="003A377E">
        <w:rPr>
          <w:rFonts w:ascii="Times New Roman" w:hAnsi="Times New Roman" w:cs="Times New Roman"/>
          <w:sz w:val="24"/>
          <w:szCs w:val="24"/>
        </w:rPr>
        <w:t xml:space="preserve">[B6 – 2022] </w:t>
      </w:r>
      <w:r w:rsidRPr="003A377E">
        <w:rPr>
          <w:rFonts w:ascii="Times New Roman" w:hAnsi="Times New Roman" w:cs="Times New Roman"/>
          <w:sz w:val="24"/>
          <w:szCs w:val="24"/>
        </w:rPr>
        <w:t>(the Bill) in the National Assembly on 2</w:t>
      </w:r>
      <w:r w:rsidR="00476316" w:rsidRPr="003A377E">
        <w:rPr>
          <w:rFonts w:ascii="Times New Roman" w:hAnsi="Times New Roman" w:cs="Times New Roman"/>
          <w:sz w:val="24"/>
          <w:szCs w:val="24"/>
        </w:rPr>
        <w:t>3</w:t>
      </w:r>
      <w:r w:rsidRPr="003A377E">
        <w:rPr>
          <w:rFonts w:ascii="Times New Roman" w:hAnsi="Times New Roman" w:cs="Times New Roman"/>
          <w:sz w:val="24"/>
          <w:szCs w:val="24"/>
        </w:rPr>
        <w:t xml:space="preserve"> February 2022.</w:t>
      </w:r>
    </w:p>
    <w:p w:rsidR="00D05701" w:rsidRPr="003A377E" w:rsidRDefault="00D05701">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The purpose of the Bill is to provide for –</w:t>
      </w:r>
    </w:p>
    <w:p w:rsidR="00D05701" w:rsidRPr="003A377E" w:rsidRDefault="00D05701" w:rsidP="008D617C">
      <w:pPr>
        <w:numPr>
          <w:ilvl w:val="1"/>
          <w:numId w:val="1"/>
        </w:numPr>
        <w:tabs>
          <w:tab w:val="clear" w:pos="2145"/>
        </w:tabs>
        <w:spacing w:after="0" w:line="360" w:lineRule="auto"/>
        <w:ind w:left="567" w:hanging="567"/>
        <w:jc w:val="both"/>
        <w:rPr>
          <w:rFonts w:ascii="Times New Roman" w:hAnsi="Times New Roman" w:cs="Times New Roman"/>
          <w:sz w:val="24"/>
          <w:szCs w:val="24"/>
        </w:rPr>
      </w:pPr>
      <w:r w:rsidRPr="003A377E">
        <w:rPr>
          <w:rFonts w:ascii="Times New Roman" w:hAnsi="Times New Roman" w:cs="Times New Roman"/>
          <w:sz w:val="24"/>
          <w:szCs w:val="24"/>
        </w:rPr>
        <w:t>the share of each sphere of government of the revenue raised nationally for the relevant financial year;</w:t>
      </w:r>
    </w:p>
    <w:p w:rsidR="00D05701" w:rsidRPr="003A377E" w:rsidRDefault="00D05701" w:rsidP="008D617C">
      <w:pPr>
        <w:numPr>
          <w:ilvl w:val="1"/>
          <w:numId w:val="1"/>
        </w:numPr>
        <w:tabs>
          <w:tab w:val="clear" w:pos="2145"/>
        </w:tabs>
        <w:spacing w:after="0" w:line="360" w:lineRule="auto"/>
        <w:ind w:left="567" w:hanging="567"/>
        <w:jc w:val="both"/>
        <w:rPr>
          <w:rFonts w:ascii="Times New Roman" w:hAnsi="Times New Roman" w:cs="Times New Roman"/>
          <w:sz w:val="24"/>
          <w:szCs w:val="24"/>
        </w:rPr>
      </w:pPr>
      <w:r w:rsidRPr="003A377E">
        <w:rPr>
          <w:rFonts w:ascii="Times New Roman" w:hAnsi="Times New Roman" w:cs="Times New Roman"/>
          <w:sz w:val="24"/>
          <w:szCs w:val="24"/>
        </w:rPr>
        <w:t>each province’s share of the provincial share of that revenue; and any other allocations to the provinces, local government or municipalities from the national government’s share of that revenue, and any conditions on which those allocations are or must be made.</w:t>
      </w:r>
    </w:p>
    <w:p w:rsidR="00D05701" w:rsidRPr="003A377E" w:rsidRDefault="00D05701">
      <w:pPr>
        <w:spacing w:after="0" w:line="360" w:lineRule="auto"/>
        <w:ind w:left="567"/>
        <w:jc w:val="both"/>
        <w:rPr>
          <w:rFonts w:ascii="Times New Roman" w:hAnsi="Times New Roman" w:cs="Times New Roman"/>
          <w:sz w:val="24"/>
          <w:szCs w:val="24"/>
        </w:rPr>
      </w:pPr>
    </w:p>
    <w:p w:rsidR="00D05701" w:rsidRPr="003A377E" w:rsidRDefault="00D05701">
      <w:pPr>
        <w:pStyle w:val="ListParagraph"/>
        <w:numPr>
          <w:ilvl w:val="0"/>
          <w:numId w:val="1"/>
        </w:numPr>
        <w:spacing w:before="120" w:line="360" w:lineRule="auto"/>
        <w:ind w:left="284" w:hanging="284"/>
        <w:jc w:val="both"/>
        <w:rPr>
          <w:rFonts w:ascii="Times New Roman" w:hAnsi="Times New Roman" w:cs="Times New Roman"/>
          <w:b/>
          <w:sz w:val="24"/>
          <w:szCs w:val="24"/>
        </w:rPr>
      </w:pPr>
      <w:r w:rsidRPr="003A377E">
        <w:rPr>
          <w:rFonts w:ascii="Times New Roman" w:hAnsi="Times New Roman" w:cs="Times New Roman"/>
          <w:b/>
          <w:sz w:val="24"/>
          <w:szCs w:val="24"/>
        </w:rPr>
        <w:t xml:space="preserve">Legislative framework guiding processing of </w:t>
      </w:r>
      <w:r w:rsidR="007D560F" w:rsidRPr="003A377E">
        <w:rPr>
          <w:rFonts w:ascii="Times New Roman" w:hAnsi="Times New Roman" w:cs="Times New Roman"/>
          <w:b/>
          <w:sz w:val="24"/>
          <w:szCs w:val="24"/>
        </w:rPr>
        <w:t xml:space="preserve">the </w:t>
      </w:r>
      <w:r w:rsidRPr="003A377E">
        <w:rPr>
          <w:rFonts w:ascii="Times New Roman" w:hAnsi="Times New Roman" w:cs="Times New Roman"/>
          <w:b/>
          <w:sz w:val="24"/>
          <w:szCs w:val="24"/>
        </w:rPr>
        <w:t xml:space="preserve">Bill, consultations and public participation </w:t>
      </w:r>
    </w:p>
    <w:p w:rsidR="00D05701" w:rsidRPr="003A377E" w:rsidRDefault="00D05701">
      <w:pPr>
        <w:tabs>
          <w:tab w:val="left" w:pos="284"/>
        </w:tabs>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According to the above-mentioned legislative frameworks, the Bill must be processed following the procedure established by Section 76(1) of the Constitution. On </w:t>
      </w:r>
      <w:r w:rsidR="00476316" w:rsidRPr="003A377E">
        <w:rPr>
          <w:rFonts w:ascii="Times New Roman" w:hAnsi="Times New Roman" w:cs="Times New Roman"/>
          <w:sz w:val="24"/>
          <w:szCs w:val="24"/>
        </w:rPr>
        <w:t>24</w:t>
      </w:r>
      <w:r w:rsidRPr="003A377E">
        <w:rPr>
          <w:rFonts w:ascii="Times New Roman" w:hAnsi="Times New Roman" w:cs="Times New Roman"/>
          <w:sz w:val="24"/>
          <w:szCs w:val="24"/>
        </w:rPr>
        <w:t xml:space="preserve"> March 202</w:t>
      </w:r>
      <w:r w:rsidR="00476316" w:rsidRPr="003A377E">
        <w:rPr>
          <w:rFonts w:ascii="Times New Roman" w:hAnsi="Times New Roman" w:cs="Times New Roman"/>
          <w:sz w:val="24"/>
          <w:szCs w:val="24"/>
        </w:rPr>
        <w:t>2</w:t>
      </w:r>
      <w:r w:rsidRPr="003A377E">
        <w:rPr>
          <w:rFonts w:ascii="Times New Roman" w:hAnsi="Times New Roman" w:cs="Times New Roman"/>
          <w:sz w:val="24"/>
          <w:szCs w:val="24"/>
        </w:rPr>
        <w:t>, the Bill was passed by the National Assembly and referred to the N</w:t>
      </w:r>
      <w:r w:rsidR="007B7138" w:rsidRPr="003A377E">
        <w:rPr>
          <w:rFonts w:ascii="Times New Roman" w:hAnsi="Times New Roman" w:cs="Times New Roman"/>
          <w:sz w:val="24"/>
          <w:szCs w:val="24"/>
        </w:rPr>
        <w:t xml:space="preserve">ational </w:t>
      </w:r>
      <w:r w:rsidR="00523D4D" w:rsidRPr="003A377E">
        <w:rPr>
          <w:rFonts w:ascii="Times New Roman" w:hAnsi="Times New Roman" w:cs="Times New Roman"/>
          <w:sz w:val="24"/>
          <w:szCs w:val="24"/>
        </w:rPr>
        <w:t>Council of</w:t>
      </w:r>
      <w:r w:rsidR="007B7138" w:rsidRPr="003A377E">
        <w:rPr>
          <w:rFonts w:ascii="Times New Roman" w:hAnsi="Times New Roman" w:cs="Times New Roman"/>
          <w:sz w:val="24"/>
          <w:szCs w:val="24"/>
        </w:rPr>
        <w:t xml:space="preserve"> </w:t>
      </w:r>
      <w:r w:rsidRPr="003A377E">
        <w:rPr>
          <w:rFonts w:ascii="Times New Roman" w:hAnsi="Times New Roman" w:cs="Times New Roman"/>
          <w:sz w:val="24"/>
          <w:szCs w:val="24"/>
        </w:rPr>
        <w:t>P</w:t>
      </w:r>
      <w:r w:rsidR="007B7138" w:rsidRPr="003A377E">
        <w:rPr>
          <w:rFonts w:ascii="Times New Roman" w:hAnsi="Times New Roman" w:cs="Times New Roman"/>
          <w:sz w:val="24"/>
          <w:szCs w:val="24"/>
        </w:rPr>
        <w:t>rovinces (NCOP)</w:t>
      </w:r>
      <w:r w:rsidRPr="003A377E">
        <w:rPr>
          <w:rFonts w:ascii="Times New Roman" w:hAnsi="Times New Roman" w:cs="Times New Roman"/>
          <w:sz w:val="24"/>
          <w:szCs w:val="24"/>
        </w:rPr>
        <w:t xml:space="preserve"> and the Committee for consideration and report as required by Section 9(2) of the Money Bills Act. </w:t>
      </w:r>
      <w:r w:rsidR="00476316" w:rsidRPr="003A377E">
        <w:rPr>
          <w:rFonts w:ascii="Times New Roman" w:hAnsi="Times New Roman" w:cs="Times New Roman"/>
          <w:sz w:val="24"/>
          <w:szCs w:val="24"/>
        </w:rPr>
        <w:t>As per the practise</w:t>
      </w:r>
      <w:r w:rsidRPr="003A377E">
        <w:rPr>
          <w:rFonts w:ascii="Times New Roman" w:hAnsi="Times New Roman" w:cs="Times New Roman"/>
          <w:sz w:val="24"/>
          <w:szCs w:val="24"/>
        </w:rPr>
        <w:t xml:space="preserve">, the Committee invited all provincial portfolio committees on Finance and/or Treasury to be part of the </w:t>
      </w:r>
      <w:r w:rsidR="007B7138" w:rsidRPr="003A377E">
        <w:rPr>
          <w:rFonts w:ascii="Times New Roman" w:hAnsi="Times New Roman" w:cs="Times New Roman"/>
          <w:sz w:val="24"/>
          <w:szCs w:val="24"/>
        </w:rPr>
        <w:t xml:space="preserve">briefing by </w:t>
      </w:r>
      <w:r w:rsidRPr="003A377E">
        <w:rPr>
          <w:rFonts w:ascii="Times New Roman" w:hAnsi="Times New Roman" w:cs="Times New Roman"/>
          <w:sz w:val="24"/>
          <w:szCs w:val="24"/>
        </w:rPr>
        <w:t xml:space="preserve">National Treasury, on </w:t>
      </w:r>
      <w:r w:rsidR="00476316" w:rsidRPr="003A377E">
        <w:rPr>
          <w:rFonts w:ascii="Times New Roman" w:hAnsi="Times New Roman" w:cs="Times New Roman"/>
          <w:sz w:val="24"/>
          <w:szCs w:val="24"/>
        </w:rPr>
        <w:t xml:space="preserve">09 </w:t>
      </w:r>
      <w:r w:rsidRPr="003A377E">
        <w:rPr>
          <w:rFonts w:ascii="Times New Roman" w:hAnsi="Times New Roman" w:cs="Times New Roman"/>
          <w:sz w:val="24"/>
          <w:szCs w:val="24"/>
        </w:rPr>
        <w:t>March 202</w:t>
      </w:r>
      <w:r w:rsidR="00476316" w:rsidRPr="003A377E">
        <w:rPr>
          <w:rFonts w:ascii="Times New Roman" w:hAnsi="Times New Roman" w:cs="Times New Roman"/>
          <w:sz w:val="24"/>
          <w:szCs w:val="24"/>
        </w:rPr>
        <w:t>2</w:t>
      </w:r>
      <w:r w:rsidRPr="003A377E">
        <w:rPr>
          <w:rFonts w:ascii="Times New Roman" w:hAnsi="Times New Roman" w:cs="Times New Roman"/>
          <w:sz w:val="24"/>
          <w:szCs w:val="24"/>
        </w:rPr>
        <w:t xml:space="preserve">. </w:t>
      </w:r>
      <w:r w:rsidRPr="003A377E">
        <w:rPr>
          <w:rFonts w:ascii="Times New Roman" w:hAnsi="Times New Roman" w:cs="Times New Roman"/>
          <w:sz w:val="24"/>
          <w:szCs w:val="24"/>
        </w:rPr>
        <w:lastRenderedPageBreak/>
        <w:t>The same approach was followed on 1</w:t>
      </w:r>
      <w:r w:rsidR="00476316" w:rsidRPr="003A377E">
        <w:rPr>
          <w:rFonts w:ascii="Times New Roman" w:hAnsi="Times New Roman" w:cs="Times New Roman"/>
          <w:sz w:val="24"/>
          <w:szCs w:val="24"/>
        </w:rPr>
        <w:t>6</w:t>
      </w:r>
      <w:r w:rsidRPr="003A377E">
        <w:rPr>
          <w:rFonts w:ascii="Times New Roman" w:hAnsi="Times New Roman" w:cs="Times New Roman"/>
          <w:sz w:val="24"/>
          <w:szCs w:val="24"/>
        </w:rPr>
        <w:t xml:space="preserve"> March 202</w:t>
      </w:r>
      <w:r w:rsidR="00205F88" w:rsidRPr="003A377E">
        <w:rPr>
          <w:rFonts w:ascii="Times New Roman" w:hAnsi="Times New Roman" w:cs="Times New Roman"/>
          <w:sz w:val="24"/>
          <w:szCs w:val="24"/>
        </w:rPr>
        <w:t>2</w:t>
      </w:r>
      <w:r w:rsidRPr="003A377E">
        <w:rPr>
          <w:rFonts w:ascii="Times New Roman" w:hAnsi="Times New Roman" w:cs="Times New Roman"/>
          <w:sz w:val="24"/>
          <w:szCs w:val="24"/>
        </w:rPr>
        <w:t>, when the Committee</w:t>
      </w:r>
      <w:r w:rsidR="008D617C" w:rsidRPr="003A377E">
        <w:rPr>
          <w:rFonts w:ascii="Times New Roman" w:hAnsi="Times New Roman" w:cs="Times New Roman"/>
          <w:sz w:val="24"/>
          <w:szCs w:val="24"/>
        </w:rPr>
        <w:t>,</w:t>
      </w:r>
      <w:r w:rsidRPr="003A377E">
        <w:rPr>
          <w:rFonts w:ascii="Times New Roman" w:hAnsi="Times New Roman" w:cs="Times New Roman"/>
          <w:sz w:val="24"/>
          <w:szCs w:val="24"/>
        </w:rPr>
        <w:t xml:space="preserve"> in compliance with Section 15 of the Money Bills Act</w:t>
      </w:r>
      <w:r w:rsidR="008D617C" w:rsidRPr="003A377E">
        <w:rPr>
          <w:rFonts w:ascii="Times New Roman" w:hAnsi="Times New Roman" w:cs="Times New Roman"/>
          <w:sz w:val="24"/>
          <w:szCs w:val="24"/>
        </w:rPr>
        <w:t>,</w:t>
      </w:r>
      <w:r w:rsidRPr="003A377E">
        <w:rPr>
          <w:rFonts w:ascii="Times New Roman" w:hAnsi="Times New Roman" w:cs="Times New Roman"/>
          <w:sz w:val="24"/>
          <w:szCs w:val="24"/>
        </w:rPr>
        <w:t xml:space="preserve"> was briefed by the Parliamentary Budget Office (PBO) and, in compliance with </w:t>
      </w:r>
      <w:r w:rsidR="002F22A1" w:rsidRPr="003A377E">
        <w:rPr>
          <w:rFonts w:ascii="Times New Roman" w:hAnsi="Times New Roman" w:cs="Times New Roman"/>
          <w:sz w:val="24"/>
          <w:szCs w:val="24"/>
        </w:rPr>
        <w:t>S</w:t>
      </w:r>
      <w:r w:rsidRPr="003A377E">
        <w:rPr>
          <w:rFonts w:ascii="Times New Roman" w:hAnsi="Times New Roman" w:cs="Times New Roman"/>
          <w:sz w:val="24"/>
          <w:szCs w:val="24"/>
        </w:rPr>
        <w:t xml:space="preserve">ection 214(2) of the Constitution and Section 10(4) of the Intergovernmental Fiscal Relations Act No.97 of 1997, consulted </w:t>
      </w:r>
      <w:r w:rsidR="00887719" w:rsidRPr="003A377E">
        <w:rPr>
          <w:rFonts w:ascii="Times New Roman" w:hAnsi="Times New Roman" w:cs="Times New Roman"/>
          <w:sz w:val="24"/>
          <w:szCs w:val="24"/>
        </w:rPr>
        <w:t xml:space="preserve">with </w:t>
      </w:r>
      <w:r w:rsidRPr="003A377E">
        <w:rPr>
          <w:rFonts w:ascii="Times New Roman" w:hAnsi="Times New Roman" w:cs="Times New Roman"/>
          <w:sz w:val="24"/>
          <w:szCs w:val="24"/>
        </w:rPr>
        <w:t xml:space="preserve">the Financial and Fiscal Commission (FFC). Furthermore, during a virtual meeting on </w:t>
      </w:r>
      <w:r w:rsidR="00476316" w:rsidRPr="003A377E">
        <w:rPr>
          <w:rFonts w:ascii="Times New Roman" w:hAnsi="Times New Roman" w:cs="Times New Roman"/>
          <w:sz w:val="24"/>
          <w:szCs w:val="24"/>
        </w:rPr>
        <w:t>23 March 2022</w:t>
      </w:r>
      <w:r w:rsidRPr="003A377E">
        <w:rPr>
          <w:rFonts w:ascii="Times New Roman" w:hAnsi="Times New Roman" w:cs="Times New Roman"/>
          <w:sz w:val="24"/>
          <w:szCs w:val="24"/>
        </w:rPr>
        <w:t>, in complianc</w:t>
      </w:r>
      <w:r w:rsidR="00A94D41" w:rsidRPr="003A377E">
        <w:rPr>
          <w:rFonts w:ascii="Times New Roman" w:hAnsi="Times New Roman" w:cs="Times New Roman"/>
          <w:sz w:val="24"/>
          <w:szCs w:val="24"/>
        </w:rPr>
        <w:t>e with S</w:t>
      </w:r>
      <w:r w:rsidRPr="003A377E">
        <w:rPr>
          <w:rFonts w:ascii="Times New Roman" w:hAnsi="Times New Roman" w:cs="Times New Roman"/>
          <w:sz w:val="24"/>
          <w:szCs w:val="24"/>
        </w:rPr>
        <w:t>ection 214(2) of the Constitution, the Committee consulted with the South African Local Government Association (</w:t>
      </w:r>
      <w:r w:rsidR="00A56B32" w:rsidRPr="003A377E">
        <w:rPr>
          <w:rFonts w:ascii="Times New Roman" w:hAnsi="Times New Roman" w:cs="Times New Roman"/>
          <w:sz w:val="24"/>
          <w:szCs w:val="24"/>
        </w:rPr>
        <w:t>Salga</w:t>
      </w:r>
      <w:r w:rsidRPr="003A377E">
        <w:rPr>
          <w:rFonts w:ascii="Times New Roman" w:hAnsi="Times New Roman" w:cs="Times New Roman"/>
          <w:sz w:val="24"/>
          <w:szCs w:val="24"/>
        </w:rPr>
        <w:t>).</w:t>
      </w:r>
      <w:r w:rsidR="00887719" w:rsidRPr="003A377E">
        <w:rPr>
          <w:rFonts w:ascii="Times New Roman" w:hAnsi="Times New Roman" w:cs="Times New Roman"/>
          <w:sz w:val="24"/>
          <w:szCs w:val="24"/>
        </w:rPr>
        <w:t xml:space="preserve"> </w:t>
      </w:r>
      <w:r w:rsidRPr="003A377E">
        <w:rPr>
          <w:rFonts w:ascii="Times New Roman" w:hAnsi="Times New Roman" w:cs="Times New Roman"/>
          <w:sz w:val="24"/>
          <w:szCs w:val="24"/>
        </w:rPr>
        <w:t xml:space="preserve"> </w:t>
      </w:r>
    </w:p>
    <w:p w:rsidR="00D05701" w:rsidRPr="003A377E" w:rsidRDefault="003310E3">
      <w:pPr>
        <w:tabs>
          <w:tab w:val="left" w:pos="284"/>
        </w:tabs>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A</w:t>
      </w:r>
      <w:r w:rsidR="00D05701" w:rsidRPr="003A377E">
        <w:rPr>
          <w:rFonts w:ascii="Times New Roman" w:hAnsi="Times New Roman" w:cs="Times New Roman"/>
          <w:sz w:val="24"/>
          <w:szCs w:val="24"/>
        </w:rPr>
        <w:t xml:space="preserve">s per Section 72 (1)(2) of the Constitution and 9(5)(b) of the Money Bills Act, the Committee facilitated public participation while processing the Bill. To this end, advertisements calling for public submissions were published </w:t>
      </w:r>
      <w:r w:rsidR="000711C5" w:rsidRPr="003A377E">
        <w:rPr>
          <w:rFonts w:ascii="Times New Roman" w:hAnsi="Times New Roman" w:cs="Times New Roman"/>
          <w:sz w:val="24"/>
          <w:szCs w:val="24"/>
        </w:rPr>
        <w:t xml:space="preserve">both in </w:t>
      </w:r>
      <w:r w:rsidR="00D05701" w:rsidRPr="003A377E">
        <w:rPr>
          <w:rFonts w:ascii="Times New Roman" w:hAnsi="Times New Roman" w:cs="Times New Roman"/>
          <w:sz w:val="24"/>
          <w:szCs w:val="24"/>
        </w:rPr>
        <w:t>the national and regional print media in all eleven official languages</w:t>
      </w:r>
      <w:r w:rsidR="00476316" w:rsidRPr="003A377E">
        <w:rPr>
          <w:rFonts w:ascii="Times New Roman" w:hAnsi="Times New Roman" w:cs="Times New Roman"/>
          <w:sz w:val="24"/>
          <w:szCs w:val="24"/>
        </w:rPr>
        <w:t xml:space="preserve"> from 04</w:t>
      </w:r>
      <w:r w:rsidR="00D05701" w:rsidRPr="003A377E">
        <w:rPr>
          <w:rFonts w:ascii="Times New Roman" w:hAnsi="Times New Roman" w:cs="Times New Roman"/>
          <w:sz w:val="24"/>
          <w:szCs w:val="24"/>
        </w:rPr>
        <w:t xml:space="preserve"> to 1</w:t>
      </w:r>
      <w:r w:rsidR="00476316" w:rsidRPr="003A377E">
        <w:rPr>
          <w:rFonts w:ascii="Times New Roman" w:hAnsi="Times New Roman" w:cs="Times New Roman"/>
          <w:sz w:val="24"/>
          <w:szCs w:val="24"/>
        </w:rPr>
        <w:t>1</w:t>
      </w:r>
      <w:r w:rsidR="00D05701" w:rsidRPr="003A377E">
        <w:rPr>
          <w:rFonts w:ascii="Times New Roman" w:hAnsi="Times New Roman" w:cs="Times New Roman"/>
          <w:sz w:val="24"/>
          <w:szCs w:val="24"/>
        </w:rPr>
        <w:t xml:space="preserve"> </w:t>
      </w:r>
      <w:r w:rsidR="00476316" w:rsidRPr="003A377E">
        <w:rPr>
          <w:rFonts w:ascii="Times New Roman" w:hAnsi="Times New Roman" w:cs="Times New Roman"/>
          <w:sz w:val="24"/>
          <w:szCs w:val="24"/>
        </w:rPr>
        <w:t xml:space="preserve">March </w:t>
      </w:r>
      <w:r w:rsidR="00D05701" w:rsidRPr="003A377E">
        <w:rPr>
          <w:rFonts w:ascii="Times New Roman" w:hAnsi="Times New Roman" w:cs="Times New Roman"/>
          <w:sz w:val="24"/>
          <w:szCs w:val="24"/>
        </w:rPr>
        <w:t>202</w:t>
      </w:r>
      <w:r w:rsidR="00476316" w:rsidRPr="003A377E">
        <w:rPr>
          <w:rFonts w:ascii="Times New Roman" w:hAnsi="Times New Roman" w:cs="Times New Roman"/>
          <w:sz w:val="24"/>
          <w:szCs w:val="24"/>
        </w:rPr>
        <w:t>2</w:t>
      </w:r>
      <w:r w:rsidR="00D05701" w:rsidRPr="003A377E">
        <w:rPr>
          <w:rFonts w:ascii="Times New Roman" w:hAnsi="Times New Roman" w:cs="Times New Roman"/>
          <w:sz w:val="24"/>
          <w:szCs w:val="24"/>
        </w:rPr>
        <w:t xml:space="preserve">, with </w:t>
      </w:r>
      <w:r w:rsidR="00476316" w:rsidRPr="003A377E">
        <w:rPr>
          <w:rFonts w:ascii="Times New Roman" w:hAnsi="Times New Roman" w:cs="Times New Roman"/>
          <w:sz w:val="24"/>
          <w:szCs w:val="24"/>
        </w:rPr>
        <w:t>18 March 2022</w:t>
      </w:r>
      <w:r w:rsidR="00D05701" w:rsidRPr="003A377E">
        <w:rPr>
          <w:rFonts w:ascii="Times New Roman" w:hAnsi="Times New Roman" w:cs="Times New Roman"/>
          <w:sz w:val="24"/>
          <w:szCs w:val="24"/>
        </w:rPr>
        <w:t xml:space="preserve"> as the closing date. The Committee also </w:t>
      </w:r>
      <w:r w:rsidR="00476316" w:rsidRPr="003A377E">
        <w:rPr>
          <w:rFonts w:ascii="Times New Roman" w:hAnsi="Times New Roman" w:cs="Times New Roman"/>
          <w:sz w:val="24"/>
          <w:szCs w:val="24"/>
        </w:rPr>
        <w:t>invited, via email, all</w:t>
      </w:r>
      <w:r w:rsidR="00D05701" w:rsidRPr="003A377E">
        <w:rPr>
          <w:rFonts w:ascii="Times New Roman" w:hAnsi="Times New Roman" w:cs="Times New Roman"/>
          <w:sz w:val="24"/>
          <w:szCs w:val="24"/>
        </w:rPr>
        <w:t xml:space="preserve"> stakeholders who had made submissions in the past. Despite these efforts the Committee received only </w:t>
      </w:r>
      <w:r w:rsidR="00476316" w:rsidRPr="003A377E">
        <w:rPr>
          <w:rFonts w:ascii="Times New Roman" w:hAnsi="Times New Roman" w:cs="Times New Roman"/>
          <w:sz w:val="24"/>
          <w:szCs w:val="24"/>
        </w:rPr>
        <w:t xml:space="preserve">five </w:t>
      </w:r>
      <w:r w:rsidR="00D05701" w:rsidRPr="003A377E">
        <w:rPr>
          <w:rFonts w:ascii="Times New Roman" w:hAnsi="Times New Roman" w:cs="Times New Roman"/>
          <w:sz w:val="24"/>
          <w:szCs w:val="24"/>
        </w:rPr>
        <w:t>written submission</w:t>
      </w:r>
      <w:r w:rsidR="00476316" w:rsidRPr="003A377E">
        <w:rPr>
          <w:rFonts w:ascii="Times New Roman" w:hAnsi="Times New Roman" w:cs="Times New Roman"/>
          <w:sz w:val="24"/>
          <w:szCs w:val="24"/>
        </w:rPr>
        <w:t>s</w:t>
      </w:r>
      <w:r w:rsidR="00D05701" w:rsidRPr="003A377E">
        <w:rPr>
          <w:rFonts w:ascii="Times New Roman" w:hAnsi="Times New Roman" w:cs="Times New Roman"/>
          <w:sz w:val="24"/>
          <w:szCs w:val="24"/>
        </w:rPr>
        <w:t>, from the Congress of South African Trade Unions (COSATU),</w:t>
      </w:r>
      <w:r w:rsidR="00476316" w:rsidRPr="003A377E">
        <w:rPr>
          <w:rFonts w:ascii="Times New Roman" w:hAnsi="Times New Roman" w:cs="Times New Roman"/>
          <w:sz w:val="24"/>
          <w:szCs w:val="24"/>
        </w:rPr>
        <w:t xml:space="preserve"> Section27, Rural Health Advocacy Project, Healthy Living Alliance and Budget Justice Coalition. All these stakeholders </w:t>
      </w:r>
      <w:r w:rsidR="00205F88" w:rsidRPr="003A377E">
        <w:rPr>
          <w:rFonts w:ascii="Times New Roman" w:hAnsi="Times New Roman" w:cs="Times New Roman"/>
          <w:sz w:val="24"/>
          <w:szCs w:val="24"/>
        </w:rPr>
        <w:t xml:space="preserve">made </w:t>
      </w:r>
      <w:r w:rsidR="00D05701" w:rsidRPr="003A377E">
        <w:rPr>
          <w:rFonts w:ascii="Times New Roman" w:hAnsi="Times New Roman" w:cs="Times New Roman"/>
          <w:sz w:val="24"/>
          <w:szCs w:val="24"/>
        </w:rPr>
        <w:t>oral presentation</w:t>
      </w:r>
      <w:r w:rsidR="00205F88" w:rsidRPr="003A377E">
        <w:rPr>
          <w:rFonts w:ascii="Times New Roman" w:hAnsi="Times New Roman" w:cs="Times New Roman"/>
          <w:sz w:val="24"/>
          <w:szCs w:val="24"/>
        </w:rPr>
        <w:t>s</w:t>
      </w:r>
      <w:r w:rsidR="00D05701" w:rsidRPr="003A377E">
        <w:rPr>
          <w:rFonts w:ascii="Times New Roman" w:hAnsi="Times New Roman" w:cs="Times New Roman"/>
          <w:sz w:val="24"/>
          <w:szCs w:val="24"/>
        </w:rPr>
        <w:t xml:space="preserve"> during the meetin</w:t>
      </w:r>
      <w:r w:rsidR="00476316" w:rsidRPr="003A377E">
        <w:rPr>
          <w:rFonts w:ascii="Times New Roman" w:hAnsi="Times New Roman" w:cs="Times New Roman"/>
          <w:sz w:val="24"/>
          <w:szCs w:val="24"/>
        </w:rPr>
        <w:t xml:space="preserve">g of </w:t>
      </w:r>
      <w:r w:rsidR="00D05701" w:rsidRPr="003A377E">
        <w:rPr>
          <w:rFonts w:ascii="Times New Roman" w:hAnsi="Times New Roman" w:cs="Times New Roman"/>
          <w:sz w:val="24"/>
          <w:szCs w:val="24"/>
        </w:rPr>
        <w:t>2</w:t>
      </w:r>
      <w:r w:rsidR="00476316" w:rsidRPr="003A377E">
        <w:rPr>
          <w:rFonts w:ascii="Times New Roman" w:hAnsi="Times New Roman" w:cs="Times New Roman"/>
          <w:sz w:val="24"/>
          <w:szCs w:val="24"/>
        </w:rPr>
        <w:t>3</w:t>
      </w:r>
      <w:r w:rsidR="00D05701" w:rsidRPr="003A377E">
        <w:rPr>
          <w:rFonts w:ascii="Times New Roman" w:hAnsi="Times New Roman" w:cs="Times New Roman"/>
          <w:sz w:val="24"/>
          <w:szCs w:val="24"/>
        </w:rPr>
        <w:t xml:space="preserve"> M</w:t>
      </w:r>
      <w:r w:rsidR="00476316" w:rsidRPr="003A377E">
        <w:rPr>
          <w:rFonts w:ascii="Times New Roman" w:hAnsi="Times New Roman" w:cs="Times New Roman"/>
          <w:sz w:val="24"/>
          <w:szCs w:val="24"/>
        </w:rPr>
        <w:t>arch 2022</w:t>
      </w:r>
      <w:r w:rsidR="00D05701" w:rsidRPr="003A377E">
        <w:rPr>
          <w:rFonts w:ascii="Times New Roman" w:hAnsi="Times New Roman" w:cs="Times New Roman"/>
          <w:sz w:val="24"/>
          <w:szCs w:val="24"/>
        </w:rPr>
        <w:t xml:space="preserve">. </w:t>
      </w:r>
    </w:p>
    <w:p w:rsidR="00D05701" w:rsidRPr="003A377E" w:rsidRDefault="00D05701">
      <w:pPr>
        <w:tabs>
          <w:tab w:val="left" w:pos="284"/>
        </w:tabs>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The N</w:t>
      </w:r>
      <w:r w:rsidR="00240BBB" w:rsidRPr="003A377E">
        <w:rPr>
          <w:rFonts w:ascii="Times New Roman" w:hAnsi="Times New Roman" w:cs="Times New Roman"/>
          <w:sz w:val="24"/>
          <w:szCs w:val="24"/>
        </w:rPr>
        <w:t>COP</w:t>
      </w:r>
      <w:r w:rsidRPr="003A377E">
        <w:rPr>
          <w:rFonts w:ascii="Times New Roman" w:hAnsi="Times New Roman" w:cs="Times New Roman"/>
          <w:sz w:val="24"/>
          <w:szCs w:val="24"/>
        </w:rPr>
        <w:t xml:space="preserve">, through </w:t>
      </w:r>
      <w:r w:rsidR="0015623C" w:rsidRPr="003A377E">
        <w:rPr>
          <w:rFonts w:ascii="Times New Roman" w:hAnsi="Times New Roman" w:cs="Times New Roman"/>
          <w:sz w:val="24"/>
          <w:szCs w:val="24"/>
        </w:rPr>
        <w:t>its</w:t>
      </w:r>
      <w:r w:rsidRPr="003A377E">
        <w:rPr>
          <w:rFonts w:ascii="Times New Roman" w:hAnsi="Times New Roman" w:cs="Times New Roman"/>
          <w:sz w:val="24"/>
          <w:szCs w:val="24"/>
        </w:rPr>
        <w:t xml:space="preserve"> Permanent Delegates – Committee Members - briefed provinces between </w:t>
      </w:r>
      <w:r w:rsidR="00476316" w:rsidRPr="003A377E">
        <w:rPr>
          <w:rFonts w:ascii="Times New Roman" w:hAnsi="Times New Roman" w:cs="Times New Roman"/>
          <w:sz w:val="24"/>
          <w:szCs w:val="24"/>
        </w:rPr>
        <w:t>19 and 22 April 2022</w:t>
      </w:r>
      <w:r w:rsidRPr="003A377E">
        <w:rPr>
          <w:rFonts w:ascii="Times New Roman" w:hAnsi="Times New Roman" w:cs="Times New Roman"/>
          <w:sz w:val="24"/>
          <w:szCs w:val="24"/>
        </w:rPr>
        <w:t xml:space="preserve">. The Committee received and considered the submitted provincial negotiating mandates on </w:t>
      </w:r>
      <w:r w:rsidR="00476316" w:rsidRPr="003A377E">
        <w:rPr>
          <w:rFonts w:ascii="Times New Roman" w:hAnsi="Times New Roman" w:cs="Times New Roman"/>
          <w:sz w:val="24"/>
          <w:szCs w:val="24"/>
        </w:rPr>
        <w:t xml:space="preserve">04 </w:t>
      </w:r>
      <w:r w:rsidRPr="003A377E">
        <w:rPr>
          <w:rFonts w:ascii="Times New Roman" w:hAnsi="Times New Roman" w:cs="Times New Roman"/>
          <w:sz w:val="24"/>
          <w:szCs w:val="24"/>
        </w:rPr>
        <w:t>May 202</w:t>
      </w:r>
      <w:r w:rsidR="00476316" w:rsidRPr="003A377E">
        <w:rPr>
          <w:rFonts w:ascii="Times New Roman" w:hAnsi="Times New Roman" w:cs="Times New Roman"/>
          <w:sz w:val="24"/>
          <w:szCs w:val="24"/>
        </w:rPr>
        <w:t>2</w:t>
      </w:r>
      <w:r w:rsidRPr="003A377E">
        <w:rPr>
          <w:rFonts w:ascii="Times New Roman" w:hAnsi="Times New Roman" w:cs="Times New Roman"/>
          <w:sz w:val="24"/>
          <w:szCs w:val="24"/>
        </w:rPr>
        <w:t xml:space="preserve"> and</w:t>
      </w:r>
      <w:r w:rsidR="00476316" w:rsidRPr="003A377E">
        <w:rPr>
          <w:rFonts w:ascii="Times New Roman" w:hAnsi="Times New Roman" w:cs="Times New Roman"/>
          <w:sz w:val="24"/>
          <w:szCs w:val="24"/>
        </w:rPr>
        <w:t xml:space="preserve"> final mandates on 11 </w:t>
      </w:r>
      <w:r w:rsidRPr="003A377E">
        <w:rPr>
          <w:rFonts w:ascii="Times New Roman" w:hAnsi="Times New Roman" w:cs="Times New Roman"/>
          <w:sz w:val="24"/>
          <w:szCs w:val="24"/>
        </w:rPr>
        <w:t>May 202</w:t>
      </w:r>
      <w:r w:rsidR="00476316" w:rsidRPr="003A377E">
        <w:rPr>
          <w:rFonts w:ascii="Times New Roman" w:hAnsi="Times New Roman" w:cs="Times New Roman"/>
          <w:sz w:val="24"/>
          <w:szCs w:val="24"/>
        </w:rPr>
        <w:t>2</w:t>
      </w:r>
      <w:r w:rsidR="00F2572D" w:rsidRPr="003A377E">
        <w:rPr>
          <w:rFonts w:ascii="Times New Roman" w:hAnsi="Times New Roman" w:cs="Times New Roman"/>
          <w:sz w:val="24"/>
          <w:szCs w:val="24"/>
        </w:rPr>
        <w:t>. T</w:t>
      </w:r>
      <w:r w:rsidR="00B96A9B" w:rsidRPr="003A377E">
        <w:rPr>
          <w:rFonts w:ascii="Times New Roman" w:hAnsi="Times New Roman" w:cs="Times New Roman"/>
          <w:sz w:val="24"/>
          <w:szCs w:val="24"/>
        </w:rPr>
        <w:t>his served</w:t>
      </w:r>
      <w:r w:rsidR="00F2572D" w:rsidRPr="003A377E">
        <w:rPr>
          <w:rFonts w:ascii="Times New Roman" w:hAnsi="Times New Roman" w:cs="Times New Roman"/>
          <w:sz w:val="24"/>
          <w:szCs w:val="24"/>
        </w:rPr>
        <w:t xml:space="preserve"> as</w:t>
      </w:r>
      <w:r w:rsidRPr="003A377E">
        <w:rPr>
          <w:rFonts w:ascii="Times New Roman" w:hAnsi="Times New Roman" w:cs="Times New Roman"/>
          <w:sz w:val="24"/>
          <w:szCs w:val="24"/>
        </w:rPr>
        <w:t xml:space="preserve"> an indication that provinces had fully participated in the processing of the Bill, as envisaged in Section 214(2) of the Constitution. </w:t>
      </w:r>
    </w:p>
    <w:p w:rsidR="00D05701" w:rsidRPr="003A377E" w:rsidRDefault="00D05701">
      <w:pPr>
        <w:spacing w:before="120" w:line="360" w:lineRule="auto"/>
        <w:jc w:val="both"/>
        <w:rPr>
          <w:rFonts w:ascii="Times New Roman" w:hAnsi="Times New Roman" w:cs="Times New Roman"/>
          <w:sz w:val="24"/>
          <w:szCs w:val="24"/>
        </w:rPr>
      </w:pPr>
    </w:p>
    <w:p w:rsidR="00D05701" w:rsidRPr="003A377E" w:rsidRDefault="00D05701">
      <w:pPr>
        <w:pStyle w:val="ListParagraph"/>
        <w:numPr>
          <w:ilvl w:val="0"/>
          <w:numId w:val="1"/>
        </w:numPr>
        <w:spacing w:after="0" w:line="360" w:lineRule="auto"/>
        <w:ind w:left="284" w:hanging="284"/>
        <w:jc w:val="both"/>
        <w:rPr>
          <w:rFonts w:ascii="Times New Roman" w:hAnsi="Times New Roman" w:cs="Times New Roman"/>
          <w:b/>
          <w:sz w:val="24"/>
          <w:szCs w:val="24"/>
        </w:rPr>
      </w:pPr>
      <w:r w:rsidRPr="003A377E">
        <w:rPr>
          <w:rFonts w:ascii="Times New Roman" w:hAnsi="Times New Roman" w:cs="Times New Roman"/>
          <w:b/>
          <w:sz w:val="24"/>
          <w:szCs w:val="24"/>
        </w:rPr>
        <w:t xml:space="preserve">Overview of 2021 Medium Term Expenditure Framework (MTEF) </w:t>
      </w:r>
    </w:p>
    <w:p w:rsidR="00D05701" w:rsidRPr="003A377E" w:rsidRDefault="00D05701" w:rsidP="008D617C">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The central fiscal objectives over the 202</w:t>
      </w:r>
      <w:r w:rsidR="00476316" w:rsidRPr="003A377E">
        <w:rPr>
          <w:rFonts w:ascii="Times New Roman" w:hAnsi="Times New Roman" w:cs="Times New Roman"/>
          <w:sz w:val="24"/>
          <w:szCs w:val="24"/>
        </w:rPr>
        <w:t>2</w:t>
      </w:r>
      <w:r w:rsidRPr="003A377E">
        <w:rPr>
          <w:rFonts w:ascii="Times New Roman" w:hAnsi="Times New Roman" w:cs="Times New Roman"/>
          <w:sz w:val="24"/>
          <w:szCs w:val="24"/>
        </w:rPr>
        <w:t xml:space="preserve"> Medium Term Expenditure Framework (MTEF) period are to - </w:t>
      </w:r>
    </w:p>
    <w:p w:rsidR="00D05701" w:rsidRPr="003A377E" w:rsidRDefault="00D2243C">
      <w:pPr>
        <w:numPr>
          <w:ilvl w:val="0"/>
          <w:numId w:val="3"/>
        </w:numPr>
        <w:spacing w:after="0" w:line="360" w:lineRule="auto"/>
        <w:contextualSpacing/>
        <w:jc w:val="both"/>
        <w:rPr>
          <w:rFonts w:ascii="Times New Roman" w:hAnsi="Times New Roman" w:cs="Times New Roman"/>
          <w:color w:val="000000" w:themeColor="text1"/>
          <w:sz w:val="24"/>
          <w:szCs w:val="24"/>
        </w:rPr>
      </w:pPr>
      <w:r w:rsidRPr="003A377E">
        <w:rPr>
          <w:rFonts w:ascii="Times New Roman" w:hAnsi="Times New Roman" w:cs="Times New Roman"/>
          <w:color w:val="000000" w:themeColor="text1"/>
          <w:sz w:val="24"/>
          <w:szCs w:val="24"/>
        </w:rPr>
        <w:t xml:space="preserve">Reduce </w:t>
      </w:r>
      <w:r w:rsidR="00D05701" w:rsidRPr="003A377E">
        <w:rPr>
          <w:rFonts w:ascii="Times New Roman" w:hAnsi="Times New Roman" w:cs="Times New Roman"/>
          <w:color w:val="000000" w:themeColor="text1"/>
          <w:sz w:val="24"/>
          <w:szCs w:val="24"/>
        </w:rPr>
        <w:t>the budget deficit and stabilise the debt-to-GDP ratio, primarily by controlling non-interest expenditure growth;</w:t>
      </w:r>
    </w:p>
    <w:p w:rsidR="00D2243C" w:rsidRPr="003A377E" w:rsidRDefault="00D2243C">
      <w:pPr>
        <w:numPr>
          <w:ilvl w:val="0"/>
          <w:numId w:val="3"/>
        </w:numPr>
        <w:spacing w:after="0" w:line="360" w:lineRule="auto"/>
        <w:contextualSpacing/>
        <w:jc w:val="both"/>
        <w:rPr>
          <w:rFonts w:ascii="Times New Roman" w:hAnsi="Times New Roman" w:cs="Times New Roman"/>
          <w:color w:val="000000" w:themeColor="text1"/>
          <w:sz w:val="24"/>
          <w:szCs w:val="24"/>
        </w:rPr>
      </w:pPr>
      <w:r w:rsidRPr="003A377E">
        <w:rPr>
          <w:rFonts w:ascii="Times New Roman" w:hAnsi="Times New Roman" w:cs="Times New Roman"/>
          <w:color w:val="000000" w:themeColor="text1"/>
          <w:sz w:val="24"/>
          <w:szCs w:val="24"/>
        </w:rPr>
        <w:t>Use a portion of higher-than-anticipated tax revenue to narrow the deficit while increasing non-interest expenditure to support economic growth, job creation and social protection;</w:t>
      </w:r>
    </w:p>
    <w:p w:rsidR="00D2243C" w:rsidRPr="003A377E" w:rsidRDefault="00D2243C">
      <w:pPr>
        <w:numPr>
          <w:ilvl w:val="0"/>
          <w:numId w:val="3"/>
        </w:numPr>
        <w:spacing w:after="0" w:line="360" w:lineRule="auto"/>
        <w:contextualSpacing/>
        <w:jc w:val="both"/>
        <w:rPr>
          <w:rFonts w:ascii="Times New Roman" w:hAnsi="Times New Roman" w:cs="Times New Roman"/>
          <w:color w:val="000000" w:themeColor="text1"/>
          <w:sz w:val="24"/>
          <w:szCs w:val="24"/>
        </w:rPr>
      </w:pPr>
      <w:r w:rsidRPr="003A377E">
        <w:rPr>
          <w:rFonts w:ascii="Times New Roman" w:hAnsi="Times New Roman" w:cs="Times New Roman"/>
          <w:color w:val="000000" w:themeColor="text1"/>
          <w:sz w:val="24"/>
          <w:szCs w:val="24"/>
        </w:rPr>
        <w:lastRenderedPageBreak/>
        <w:t xml:space="preserve">Realise a primary surplus by 2023/24, a year earlier than projected in the 2021 Medium Term Budget Policy Statement; </w:t>
      </w:r>
      <w:r w:rsidR="00A94D41" w:rsidRPr="003A377E">
        <w:rPr>
          <w:rFonts w:ascii="Times New Roman" w:hAnsi="Times New Roman" w:cs="Times New Roman"/>
          <w:color w:val="000000" w:themeColor="text1"/>
          <w:sz w:val="24"/>
          <w:szCs w:val="24"/>
        </w:rPr>
        <w:t>and</w:t>
      </w:r>
    </w:p>
    <w:p w:rsidR="00D2243C" w:rsidRPr="003A377E" w:rsidRDefault="00D2243C">
      <w:pPr>
        <w:numPr>
          <w:ilvl w:val="0"/>
          <w:numId w:val="3"/>
        </w:numPr>
        <w:spacing w:after="0" w:line="360" w:lineRule="auto"/>
        <w:contextualSpacing/>
        <w:jc w:val="both"/>
        <w:rPr>
          <w:rFonts w:ascii="Times New Roman" w:hAnsi="Times New Roman" w:cs="Times New Roman"/>
          <w:color w:val="000000" w:themeColor="text1"/>
          <w:sz w:val="24"/>
          <w:szCs w:val="24"/>
        </w:rPr>
      </w:pPr>
      <w:r w:rsidRPr="003A377E">
        <w:rPr>
          <w:rFonts w:ascii="Times New Roman" w:hAnsi="Times New Roman" w:cs="Times New Roman"/>
          <w:color w:val="000000" w:themeColor="text1"/>
          <w:sz w:val="24"/>
          <w:szCs w:val="24"/>
        </w:rPr>
        <w:t xml:space="preserve">Support economic growth through a range of reforms, including the infrastructure build programme, financed through innovative funding mechanisms and supported by improved technical capabilities. </w:t>
      </w:r>
    </w:p>
    <w:p w:rsidR="00D05701" w:rsidRPr="003A377E" w:rsidRDefault="00D05701">
      <w:pPr>
        <w:spacing w:after="0" w:line="360" w:lineRule="auto"/>
        <w:jc w:val="both"/>
        <w:rPr>
          <w:rFonts w:ascii="Times New Roman" w:hAnsi="Times New Roman" w:cs="Times New Roman"/>
          <w:color w:val="000000" w:themeColor="text1"/>
          <w:sz w:val="24"/>
          <w:szCs w:val="24"/>
        </w:rPr>
      </w:pPr>
    </w:p>
    <w:p w:rsidR="00D05701" w:rsidRPr="003A377E" w:rsidRDefault="00D05701">
      <w:pPr>
        <w:spacing w:after="0" w:line="360" w:lineRule="auto"/>
        <w:jc w:val="both"/>
        <w:rPr>
          <w:rFonts w:ascii="Times New Roman" w:hAnsi="Times New Roman" w:cs="Times New Roman"/>
          <w:color w:val="000000" w:themeColor="text1"/>
          <w:sz w:val="24"/>
          <w:szCs w:val="24"/>
        </w:rPr>
      </w:pPr>
      <w:r w:rsidRPr="003A377E">
        <w:rPr>
          <w:rFonts w:ascii="Times New Roman" w:hAnsi="Times New Roman" w:cs="Times New Roman"/>
          <w:color w:val="000000" w:themeColor="text1"/>
          <w:sz w:val="24"/>
          <w:szCs w:val="24"/>
        </w:rPr>
        <w:t>The 202</w:t>
      </w:r>
      <w:r w:rsidR="00D2243C" w:rsidRPr="003A377E">
        <w:rPr>
          <w:rFonts w:ascii="Times New Roman" w:hAnsi="Times New Roman" w:cs="Times New Roman"/>
          <w:color w:val="000000" w:themeColor="text1"/>
          <w:sz w:val="24"/>
          <w:szCs w:val="24"/>
        </w:rPr>
        <w:t>2</w:t>
      </w:r>
      <w:r w:rsidRPr="003A377E">
        <w:rPr>
          <w:rFonts w:ascii="Times New Roman" w:hAnsi="Times New Roman" w:cs="Times New Roman"/>
          <w:color w:val="000000" w:themeColor="text1"/>
          <w:sz w:val="24"/>
          <w:szCs w:val="24"/>
        </w:rPr>
        <w:t xml:space="preserve"> MTEF fiscal </w:t>
      </w:r>
      <w:r w:rsidR="00D2243C" w:rsidRPr="003A377E">
        <w:rPr>
          <w:rFonts w:ascii="Times New Roman" w:hAnsi="Times New Roman" w:cs="Times New Roman"/>
          <w:color w:val="000000" w:themeColor="text1"/>
          <w:sz w:val="24"/>
          <w:szCs w:val="24"/>
        </w:rPr>
        <w:t xml:space="preserve">outlook is subject to significant risks. These include weakening of global or domestic economic growth, rising global borrowing costs, the possibility of higher public-service wage </w:t>
      </w:r>
      <w:r w:rsidR="007B6CFB" w:rsidRPr="003A377E">
        <w:rPr>
          <w:rFonts w:ascii="Times New Roman" w:hAnsi="Times New Roman" w:cs="Times New Roman"/>
          <w:color w:val="000000" w:themeColor="text1"/>
          <w:sz w:val="24"/>
          <w:szCs w:val="24"/>
        </w:rPr>
        <w:t>bill</w:t>
      </w:r>
      <w:r w:rsidR="00D2243C" w:rsidRPr="003A377E">
        <w:rPr>
          <w:rFonts w:ascii="Times New Roman" w:hAnsi="Times New Roman" w:cs="Times New Roman"/>
          <w:color w:val="000000" w:themeColor="text1"/>
          <w:sz w:val="24"/>
          <w:szCs w:val="24"/>
        </w:rPr>
        <w:t xml:space="preserve">, and the poor financial condition of </w:t>
      </w:r>
      <w:r w:rsidR="00DD774E" w:rsidRPr="003A377E">
        <w:rPr>
          <w:rFonts w:ascii="Times New Roman" w:hAnsi="Times New Roman" w:cs="Times New Roman"/>
          <w:color w:val="000000" w:themeColor="text1"/>
          <w:sz w:val="24"/>
          <w:szCs w:val="24"/>
        </w:rPr>
        <w:t xml:space="preserve">several major state-owned companies.  </w:t>
      </w:r>
    </w:p>
    <w:p w:rsidR="00D05701" w:rsidRPr="003A377E" w:rsidRDefault="00D05701">
      <w:pPr>
        <w:spacing w:after="0" w:line="360" w:lineRule="auto"/>
        <w:jc w:val="both"/>
        <w:rPr>
          <w:rFonts w:ascii="Times New Roman" w:hAnsi="Times New Roman" w:cs="Times New Roman"/>
          <w:color w:val="000000" w:themeColor="text1"/>
          <w:sz w:val="24"/>
          <w:szCs w:val="24"/>
        </w:rPr>
      </w:pPr>
    </w:p>
    <w:p w:rsidR="00D05701" w:rsidRPr="003A377E" w:rsidRDefault="00DD774E" w:rsidP="008D617C">
      <w:pPr>
        <w:pStyle w:val="ListParagraph"/>
        <w:numPr>
          <w:ilvl w:val="0"/>
          <w:numId w:val="1"/>
        </w:numPr>
        <w:spacing w:line="360" w:lineRule="auto"/>
        <w:ind w:left="284" w:hanging="284"/>
        <w:jc w:val="both"/>
        <w:rPr>
          <w:rFonts w:ascii="Times New Roman" w:hAnsi="Times New Roman" w:cs="Times New Roman"/>
          <w:b/>
          <w:sz w:val="24"/>
          <w:szCs w:val="24"/>
        </w:rPr>
      </w:pPr>
      <w:r w:rsidRPr="003A377E">
        <w:rPr>
          <w:rFonts w:ascii="Times New Roman" w:hAnsi="Times New Roman" w:cs="Times New Roman"/>
          <w:b/>
          <w:sz w:val="24"/>
          <w:szCs w:val="24"/>
        </w:rPr>
        <w:t>The 2022</w:t>
      </w:r>
      <w:r w:rsidR="00D05701" w:rsidRPr="003A377E">
        <w:rPr>
          <w:rFonts w:ascii="Times New Roman" w:hAnsi="Times New Roman" w:cs="Times New Roman"/>
          <w:b/>
          <w:sz w:val="24"/>
          <w:szCs w:val="24"/>
        </w:rPr>
        <w:t xml:space="preserve"> Division of Revenue allocations</w:t>
      </w:r>
    </w:p>
    <w:p w:rsidR="00D05701" w:rsidRPr="003A377E" w:rsidRDefault="00D05701">
      <w:pPr>
        <w:spacing w:after="0" w:line="360" w:lineRule="auto"/>
        <w:jc w:val="both"/>
        <w:rPr>
          <w:rFonts w:ascii="Times New Roman" w:hAnsi="Times New Roman" w:cs="Times New Roman"/>
          <w:sz w:val="24"/>
          <w:szCs w:val="24"/>
        </w:rPr>
      </w:pPr>
      <w:r w:rsidRPr="003A377E">
        <w:rPr>
          <w:rFonts w:ascii="Times New Roman" w:hAnsi="Times New Roman" w:cs="Times New Roman"/>
          <w:sz w:val="24"/>
          <w:szCs w:val="24"/>
        </w:rPr>
        <w:t>Table 1 below indicates the overall allocations to national, provincial and local spheres of government for the medium term.</w:t>
      </w:r>
    </w:p>
    <w:p w:rsidR="00D05701" w:rsidRPr="003A377E" w:rsidRDefault="00D05701">
      <w:pPr>
        <w:spacing w:after="0" w:line="360" w:lineRule="auto"/>
        <w:jc w:val="both"/>
        <w:rPr>
          <w:rFonts w:ascii="Times New Roman" w:hAnsi="Times New Roman" w:cs="Times New Roman"/>
          <w:sz w:val="24"/>
          <w:szCs w:val="24"/>
        </w:rPr>
      </w:pPr>
    </w:p>
    <w:p w:rsidR="00D05701" w:rsidRPr="003A377E" w:rsidRDefault="00D05701">
      <w:pPr>
        <w:spacing w:after="0" w:line="360" w:lineRule="auto"/>
        <w:jc w:val="both"/>
        <w:rPr>
          <w:rFonts w:ascii="Times New Roman" w:hAnsi="Times New Roman" w:cs="Times New Roman"/>
          <w:b/>
          <w:color w:val="000000" w:themeColor="text1"/>
          <w:sz w:val="24"/>
          <w:szCs w:val="24"/>
        </w:rPr>
      </w:pPr>
      <w:r w:rsidRPr="003A377E">
        <w:rPr>
          <w:rFonts w:ascii="Times New Roman" w:hAnsi="Times New Roman" w:cs="Times New Roman"/>
          <w:b/>
          <w:color w:val="000000" w:themeColor="text1"/>
          <w:sz w:val="24"/>
          <w:szCs w:val="24"/>
        </w:rPr>
        <w:t xml:space="preserve">Table 1: </w:t>
      </w:r>
      <w:r w:rsidRPr="003A377E">
        <w:rPr>
          <w:rFonts w:ascii="Times New Roman" w:hAnsi="Times New Roman" w:cs="Times New Roman"/>
          <w:b/>
          <w:sz w:val="24"/>
          <w:szCs w:val="24"/>
        </w:rPr>
        <w:t>Equitable division of revenue raised nationally</w:t>
      </w:r>
    </w:p>
    <w:tbl>
      <w:tblPr>
        <w:tblW w:w="9072" w:type="dxa"/>
        <w:tblInd w:w="-5" w:type="dxa"/>
        <w:tblLook w:val="04A0" w:firstRow="1" w:lastRow="0" w:firstColumn="1" w:lastColumn="0" w:noHBand="0" w:noVBand="1"/>
      </w:tblPr>
      <w:tblGrid>
        <w:gridCol w:w="2700"/>
        <w:gridCol w:w="2160"/>
        <w:gridCol w:w="1944"/>
        <w:gridCol w:w="2268"/>
      </w:tblGrid>
      <w:tr w:rsidR="00D05701" w:rsidRPr="003A377E" w:rsidTr="00D2243C">
        <w:trPr>
          <w:trHeight w:val="374"/>
        </w:trPr>
        <w:tc>
          <w:tcPr>
            <w:tcW w:w="2700" w:type="dxa"/>
            <w:vMerge w:val="restart"/>
            <w:tcBorders>
              <w:top w:val="single" w:sz="4" w:space="0" w:color="auto"/>
              <w:left w:val="single" w:sz="4" w:space="0" w:color="auto"/>
              <w:right w:val="single" w:sz="12" w:space="0" w:color="auto"/>
            </w:tcBorders>
            <w:shd w:val="clear" w:color="auto" w:fill="auto"/>
            <w:noWrap/>
            <w:vAlign w:val="center"/>
            <w:hideMark/>
          </w:tcPr>
          <w:p w:rsidR="00D05701" w:rsidRPr="003A377E" w:rsidRDefault="00D05701" w:rsidP="008D617C">
            <w:pPr>
              <w:spacing w:after="0" w:line="360" w:lineRule="auto"/>
              <w:jc w:val="both"/>
              <w:rPr>
                <w:rFonts w:ascii="Times New Roman" w:eastAsia="Times New Roman" w:hAnsi="Times New Roman" w:cs="Times New Roman"/>
                <w:b/>
                <w:bCs/>
                <w:sz w:val="24"/>
                <w:szCs w:val="24"/>
              </w:rPr>
            </w:pPr>
            <w:r w:rsidRPr="003A377E">
              <w:rPr>
                <w:rFonts w:ascii="Times New Roman" w:eastAsia="Times New Roman" w:hAnsi="Times New Roman" w:cs="Times New Roman"/>
                <w:b/>
                <w:bCs/>
                <w:sz w:val="24"/>
                <w:szCs w:val="24"/>
              </w:rPr>
              <w:t>Spheres of Government</w:t>
            </w:r>
          </w:p>
        </w:tc>
        <w:tc>
          <w:tcPr>
            <w:tcW w:w="21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05701" w:rsidRPr="003A377E" w:rsidRDefault="00D05701" w:rsidP="008D617C">
            <w:pPr>
              <w:spacing w:after="0" w:line="360" w:lineRule="auto"/>
              <w:jc w:val="both"/>
              <w:rPr>
                <w:rFonts w:ascii="Times New Roman" w:eastAsia="Times New Roman" w:hAnsi="Times New Roman" w:cs="Times New Roman"/>
                <w:b/>
                <w:bCs/>
                <w:sz w:val="24"/>
                <w:szCs w:val="24"/>
              </w:rPr>
            </w:pPr>
            <w:r w:rsidRPr="003A377E">
              <w:rPr>
                <w:rFonts w:ascii="Times New Roman" w:eastAsia="Times New Roman" w:hAnsi="Times New Roman" w:cs="Times New Roman"/>
                <w:b/>
                <w:bCs/>
                <w:sz w:val="24"/>
                <w:szCs w:val="24"/>
              </w:rPr>
              <w:t>Column A</w:t>
            </w:r>
          </w:p>
        </w:tc>
        <w:tc>
          <w:tcPr>
            <w:tcW w:w="421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D05701" w:rsidRPr="003A377E" w:rsidRDefault="00D05701" w:rsidP="008D617C">
            <w:pPr>
              <w:spacing w:after="0" w:line="360" w:lineRule="auto"/>
              <w:jc w:val="both"/>
              <w:rPr>
                <w:rFonts w:ascii="Times New Roman" w:eastAsia="Times New Roman" w:hAnsi="Times New Roman" w:cs="Times New Roman"/>
                <w:b/>
                <w:bCs/>
                <w:sz w:val="24"/>
                <w:szCs w:val="24"/>
              </w:rPr>
            </w:pPr>
            <w:r w:rsidRPr="003A377E">
              <w:rPr>
                <w:rFonts w:ascii="Times New Roman" w:eastAsia="Times New Roman" w:hAnsi="Times New Roman" w:cs="Times New Roman"/>
                <w:b/>
                <w:bCs/>
                <w:sz w:val="24"/>
                <w:szCs w:val="24"/>
              </w:rPr>
              <w:t>Column B</w:t>
            </w:r>
          </w:p>
        </w:tc>
      </w:tr>
      <w:tr w:rsidR="00D05701" w:rsidRPr="003A377E" w:rsidTr="00D2243C">
        <w:trPr>
          <w:trHeight w:val="374"/>
        </w:trPr>
        <w:tc>
          <w:tcPr>
            <w:tcW w:w="2700" w:type="dxa"/>
            <w:vMerge/>
            <w:tcBorders>
              <w:left w:val="single" w:sz="4" w:space="0" w:color="auto"/>
              <w:right w:val="single" w:sz="12" w:space="0" w:color="auto"/>
            </w:tcBorders>
            <w:shd w:val="clear" w:color="auto" w:fill="auto"/>
            <w:noWrap/>
          </w:tcPr>
          <w:p w:rsidR="00D05701" w:rsidRPr="003A377E" w:rsidRDefault="00D05701" w:rsidP="008D617C">
            <w:pPr>
              <w:spacing w:after="0" w:line="360" w:lineRule="auto"/>
              <w:jc w:val="both"/>
              <w:rPr>
                <w:rFonts w:ascii="Times New Roman" w:eastAsia="Times New Roman" w:hAnsi="Times New Roman" w:cs="Times New Roman"/>
                <w:sz w:val="24"/>
                <w:szCs w:val="24"/>
              </w:rPr>
            </w:pPr>
          </w:p>
        </w:tc>
        <w:tc>
          <w:tcPr>
            <w:tcW w:w="2160" w:type="dxa"/>
            <w:vMerge w:val="restart"/>
            <w:tcBorders>
              <w:top w:val="single" w:sz="12" w:space="0" w:color="auto"/>
              <w:left w:val="single" w:sz="12" w:space="0" w:color="auto"/>
              <w:right w:val="single" w:sz="12" w:space="0" w:color="auto"/>
            </w:tcBorders>
            <w:shd w:val="clear" w:color="auto" w:fill="auto"/>
            <w:noWrap/>
          </w:tcPr>
          <w:p w:rsidR="00D05701" w:rsidRPr="003A377E" w:rsidRDefault="00D05701" w:rsidP="008D617C">
            <w:pPr>
              <w:spacing w:after="0" w:line="360" w:lineRule="auto"/>
              <w:jc w:val="both"/>
              <w:rPr>
                <w:rFonts w:ascii="Times New Roman" w:eastAsia="Times New Roman" w:hAnsi="Times New Roman" w:cs="Times New Roman"/>
                <w:b/>
                <w:bCs/>
                <w:sz w:val="24"/>
                <w:szCs w:val="24"/>
              </w:rPr>
            </w:pPr>
          </w:p>
          <w:p w:rsidR="00D05701" w:rsidRPr="003A377E" w:rsidRDefault="00D05701" w:rsidP="008D617C">
            <w:pPr>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b/>
                <w:bCs/>
                <w:sz w:val="24"/>
                <w:szCs w:val="24"/>
              </w:rPr>
              <w:t>202</w:t>
            </w:r>
            <w:r w:rsidR="004D2489" w:rsidRPr="003A377E">
              <w:rPr>
                <w:rFonts w:ascii="Times New Roman" w:eastAsia="Times New Roman" w:hAnsi="Times New Roman" w:cs="Times New Roman"/>
                <w:b/>
                <w:bCs/>
                <w:sz w:val="24"/>
                <w:szCs w:val="24"/>
              </w:rPr>
              <w:t>2</w:t>
            </w:r>
            <w:r w:rsidRPr="003A377E">
              <w:rPr>
                <w:rFonts w:ascii="Times New Roman" w:eastAsia="Times New Roman" w:hAnsi="Times New Roman" w:cs="Times New Roman"/>
                <w:b/>
                <w:bCs/>
                <w:sz w:val="24"/>
                <w:szCs w:val="24"/>
              </w:rPr>
              <w:t>/2</w:t>
            </w:r>
            <w:r w:rsidR="004D2489" w:rsidRPr="003A377E">
              <w:rPr>
                <w:rFonts w:ascii="Times New Roman" w:eastAsia="Times New Roman" w:hAnsi="Times New Roman" w:cs="Times New Roman"/>
                <w:b/>
                <w:bCs/>
                <w:sz w:val="24"/>
                <w:szCs w:val="24"/>
              </w:rPr>
              <w:t>3</w:t>
            </w:r>
            <w:r w:rsidRPr="003A377E">
              <w:rPr>
                <w:rFonts w:ascii="Times New Roman" w:eastAsia="Times New Roman" w:hAnsi="Times New Roman" w:cs="Times New Roman"/>
                <w:b/>
                <w:bCs/>
                <w:sz w:val="24"/>
                <w:szCs w:val="24"/>
              </w:rPr>
              <w:t xml:space="preserve"> </w:t>
            </w:r>
          </w:p>
        </w:tc>
        <w:tc>
          <w:tcPr>
            <w:tcW w:w="4212" w:type="dxa"/>
            <w:gridSpan w:val="2"/>
            <w:tcBorders>
              <w:top w:val="single" w:sz="12" w:space="0" w:color="auto"/>
              <w:left w:val="single" w:sz="12" w:space="0" w:color="auto"/>
              <w:bottom w:val="single" w:sz="12" w:space="0" w:color="auto"/>
              <w:right w:val="single" w:sz="12" w:space="0" w:color="auto"/>
            </w:tcBorders>
            <w:shd w:val="clear" w:color="auto" w:fill="auto"/>
            <w:noWrap/>
          </w:tcPr>
          <w:p w:rsidR="00D05701" w:rsidRPr="003A377E" w:rsidRDefault="00D05701" w:rsidP="008D617C">
            <w:pPr>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Forward Estimates</w:t>
            </w:r>
          </w:p>
        </w:tc>
      </w:tr>
      <w:tr w:rsidR="00D05701" w:rsidRPr="003A377E" w:rsidTr="00D2243C">
        <w:trPr>
          <w:trHeight w:val="24"/>
        </w:trPr>
        <w:tc>
          <w:tcPr>
            <w:tcW w:w="2700" w:type="dxa"/>
            <w:vMerge/>
            <w:tcBorders>
              <w:left w:val="single" w:sz="4" w:space="0" w:color="auto"/>
              <w:bottom w:val="nil"/>
              <w:right w:val="single" w:sz="12" w:space="0" w:color="auto"/>
            </w:tcBorders>
            <w:shd w:val="clear" w:color="auto" w:fill="auto"/>
            <w:noWrap/>
          </w:tcPr>
          <w:p w:rsidR="00D05701" w:rsidRPr="003A377E" w:rsidRDefault="00D05701" w:rsidP="008D617C">
            <w:pPr>
              <w:spacing w:after="0" w:line="360" w:lineRule="auto"/>
              <w:jc w:val="both"/>
              <w:rPr>
                <w:rFonts w:ascii="Times New Roman" w:eastAsia="Times New Roman" w:hAnsi="Times New Roman" w:cs="Times New Roman"/>
                <w:sz w:val="24"/>
                <w:szCs w:val="24"/>
              </w:rPr>
            </w:pPr>
          </w:p>
        </w:tc>
        <w:tc>
          <w:tcPr>
            <w:tcW w:w="2160" w:type="dxa"/>
            <w:vMerge/>
            <w:tcBorders>
              <w:left w:val="single" w:sz="12" w:space="0" w:color="auto"/>
              <w:bottom w:val="single" w:sz="12" w:space="0" w:color="auto"/>
              <w:right w:val="single" w:sz="12" w:space="0" w:color="auto"/>
            </w:tcBorders>
            <w:shd w:val="clear" w:color="auto" w:fill="auto"/>
            <w:noWrap/>
            <w:vAlign w:val="center"/>
          </w:tcPr>
          <w:p w:rsidR="00D05701" w:rsidRPr="003A377E" w:rsidRDefault="00D05701" w:rsidP="008D617C">
            <w:pPr>
              <w:spacing w:after="0" w:line="360" w:lineRule="auto"/>
              <w:jc w:val="both"/>
              <w:rPr>
                <w:rFonts w:ascii="Times New Roman" w:eastAsia="Times New Roman" w:hAnsi="Times New Roman" w:cs="Times New Roman"/>
                <w:sz w:val="24"/>
                <w:szCs w:val="24"/>
              </w:rPr>
            </w:pPr>
          </w:p>
        </w:tc>
        <w:tc>
          <w:tcPr>
            <w:tcW w:w="194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05701" w:rsidRPr="003A377E" w:rsidRDefault="00D05701" w:rsidP="008D617C">
            <w:pPr>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b/>
                <w:bCs/>
                <w:sz w:val="24"/>
                <w:szCs w:val="24"/>
              </w:rPr>
              <w:t>202</w:t>
            </w:r>
            <w:r w:rsidR="004D2489" w:rsidRPr="003A377E">
              <w:rPr>
                <w:rFonts w:ascii="Times New Roman" w:eastAsia="Times New Roman" w:hAnsi="Times New Roman" w:cs="Times New Roman"/>
                <w:b/>
                <w:bCs/>
                <w:sz w:val="24"/>
                <w:szCs w:val="24"/>
              </w:rPr>
              <w:t>3</w:t>
            </w:r>
            <w:r w:rsidRPr="003A377E">
              <w:rPr>
                <w:rFonts w:ascii="Times New Roman" w:eastAsia="Times New Roman" w:hAnsi="Times New Roman" w:cs="Times New Roman"/>
                <w:b/>
                <w:bCs/>
                <w:sz w:val="24"/>
                <w:szCs w:val="24"/>
              </w:rPr>
              <w:t>/2</w:t>
            </w:r>
            <w:r w:rsidR="004D2489" w:rsidRPr="003A377E">
              <w:rPr>
                <w:rFonts w:ascii="Times New Roman" w:eastAsia="Times New Roman" w:hAnsi="Times New Roman" w:cs="Times New Roman"/>
                <w:b/>
                <w:bCs/>
                <w:sz w:val="24"/>
                <w:szCs w:val="24"/>
              </w:rPr>
              <w:t>4</w:t>
            </w:r>
            <w:r w:rsidRPr="003A377E">
              <w:rPr>
                <w:rFonts w:ascii="Times New Roman" w:eastAsia="Times New Roman" w:hAnsi="Times New Roman" w:cs="Times New Roman"/>
                <w:b/>
                <w:bCs/>
                <w:sz w:val="24"/>
                <w:szCs w:val="24"/>
              </w:rPr>
              <w:t xml:space="preserve"> </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05701" w:rsidRPr="003A377E" w:rsidRDefault="00D05701" w:rsidP="008D617C">
            <w:pPr>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b/>
                <w:bCs/>
                <w:sz w:val="24"/>
                <w:szCs w:val="24"/>
              </w:rPr>
              <w:t>202</w:t>
            </w:r>
            <w:r w:rsidR="004D2489" w:rsidRPr="003A377E">
              <w:rPr>
                <w:rFonts w:ascii="Times New Roman" w:eastAsia="Times New Roman" w:hAnsi="Times New Roman" w:cs="Times New Roman"/>
                <w:b/>
                <w:bCs/>
                <w:sz w:val="24"/>
                <w:szCs w:val="24"/>
              </w:rPr>
              <w:t>4</w:t>
            </w:r>
            <w:r w:rsidRPr="003A377E">
              <w:rPr>
                <w:rFonts w:ascii="Times New Roman" w:eastAsia="Times New Roman" w:hAnsi="Times New Roman" w:cs="Times New Roman"/>
                <w:b/>
                <w:bCs/>
                <w:sz w:val="24"/>
                <w:szCs w:val="24"/>
              </w:rPr>
              <w:t>/2</w:t>
            </w:r>
            <w:r w:rsidR="004D2489" w:rsidRPr="003A377E">
              <w:rPr>
                <w:rFonts w:ascii="Times New Roman" w:eastAsia="Times New Roman" w:hAnsi="Times New Roman" w:cs="Times New Roman"/>
                <w:b/>
                <w:bCs/>
                <w:sz w:val="24"/>
                <w:szCs w:val="24"/>
              </w:rPr>
              <w:t>5</w:t>
            </w:r>
            <w:r w:rsidRPr="003A377E">
              <w:rPr>
                <w:rFonts w:ascii="Times New Roman" w:eastAsia="Times New Roman" w:hAnsi="Times New Roman" w:cs="Times New Roman"/>
                <w:b/>
                <w:bCs/>
                <w:sz w:val="24"/>
                <w:szCs w:val="24"/>
              </w:rPr>
              <w:t xml:space="preserve"> </w:t>
            </w:r>
          </w:p>
        </w:tc>
      </w:tr>
      <w:tr w:rsidR="00D05701" w:rsidRPr="003A377E" w:rsidTr="00D2243C">
        <w:trPr>
          <w:trHeight w:val="858"/>
        </w:trPr>
        <w:tc>
          <w:tcPr>
            <w:tcW w:w="2700" w:type="dxa"/>
            <w:tcBorders>
              <w:top w:val="single" w:sz="4" w:space="0" w:color="000000"/>
              <w:left w:val="single" w:sz="4" w:space="0" w:color="auto"/>
              <w:bottom w:val="nil"/>
              <w:right w:val="single" w:sz="12" w:space="0" w:color="auto"/>
            </w:tcBorders>
            <w:shd w:val="clear" w:color="auto" w:fill="auto"/>
            <w:noWrap/>
          </w:tcPr>
          <w:p w:rsidR="00D05701" w:rsidRPr="003A377E" w:rsidRDefault="00D05701" w:rsidP="008D617C">
            <w:pPr>
              <w:spacing w:after="0" w:line="360" w:lineRule="auto"/>
              <w:jc w:val="both"/>
              <w:rPr>
                <w:rFonts w:ascii="Times New Roman" w:eastAsia="Times New Roman" w:hAnsi="Times New Roman" w:cs="Times New Roman"/>
                <w:sz w:val="24"/>
                <w:szCs w:val="24"/>
              </w:rPr>
            </w:pPr>
          </w:p>
          <w:p w:rsidR="00D05701" w:rsidRPr="003A377E" w:rsidRDefault="00D05701" w:rsidP="008D617C">
            <w:pPr>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National allocations</w:t>
            </w:r>
            <w:r w:rsidRPr="003A377E">
              <w:rPr>
                <w:rFonts w:ascii="Times New Roman" w:eastAsia="Times New Roman" w:hAnsi="Times New Roman" w:cs="Times New Roman"/>
                <w:b/>
                <w:sz w:val="24"/>
                <w:szCs w:val="24"/>
                <w:vertAlign w:val="superscript"/>
              </w:rPr>
              <w:t>1,2</w:t>
            </w:r>
          </w:p>
        </w:tc>
        <w:tc>
          <w:tcPr>
            <w:tcW w:w="2160" w:type="dxa"/>
            <w:vMerge w:val="restart"/>
            <w:tcBorders>
              <w:top w:val="single" w:sz="12" w:space="0" w:color="auto"/>
              <w:left w:val="single" w:sz="12" w:space="0" w:color="auto"/>
              <w:bottom w:val="nil"/>
              <w:right w:val="single" w:sz="12" w:space="0" w:color="auto"/>
            </w:tcBorders>
            <w:shd w:val="clear" w:color="auto" w:fill="auto"/>
            <w:noWrap/>
          </w:tcPr>
          <w:p w:rsidR="00D05701" w:rsidRPr="003A377E" w:rsidRDefault="00D05701" w:rsidP="008D617C">
            <w:pPr>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R’000</w:t>
            </w:r>
          </w:p>
          <w:p w:rsidR="00D05701" w:rsidRPr="003A377E" w:rsidRDefault="00D05701" w:rsidP="008D617C">
            <w:pPr>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1</w:t>
            </w:r>
            <w:r w:rsidR="007B662D" w:rsidRPr="003A377E">
              <w:rPr>
                <w:rFonts w:ascii="Times New Roman" w:eastAsia="Times New Roman" w:hAnsi="Times New Roman" w:cs="Times New Roman"/>
                <w:sz w:val="24"/>
                <w:szCs w:val="24"/>
              </w:rPr>
              <w:t> 327 188 238</w:t>
            </w:r>
          </w:p>
          <w:p w:rsidR="007B662D" w:rsidRPr="003A377E" w:rsidRDefault="007B662D" w:rsidP="008D617C">
            <w:pPr>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560 756 789</w:t>
            </w:r>
          </w:p>
          <w:p w:rsidR="007B662D" w:rsidRPr="003A377E" w:rsidRDefault="007B662D" w:rsidP="008D617C">
            <w:pPr>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sz w:val="24"/>
                <w:szCs w:val="24"/>
              </w:rPr>
              <w:t xml:space="preserve">     87 311 493</w:t>
            </w:r>
          </w:p>
        </w:tc>
        <w:tc>
          <w:tcPr>
            <w:tcW w:w="1944" w:type="dxa"/>
            <w:vMerge w:val="restart"/>
            <w:tcBorders>
              <w:top w:val="single" w:sz="12" w:space="0" w:color="auto"/>
              <w:left w:val="single" w:sz="12" w:space="0" w:color="auto"/>
              <w:bottom w:val="nil"/>
              <w:right w:val="single" w:sz="12" w:space="0" w:color="auto"/>
            </w:tcBorders>
            <w:shd w:val="clear" w:color="auto" w:fill="auto"/>
            <w:noWrap/>
          </w:tcPr>
          <w:p w:rsidR="00D05701" w:rsidRPr="003A377E" w:rsidRDefault="00D05701" w:rsidP="008D617C">
            <w:pPr>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R’000</w:t>
            </w:r>
          </w:p>
          <w:p w:rsidR="00D05701" w:rsidRPr="003A377E" w:rsidRDefault="00D05701" w:rsidP="008D617C">
            <w:pPr>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1</w:t>
            </w:r>
            <w:r w:rsidR="007B662D" w:rsidRPr="003A377E">
              <w:rPr>
                <w:rFonts w:ascii="Times New Roman" w:eastAsia="Times New Roman" w:hAnsi="Times New Roman" w:cs="Times New Roman"/>
                <w:sz w:val="24"/>
                <w:szCs w:val="24"/>
              </w:rPr>
              <w:t> 354 771 376</w:t>
            </w:r>
            <w:r w:rsidRPr="003A377E">
              <w:rPr>
                <w:rFonts w:ascii="Times New Roman" w:eastAsia="Times New Roman" w:hAnsi="Times New Roman" w:cs="Times New Roman"/>
                <w:sz w:val="24"/>
                <w:szCs w:val="24"/>
              </w:rPr>
              <w:t xml:space="preserve">   </w:t>
            </w:r>
          </w:p>
          <w:p w:rsidR="00D05701" w:rsidRPr="003A377E" w:rsidRDefault="00D05701" w:rsidP="008D617C">
            <w:pPr>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5</w:t>
            </w:r>
            <w:r w:rsidR="007B662D" w:rsidRPr="003A377E">
              <w:rPr>
                <w:rFonts w:ascii="Times New Roman" w:eastAsia="Times New Roman" w:hAnsi="Times New Roman" w:cs="Times New Roman"/>
                <w:sz w:val="24"/>
                <w:szCs w:val="24"/>
              </w:rPr>
              <w:t>43 149 099</w:t>
            </w:r>
            <w:r w:rsidRPr="003A377E">
              <w:rPr>
                <w:rFonts w:ascii="Times New Roman" w:eastAsia="Times New Roman" w:hAnsi="Times New Roman" w:cs="Times New Roman"/>
                <w:sz w:val="24"/>
                <w:szCs w:val="24"/>
              </w:rPr>
              <w:t xml:space="preserve"> </w:t>
            </w:r>
          </w:p>
          <w:p w:rsidR="00D05701" w:rsidRPr="003A377E" w:rsidRDefault="00D05701" w:rsidP="008D617C">
            <w:pPr>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sz w:val="24"/>
                <w:szCs w:val="24"/>
              </w:rPr>
              <w:t xml:space="preserve">     </w:t>
            </w:r>
            <w:r w:rsidR="007B662D" w:rsidRPr="003A377E">
              <w:rPr>
                <w:rFonts w:ascii="Times New Roman" w:eastAsia="Times New Roman" w:hAnsi="Times New Roman" w:cs="Times New Roman"/>
                <w:sz w:val="24"/>
                <w:szCs w:val="24"/>
              </w:rPr>
              <w:t>94 086 549</w:t>
            </w:r>
          </w:p>
        </w:tc>
        <w:tc>
          <w:tcPr>
            <w:tcW w:w="2268" w:type="dxa"/>
            <w:vMerge w:val="restart"/>
            <w:tcBorders>
              <w:top w:val="single" w:sz="12" w:space="0" w:color="auto"/>
              <w:left w:val="single" w:sz="12" w:space="0" w:color="auto"/>
              <w:bottom w:val="nil"/>
              <w:right w:val="single" w:sz="12" w:space="0" w:color="auto"/>
            </w:tcBorders>
            <w:shd w:val="clear" w:color="auto" w:fill="auto"/>
            <w:noWrap/>
          </w:tcPr>
          <w:p w:rsidR="00D05701" w:rsidRPr="003A377E" w:rsidRDefault="00D05701" w:rsidP="008D617C">
            <w:pPr>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R’000</w:t>
            </w:r>
          </w:p>
          <w:p w:rsidR="00D05701" w:rsidRPr="003A377E" w:rsidRDefault="00D05701">
            <w:pPr>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1</w:t>
            </w:r>
            <w:r w:rsidR="007B662D" w:rsidRPr="003A377E">
              <w:rPr>
                <w:rFonts w:ascii="Times New Roman" w:eastAsia="Times New Roman" w:hAnsi="Times New Roman" w:cs="Times New Roman"/>
                <w:sz w:val="24"/>
                <w:szCs w:val="24"/>
              </w:rPr>
              <w:t> 433 054 261</w:t>
            </w:r>
            <w:r w:rsidRPr="003A377E">
              <w:rPr>
                <w:rFonts w:ascii="Times New Roman" w:eastAsia="Times New Roman" w:hAnsi="Times New Roman" w:cs="Times New Roman"/>
                <w:sz w:val="24"/>
                <w:szCs w:val="24"/>
              </w:rPr>
              <w:t xml:space="preserve">     </w:t>
            </w:r>
          </w:p>
          <w:p w:rsidR="00D05701" w:rsidRPr="003A377E" w:rsidRDefault="00D05701" w:rsidP="008D617C">
            <w:pPr>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5</w:t>
            </w:r>
            <w:r w:rsidR="007B662D" w:rsidRPr="003A377E">
              <w:rPr>
                <w:rFonts w:ascii="Times New Roman" w:eastAsia="Times New Roman" w:hAnsi="Times New Roman" w:cs="Times New Roman"/>
                <w:sz w:val="24"/>
                <w:szCs w:val="24"/>
              </w:rPr>
              <w:t>62 018 365</w:t>
            </w:r>
            <w:r w:rsidRPr="003A377E">
              <w:rPr>
                <w:rFonts w:ascii="Times New Roman" w:eastAsia="Times New Roman" w:hAnsi="Times New Roman" w:cs="Times New Roman"/>
                <w:sz w:val="24"/>
                <w:szCs w:val="24"/>
              </w:rPr>
              <w:t xml:space="preserve"> </w:t>
            </w:r>
          </w:p>
          <w:p w:rsidR="00D05701" w:rsidRPr="003A377E" w:rsidRDefault="00D05701" w:rsidP="008D617C">
            <w:pPr>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sz w:val="24"/>
                <w:szCs w:val="24"/>
              </w:rPr>
              <w:t xml:space="preserve">   </w:t>
            </w:r>
            <w:r w:rsidR="007B662D" w:rsidRPr="003A377E">
              <w:rPr>
                <w:rFonts w:ascii="Times New Roman" w:eastAsia="Times New Roman" w:hAnsi="Times New Roman" w:cs="Times New Roman"/>
                <w:sz w:val="24"/>
                <w:szCs w:val="24"/>
              </w:rPr>
              <w:t>101 486 470</w:t>
            </w:r>
            <w:r w:rsidRPr="003A377E">
              <w:rPr>
                <w:rFonts w:ascii="Times New Roman" w:eastAsia="Times New Roman" w:hAnsi="Times New Roman" w:cs="Times New Roman"/>
                <w:sz w:val="24"/>
                <w:szCs w:val="24"/>
              </w:rPr>
              <w:t xml:space="preserve"> </w:t>
            </w:r>
          </w:p>
        </w:tc>
      </w:tr>
      <w:tr w:rsidR="00D05701" w:rsidRPr="003A377E" w:rsidTr="00D2243C">
        <w:trPr>
          <w:trHeight w:val="339"/>
        </w:trPr>
        <w:tc>
          <w:tcPr>
            <w:tcW w:w="2700" w:type="dxa"/>
            <w:tcBorders>
              <w:top w:val="nil"/>
              <w:left w:val="single" w:sz="4" w:space="0" w:color="auto"/>
              <w:bottom w:val="nil"/>
              <w:right w:val="single" w:sz="12" w:space="0" w:color="auto"/>
            </w:tcBorders>
            <w:shd w:val="clear" w:color="auto" w:fill="auto"/>
            <w:noWrap/>
            <w:hideMark/>
          </w:tcPr>
          <w:p w:rsidR="00D05701" w:rsidRPr="003A377E" w:rsidRDefault="00D05701" w:rsidP="008D617C">
            <w:pPr>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Provincial allocations</w:t>
            </w:r>
          </w:p>
        </w:tc>
        <w:tc>
          <w:tcPr>
            <w:tcW w:w="2160" w:type="dxa"/>
            <w:vMerge/>
            <w:tcBorders>
              <w:left w:val="single" w:sz="12" w:space="0" w:color="auto"/>
              <w:right w:val="single" w:sz="12" w:space="0" w:color="auto"/>
            </w:tcBorders>
            <w:shd w:val="clear" w:color="auto" w:fill="auto"/>
            <w:noWrap/>
            <w:hideMark/>
          </w:tcPr>
          <w:p w:rsidR="00D05701" w:rsidRPr="003A377E" w:rsidRDefault="00D05701" w:rsidP="008D617C">
            <w:pPr>
              <w:spacing w:after="0" w:line="360" w:lineRule="auto"/>
              <w:jc w:val="both"/>
              <w:rPr>
                <w:rFonts w:ascii="Times New Roman" w:eastAsia="Times New Roman" w:hAnsi="Times New Roman" w:cs="Times New Roman"/>
                <w:sz w:val="24"/>
                <w:szCs w:val="24"/>
              </w:rPr>
            </w:pPr>
          </w:p>
        </w:tc>
        <w:tc>
          <w:tcPr>
            <w:tcW w:w="1944" w:type="dxa"/>
            <w:vMerge/>
            <w:tcBorders>
              <w:left w:val="single" w:sz="12" w:space="0" w:color="auto"/>
              <w:right w:val="single" w:sz="12" w:space="0" w:color="auto"/>
            </w:tcBorders>
            <w:shd w:val="clear" w:color="auto" w:fill="auto"/>
            <w:noWrap/>
            <w:hideMark/>
          </w:tcPr>
          <w:p w:rsidR="00D05701" w:rsidRPr="003A377E" w:rsidRDefault="00D05701" w:rsidP="008D617C">
            <w:pPr>
              <w:spacing w:after="0" w:line="360" w:lineRule="auto"/>
              <w:jc w:val="both"/>
              <w:rPr>
                <w:rFonts w:ascii="Times New Roman" w:eastAsia="Times New Roman" w:hAnsi="Times New Roman" w:cs="Times New Roman"/>
                <w:sz w:val="24"/>
                <w:szCs w:val="24"/>
              </w:rPr>
            </w:pPr>
          </w:p>
        </w:tc>
        <w:tc>
          <w:tcPr>
            <w:tcW w:w="2268" w:type="dxa"/>
            <w:vMerge/>
            <w:tcBorders>
              <w:left w:val="single" w:sz="12" w:space="0" w:color="auto"/>
              <w:right w:val="single" w:sz="12" w:space="0" w:color="auto"/>
            </w:tcBorders>
            <w:shd w:val="clear" w:color="auto" w:fill="auto"/>
            <w:noWrap/>
            <w:hideMark/>
          </w:tcPr>
          <w:p w:rsidR="00D05701" w:rsidRPr="003A377E" w:rsidRDefault="00D05701" w:rsidP="008D617C">
            <w:pPr>
              <w:spacing w:after="0" w:line="360" w:lineRule="auto"/>
              <w:jc w:val="both"/>
              <w:rPr>
                <w:rFonts w:ascii="Times New Roman" w:eastAsia="Times New Roman" w:hAnsi="Times New Roman" w:cs="Times New Roman"/>
                <w:sz w:val="24"/>
                <w:szCs w:val="24"/>
              </w:rPr>
            </w:pPr>
          </w:p>
        </w:tc>
      </w:tr>
      <w:tr w:rsidR="00D05701" w:rsidRPr="003A377E" w:rsidTr="00D2243C">
        <w:trPr>
          <w:trHeight w:val="312"/>
        </w:trPr>
        <w:tc>
          <w:tcPr>
            <w:tcW w:w="2700" w:type="dxa"/>
            <w:tcBorders>
              <w:top w:val="nil"/>
              <w:left w:val="single" w:sz="4" w:space="0" w:color="auto"/>
              <w:bottom w:val="single" w:sz="12" w:space="0" w:color="auto"/>
              <w:right w:val="single" w:sz="12" w:space="0" w:color="auto"/>
            </w:tcBorders>
            <w:shd w:val="clear" w:color="auto" w:fill="auto"/>
            <w:noWrap/>
            <w:hideMark/>
          </w:tcPr>
          <w:p w:rsidR="00D05701" w:rsidRPr="003A377E" w:rsidRDefault="00D05701" w:rsidP="008D617C">
            <w:pPr>
              <w:spacing w:after="0" w:line="360" w:lineRule="auto"/>
              <w:jc w:val="both"/>
              <w:rPr>
                <w:rFonts w:ascii="Times New Roman" w:eastAsia="Times New Roman" w:hAnsi="Times New Roman" w:cs="Times New Roman"/>
                <w:color w:val="000000"/>
                <w:sz w:val="24"/>
                <w:szCs w:val="24"/>
              </w:rPr>
            </w:pPr>
            <w:r w:rsidRPr="003A377E">
              <w:rPr>
                <w:rFonts w:ascii="Times New Roman" w:eastAsia="Times New Roman" w:hAnsi="Times New Roman" w:cs="Times New Roman"/>
                <w:color w:val="000000"/>
                <w:sz w:val="24"/>
                <w:szCs w:val="24"/>
              </w:rPr>
              <w:t>Local government allocations</w:t>
            </w:r>
          </w:p>
        </w:tc>
        <w:tc>
          <w:tcPr>
            <w:tcW w:w="2160" w:type="dxa"/>
            <w:vMerge/>
            <w:tcBorders>
              <w:left w:val="single" w:sz="12" w:space="0" w:color="auto"/>
              <w:bottom w:val="single" w:sz="12" w:space="0" w:color="auto"/>
              <w:right w:val="single" w:sz="12" w:space="0" w:color="auto"/>
            </w:tcBorders>
            <w:shd w:val="clear" w:color="auto" w:fill="auto"/>
            <w:noWrap/>
            <w:hideMark/>
          </w:tcPr>
          <w:p w:rsidR="00D05701" w:rsidRPr="003A377E" w:rsidRDefault="00D05701" w:rsidP="008D617C">
            <w:pPr>
              <w:spacing w:after="0" w:line="360" w:lineRule="auto"/>
              <w:jc w:val="both"/>
              <w:rPr>
                <w:rFonts w:ascii="Times New Roman" w:eastAsia="Times New Roman" w:hAnsi="Times New Roman" w:cs="Times New Roman"/>
                <w:sz w:val="24"/>
                <w:szCs w:val="24"/>
              </w:rPr>
            </w:pPr>
          </w:p>
        </w:tc>
        <w:tc>
          <w:tcPr>
            <w:tcW w:w="1944" w:type="dxa"/>
            <w:vMerge/>
            <w:tcBorders>
              <w:left w:val="single" w:sz="12" w:space="0" w:color="auto"/>
              <w:bottom w:val="single" w:sz="12" w:space="0" w:color="auto"/>
              <w:right w:val="single" w:sz="12" w:space="0" w:color="auto"/>
            </w:tcBorders>
            <w:shd w:val="clear" w:color="auto" w:fill="auto"/>
            <w:noWrap/>
            <w:hideMark/>
          </w:tcPr>
          <w:p w:rsidR="00D05701" w:rsidRPr="003A377E" w:rsidRDefault="00D05701" w:rsidP="008D617C">
            <w:pPr>
              <w:spacing w:after="0" w:line="360" w:lineRule="auto"/>
              <w:jc w:val="both"/>
              <w:rPr>
                <w:rFonts w:ascii="Times New Roman" w:eastAsia="Times New Roman" w:hAnsi="Times New Roman" w:cs="Times New Roman"/>
                <w:sz w:val="24"/>
                <w:szCs w:val="24"/>
              </w:rPr>
            </w:pPr>
          </w:p>
        </w:tc>
        <w:tc>
          <w:tcPr>
            <w:tcW w:w="2268" w:type="dxa"/>
            <w:vMerge/>
            <w:tcBorders>
              <w:left w:val="single" w:sz="12" w:space="0" w:color="auto"/>
              <w:bottom w:val="single" w:sz="12" w:space="0" w:color="auto"/>
              <w:right w:val="single" w:sz="12" w:space="0" w:color="auto"/>
            </w:tcBorders>
            <w:shd w:val="clear" w:color="auto" w:fill="auto"/>
            <w:noWrap/>
            <w:hideMark/>
          </w:tcPr>
          <w:p w:rsidR="00D05701" w:rsidRPr="003A377E" w:rsidRDefault="00D05701" w:rsidP="008D617C">
            <w:pPr>
              <w:spacing w:after="0" w:line="360" w:lineRule="auto"/>
              <w:jc w:val="both"/>
              <w:rPr>
                <w:rFonts w:ascii="Times New Roman" w:eastAsia="Times New Roman" w:hAnsi="Times New Roman" w:cs="Times New Roman"/>
                <w:sz w:val="24"/>
                <w:szCs w:val="24"/>
              </w:rPr>
            </w:pPr>
          </w:p>
        </w:tc>
      </w:tr>
      <w:tr w:rsidR="00D05701" w:rsidRPr="003A377E" w:rsidTr="00D2243C">
        <w:trPr>
          <w:trHeight w:val="374"/>
        </w:trPr>
        <w:tc>
          <w:tcPr>
            <w:tcW w:w="2700" w:type="dxa"/>
            <w:tcBorders>
              <w:top w:val="single" w:sz="4" w:space="0" w:color="000000"/>
              <w:left w:val="single" w:sz="12" w:space="0" w:color="auto"/>
              <w:bottom w:val="single" w:sz="12" w:space="0" w:color="auto"/>
              <w:right w:val="single" w:sz="12" w:space="0" w:color="auto"/>
            </w:tcBorders>
            <w:shd w:val="clear" w:color="auto" w:fill="auto"/>
            <w:noWrap/>
            <w:hideMark/>
          </w:tcPr>
          <w:p w:rsidR="00D05701" w:rsidRPr="003A377E" w:rsidRDefault="00D05701" w:rsidP="008D617C">
            <w:pPr>
              <w:spacing w:after="0" w:line="360" w:lineRule="auto"/>
              <w:jc w:val="both"/>
              <w:rPr>
                <w:rFonts w:ascii="Times New Roman" w:eastAsia="Times New Roman" w:hAnsi="Times New Roman" w:cs="Times New Roman"/>
                <w:b/>
                <w:bCs/>
                <w:color w:val="000000"/>
                <w:sz w:val="24"/>
                <w:szCs w:val="24"/>
              </w:rPr>
            </w:pPr>
            <w:r w:rsidRPr="003A377E">
              <w:rPr>
                <w:rFonts w:ascii="Times New Roman" w:eastAsia="Times New Roman" w:hAnsi="Times New Roman" w:cs="Times New Roman"/>
                <w:b/>
                <w:bCs/>
                <w:color w:val="000000"/>
                <w:sz w:val="24"/>
                <w:szCs w:val="24"/>
              </w:rPr>
              <w:t>Total allocations</w:t>
            </w:r>
          </w:p>
        </w:tc>
        <w:tc>
          <w:tcPr>
            <w:tcW w:w="2160" w:type="dxa"/>
            <w:tcBorders>
              <w:top w:val="single" w:sz="12" w:space="0" w:color="auto"/>
              <w:left w:val="single" w:sz="12" w:space="0" w:color="auto"/>
              <w:bottom w:val="single" w:sz="12" w:space="0" w:color="auto"/>
              <w:right w:val="single" w:sz="12" w:space="0" w:color="auto"/>
            </w:tcBorders>
            <w:shd w:val="clear" w:color="auto" w:fill="auto"/>
            <w:noWrap/>
            <w:hideMark/>
          </w:tcPr>
          <w:p w:rsidR="00D05701" w:rsidRPr="003A377E" w:rsidRDefault="007B662D" w:rsidP="008D617C">
            <w:pPr>
              <w:spacing w:after="0" w:line="360" w:lineRule="auto"/>
              <w:jc w:val="both"/>
              <w:rPr>
                <w:rFonts w:ascii="Times New Roman" w:eastAsia="Times New Roman" w:hAnsi="Times New Roman" w:cs="Times New Roman"/>
                <w:b/>
                <w:bCs/>
                <w:sz w:val="24"/>
                <w:szCs w:val="24"/>
              </w:rPr>
            </w:pPr>
            <w:r w:rsidRPr="003A377E">
              <w:rPr>
                <w:rFonts w:ascii="Times New Roman" w:eastAsia="Times New Roman" w:hAnsi="Times New Roman" w:cs="Times New Roman"/>
                <w:b/>
                <w:bCs/>
                <w:sz w:val="24"/>
                <w:szCs w:val="24"/>
              </w:rPr>
              <w:t>1 975 256 520</w:t>
            </w:r>
          </w:p>
        </w:tc>
        <w:tc>
          <w:tcPr>
            <w:tcW w:w="1944" w:type="dxa"/>
            <w:tcBorders>
              <w:top w:val="single" w:sz="12" w:space="0" w:color="auto"/>
              <w:left w:val="single" w:sz="12" w:space="0" w:color="auto"/>
              <w:bottom w:val="single" w:sz="12" w:space="0" w:color="auto"/>
              <w:right w:val="single" w:sz="12" w:space="0" w:color="auto"/>
            </w:tcBorders>
            <w:shd w:val="clear" w:color="auto" w:fill="auto"/>
            <w:noWrap/>
            <w:hideMark/>
          </w:tcPr>
          <w:p w:rsidR="00D05701" w:rsidRPr="003A377E" w:rsidRDefault="007B662D" w:rsidP="008D617C">
            <w:pPr>
              <w:spacing w:after="0" w:line="360" w:lineRule="auto"/>
              <w:jc w:val="both"/>
              <w:rPr>
                <w:rFonts w:ascii="Times New Roman" w:eastAsia="Times New Roman" w:hAnsi="Times New Roman" w:cs="Times New Roman"/>
                <w:b/>
                <w:bCs/>
                <w:sz w:val="24"/>
                <w:szCs w:val="24"/>
              </w:rPr>
            </w:pPr>
            <w:r w:rsidRPr="003A377E">
              <w:rPr>
                <w:rFonts w:ascii="Times New Roman" w:eastAsia="Times New Roman" w:hAnsi="Times New Roman" w:cs="Times New Roman"/>
                <w:b/>
                <w:bCs/>
                <w:sz w:val="24"/>
                <w:szCs w:val="24"/>
              </w:rPr>
              <w:t>1 992 007 024</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hideMark/>
          </w:tcPr>
          <w:p w:rsidR="00D05701" w:rsidRPr="003A377E" w:rsidRDefault="007B662D" w:rsidP="008D617C">
            <w:pPr>
              <w:spacing w:after="0" w:line="360" w:lineRule="auto"/>
              <w:jc w:val="both"/>
              <w:rPr>
                <w:rFonts w:ascii="Times New Roman" w:eastAsia="Times New Roman" w:hAnsi="Times New Roman" w:cs="Times New Roman"/>
                <w:b/>
                <w:bCs/>
                <w:sz w:val="24"/>
                <w:szCs w:val="24"/>
              </w:rPr>
            </w:pPr>
            <w:r w:rsidRPr="003A377E">
              <w:rPr>
                <w:rFonts w:ascii="Times New Roman" w:eastAsia="Times New Roman" w:hAnsi="Times New Roman" w:cs="Times New Roman"/>
                <w:b/>
                <w:bCs/>
                <w:sz w:val="24"/>
                <w:szCs w:val="24"/>
              </w:rPr>
              <w:t>2 096 559 096</w:t>
            </w:r>
          </w:p>
        </w:tc>
      </w:tr>
    </w:tbl>
    <w:p w:rsidR="00D05701" w:rsidRPr="003A377E" w:rsidRDefault="00D05701">
      <w:pPr>
        <w:pStyle w:val="ListParagraph"/>
        <w:numPr>
          <w:ilvl w:val="0"/>
          <w:numId w:val="7"/>
        </w:numPr>
        <w:spacing w:after="0" w:line="360" w:lineRule="auto"/>
        <w:jc w:val="both"/>
        <w:rPr>
          <w:rFonts w:ascii="Times New Roman" w:hAnsi="Times New Roman" w:cs="Times New Roman"/>
          <w:i/>
          <w:color w:val="000000" w:themeColor="text1"/>
          <w:sz w:val="24"/>
          <w:szCs w:val="24"/>
        </w:rPr>
      </w:pPr>
      <w:r w:rsidRPr="003A377E">
        <w:rPr>
          <w:rFonts w:ascii="Times New Roman" w:hAnsi="Times New Roman" w:cs="Times New Roman"/>
          <w:i/>
          <w:color w:val="000000" w:themeColor="text1"/>
          <w:sz w:val="24"/>
          <w:szCs w:val="24"/>
        </w:rPr>
        <w:t>National share includes conditional allocations to provincial and local spheres, general fuel levy sharing with metropolitan municipalities, debt-service costs, the contingency reserve and provisional allocation</w:t>
      </w:r>
    </w:p>
    <w:p w:rsidR="00D05701" w:rsidRPr="003A377E" w:rsidRDefault="00D05701">
      <w:pPr>
        <w:pStyle w:val="ListParagraph"/>
        <w:numPr>
          <w:ilvl w:val="0"/>
          <w:numId w:val="7"/>
        </w:numPr>
        <w:spacing w:after="0" w:line="360" w:lineRule="auto"/>
        <w:jc w:val="both"/>
        <w:rPr>
          <w:rFonts w:ascii="Times New Roman" w:hAnsi="Times New Roman" w:cs="Times New Roman"/>
          <w:i/>
          <w:color w:val="000000" w:themeColor="text1"/>
          <w:sz w:val="24"/>
          <w:szCs w:val="24"/>
        </w:rPr>
      </w:pPr>
      <w:r w:rsidRPr="003A377E">
        <w:rPr>
          <w:rFonts w:ascii="Times New Roman" w:hAnsi="Times New Roman" w:cs="Times New Roman"/>
          <w:i/>
          <w:color w:val="000000" w:themeColor="text1"/>
          <w:sz w:val="24"/>
          <w:szCs w:val="24"/>
        </w:rPr>
        <w:t>The direct charges for the provincial equitable share are netted out</w:t>
      </w:r>
    </w:p>
    <w:p w:rsidR="006827A3" w:rsidRPr="003A377E" w:rsidRDefault="006827A3">
      <w:pPr>
        <w:tabs>
          <w:tab w:val="left" w:pos="284"/>
          <w:tab w:val="left" w:pos="567"/>
        </w:tabs>
        <w:spacing w:before="240"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The </w:t>
      </w:r>
      <w:r w:rsidR="00D52EC1" w:rsidRPr="003A377E">
        <w:rPr>
          <w:rFonts w:ascii="Times New Roman" w:eastAsia="Times New Roman" w:hAnsi="Times New Roman" w:cs="Times New Roman"/>
          <w:sz w:val="24"/>
          <w:szCs w:val="24"/>
        </w:rPr>
        <w:t xml:space="preserve">above table shows that the provincial share </w:t>
      </w:r>
      <w:r w:rsidR="00C15643" w:rsidRPr="003A377E">
        <w:rPr>
          <w:rFonts w:ascii="Times New Roman" w:eastAsia="Times New Roman" w:hAnsi="Times New Roman" w:cs="Times New Roman"/>
          <w:sz w:val="24"/>
          <w:szCs w:val="24"/>
        </w:rPr>
        <w:t>of nationally raised revenue gro</w:t>
      </w:r>
      <w:r w:rsidR="00D52EC1" w:rsidRPr="003A377E">
        <w:rPr>
          <w:rFonts w:ascii="Times New Roman" w:eastAsia="Times New Roman" w:hAnsi="Times New Roman" w:cs="Times New Roman"/>
          <w:sz w:val="24"/>
          <w:szCs w:val="24"/>
        </w:rPr>
        <w:t>w</w:t>
      </w:r>
      <w:r w:rsidR="00C15643" w:rsidRPr="003A377E">
        <w:rPr>
          <w:rFonts w:ascii="Times New Roman" w:eastAsia="Times New Roman" w:hAnsi="Times New Roman" w:cs="Times New Roman"/>
          <w:sz w:val="24"/>
          <w:szCs w:val="24"/>
        </w:rPr>
        <w:t>s</w:t>
      </w:r>
      <w:r w:rsidR="00D52EC1" w:rsidRPr="003A377E">
        <w:rPr>
          <w:rFonts w:ascii="Times New Roman" w:eastAsia="Times New Roman" w:hAnsi="Times New Roman" w:cs="Times New Roman"/>
          <w:sz w:val="24"/>
          <w:szCs w:val="24"/>
        </w:rPr>
        <w:t xml:space="preserve"> by an annual average of 1.4 percent over the medium term, including growth in equitable share transfers of 1 percent and conditional </w:t>
      </w:r>
      <w:r w:rsidR="00C15643"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00D52EC1" w:rsidRPr="003A377E">
        <w:rPr>
          <w:rFonts w:ascii="Times New Roman" w:eastAsia="Times New Roman" w:hAnsi="Times New Roman" w:cs="Times New Roman"/>
          <w:sz w:val="24"/>
          <w:szCs w:val="24"/>
        </w:rPr>
        <w:t xml:space="preserve">s of 3.3 </w:t>
      </w:r>
      <w:r w:rsidR="00C15643" w:rsidRPr="003A377E">
        <w:rPr>
          <w:rFonts w:ascii="Times New Roman" w:eastAsia="Times New Roman" w:hAnsi="Times New Roman" w:cs="Times New Roman"/>
          <w:sz w:val="24"/>
          <w:szCs w:val="24"/>
        </w:rPr>
        <w:t xml:space="preserve">percent. </w:t>
      </w:r>
      <w:r w:rsidR="002E070D" w:rsidRPr="003A377E">
        <w:rPr>
          <w:rFonts w:ascii="Times New Roman" w:eastAsia="Times New Roman" w:hAnsi="Times New Roman" w:cs="Times New Roman"/>
          <w:sz w:val="24"/>
          <w:szCs w:val="24"/>
        </w:rPr>
        <w:t>However, t</w:t>
      </w:r>
      <w:r w:rsidR="00C15643" w:rsidRPr="003A377E">
        <w:rPr>
          <w:rFonts w:ascii="Times New Roman" w:eastAsia="Times New Roman" w:hAnsi="Times New Roman" w:cs="Times New Roman"/>
          <w:sz w:val="24"/>
          <w:szCs w:val="24"/>
        </w:rPr>
        <w:t>he municipal share gro</w:t>
      </w:r>
      <w:r w:rsidR="00D52EC1" w:rsidRPr="003A377E">
        <w:rPr>
          <w:rFonts w:ascii="Times New Roman" w:eastAsia="Times New Roman" w:hAnsi="Times New Roman" w:cs="Times New Roman"/>
          <w:sz w:val="24"/>
          <w:szCs w:val="24"/>
        </w:rPr>
        <w:t>w</w:t>
      </w:r>
      <w:r w:rsidR="00C15643" w:rsidRPr="003A377E">
        <w:rPr>
          <w:rFonts w:ascii="Times New Roman" w:eastAsia="Times New Roman" w:hAnsi="Times New Roman" w:cs="Times New Roman"/>
          <w:sz w:val="24"/>
          <w:szCs w:val="24"/>
        </w:rPr>
        <w:t>s</w:t>
      </w:r>
      <w:r w:rsidR="00D52EC1" w:rsidRPr="003A377E">
        <w:rPr>
          <w:rFonts w:ascii="Times New Roman" w:eastAsia="Times New Roman" w:hAnsi="Times New Roman" w:cs="Times New Roman"/>
          <w:sz w:val="24"/>
          <w:szCs w:val="24"/>
        </w:rPr>
        <w:t xml:space="preserve"> by an </w:t>
      </w:r>
      <w:r w:rsidR="00D52EC1" w:rsidRPr="003A377E">
        <w:rPr>
          <w:rFonts w:ascii="Times New Roman" w:eastAsia="Times New Roman" w:hAnsi="Times New Roman" w:cs="Times New Roman"/>
          <w:sz w:val="24"/>
          <w:szCs w:val="24"/>
        </w:rPr>
        <w:lastRenderedPageBreak/>
        <w:t xml:space="preserve">annual average of 7.9 percent, including equitable share growth of 10.3 percent and conditional </w:t>
      </w:r>
      <w:r w:rsidR="00C15643"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00D52EC1" w:rsidRPr="003A377E">
        <w:rPr>
          <w:rFonts w:ascii="Times New Roman" w:eastAsia="Times New Roman" w:hAnsi="Times New Roman" w:cs="Times New Roman"/>
          <w:sz w:val="24"/>
          <w:szCs w:val="24"/>
        </w:rPr>
        <w:t>s growth of 5.3 percent. In contrast,</w:t>
      </w:r>
      <w:r w:rsidR="00C15643" w:rsidRPr="003A377E">
        <w:rPr>
          <w:rFonts w:ascii="Times New Roman" w:eastAsia="Times New Roman" w:hAnsi="Times New Roman" w:cs="Times New Roman"/>
          <w:sz w:val="24"/>
          <w:szCs w:val="24"/>
        </w:rPr>
        <w:t xml:space="preserve"> the</w:t>
      </w:r>
      <w:r w:rsidR="00D52EC1" w:rsidRPr="003A377E">
        <w:rPr>
          <w:rFonts w:ascii="Times New Roman" w:eastAsia="Times New Roman" w:hAnsi="Times New Roman" w:cs="Times New Roman"/>
          <w:sz w:val="24"/>
          <w:szCs w:val="24"/>
        </w:rPr>
        <w:t xml:space="preserve"> national share contracts by an annual average of 1 percent.  </w:t>
      </w:r>
    </w:p>
    <w:p w:rsidR="006827A3" w:rsidRPr="003A377E" w:rsidRDefault="008F7102">
      <w:pPr>
        <w:tabs>
          <w:tab w:val="left" w:pos="284"/>
          <w:tab w:val="left" w:pos="567"/>
        </w:tabs>
        <w:spacing w:before="240"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Over the 2022 </w:t>
      </w:r>
      <w:r w:rsidR="007B662D" w:rsidRPr="003A377E">
        <w:rPr>
          <w:rFonts w:ascii="Times New Roman" w:eastAsia="Times New Roman" w:hAnsi="Times New Roman" w:cs="Times New Roman"/>
          <w:sz w:val="24"/>
          <w:szCs w:val="24"/>
        </w:rPr>
        <w:t xml:space="preserve">MTEF period, after budgeting for debt service costs, the contingency reserve and provisional allocations, 48.8 </w:t>
      </w:r>
      <w:r w:rsidR="00C15643" w:rsidRPr="003A377E">
        <w:rPr>
          <w:rFonts w:ascii="Times New Roman" w:eastAsia="Times New Roman" w:hAnsi="Times New Roman" w:cs="Times New Roman"/>
          <w:sz w:val="24"/>
          <w:szCs w:val="24"/>
        </w:rPr>
        <w:t>percent</w:t>
      </w:r>
      <w:r w:rsidR="007B662D" w:rsidRPr="003A377E">
        <w:rPr>
          <w:rFonts w:ascii="Times New Roman" w:eastAsia="Times New Roman" w:hAnsi="Times New Roman" w:cs="Times New Roman"/>
          <w:sz w:val="24"/>
          <w:szCs w:val="24"/>
        </w:rPr>
        <w:t xml:space="preserve"> of nationally raised funds are allocated to national government, 41.4 </w:t>
      </w:r>
      <w:r w:rsidR="00C15643" w:rsidRPr="003A377E">
        <w:rPr>
          <w:rFonts w:ascii="Times New Roman" w:eastAsia="Times New Roman" w:hAnsi="Times New Roman" w:cs="Times New Roman"/>
          <w:sz w:val="24"/>
          <w:szCs w:val="24"/>
        </w:rPr>
        <w:t>percent</w:t>
      </w:r>
      <w:r w:rsidR="007B662D" w:rsidRPr="003A377E">
        <w:rPr>
          <w:rFonts w:ascii="Times New Roman" w:eastAsia="Times New Roman" w:hAnsi="Times New Roman" w:cs="Times New Roman"/>
          <w:sz w:val="24"/>
          <w:szCs w:val="24"/>
        </w:rPr>
        <w:t xml:space="preserve"> to provinces and 9.8 </w:t>
      </w:r>
      <w:r w:rsidR="00C15643" w:rsidRPr="003A377E">
        <w:rPr>
          <w:rFonts w:ascii="Times New Roman" w:eastAsia="Times New Roman" w:hAnsi="Times New Roman" w:cs="Times New Roman"/>
          <w:sz w:val="24"/>
          <w:szCs w:val="24"/>
        </w:rPr>
        <w:t>percent</w:t>
      </w:r>
      <w:r w:rsidR="007B662D" w:rsidRPr="003A377E">
        <w:rPr>
          <w:rFonts w:ascii="Times New Roman" w:eastAsia="Times New Roman" w:hAnsi="Times New Roman" w:cs="Times New Roman"/>
          <w:sz w:val="24"/>
          <w:szCs w:val="24"/>
        </w:rPr>
        <w:t xml:space="preserve"> to local</w:t>
      </w:r>
      <w:r w:rsidR="00C15643" w:rsidRPr="003A377E">
        <w:rPr>
          <w:rFonts w:ascii="Times New Roman" w:eastAsia="Times New Roman" w:hAnsi="Times New Roman" w:cs="Times New Roman"/>
          <w:sz w:val="24"/>
          <w:szCs w:val="24"/>
        </w:rPr>
        <w:t xml:space="preserve"> government. Excluding the debt </w:t>
      </w:r>
      <w:r w:rsidRPr="003A377E">
        <w:rPr>
          <w:rFonts w:ascii="Times New Roman" w:eastAsia="Times New Roman" w:hAnsi="Times New Roman" w:cs="Times New Roman"/>
          <w:sz w:val="24"/>
          <w:szCs w:val="24"/>
        </w:rPr>
        <w:t>service costs</w:t>
      </w:r>
      <w:r w:rsidR="007B662D" w:rsidRPr="003A377E">
        <w:rPr>
          <w:rFonts w:ascii="Times New Roman" w:eastAsia="Times New Roman" w:hAnsi="Times New Roman" w:cs="Times New Roman"/>
          <w:sz w:val="24"/>
          <w:szCs w:val="24"/>
        </w:rPr>
        <w:t xml:space="preserve"> and the contingency reserve, allocated expenditure shared across government amounts to R1.66 trillion in 2022/23, R1.60 trillion in 2023/24 and R1.67 trillion in 2024/25.</w:t>
      </w:r>
      <w:r w:rsidR="006827A3" w:rsidRPr="003A377E">
        <w:rPr>
          <w:rFonts w:ascii="Times New Roman" w:eastAsia="Times New Roman" w:hAnsi="Times New Roman" w:cs="Times New Roman"/>
          <w:sz w:val="24"/>
          <w:szCs w:val="24"/>
        </w:rPr>
        <w:t xml:space="preserve"> The 2022 Budget increased allocations for both provincial and local government to assist with urgent spending pressures. </w:t>
      </w:r>
    </w:p>
    <w:p w:rsidR="007B662D" w:rsidRPr="003A377E" w:rsidRDefault="006827A3">
      <w:pPr>
        <w:tabs>
          <w:tab w:val="left" w:pos="284"/>
          <w:tab w:val="left" w:pos="567"/>
        </w:tabs>
        <w:spacing w:before="240"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Relative to the 2021 Budget, direct provincial allocations increased by R74.1 billion over the medium term. The majority of this amount consists of R53 billion added to the provincial equitable share </w:t>
      </w:r>
      <w:r w:rsidR="00205F88" w:rsidRPr="003A377E">
        <w:rPr>
          <w:rFonts w:ascii="Times New Roman" w:eastAsia="Times New Roman" w:hAnsi="Times New Roman" w:cs="Times New Roman"/>
          <w:sz w:val="24"/>
          <w:szCs w:val="24"/>
        </w:rPr>
        <w:t xml:space="preserve">(PES) </w:t>
      </w:r>
      <w:r w:rsidRPr="003A377E">
        <w:rPr>
          <w:rFonts w:ascii="Times New Roman" w:eastAsia="Times New Roman" w:hAnsi="Times New Roman" w:cs="Times New Roman"/>
          <w:sz w:val="24"/>
          <w:szCs w:val="24"/>
        </w:rPr>
        <w:t xml:space="preserve">and R5.4 billion added to direct conditional </w:t>
      </w:r>
      <w:r w:rsidR="008F7102"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s following the 2021 MTBPS. Local government allocations increased by a total of R3</w:t>
      </w:r>
      <w:r w:rsidR="00E6244C" w:rsidRPr="003A377E">
        <w:rPr>
          <w:rFonts w:ascii="Times New Roman" w:eastAsia="Times New Roman" w:hAnsi="Times New Roman" w:cs="Times New Roman"/>
          <w:sz w:val="24"/>
          <w:szCs w:val="24"/>
        </w:rPr>
        <w:t xml:space="preserve">0.7 billion; of which </w:t>
      </w:r>
      <w:r w:rsidR="008F7102" w:rsidRPr="003A377E">
        <w:rPr>
          <w:rFonts w:ascii="Times New Roman" w:eastAsia="Times New Roman" w:hAnsi="Times New Roman" w:cs="Times New Roman"/>
          <w:sz w:val="24"/>
          <w:szCs w:val="24"/>
        </w:rPr>
        <w:t xml:space="preserve">R28.9 billion </w:t>
      </w:r>
      <w:r w:rsidR="00E6244C" w:rsidRPr="003A377E">
        <w:rPr>
          <w:rFonts w:ascii="Times New Roman" w:eastAsia="Times New Roman" w:hAnsi="Times New Roman" w:cs="Times New Roman"/>
          <w:sz w:val="24"/>
          <w:szCs w:val="24"/>
        </w:rPr>
        <w:t xml:space="preserve">was </w:t>
      </w:r>
      <w:r w:rsidR="008F7102" w:rsidRPr="003A377E">
        <w:rPr>
          <w:rFonts w:ascii="Times New Roman" w:eastAsia="Times New Roman" w:hAnsi="Times New Roman" w:cs="Times New Roman"/>
          <w:sz w:val="24"/>
          <w:szCs w:val="24"/>
        </w:rPr>
        <w:t xml:space="preserve">for </w:t>
      </w:r>
      <w:r w:rsidR="00E6244C" w:rsidRPr="003A377E">
        <w:rPr>
          <w:rFonts w:ascii="Times New Roman" w:eastAsia="Times New Roman" w:hAnsi="Times New Roman" w:cs="Times New Roman"/>
          <w:sz w:val="24"/>
          <w:szCs w:val="24"/>
        </w:rPr>
        <w:t>the local government equitable share (</w:t>
      </w:r>
      <w:r w:rsidR="008F7102" w:rsidRPr="003A377E">
        <w:rPr>
          <w:rFonts w:ascii="Times New Roman" w:eastAsia="Times New Roman" w:hAnsi="Times New Roman" w:cs="Times New Roman"/>
          <w:sz w:val="24"/>
          <w:szCs w:val="24"/>
        </w:rPr>
        <w:t>LGES</w:t>
      </w:r>
      <w:r w:rsidR="00E6244C" w:rsidRPr="003A377E">
        <w:rPr>
          <w:rFonts w:ascii="Times New Roman" w:eastAsia="Times New Roman" w:hAnsi="Times New Roman" w:cs="Times New Roman"/>
          <w:sz w:val="24"/>
          <w:szCs w:val="24"/>
        </w:rPr>
        <w:t xml:space="preserve">) </w:t>
      </w:r>
      <w:r w:rsidRPr="003A377E">
        <w:rPr>
          <w:rFonts w:ascii="Times New Roman" w:eastAsia="Times New Roman" w:hAnsi="Times New Roman" w:cs="Times New Roman"/>
          <w:sz w:val="24"/>
          <w:szCs w:val="24"/>
        </w:rPr>
        <w:t xml:space="preserve">and R1.8 billion for direct conditional </w:t>
      </w:r>
      <w:r w:rsidR="008F7102"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s</w:t>
      </w:r>
      <w:r w:rsidR="00E6244C" w:rsidRPr="003A377E">
        <w:rPr>
          <w:rFonts w:ascii="Times New Roman" w:eastAsia="Times New Roman" w:hAnsi="Times New Roman" w:cs="Times New Roman"/>
          <w:sz w:val="24"/>
          <w:szCs w:val="24"/>
        </w:rPr>
        <w:t>,</w:t>
      </w:r>
      <w:r w:rsidRPr="003A377E">
        <w:rPr>
          <w:rFonts w:ascii="Times New Roman" w:eastAsia="Times New Roman" w:hAnsi="Times New Roman" w:cs="Times New Roman"/>
          <w:sz w:val="24"/>
          <w:szCs w:val="24"/>
        </w:rPr>
        <w:t xml:space="preserve"> over the same period.   </w:t>
      </w:r>
      <w:r w:rsidR="007B662D" w:rsidRPr="003A377E">
        <w:rPr>
          <w:rFonts w:ascii="Times New Roman" w:eastAsia="Times New Roman" w:hAnsi="Times New Roman" w:cs="Times New Roman"/>
          <w:sz w:val="24"/>
          <w:szCs w:val="24"/>
        </w:rPr>
        <w:t xml:space="preserve"> </w:t>
      </w:r>
    </w:p>
    <w:p w:rsidR="00D05701" w:rsidRPr="003A377E" w:rsidRDefault="00D52EC1">
      <w:pPr>
        <w:tabs>
          <w:tab w:val="left" w:pos="284"/>
          <w:tab w:val="left" w:pos="567"/>
        </w:tabs>
        <w:spacing w:before="240" w:after="0" w:line="360" w:lineRule="auto"/>
        <w:jc w:val="both"/>
        <w:rPr>
          <w:rFonts w:ascii="Times New Roman" w:hAnsi="Times New Roman" w:cs="Times New Roman"/>
          <w:b/>
          <w:sz w:val="24"/>
          <w:szCs w:val="24"/>
        </w:rPr>
      </w:pPr>
      <w:r w:rsidRPr="003A377E">
        <w:rPr>
          <w:rFonts w:ascii="Times New Roman" w:eastAsia="Times New Roman" w:hAnsi="Times New Roman" w:cs="Times New Roman"/>
          <w:sz w:val="24"/>
          <w:szCs w:val="24"/>
        </w:rPr>
        <w:t xml:space="preserve"> </w:t>
      </w:r>
      <w:r w:rsidR="00E6244C" w:rsidRPr="003A377E">
        <w:rPr>
          <w:rFonts w:ascii="Times New Roman" w:hAnsi="Times New Roman" w:cs="Times New Roman"/>
          <w:b/>
          <w:sz w:val="24"/>
          <w:szCs w:val="24"/>
        </w:rPr>
        <w:t>4.1 Provincial</w:t>
      </w:r>
      <w:r w:rsidR="00D05701" w:rsidRPr="003A377E">
        <w:rPr>
          <w:rFonts w:ascii="Times New Roman" w:hAnsi="Times New Roman" w:cs="Times New Roman"/>
          <w:b/>
          <w:sz w:val="24"/>
          <w:szCs w:val="24"/>
        </w:rPr>
        <w:t xml:space="preserve"> equitable share allocation</w:t>
      </w:r>
    </w:p>
    <w:p w:rsidR="005F4676" w:rsidRPr="003A377E" w:rsidRDefault="00D52EC1">
      <w:pPr>
        <w:tabs>
          <w:tab w:val="left" w:pos="284"/>
          <w:tab w:val="left" w:pos="567"/>
        </w:tabs>
        <w:spacing w:after="0" w:line="360" w:lineRule="auto"/>
        <w:contextualSpacing/>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The </w:t>
      </w:r>
      <w:r w:rsidR="008F7102" w:rsidRPr="003A377E">
        <w:rPr>
          <w:rFonts w:ascii="Times New Roman" w:eastAsia="Times New Roman" w:hAnsi="Times New Roman" w:cs="Times New Roman"/>
          <w:sz w:val="24"/>
          <w:szCs w:val="24"/>
        </w:rPr>
        <w:t xml:space="preserve">PES </w:t>
      </w:r>
      <w:r w:rsidRPr="003A377E">
        <w:rPr>
          <w:rFonts w:ascii="Times New Roman" w:eastAsia="Times New Roman" w:hAnsi="Times New Roman" w:cs="Times New Roman"/>
          <w:sz w:val="24"/>
          <w:szCs w:val="24"/>
        </w:rPr>
        <w:t>is made up of six components: education, health,</w:t>
      </w:r>
      <w:r w:rsidR="004D5A0E" w:rsidRPr="003A377E">
        <w:rPr>
          <w:rFonts w:ascii="Times New Roman" w:eastAsia="Times New Roman" w:hAnsi="Times New Roman" w:cs="Times New Roman"/>
          <w:sz w:val="24"/>
          <w:szCs w:val="24"/>
        </w:rPr>
        <w:t xml:space="preserve"> basic, institutional, poverty and economic activity. From nationally raised revenue, p</w:t>
      </w:r>
      <w:r w:rsidRPr="003A377E">
        <w:rPr>
          <w:rFonts w:ascii="Times New Roman" w:eastAsia="Times New Roman" w:hAnsi="Times New Roman" w:cs="Times New Roman"/>
          <w:sz w:val="24"/>
          <w:szCs w:val="24"/>
        </w:rPr>
        <w:t>rovincial government</w:t>
      </w:r>
      <w:r w:rsidR="004D5A0E" w:rsidRPr="003A377E">
        <w:rPr>
          <w:rFonts w:ascii="Times New Roman" w:eastAsia="Times New Roman" w:hAnsi="Times New Roman" w:cs="Times New Roman"/>
          <w:sz w:val="24"/>
          <w:szCs w:val="24"/>
        </w:rPr>
        <w:t>s</w:t>
      </w:r>
      <w:r w:rsidRPr="003A377E">
        <w:rPr>
          <w:rFonts w:ascii="Times New Roman" w:eastAsia="Times New Roman" w:hAnsi="Times New Roman" w:cs="Times New Roman"/>
          <w:sz w:val="24"/>
          <w:szCs w:val="24"/>
        </w:rPr>
        <w:t xml:space="preserve"> receive two forms of allocations</w:t>
      </w:r>
      <w:r w:rsidR="004D5A0E" w:rsidRPr="003A377E">
        <w:rPr>
          <w:rFonts w:ascii="Times New Roman" w:eastAsia="Times New Roman" w:hAnsi="Times New Roman" w:cs="Times New Roman"/>
          <w:sz w:val="24"/>
          <w:szCs w:val="24"/>
        </w:rPr>
        <w:t xml:space="preserve">: </w:t>
      </w:r>
      <w:r w:rsidRPr="003A377E">
        <w:rPr>
          <w:rFonts w:ascii="Times New Roman" w:eastAsia="Times New Roman" w:hAnsi="Times New Roman" w:cs="Times New Roman"/>
          <w:sz w:val="24"/>
          <w:szCs w:val="24"/>
        </w:rPr>
        <w:t xml:space="preserve">the equitable share and conditional </w:t>
      </w:r>
      <w:r w:rsidR="008F7102"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s. Having </w:t>
      </w:r>
      <w:r w:rsidR="008F7102" w:rsidRPr="003A377E">
        <w:rPr>
          <w:rFonts w:ascii="Times New Roman" w:eastAsia="Times New Roman" w:hAnsi="Times New Roman" w:cs="Times New Roman"/>
          <w:sz w:val="24"/>
          <w:szCs w:val="24"/>
        </w:rPr>
        <w:t xml:space="preserve">taken </w:t>
      </w:r>
      <w:r w:rsidRPr="003A377E">
        <w:rPr>
          <w:rFonts w:ascii="Times New Roman" w:eastAsia="Times New Roman" w:hAnsi="Times New Roman" w:cs="Times New Roman"/>
          <w:sz w:val="24"/>
          <w:szCs w:val="24"/>
        </w:rPr>
        <w:t>revisions to the provincial fiscal framework into account, national</w:t>
      </w:r>
      <w:r w:rsidR="004D5A0E" w:rsidRPr="003A377E">
        <w:rPr>
          <w:rFonts w:ascii="Times New Roman" w:eastAsia="Times New Roman" w:hAnsi="Times New Roman" w:cs="Times New Roman"/>
          <w:sz w:val="24"/>
          <w:szCs w:val="24"/>
        </w:rPr>
        <w:t xml:space="preserve"> government</w:t>
      </w:r>
      <w:r w:rsidRPr="003A377E">
        <w:rPr>
          <w:rFonts w:ascii="Times New Roman" w:eastAsia="Times New Roman" w:hAnsi="Times New Roman" w:cs="Times New Roman"/>
          <w:sz w:val="24"/>
          <w:szCs w:val="24"/>
        </w:rPr>
        <w:t xml:space="preserve"> transfers to provinces </w:t>
      </w:r>
      <w:r w:rsidR="004D5A0E" w:rsidRPr="003A377E">
        <w:rPr>
          <w:rFonts w:ascii="Times New Roman" w:eastAsia="Times New Roman" w:hAnsi="Times New Roman" w:cs="Times New Roman"/>
          <w:sz w:val="24"/>
          <w:szCs w:val="24"/>
        </w:rPr>
        <w:t xml:space="preserve">grew </w:t>
      </w:r>
      <w:r w:rsidRPr="003A377E">
        <w:rPr>
          <w:rFonts w:ascii="Times New Roman" w:eastAsia="Times New Roman" w:hAnsi="Times New Roman" w:cs="Times New Roman"/>
          <w:sz w:val="24"/>
          <w:szCs w:val="24"/>
        </w:rPr>
        <w:t xml:space="preserve">from R661 billion in 2021/22 to R682.5 billion in 2022/23, </w:t>
      </w:r>
      <w:r w:rsidR="004D5A0E" w:rsidRPr="003A377E">
        <w:rPr>
          <w:rFonts w:ascii="Times New Roman" w:eastAsia="Times New Roman" w:hAnsi="Times New Roman" w:cs="Times New Roman"/>
          <w:sz w:val="24"/>
          <w:szCs w:val="24"/>
        </w:rPr>
        <w:t xml:space="preserve">increasing </w:t>
      </w:r>
      <w:r w:rsidRPr="003A377E">
        <w:rPr>
          <w:rFonts w:ascii="Times New Roman" w:eastAsia="Times New Roman" w:hAnsi="Times New Roman" w:cs="Times New Roman"/>
          <w:sz w:val="24"/>
          <w:szCs w:val="24"/>
        </w:rPr>
        <w:t xml:space="preserve">at an annual average of 1.4 </w:t>
      </w:r>
      <w:r w:rsidR="00C15643" w:rsidRPr="003A377E">
        <w:rPr>
          <w:rFonts w:ascii="Times New Roman" w:eastAsia="Times New Roman" w:hAnsi="Times New Roman" w:cs="Times New Roman"/>
          <w:sz w:val="24"/>
          <w:szCs w:val="24"/>
        </w:rPr>
        <w:t>percent</w:t>
      </w:r>
      <w:r w:rsidRPr="003A377E">
        <w:rPr>
          <w:rFonts w:ascii="Times New Roman" w:eastAsia="Times New Roman" w:hAnsi="Times New Roman" w:cs="Times New Roman"/>
          <w:sz w:val="24"/>
          <w:szCs w:val="24"/>
        </w:rPr>
        <w:t xml:space="preserve"> over the MTEF to R690.2 billion in 2024/25. </w:t>
      </w:r>
    </w:p>
    <w:p w:rsidR="005F4676" w:rsidRPr="003A377E" w:rsidRDefault="005F4676">
      <w:pPr>
        <w:tabs>
          <w:tab w:val="left" w:pos="284"/>
          <w:tab w:val="left" w:pos="567"/>
        </w:tabs>
        <w:spacing w:after="0" w:line="360" w:lineRule="auto"/>
        <w:contextualSpacing/>
        <w:jc w:val="both"/>
        <w:rPr>
          <w:rFonts w:ascii="Times New Roman" w:eastAsia="Times New Roman" w:hAnsi="Times New Roman" w:cs="Times New Roman"/>
          <w:sz w:val="24"/>
          <w:szCs w:val="24"/>
        </w:rPr>
      </w:pPr>
    </w:p>
    <w:p w:rsidR="00D52EC1" w:rsidRPr="003A377E" w:rsidRDefault="00D52EC1">
      <w:pPr>
        <w:tabs>
          <w:tab w:val="left" w:pos="284"/>
          <w:tab w:val="left" w:pos="567"/>
        </w:tabs>
        <w:spacing w:after="0" w:line="360" w:lineRule="auto"/>
        <w:contextualSpacing/>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A total of R560.8 billion is allocated to the </w:t>
      </w:r>
      <w:r w:rsidR="008F7102" w:rsidRPr="003A377E">
        <w:rPr>
          <w:rFonts w:ascii="Times New Roman" w:eastAsia="Times New Roman" w:hAnsi="Times New Roman" w:cs="Times New Roman"/>
          <w:sz w:val="24"/>
          <w:szCs w:val="24"/>
        </w:rPr>
        <w:t>PES</w:t>
      </w:r>
      <w:r w:rsidRPr="003A377E">
        <w:rPr>
          <w:rFonts w:ascii="Times New Roman" w:eastAsia="Times New Roman" w:hAnsi="Times New Roman" w:cs="Times New Roman"/>
          <w:sz w:val="24"/>
          <w:szCs w:val="24"/>
        </w:rPr>
        <w:t xml:space="preserve"> and R121.8 billion to conditional </w:t>
      </w:r>
      <w:r w:rsidR="008F7102"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s, which includes an unallocated amount of R471 million for the </w:t>
      </w:r>
      <w:r w:rsidR="003E3091" w:rsidRPr="003A377E">
        <w:rPr>
          <w:rFonts w:ascii="Times New Roman" w:eastAsia="Times New Roman" w:hAnsi="Times New Roman" w:cs="Times New Roman"/>
          <w:sz w:val="24"/>
          <w:szCs w:val="24"/>
        </w:rPr>
        <w:t>Provincial D</w:t>
      </w:r>
      <w:r w:rsidRPr="003A377E">
        <w:rPr>
          <w:rFonts w:ascii="Times New Roman" w:eastAsia="Times New Roman" w:hAnsi="Times New Roman" w:cs="Times New Roman"/>
          <w:sz w:val="24"/>
          <w:szCs w:val="24"/>
        </w:rPr>
        <w:t xml:space="preserve">isaster </w:t>
      </w:r>
      <w:r w:rsidR="003E3091" w:rsidRPr="003A377E">
        <w:rPr>
          <w:rFonts w:ascii="Times New Roman" w:eastAsia="Times New Roman" w:hAnsi="Times New Roman" w:cs="Times New Roman"/>
          <w:sz w:val="24"/>
          <w:szCs w:val="24"/>
        </w:rPr>
        <w:t>Response Grant</w:t>
      </w:r>
      <w:r w:rsidRPr="003A377E">
        <w:rPr>
          <w:rFonts w:ascii="Times New Roman" w:eastAsia="Times New Roman" w:hAnsi="Times New Roman" w:cs="Times New Roman"/>
          <w:sz w:val="24"/>
          <w:szCs w:val="24"/>
        </w:rPr>
        <w:t xml:space="preserve"> and the </w:t>
      </w:r>
      <w:r w:rsidR="003E3091" w:rsidRPr="003A377E">
        <w:rPr>
          <w:rFonts w:ascii="Times New Roman" w:eastAsia="Times New Roman" w:hAnsi="Times New Roman" w:cs="Times New Roman"/>
          <w:sz w:val="24"/>
          <w:szCs w:val="24"/>
        </w:rPr>
        <w:t>P</w:t>
      </w:r>
      <w:r w:rsidRPr="003A377E">
        <w:rPr>
          <w:rFonts w:ascii="Times New Roman" w:eastAsia="Times New Roman" w:hAnsi="Times New Roman" w:cs="Times New Roman"/>
          <w:sz w:val="24"/>
          <w:szCs w:val="24"/>
        </w:rPr>
        <w:t xml:space="preserve">rovincial </w:t>
      </w:r>
      <w:r w:rsidR="003E3091" w:rsidRPr="003A377E">
        <w:rPr>
          <w:rFonts w:ascii="Times New Roman" w:eastAsia="Times New Roman" w:hAnsi="Times New Roman" w:cs="Times New Roman"/>
          <w:sz w:val="24"/>
          <w:szCs w:val="24"/>
        </w:rPr>
        <w:t>E</w:t>
      </w:r>
      <w:r w:rsidRPr="003A377E">
        <w:rPr>
          <w:rFonts w:ascii="Times New Roman" w:eastAsia="Times New Roman" w:hAnsi="Times New Roman" w:cs="Times New Roman"/>
          <w:sz w:val="24"/>
          <w:szCs w:val="24"/>
        </w:rPr>
        <w:t xml:space="preserve">mergency </w:t>
      </w:r>
      <w:r w:rsidR="003E3091" w:rsidRPr="003A377E">
        <w:rPr>
          <w:rFonts w:ascii="Times New Roman" w:eastAsia="Times New Roman" w:hAnsi="Times New Roman" w:cs="Times New Roman"/>
          <w:sz w:val="24"/>
          <w:szCs w:val="24"/>
        </w:rPr>
        <w:t>H</w:t>
      </w:r>
      <w:r w:rsidRPr="003A377E">
        <w:rPr>
          <w:rFonts w:ascii="Times New Roman" w:eastAsia="Times New Roman" w:hAnsi="Times New Roman" w:cs="Times New Roman"/>
          <w:sz w:val="24"/>
          <w:szCs w:val="24"/>
        </w:rPr>
        <w:t xml:space="preserve">ousing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 Due to their limited revenue raising abilities, provinces receive 41.4 </w:t>
      </w:r>
      <w:r w:rsidR="00C15643" w:rsidRPr="003A377E">
        <w:rPr>
          <w:rFonts w:ascii="Times New Roman" w:eastAsia="Times New Roman" w:hAnsi="Times New Roman" w:cs="Times New Roman"/>
          <w:sz w:val="24"/>
          <w:szCs w:val="24"/>
        </w:rPr>
        <w:t>percent</w:t>
      </w:r>
      <w:r w:rsidRPr="003A377E">
        <w:rPr>
          <w:rFonts w:ascii="Times New Roman" w:eastAsia="Times New Roman" w:hAnsi="Times New Roman" w:cs="Times New Roman"/>
          <w:sz w:val="24"/>
          <w:szCs w:val="24"/>
        </w:rPr>
        <w:t xml:space="preserve"> of nationally raised revenue over the medium term. In addition, provinces receive conditional </w:t>
      </w:r>
      <w:r w:rsidR="008F7102"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s to help them fulfil their mandates, and transfers to provinces account for over 95 </w:t>
      </w:r>
      <w:r w:rsidR="00C15643" w:rsidRPr="003A377E">
        <w:rPr>
          <w:rFonts w:ascii="Times New Roman" w:eastAsia="Times New Roman" w:hAnsi="Times New Roman" w:cs="Times New Roman"/>
          <w:sz w:val="24"/>
          <w:szCs w:val="24"/>
        </w:rPr>
        <w:t>percent</w:t>
      </w:r>
      <w:r w:rsidRPr="003A377E">
        <w:rPr>
          <w:rFonts w:ascii="Times New Roman" w:eastAsia="Times New Roman" w:hAnsi="Times New Roman" w:cs="Times New Roman"/>
          <w:sz w:val="24"/>
          <w:szCs w:val="24"/>
        </w:rPr>
        <w:t xml:space="preserve"> of their provincial revenue. </w:t>
      </w:r>
    </w:p>
    <w:p w:rsidR="00D05701" w:rsidRPr="003A377E" w:rsidRDefault="00D52EC1">
      <w:pPr>
        <w:spacing w:before="120" w:line="360" w:lineRule="auto"/>
        <w:jc w:val="both"/>
        <w:rPr>
          <w:rFonts w:ascii="Times New Roman" w:hAnsi="Times New Roman" w:cs="Times New Roman"/>
          <w:color w:val="000000" w:themeColor="text1"/>
          <w:sz w:val="24"/>
          <w:szCs w:val="24"/>
        </w:rPr>
      </w:pPr>
      <w:r w:rsidRPr="003A377E">
        <w:rPr>
          <w:rFonts w:ascii="Times New Roman" w:hAnsi="Times New Roman" w:cs="Times New Roman"/>
          <w:sz w:val="24"/>
          <w:szCs w:val="24"/>
        </w:rPr>
        <w:t xml:space="preserve"> </w:t>
      </w:r>
    </w:p>
    <w:p w:rsidR="00D05701" w:rsidRPr="003A377E" w:rsidRDefault="00E6244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lastRenderedPageBreak/>
        <w:t>Table 2: Provincial e</w:t>
      </w:r>
      <w:r w:rsidR="00D05701" w:rsidRPr="003A377E">
        <w:rPr>
          <w:rFonts w:ascii="Times New Roman" w:hAnsi="Times New Roman" w:cs="Times New Roman"/>
          <w:b/>
          <w:sz w:val="24"/>
          <w:szCs w:val="24"/>
        </w:rPr>
        <w:t xml:space="preserve">quitable </w:t>
      </w:r>
      <w:r w:rsidRPr="003A377E">
        <w:rPr>
          <w:rFonts w:ascii="Times New Roman" w:hAnsi="Times New Roman" w:cs="Times New Roman"/>
          <w:b/>
          <w:sz w:val="24"/>
          <w:szCs w:val="24"/>
        </w:rPr>
        <w:t>s</w:t>
      </w:r>
      <w:r w:rsidR="00D05701" w:rsidRPr="003A377E">
        <w:rPr>
          <w:rFonts w:ascii="Times New Roman" w:hAnsi="Times New Roman" w:cs="Times New Roman"/>
          <w:b/>
          <w:sz w:val="24"/>
          <w:szCs w:val="24"/>
        </w:rPr>
        <w:t xml:space="preserve">hare </w:t>
      </w:r>
      <w:r w:rsidR="00D4171C" w:rsidRPr="003A377E">
        <w:rPr>
          <w:rFonts w:ascii="Times New Roman" w:hAnsi="Times New Roman" w:cs="Times New Roman"/>
          <w:b/>
          <w:sz w:val="24"/>
          <w:szCs w:val="24"/>
        </w:rPr>
        <w:t xml:space="preserve">and conditional </w:t>
      </w:r>
      <w:r w:rsidR="008F7102" w:rsidRPr="003A377E">
        <w:rPr>
          <w:rFonts w:ascii="Times New Roman" w:hAnsi="Times New Roman" w:cs="Times New Roman"/>
          <w:b/>
          <w:sz w:val="24"/>
          <w:szCs w:val="24"/>
        </w:rPr>
        <w:t>g</w:t>
      </w:r>
      <w:r w:rsidR="003E3091" w:rsidRPr="003A377E">
        <w:rPr>
          <w:rFonts w:ascii="Times New Roman" w:hAnsi="Times New Roman" w:cs="Times New Roman"/>
          <w:b/>
          <w:sz w:val="24"/>
          <w:szCs w:val="24"/>
        </w:rPr>
        <w:t>rant</w:t>
      </w:r>
      <w:r w:rsidR="00D4171C" w:rsidRPr="003A377E">
        <w:rPr>
          <w:rFonts w:ascii="Times New Roman" w:hAnsi="Times New Roman" w:cs="Times New Roman"/>
          <w:b/>
          <w:sz w:val="24"/>
          <w:szCs w:val="24"/>
        </w:rPr>
        <w:t xml:space="preserve"> </w:t>
      </w:r>
      <w:r w:rsidR="005F4676" w:rsidRPr="003A377E">
        <w:rPr>
          <w:rFonts w:ascii="Times New Roman" w:hAnsi="Times New Roman" w:cs="Times New Roman"/>
          <w:b/>
          <w:sz w:val="24"/>
          <w:szCs w:val="24"/>
        </w:rPr>
        <w:t>a</w:t>
      </w:r>
      <w:r w:rsidR="00D05701" w:rsidRPr="003A377E">
        <w:rPr>
          <w:rFonts w:ascii="Times New Roman" w:hAnsi="Times New Roman" w:cs="Times New Roman"/>
          <w:b/>
          <w:sz w:val="24"/>
          <w:szCs w:val="24"/>
        </w:rPr>
        <w:t xml:space="preserve">llocations </w:t>
      </w:r>
    </w:p>
    <w:tbl>
      <w:tblPr>
        <w:tblW w:w="83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1554"/>
        <w:gridCol w:w="1875"/>
        <w:gridCol w:w="1874"/>
        <w:gridCol w:w="1416"/>
      </w:tblGrid>
      <w:tr w:rsidR="00D4171C" w:rsidRPr="003A377E" w:rsidTr="00096B98">
        <w:trPr>
          <w:trHeight w:val="445"/>
        </w:trPr>
        <w:tc>
          <w:tcPr>
            <w:tcW w:w="1648" w:type="dxa"/>
            <w:vMerge w:val="restart"/>
          </w:tcPr>
          <w:p w:rsidR="00D4171C" w:rsidRPr="003A377E" w:rsidRDefault="00D4171C">
            <w:pPr>
              <w:spacing w:before="120" w:line="360" w:lineRule="auto"/>
              <w:jc w:val="both"/>
              <w:rPr>
                <w:rFonts w:ascii="Times New Roman" w:hAnsi="Times New Roman" w:cs="Times New Roman"/>
                <w:b/>
                <w:sz w:val="24"/>
                <w:szCs w:val="24"/>
              </w:rPr>
            </w:pPr>
          </w:p>
          <w:p w:rsidR="00D4171C" w:rsidRPr="003A377E" w:rsidRDefault="00D4171C">
            <w:pPr>
              <w:spacing w:before="120" w:line="360" w:lineRule="auto"/>
              <w:jc w:val="both"/>
              <w:rPr>
                <w:rFonts w:ascii="Times New Roman" w:hAnsi="Times New Roman" w:cs="Times New Roman"/>
                <w:b/>
                <w:sz w:val="24"/>
                <w:szCs w:val="24"/>
              </w:rPr>
            </w:pPr>
          </w:p>
          <w:p w:rsidR="00D4171C" w:rsidRPr="003A377E" w:rsidRDefault="00D4171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Provinces</w:t>
            </w:r>
          </w:p>
        </w:tc>
        <w:tc>
          <w:tcPr>
            <w:tcW w:w="3453" w:type="dxa"/>
            <w:gridSpan w:val="2"/>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Column A</w:t>
            </w:r>
          </w:p>
        </w:tc>
        <w:tc>
          <w:tcPr>
            <w:tcW w:w="3260" w:type="dxa"/>
            <w:gridSpan w:val="2"/>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Column B</w:t>
            </w:r>
          </w:p>
        </w:tc>
      </w:tr>
      <w:tr w:rsidR="00D4171C" w:rsidRPr="003A377E" w:rsidTr="00D4171C">
        <w:trPr>
          <w:trHeight w:val="345"/>
        </w:trPr>
        <w:tc>
          <w:tcPr>
            <w:tcW w:w="1648" w:type="dxa"/>
            <w:vMerge/>
          </w:tcPr>
          <w:p w:rsidR="00D4171C" w:rsidRPr="003A377E" w:rsidRDefault="00D4171C">
            <w:pPr>
              <w:spacing w:before="120" w:line="360" w:lineRule="auto"/>
              <w:jc w:val="both"/>
              <w:rPr>
                <w:rFonts w:ascii="Times New Roman" w:hAnsi="Times New Roman" w:cs="Times New Roman"/>
                <w:b/>
                <w:sz w:val="24"/>
                <w:szCs w:val="24"/>
              </w:rPr>
            </w:pPr>
          </w:p>
        </w:tc>
        <w:tc>
          <w:tcPr>
            <w:tcW w:w="1560" w:type="dxa"/>
            <w:vMerge w:val="restart"/>
          </w:tcPr>
          <w:p w:rsidR="00D4171C" w:rsidRPr="003A377E" w:rsidRDefault="00D4171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Equitable share</w:t>
            </w:r>
          </w:p>
          <w:p w:rsidR="00D4171C" w:rsidRPr="003A377E" w:rsidRDefault="00D4171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2022/23</w:t>
            </w:r>
          </w:p>
        </w:tc>
        <w:tc>
          <w:tcPr>
            <w:tcW w:w="1893" w:type="dxa"/>
            <w:vMerge w:val="restart"/>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 xml:space="preserve">Conditional </w:t>
            </w:r>
            <w:r w:rsidR="003E3091" w:rsidRPr="003A377E">
              <w:rPr>
                <w:rFonts w:ascii="Times New Roman" w:hAnsi="Times New Roman" w:cs="Times New Roman"/>
                <w:b/>
                <w:sz w:val="24"/>
                <w:szCs w:val="24"/>
              </w:rPr>
              <w:t>Grant</w:t>
            </w:r>
            <w:r w:rsidRPr="003A377E">
              <w:rPr>
                <w:rFonts w:ascii="Times New Roman" w:hAnsi="Times New Roman" w:cs="Times New Roman"/>
                <w:b/>
                <w:sz w:val="24"/>
                <w:szCs w:val="24"/>
              </w:rPr>
              <w:t>s</w:t>
            </w:r>
          </w:p>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2022/23</w:t>
            </w:r>
          </w:p>
        </w:tc>
        <w:tc>
          <w:tcPr>
            <w:tcW w:w="3260" w:type="dxa"/>
            <w:gridSpan w:val="2"/>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Forward Estimates</w:t>
            </w:r>
          </w:p>
        </w:tc>
      </w:tr>
      <w:tr w:rsidR="00D4171C" w:rsidRPr="003A377E" w:rsidTr="00096B98">
        <w:trPr>
          <w:trHeight w:val="1061"/>
        </w:trPr>
        <w:tc>
          <w:tcPr>
            <w:tcW w:w="1648" w:type="dxa"/>
            <w:vMerge/>
            <w:tcBorders>
              <w:bottom w:val="single" w:sz="4" w:space="0" w:color="auto"/>
            </w:tcBorders>
          </w:tcPr>
          <w:p w:rsidR="00D4171C" w:rsidRPr="003A377E" w:rsidRDefault="00D4171C">
            <w:pPr>
              <w:spacing w:before="120" w:line="360" w:lineRule="auto"/>
              <w:jc w:val="both"/>
              <w:rPr>
                <w:rFonts w:ascii="Times New Roman" w:hAnsi="Times New Roman" w:cs="Times New Roman"/>
                <w:b/>
                <w:sz w:val="24"/>
                <w:szCs w:val="24"/>
              </w:rPr>
            </w:pPr>
          </w:p>
        </w:tc>
        <w:tc>
          <w:tcPr>
            <w:tcW w:w="1560" w:type="dxa"/>
            <w:vMerge/>
            <w:tcBorders>
              <w:bottom w:val="single" w:sz="4" w:space="0" w:color="auto"/>
            </w:tcBorders>
          </w:tcPr>
          <w:p w:rsidR="00D4171C" w:rsidRPr="003A377E" w:rsidRDefault="00D4171C">
            <w:pPr>
              <w:spacing w:before="120" w:line="360" w:lineRule="auto"/>
              <w:jc w:val="both"/>
              <w:rPr>
                <w:rFonts w:ascii="Times New Roman" w:hAnsi="Times New Roman" w:cs="Times New Roman"/>
                <w:b/>
                <w:sz w:val="24"/>
                <w:szCs w:val="24"/>
              </w:rPr>
            </w:pPr>
          </w:p>
        </w:tc>
        <w:tc>
          <w:tcPr>
            <w:tcW w:w="1893" w:type="dxa"/>
            <w:vMerge/>
            <w:tcBorders>
              <w:bottom w:val="single" w:sz="4" w:space="0" w:color="auto"/>
            </w:tcBorders>
          </w:tcPr>
          <w:p w:rsidR="00D4171C" w:rsidRPr="003A377E" w:rsidRDefault="00D4171C" w:rsidP="008D617C">
            <w:pPr>
              <w:spacing w:before="120" w:line="360" w:lineRule="auto"/>
              <w:jc w:val="both"/>
              <w:rPr>
                <w:rFonts w:ascii="Times New Roman" w:hAnsi="Times New Roman" w:cs="Times New Roman"/>
                <w:b/>
                <w:sz w:val="24"/>
                <w:szCs w:val="24"/>
              </w:rPr>
            </w:pPr>
          </w:p>
        </w:tc>
        <w:tc>
          <w:tcPr>
            <w:tcW w:w="1893" w:type="dxa"/>
            <w:tcBorders>
              <w:bottom w:val="single" w:sz="4" w:space="0" w:color="auto"/>
            </w:tcBorders>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2023/24</w:t>
            </w:r>
          </w:p>
        </w:tc>
        <w:tc>
          <w:tcPr>
            <w:tcW w:w="1367" w:type="dxa"/>
            <w:tcBorders>
              <w:bottom w:val="single" w:sz="4" w:space="0" w:color="auto"/>
            </w:tcBorders>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2024/25</w:t>
            </w:r>
          </w:p>
        </w:tc>
      </w:tr>
      <w:tr w:rsidR="00D4171C" w:rsidRPr="003A377E" w:rsidTr="00D4171C">
        <w:trPr>
          <w:trHeight w:val="422"/>
        </w:trPr>
        <w:tc>
          <w:tcPr>
            <w:tcW w:w="1648" w:type="dxa"/>
          </w:tcPr>
          <w:p w:rsidR="00D4171C" w:rsidRPr="003A377E" w:rsidRDefault="00D4171C">
            <w:pPr>
              <w:spacing w:before="120" w:line="360" w:lineRule="auto"/>
              <w:jc w:val="both"/>
              <w:rPr>
                <w:rFonts w:ascii="Times New Roman" w:hAnsi="Times New Roman" w:cs="Times New Roman"/>
                <w:sz w:val="24"/>
                <w:szCs w:val="24"/>
              </w:rPr>
            </w:pPr>
          </w:p>
          <w:p w:rsidR="00D4171C" w:rsidRPr="003A377E" w:rsidRDefault="00D4171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Eastern Cape</w:t>
            </w:r>
          </w:p>
          <w:p w:rsidR="00D4171C" w:rsidRPr="003A377E" w:rsidRDefault="00D4171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Free State</w:t>
            </w:r>
          </w:p>
          <w:p w:rsidR="00D4171C" w:rsidRPr="003A377E" w:rsidRDefault="00D4171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Gauteng</w:t>
            </w:r>
          </w:p>
          <w:p w:rsidR="00D4171C" w:rsidRPr="003A377E" w:rsidRDefault="00D4171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KwaZulu-Natal</w:t>
            </w:r>
          </w:p>
          <w:p w:rsidR="00D4171C" w:rsidRPr="003A377E" w:rsidRDefault="00D4171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Limpopo</w:t>
            </w:r>
          </w:p>
          <w:p w:rsidR="00D4171C" w:rsidRPr="003A377E" w:rsidRDefault="00D4171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Mpumalanga</w:t>
            </w:r>
          </w:p>
          <w:p w:rsidR="00D4171C" w:rsidRPr="003A377E" w:rsidRDefault="00D4171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Northern Cape</w:t>
            </w:r>
          </w:p>
          <w:p w:rsidR="00D4171C" w:rsidRPr="003A377E" w:rsidRDefault="00D4171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North West</w:t>
            </w:r>
          </w:p>
          <w:p w:rsidR="00D4171C" w:rsidRPr="003A377E" w:rsidRDefault="00D4171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Western Cape</w:t>
            </w:r>
          </w:p>
          <w:p w:rsidR="00D4171C" w:rsidRPr="003A377E" w:rsidRDefault="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U</w:t>
            </w:r>
            <w:r w:rsidR="00D4171C" w:rsidRPr="003A377E">
              <w:rPr>
                <w:rFonts w:ascii="Times New Roman" w:hAnsi="Times New Roman" w:cs="Times New Roman"/>
                <w:sz w:val="24"/>
                <w:szCs w:val="24"/>
              </w:rPr>
              <w:t>nallocated</w:t>
            </w:r>
          </w:p>
        </w:tc>
        <w:tc>
          <w:tcPr>
            <w:tcW w:w="1560" w:type="dxa"/>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R’000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72 230 960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31 107 440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120 041 881</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114 509 371</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64 055 553</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45 961 922</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14 942 081</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39 540 134</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58 367 447</w:t>
            </w:r>
          </w:p>
        </w:tc>
        <w:tc>
          <w:tcPr>
            <w:tcW w:w="1893" w:type="dxa"/>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R’000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13 850 000</w:t>
            </w:r>
          </w:p>
          <w:p w:rsidR="00D4171C" w:rsidRPr="003A377E" w:rsidRDefault="004C79D9"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   </w:t>
            </w:r>
            <w:r w:rsidR="00D4171C" w:rsidRPr="003A377E">
              <w:rPr>
                <w:rFonts w:ascii="Times New Roman" w:hAnsi="Times New Roman" w:cs="Times New Roman"/>
                <w:sz w:val="24"/>
                <w:szCs w:val="24"/>
              </w:rPr>
              <w:t>8 737 000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26 503 000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25 041 000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10 741 000</w:t>
            </w:r>
          </w:p>
          <w:p w:rsidR="00D4171C" w:rsidRPr="003A377E" w:rsidRDefault="004C79D9"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   </w:t>
            </w:r>
            <w:r w:rsidR="00D4171C" w:rsidRPr="003A377E">
              <w:rPr>
                <w:rFonts w:ascii="Times New Roman" w:hAnsi="Times New Roman" w:cs="Times New Roman"/>
                <w:sz w:val="24"/>
                <w:szCs w:val="24"/>
              </w:rPr>
              <w:t>9 060 000</w:t>
            </w:r>
          </w:p>
          <w:p w:rsidR="00D4171C" w:rsidRPr="003A377E" w:rsidRDefault="004C79D9"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   </w:t>
            </w:r>
            <w:r w:rsidR="00D4171C" w:rsidRPr="003A377E">
              <w:rPr>
                <w:rFonts w:ascii="Times New Roman" w:hAnsi="Times New Roman" w:cs="Times New Roman"/>
                <w:sz w:val="24"/>
                <w:szCs w:val="24"/>
              </w:rPr>
              <w:t>4 795 000</w:t>
            </w:r>
          </w:p>
          <w:p w:rsidR="00D4171C" w:rsidRPr="003A377E" w:rsidRDefault="004C79D9"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  </w:t>
            </w:r>
            <w:r w:rsidR="00D4171C" w:rsidRPr="003A377E">
              <w:rPr>
                <w:rFonts w:ascii="Times New Roman" w:hAnsi="Times New Roman" w:cs="Times New Roman"/>
                <w:sz w:val="24"/>
                <w:szCs w:val="24"/>
              </w:rPr>
              <w:t>8 568 000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14 016 000</w:t>
            </w:r>
          </w:p>
          <w:p w:rsidR="00D4171C" w:rsidRPr="003A377E" w:rsidRDefault="004C79D9"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    </w:t>
            </w:r>
            <w:r w:rsidR="00D4171C" w:rsidRPr="003A377E">
              <w:rPr>
                <w:rFonts w:ascii="Times New Roman" w:hAnsi="Times New Roman" w:cs="Times New Roman"/>
                <w:sz w:val="24"/>
                <w:szCs w:val="24"/>
              </w:rPr>
              <w:t>417 000</w:t>
            </w:r>
          </w:p>
        </w:tc>
        <w:tc>
          <w:tcPr>
            <w:tcW w:w="1893" w:type="dxa"/>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R’000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69 779 414</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30 108 911</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116 263 997</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110 785 551</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62 073 445</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44 595 498</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14 434 374</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38 297 617</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56 810 292</w:t>
            </w:r>
          </w:p>
        </w:tc>
        <w:tc>
          <w:tcPr>
            <w:tcW w:w="1367" w:type="dxa"/>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R’000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71 841 946</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31 108 873</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120 759 712</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114 372 560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64 127 292</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46 220 404</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14 894 537</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39 701 790</w:t>
            </w:r>
          </w:p>
          <w:p w:rsidR="00D4171C" w:rsidRPr="003A377E" w:rsidRDefault="00D4171C" w:rsidP="008D617C">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58 991 251</w:t>
            </w:r>
          </w:p>
        </w:tc>
      </w:tr>
      <w:tr w:rsidR="00D4171C" w:rsidRPr="003A377E" w:rsidTr="00D4171C">
        <w:trPr>
          <w:trHeight w:val="327"/>
        </w:trPr>
        <w:tc>
          <w:tcPr>
            <w:tcW w:w="1648" w:type="dxa"/>
          </w:tcPr>
          <w:p w:rsidR="00D4171C" w:rsidRPr="003A377E" w:rsidRDefault="00D4171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Total</w:t>
            </w:r>
          </w:p>
        </w:tc>
        <w:tc>
          <w:tcPr>
            <w:tcW w:w="1560" w:type="dxa"/>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560 756 789</w:t>
            </w:r>
          </w:p>
        </w:tc>
        <w:tc>
          <w:tcPr>
            <w:tcW w:w="1893" w:type="dxa"/>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121 782 000</w:t>
            </w:r>
          </w:p>
        </w:tc>
        <w:tc>
          <w:tcPr>
            <w:tcW w:w="1893" w:type="dxa"/>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543 149 099</w:t>
            </w:r>
          </w:p>
        </w:tc>
        <w:tc>
          <w:tcPr>
            <w:tcW w:w="1367" w:type="dxa"/>
          </w:tcPr>
          <w:p w:rsidR="00D4171C" w:rsidRPr="003A377E" w:rsidRDefault="00D4171C" w:rsidP="008D617C">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562 018 365</w:t>
            </w:r>
          </w:p>
        </w:tc>
      </w:tr>
    </w:tbl>
    <w:p w:rsidR="00D05701" w:rsidRPr="003A377E" w:rsidRDefault="00D05701">
      <w:pPr>
        <w:spacing w:before="120" w:line="360" w:lineRule="auto"/>
        <w:jc w:val="both"/>
        <w:rPr>
          <w:rFonts w:ascii="Times New Roman" w:hAnsi="Times New Roman" w:cs="Times New Roman"/>
          <w:sz w:val="24"/>
          <w:szCs w:val="24"/>
        </w:rPr>
      </w:pPr>
    </w:p>
    <w:p w:rsidR="00D05701" w:rsidRPr="003A377E" w:rsidRDefault="00D05701">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Table 2 shows that total transfers to provinces in 202</w:t>
      </w:r>
      <w:r w:rsidR="005F4676" w:rsidRPr="003A377E">
        <w:rPr>
          <w:rFonts w:ascii="Times New Roman" w:hAnsi="Times New Roman" w:cs="Times New Roman"/>
          <w:sz w:val="24"/>
          <w:szCs w:val="24"/>
        </w:rPr>
        <w:t>2</w:t>
      </w:r>
      <w:r w:rsidRPr="003A377E">
        <w:rPr>
          <w:rFonts w:ascii="Times New Roman" w:hAnsi="Times New Roman" w:cs="Times New Roman"/>
          <w:sz w:val="24"/>
          <w:szCs w:val="24"/>
        </w:rPr>
        <w:t>/2</w:t>
      </w:r>
      <w:r w:rsidR="005F4676" w:rsidRPr="003A377E">
        <w:rPr>
          <w:rFonts w:ascii="Times New Roman" w:hAnsi="Times New Roman" w:cs="Times New Roman"/>
          <w:sz w:val="24"/>
          <w:szCs w:val="24"/>
        </w:rPr>
        <w:t>3</w:t>
      </w:r>
      <w:r w:rsidRPr="003A377E">
        <w:rPr>
          <w:rFonts w:ascii="Times New Roman" w:hAnsi="Times New Roman" w:cs="Times New Roman"/>
          <w:sz w:val="24"/>
          <w:szCs w:val="24"/>
        </w:rPr>
        <w:t xml:space="preserve"> amount to R</w:t>
      </w:r>
      <w:r w:rsidR="004C79D9" w:rsidRPr="003A377E">
        <w:rPr>
          <w:rFonts w:ascii="Times New Roman" w:hAnsi="Times New Roman" w:cs="Times New Roman"/>
          <w:sz w:val="24"/>
          <w:szCs w:val="24"/>
        </w:rPr>
        <w:t>682.5</w:t>
      </w:r>
      <w:r w:rsidR="004E5830" w:rsidRPr="003A377E">
        <w:rPr>
          <w:rFonts w:ascii="Times New Roman" w:hAnsi="Times New Roman" w:cs="Times New Roman"/>
          <w:sz w:val="24"/>
          <w:szCs w:val="24"/>
        </w:rPr>
        <w:t xml:space="preserve"> </w:t>
      </w:r>
      <w:r w:rsidR="005F4676" w:rsidRPr="003A377E">
        <w:rPr>
          <w:rFonts w:ascii="Times New Roman" w:hAnsi="Times New Roman" w:cs="Times New Roman"/>
          <w:sz w:val="24"/>
          <w:szCs w:val="24"/>
        </w:rPr>
        <w:t>billion</w:t>
      </w:r>
      <w:r w:rsidR="004E5830" w:rsidRPr="003A377E">
        <w:rPr>
          <w:rFonts w:ascii="Times New Roman" w:hAnsi="Times New Roman" w:cs="Times New Roman"/>
          <w:sz w:val="24"/>
          <w:szCs w:val="24"/>
        </w:rPr>
        <w:t xml:space="preserve">, </w:t>
      </w:r>
      <w:r w:rsidRPr="003A377E">
        <w:rPr>
          <w:rFonts w:ascii="Times New Roman" w:hAnsi="Times New Roman" w:cs="Times New Roman"/>
          <w:sz w:val="24"/>
          <w:szCs w:val="24"/>
        </w:rPr>
        <w:t>of which R5</w:t>
      </w:r>
      <w:r w:rsidR="004E5830" w:rsidRPr="003A377E">
        <w:rPr>
          <w:rFonts w:ascii="Times New Roman" w:hAnsi="Times New Roman" w:cs="Times New Roman"/>
          <w:sz w:val="24"/>
          <w:szCs w:val="24"/>
        </w:rPr>
        <w:t xml:space="preserve">60.7 </w:t>
      </w:r>
      <w:r w:rsidRPr="003A377E">
        <w:rPr>
          <w:rFonts w:ascii="Times New Roman" w:hAnsi="Times New Roman" w:cs="Times New Roman"/>
          <w:sz w:val="24"/>
          <w:szCs w:val="24"/>
        </w:rPr>
        <w:t>billion is the equitable share and R1</w:t>
      </w:r>
      <w:r w:rsidR="004E5830" w:rsidRPr="003A377E">
        <w:rPr>
          <w:rFonts w:ascii="Times New Roman" w:hAnsi="Times New Roman" w:cs="Times New Roman"/>
          <w:sz w:val="24"/>
          <w:szCs w:val="24"/>
        </w:rPr>
        <w:t xml:space="preserve">21.7 </w:t>
      </w:r>
      <w:r w:rsidRPr="003A377E">
        <w:rPr>
          <w:rFonts w:ascii="Times New Roman" w:hAnsi="Times New Roman" w:cs="Times New Roman"/>
          <w:sz w:val="24"/>
          <w:szCs w:val="24"/>
        </w:rPr>
        <w:t xml:space="preserve">billion is conditional </w:t>
      </w:r>
      <w:r w:rsidR="008F7102" w:rsidRPr="003A377E">
        <w:rPr>
          <w:rFonts w:ascii="Times New Roman" w:hAnsi="Times New Roman" w:cs="Times New Roman"/>
          <w:sz w:val="24"/>
          <w:szCs w:val="24"/>
        </w:rPr>
        <w:t>g</w:t>
      </w:r>
      <w:r w:rsidR="003E3091" w:rsidRPr="003A377E">
        <w:rPr>
          <w:rFonts w:ascii="Times New Roman" w:hAnsi="Times New Roman" w:cs="Times New Roman"/>
          <w:sz w:val="24"/>
          <w:szCs w:val="24"/>
        </w:rPr>
        <w:t>rant</w:t>
      </w:r>
      <w:r w:rsidR="0096363E" w:rsidRPr="003A377E">
        <w:rPr>
          <w:rFonts w:ascii="Times New Roman" w:hAnsi="Times New Roman" w:cs="Times New Roman"/>
          <w:sz w:val="24"/>
          <w:szCs w:val="24"/>
        </w:rPr>
        <w:t>s</w:t>
      </w:r>
      <w:r w:rsidRPr="003A377E">
        <w:rPr>
          <w:rFonts w:ascii="Times New Roman" w:hAnsi="Times New Roman" w:cs="Times New Roman"/>
          <w:sz w:val="24"/>
          <w:szCs w:val="24"/>
        </w:rPr>
        <w:t xml:space="preserve">. Included in the conditional </w:t>
      </w:r>
      <w:r w:rsidR="008F7102" w:rsidRPr="003A377E">
        <w:rPr>
          <w:rFonts w:ascii="Times New Roman" w:hAnsi="Times New Roman" w:cs="Times New Roman"/>
          <w:sz w:val="24"/>
          <w:szCs w:val="24"/>
        </w:rPr>
        <w:t>g</w:t>
      </w:r>
      <w:r w:rsidR="003E3091" w:rsidRPr="003A377E">
        <w:rPr>
          <w:rFonts w:ascii="Times New Roman" w:hAnsi="Times New Roman" w:cs="Times New Roman"/>
          <w:sz w:val="24"/>
          <w:szCs w:val="24"/>
        </w:rPr>
        <w:t>rant</w:t>
      </w:r>
      <w:r w:rsidRPr="003A377E">
        <w:rPr>
          <w:rFonts w:ascii="Times New Roman" w:hAnsi="Times New Roman" w:cs="Times New Roman"/>
          <w:sz w:val="24"/>
          <w:szCs w:val="24"/>
        </w:rPr>
        <w:t xml:space="preserve"> funding is an unallocated amount of R4</w:t>
      </w:r>
      <w:r w:rsidR="004E5830" w:rsidRPr="003A377E">
        <w:rPr>
          <w:rFonts w:ascii="Times New Roman" w:hAnsi="Times New Roman" w:cs="Times New Roman"/>
          <w:sz w:val="24"/>
          <w:szCs w:val="24"/>
        </w:rPr>
        <w:t>17</w:t>
      </w:r>
      <w:r w:rsidRPr="003A377E">
        <w:rPr>
          <w:rFonts w:ascii="Times New Roman" w:hAnsi="Times New Roman" w:cs="Times New Roman"/>
          <w:sz w:val="24"/>
          <w:szCs w:val="24"/>
        </w:rPr>
        <w:t xml:space="preserve"> million</w:t>
      </w:r>
      <w:r w:rsidR="004C79D9" w:rsidRPr="003A377E">
        <w:rPr>
          <w:rFonts w:ascii="Times New Roman" w:hAnsi="Times New Roman" w:cs="Times New Roman"/>
          <w:sz w:val="24"/>
          <w:szCs w:val="24"/>
        </w:rPr>
        <w:t>. Table 2 also shows the forward estimate</w:t>
      </w:r>
      <w:r w:rsidR="008F7102" w:rsidRPr="003A377E">
        <w:rPr>
          <w:rFonts w:ascii="Times New Roman" w:hAnsi="Times New Roman" w:cs="Times New Roman"/>
          <w:sz w:val="24"/>
          <w:szCs w:val="24"/>
        </w:rPr>
        <w:t>d</w:t>
      </w:r>
      <w:r w:rsidR="004C79D9" w:rsidRPr="003A377E">
        <w:rPr>
          <w:rFonts w:ascii="Times New Roman" w:hAnsi="Times New Roman" w:cs="Times New Roman"/>
          <w:sz w:val="24"/>
          <w:szCs w:val="24"/>
        </w:rPr>
        <w:t xml:space="preserve"> allocations which are R543.1 billion in 2023/24 and R562 billion in 2024/25. </w:t>
      </w:r>
    </w:p>
    <w:p w:rsidR="00D05701" w:rsidRPr="003A377E" w:rsidRDefault="00D05701">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 xml:space="preserve">4.2 Provincial conditional </w:t>
      </w:r>
      <w:r w:rsidR="008F7102" w:rsidRPr="003A377E">
        <w:rPr>
          <w:rFonts w:ascii="Times New Roman" w:hAnsi="Times New Roman" w:cs="Times New Roman"/>
          <w:b/>
          <w:sz w:val="24"/>
          <w:szCs w:val="24"/>
        </w:rPr>
        <w:t>g</w:t>
      </w:r>
      <w:r w:rsidR="003E3091" w:rsidRPr="003A377E">
        <w:rPr>
          <w:rFonts w:ascii="Times New Roman" w:hAnsi="Times New Roman" w:cs="Times New Roman"/>
          <w:b/>
          <w:sz w:val="24"/>
          <w:szCs w:val="24"/>
        </w:rPr>
        <w:t>rant</w:t>
      </w:r>
      <w:r w:rsidRPr="003A377E">
        <w:rPr>
          <w:rFonts w:ascii="Times New Roman" w:hAnsi="Times New Roman" w:cs="Times New Roman"/>
          <w:b/>
          <w:sz w:val="24"/>
          <w:szCs w:val="24"/>
        </w:rPr>
        <w:t>s</w:t>
      </w:r>
    </w:p>
    <w:p w:rsidR="00D05701" w:rsidRPr="003A377E" w:rsidRDefault="00D05701" w:rsidP="008D617C">
      <w:pPr>
        <w:pStyle w:val="Default"/>
        <w:spacing w:line="360" w:lineRule="auto"/>
        <w:jc w:val="both"/>
        <w:rPr>
          <w:rFonts w:ascii="Times New Roman" w:hAnsi="Times New Roman" w:cs="Times New Roman"/>
        </w:rPr>
      </w:pPr>
      <w:r w:rsidRPr="003A377E">
        <w:rPr>
          <w:rFonts w:ascii="Times New Roman" w:hAnsi="Times New Roman" w:cs="Times New Roman"/>
          <w:bCs/>
        </w:rPr>
        <w:lastRenderedPageBreak/>
        <w:t xml:space="preserve">Major changes to the provincial conditional </w:t>
      </w:r>
      <w:r w:rsidR="008F7102" w:rsidRPr="003A377E">
        <w:rPr>
          <w:rFonts w:ascii="Times New Roman" w:hAnsi="Times New Roman" w:cs="Times New Roman"/>
          <w:bCs/>
        </w:rPr>
        <w:t>g</w:t>
      </w:r>
      <w:r w:rsidR="003E3091" w:rsidRPr="003A377E">
        <w:rPr>
          <w:rFonts w:ascii="Times New Roman" w:hAnsi="Times New Roman" w:cs="Times New Roman"/>
          <w:bCs/>
        </w:rPr>
        <w:t>rant</w:t>
      </w:r>
      <w:r w:rsidRPr="003A377E">
        <w:rPr>
          <w:rFonts w:ascii="Times New Roman" w:hAnsi="Times New Roman" w:cs="Times New Roman"/>
          <w:bCs/>
        </w:rPr>
        <w:t xml:space="preserve"> framework are as follows</w:t>
      </w:r>
      <w:r w:rsidRPr="003A377E">
        <w:rPr>
          <w:rFonts w:ascii="Times New Roman" w:hAnsi="Times New Roman" w:cs="Times New Roman"/>
        </w:rPr>
        <w:t>:</w:t>
      </w:r>
    </w:p>
    <w:p w:rsidR="00D05701" w:rsidRPr="003A377E" w:rsidRDefault="00D05701" w:rsidP="008D617C">
      <w:pPr>
        <w:pStyle w:val="Default"/>
        <w:spacing w:line="360" w:lineRule="auto"/>
        <w:jc w:val="both"/>
        <w:rPr>
          <w:rFonts w:ascii="Times New Roman" w:hAnsi="Times New Roman" w:cs="Times New Roman"/>
        </w:rPr>
      </w:pPr>
      <w:r w:rsidRPr="003A377E">
        <w:rPr>
          <w:rFonts w:ascii="Times New Roman" w:hAnsi="Times New Roman" w:cs="Times New Roman"/>
        </w:rPr>
        <w:t xml:space="preserve"> </w:t>
      </w:r>
    </w:p>
    <w:p w:rsidR="004C79D9" w:rsidRPr="003A377E" w:rsidRDefault="00D05701">
      <w:pPr>
        <w:tabs>
          <w:tab w:val="left" w:pos="284"/>
          <w:tab w:val="left" w:pos="567"/>
        </w:tabs>
        <w:spacing w:after="0" w:line="360" w:lineRule="auto"/>
        <w:contextualSpacing/>
        <w:jc w:val="both"/>
        <w:rPr>
          <w:rFonts w:ascii="Times New Roman" w:eastAsia="Times New Roman" w:hAnsi="Times New Roman" w:cs="Times New Roman"/>
          <w:b/>
          <w:sz w:val="24"/>
          <w:szCs w:val="24"/>
        </w:rPr>
      </w:pPr>
      <w:r w:rsidRPr="003A377E">
        <w:rPr>
          <w:rFonts w:ascii="Times New Roman" w:hAnsi="Times New Roman" w:cs="Times New Roman"/>
          <w:b/>
          <w:bCs/>
          <w:sz w:val="24"/>
          <w:szCs w:val="24"/>
        </w:rPr>
        <w:t xml:space="preserve">4.2.1 </w:t>
      </w:r>
      <w:r w:rsidR="00E6244C" w:rsidRPr="003A377E">
        <w:rPr>
          <w:rFonts w:ascii="Times New Roman" w:eastAsia="Times New Roman" w:hAnsi="Times New Roman" w:cs="Times New Roman"/>
          <w:b/>
          <w:sz w:val="24"/>
          <w:szCs w:val="24"/>
        </w:rPr>
        <w:t xml:space="preserve">Additions to </w:t>
      </w:r>
      <w:r w:rsidR="008F7102" w:rsidRPr="003A377E">
        <w:rPr>
          <w:rFonts w:ascii="Times New Roman" w:eastAsia="Times New Roman" w:hAnsi="Times New Roman" w:cs="Times New Roman"/>
          <w:b/>
          <w:sz w:val="24"/>
          <w:szCs w:val="24"/>
        </w:rPr>
        <w:t>g</w:t>
      </w:r>
      <w:r w:rsidR="003E3091" w:rsidRPr="003A377E">
        <w:rPr>
          <w:rFonts w:ascii="Times New Roman" w:eastAsia="Times New Roman" w:hAnsi="Times New Roman" w:cs="Times New Roman"/>
          <w:b/>
          <w:sz w:val="24"/>
          <w:szCs w:val="24"/>
        </w:rPr>
        <w:t>rant</w:t>
      </w:r>
      <w:r w:rsidR="004C79D9" w:rsidRPr="003A377E">
        <w:rPr>
          <w:rFonts w:ascii="Times New Roman" w:eastAsia="Times New Roman" w:hAnsi="Times New Roman" w:cs="Times New Roman"/>
          <w:b/>
          <w:sz w:val="24"/>
          <w:szCs w:val="24"/>
        </w:rPr>
        <w:t xml:space="preserve"> allocation</w:t>
      </w:r>
      <w:r w:rsidR="008F7102" w:rsidRPr="003A377E">
        <w:rPr>
          <w:rFonts w:ascii="Times New Roman" w:eastAsia="Times New Roman" w:hAnsi="Times New Roman" w:cs="Times New Roman"/>
          <w:b/>
          <w:sz w:val="24"/>
          <w:szCs w:val="24"/>
        </w:rPr>
        <w:t>s</w:t>
      </w:r>
      <w:r w:rsidR="004C79D9" w:rsidRPr="003A377E">
        <w:rPr>
          <w:rFonts w:ascii="Times New Roman" w:eastAsia="Times New Roman" w:hAnsi="Times New Roman" w:cs="Times New Roman"/>
          <w:b/>
          <w:sz w:val="24"/>
          <w:szCs w:val="24"/>
        </w:rPr>
        <w:t xml:space="preserve"> </w:t>
      </w:r>
    </w:p>
    <w:p w:rsidR="004C79D9" w:rsidRPr="003A377E" w:rsidRDefault="00A71E3D">
      <w:pPr>
        <w:numPr>
          <w:ilvl w:val="0"/>
          <w:numId w:val="8"/>
        </w:numPr>
        <w:tabs>
          <w:tab w:val="left" w:pos="284"/>
          <w:tab w:val="left" w:pos="567"/>
        </w:tabs>
        <w:spacing w:after="0" w:line="360" w:lineRule="auto"/>
        <w:contextualSpacing/>
        <w:jc w:val="both"/>
        <w:rPr>
          <w:rFonts w:ascii="Times New Roman" w:eastAsia="Times New Roman" w:hAnsi="Times New Roman" w:cs="Times New Roman"/>
          <w:b/>
          <w:sz w:val="24"/>
          <w:szCs w:val="24"/>
        </w:rPr>
      </w:pPr>
      <w:r w:rsidRPr="003A377E">
        <w:rPr>
          <w:rFonts w:ascii="Times New Roman" w:eastAsia="Times New Roman" w:hAnsi="Times New Roman" w:cs="Times New Roman"/>
          <w:sz w:val="24"/>
          <w:szCs w:val="24"/>
        </w:rPr>
        <w:t xml:space="preserve"> </w:t>
      </w:r>
      <w:r w:rsidR="004C79D9" w:rsidRPr="003A377E">
        <w:rPr>
          <w:rFonts w:ascii="Times New Roman" w:eastAsia="Times New Roman" w:hAnsi="Times New Roman" w:cs="Times New Roman"/>
          <w:sz w:val="24"/>
          <w:szCs w:val="24"/>
        </w:rPr>
        <w:t xml:space="preserve">R3.3 billion </w:t>
      </w:r>
      <w:r w:rsidRPr="003A377E">
        <w:rPr>
          <w:rFonts w:ascii="Times New Roman" w:eastAsia="Times New Roman" w:hAnsi="Times New Roman" w:cs="Times New Roman"/>
          <w:sz w:val="24"/>
          <w:szCs w:val="24"/>
        </w:rPr>
        <w:t xml:space="preserve">will be </w:t>
      </w:r>
      <w:r w:rsidR="004C79D9" w:rsidRPr="003A377E">
        <w:rPr>
          <w:rFonts w:ascii="Times New Roman" w:eastAsia="Times New Roman" w:hAnsi="Times New Roman" w:cs="Times New Roman"/>
          <w:sz w:val="24"/>
          <w:szCs w:val="24"/>
        </w:rPr>
        <w:t xml:space="preserve">added to the Human Resources and Training </w:t>
      </w:r>
      <w:r w:rsidR="003E3091" w:rsidRPr="003A377E">
        <w:rPr>
          <w:rFonts w:ascii="Times New Roman" w:eastAsia="Times New Roman" w:hAnsi="Times New Roman" w:cs="Times New Roman"/>
          <w:sz w:val="24"/>
          <w:szCs w:val="24"/>
        </w:rPr>
        <w:t>Grant</w:t>
      </w:r>
      <w:r w:rsidR="004C79D9" w:rsidRPr="003A377E">
        <w:rPr>
          <w:rFonts w:ascii="Times New Roman" w:eastAsia="Times New Roman" w:hAnsi="Times New Roman" w:cs="Times New Roman"/>
          <w:sz w:val="24"/>
          <w:szCs w:val="24"/>
        </w:rPr>
        <w:t xml:space="preserve"> to address funding of the shortfall for medical interns and community service doctors. </w:t>
      </w:r>
    </w:p>
    <w:p w:rsidR="004C79D9" w:rsidRPr="003A377E" w:rsidRDefault="00A71E3D">
      <w:pPr>
        <w:numPr>
          <w:ilvl w:val="0"/>
          <w:numId w:val="8"/>
        </w:numPr>
        <w:tabs>
          <w:tab w:val="left" w:pos="284"/>
          <w:tab w:val="left" w:pos="567"/>
        </w:tabs>
        <w:spacing w:after="0" w:line="360" w:lineRule="auto"/>
        <w:contextualSpacing/>
        <w:jc w:val="both"/>
        <w:rPr>
          <w:rFonts w:ascii="Times New Roman" w:eastAsia="Times New Roman" w:hAnsi="Times New Roman" w:cs="Times New Roman"/>
          <w:b/>
          <w:sz w:val="24"/>
          <w:szCs w:val="24"/>
        </w:rPr>
      </w:pPr>
      <w:r w:rsidRPr="003A377E">
        <w:rPr>
          <w:rFonts w:ascii="Times New Roman" w:eastAsia="Times New Roman" w:hAnsi="Times New Roman" w:cs="Times New Roman"/>
          <w:sz w:val="24"/>
          <w:szCs w:val="24"/>
        </w:rPr>
        <w:t xml:space="preserve"> R1 billion will be a</w:t>
      </w:r>
      <w:r w:rsidR="004C79D9" w:rsidRPr="003A377E">
        <w:rPr>
          <w:rFonts w:ascii="Times New Roman" w:eastAsia="Times New Roman" w:hAnsi="Times New Roman" w:cs="Times New Roman"/>
          <w:sz w:val="24"/>
          <w:szCs w:val="24"/>
        </w:rPr>
        <w:t xml:space="preserve">dded in 2022/23 to the </w:t>
      </w:r>
      <w:r w:rsidR="003E3091" w:rsidRPr="003A377E">
        <w:rPr>
          <w:rFonts w:ascii="Times New Roman" w:eastAsia="Times New Roman" w:hAnsi="Times New Roman" w:cs="Times New Roman"/>
          <w:sz w:val="24"/>
          <w:szCs w:val="24"/>
        </w:rPr>
        <w:t>COVID</w:t>
      </w:r>
      <w:r w:rsidR="004C79D9" w:rsidRPr="003A377E">
        <w:rPr>
          <w:rFonts w:ascii="Times New Roman" w:eastAsia="Times New Roman" w:hAnsi="Times New Roman" w:cs="Times New Roman"/>
          <w:sz w:val="24"/>
          <w:szCs w:val="24"/>
        </w:rPr>
        <w:t xml:space="preserve">-19 component of the District Health Programme </w:t>
      </w:r>
      <w:r w:rsidR="003E3091" w:rsidRPr="003A377E">
        <w:rPr>
          <w:rFonts w:ascii="Times New Roman" w:eastAsia="Times New Roman" w:hAnsi="Times New Roman" w:cs="Times New Roman"/>
          <w:sz w:val="24"/>
          <w:szCs w:val="24"/>
        </w:rPr>
        <w:t>Grant</w:t>
      </w:r>
      <w:r w:rsidR="004C79D9" w:rsidRPr="003A377E">
        <w:rPr>
          <w:rFonts w:ascii="Times New Roman" w:eastAsia="Times New Roman" w:hAnsi="Times New Roman" w:cs="Times New Roman"/>
          <w:sz w:val="24"/>
          <w:szCs w:val="24"/>
        </w:rPr>
        <w:t xml:space="preserve"> to fund the continuation of the </w:t>
      </w:r>
      <w:r w:rsidR="003E3091" w:rsidRPr="003A377E">
        <w:rPr>
          <w:rFonts w:ascii="Times New Roman" w:eastAsia="Times New Roman" w:hAnsi="Times New Roman" w:cs="Times New Roman"/>
          <w:sz w:val="24"/>
          <w:szCs w:val="24"/>
        </w:rPr>
        <w:t>COVID</w:t>
      </w:r>
      <w:r w:rsidR="004C79D9" w:rsidRPr="003A377E">
        <w:rPr>
          <w:rFonts w:ascii="Times New Roman" w:eastAsia="Times New Roman" w:hAnsi="Times New Roman" w:cs="Times New Roman"/>
          <w:sz w:val="24"/>
          <w:szCs w:val="24"/>
        </w:rPr>
        <w:t xml:space="preserve">-19 vaccine rollout by provinces. </w:t>
      </w:r>
    </w:p>
    <w:p w:rsidR="004C79D9" w:rsidRPr="003A377E" w:rsidRDefault="00A71E3D">
      <w:pPr>
        <w:numPr>
          <w:ilvl w:val="0"/>
          <w:numId w:val="8"/>
        </w:numPr>
        <w:tabs>
          <w:tab w:val="left" w:pos="284"/>
          <w:tab w:val="left" w:pos="567"/>
        </w:tabs>
        <w:spacing w:after="0" w:line="360" w:lineRule="auto"/>
        <w:contextualSpacing/>
        <w:jc w:val="both"/>
        <w:rPr>
          <w:rFonts w:ascii="Times New Roman" w:eastAsia="Times New Roman" w:hAnsi="Times New Roman" w:cs="Times New Roman"/>
          <w:b/>
          <w:sz w:val="24"/>
          <w:szCs w:val="24"/>
        </w:rPr>
      </w:pPr>
      <w:r w:rsidRPr="003A377E">
        <w:rPr>
          <w:rFonts w:ascii="Times New Roman" w:eastAsia="Times New Roman" w:hAnsi="Times New Roman" w:cs="Times New Roman"/>
          <w:sz w:val="24"/>
          <w:szCs w:val="24"/>
        </w:rPr>
        <w:t xml:space="preserve"> </w:t>
      </w:r>
      <w:r w:rsidR="004C79D9" w:rsidRPr="003A377E">
        <w:rPr>
          <w:rFonts w:ascii="Times New Roman" w:eastAsia="Times New Roman" w:hAnsi="Times New Roman" w:cs="Times New Roman"/>
          <w:sz w:val="24"/>
          <w:szCs w:val="24"/>
        </w:rPr>
        <w:t xml:space="preserve">R2.1 billion </w:t>
      </w:r>
      <w:r w:rsidRPr="003A377E">
        <w:rPr>
          <w:rFonts w:ascii="Times New Roman" w:eastAsia="Times New Roman" w:hAnsi="Times New Roman" w:cs="Times New Roman"/>
          <w:sz w:val="24"/>
          <w:szCs w:val="24"/>
        </w:rPr>
        <w:t xml:space="preserve">will be </w:t>
      </w:r>
      <w:r w:rsidR="004C79D9" w:rsidRPr="003A377E">
        <w:rPr>
          <w:rFonts w:ascii="Times New Roman" w:eastAsia="Times New Roman" w:hAnsi="Times New Roman" w:cs="Times New Roman"/>
          <w:sz w:val="24"/>
          <w:szCs w:val="24"/>
        </w:rPr>
        <w:t xml:space="preserve">added over the next two years for repairing of infrastructure damaged by storms and floods in KwaZulu-Natal in 2019 and 2020. This disaster funding </w:t>
      </w:r>
      <w:r w:rsidRPr="003A377E">
        <w:rPr>
          <w:rFonts w:ascii="Times New Roman" w:eastAsia="Times New Roman" w:hAnsi="Times New Roman" w:cs="Times New Roman"/>
          <w:sz w:val="24"/>
          <w:szCs w:val="24"/>
        </w:rPr>
        <w:t xml:space="preserve">will be </w:t>
      </w:r>
      <w:r w:rsidR="00E6244C" w:rsidRPr="003A377E">
        <w:rPr>
          <w:rFonts w:ascii="Times New Roman" w:eastAsia="Times New Roman" w:hAnsi="Times New Roman" w:cs="Times New Roman"/>
          <w:sz w:val="24"/>
          <w:szCs w:val="24"/>
        </w:rPr>
        <w:t xml:space="preserve">divided between </w:t>
      </w:r>
      <w:r w:rsidRPr="003A377E">
        <w:rPr>
          <w:rFonts w:ascii="Times New Roman" w:eastAsia="Times New Roman" w:hAnsi="Times New Roman" w:cs="Times New Roman"/>
          <w:sz w:val="24"/>
          <w:szCs w:val="24"/>
        </w:rPr>
        <w:t xml:space="preserve">three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s</w:t>
      </w:r>
      <w:r w:rsidR="00E6244C" w:rsidRPr="003A377E">
        <w:rPr>
          <w:rFonts w:ascii="Times New Roman" w:eastAsia="Times New Roman" w:hAnsi="Times New Roman" w:cs="Times New Roman"/>
          <w:sz w:val="24"/>
          <w:szCs w:val="24"/>
        </w:rPr>
        <w:t xml:space="preserve">, </w:t>
      </w:r>
      <w:r w:rsidR="004C79D9" w:rsidRPr="003A377E">
        <w:rPr>
          <w:rFonts w:ascii="Times New Roman" w:eastAsia="Times New Roman" w:hAnsi="Times New Roman" w:cs="Times New Roman"/>
          <w:sz w:val="24"/>
          <w:szCs w:val="24"/>
        </w:rPr>
        <w:t>as follows:</w:t>
      </w:r>
    </w:p>
    <w:p w:rsidR="004C79D9" w:rsidRPr="003A377E" w:rsidRDefault="004C79D9">
      <w:pPr>
        <w:numPr>
          <w:ilvl w:val="0"/>
          <w:numId w:val="9"/>
        </w:numPr>
        <w:tabs>
          <w:tab w:val="left" w:pos="284"/>
          <w:tab w:val="left" w:pos="567"/>
        </w:tabs>
        <w:spacing w:after="0" w:line="360" w:lineRule="auto"/>
        <w:ind w:left="1418" w:hanging="284"/>
        <w:contextualSpacing/>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Human Settlements Development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R398 million in 2022/23 and R475 million in 2023/24;</w:t>
      </w:r>
    </w:p>
    <w:p w:rsidR="004C79D9" w:rsidRPr="003A377E" w:rsidRDefault="004C79D9">
      <w:pPr>
        <w:numPr>
          <w:ilvl w:val="0"/>
          <w:numId w:val="9"/>
        </w:numPr>
        <w:tabs>
          <w:tab w:val="left" w:pos="284"/>
          <w:tab w:val="left" w:pos="567"/>
        </w:tabs>
        <w:spacing w:after="0" w:line="360" w:lineRule="auto"/>
        <w:ind w:left="1418" w:hanging="284"/>
        <w:contextualSpacing/>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Education Infrastructure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R145 million in 2022/23 and R326 million in 2023/24; and</w:t>
      </w:r>
    </w:p>
    <w:p w:rsidR="004C79D9" w:rsidRPr="003A377E" w:rsidRDefault="004C79D9">
      <w:pPr>
        <w:numPr>
          <w:ilvl w:val="0"/>
          <w:numId w:val="9"/>
        </w:numPr>
        <w:tabs>
          <w:tab w:val="left" w:pos="284"/>
          <w:tab w:val="left" w:pos="567"/>
        </w:tabs>
        <w:spacing w:after="0" w:line="360" w:lineRule="auto"/>
        <w:ind w:left="1418" w:hanging="284"/>
        <w:contextualSpacing/>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Provincial Roads Maintenance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R490 million in 2022/23 and R294 million in 2023/24.</w:t>
      </w:r>
    </w:p>
    <w:p w:rsidR="00A71E3D" w:rsidRPr="003A377E" w:rsidRDefault="00A71E3D">
      <w:pPr>
        <w:tabs>
          <w:tab w:val="left" w:pos="284"/>
          <w:tab w:val="left" w:pos="567"/>
        </w:tabs>
        <w:spacing w:after="0" w:line="360" w:lineRule="auto"/>
        <w:ind w:left="1134"/>
        <w:contextualSpacing/>
        <w:jc w:val="both"/>
        <w:rPr>
          <w:rFonts w:ascii="Times New Roman" w:eastAsia="Times New Roman" w:hAnsi="Times New Roman" w:cs="Times New Roman"/>
          <w:sz w:val="24"/>
          <w:szCs w:val="24"/>
        </w:rPr>
      </w:pPr>
    </w:p>
    <w:p w:rsidR="00A71E3D" w:rsidRPr="003A377E" w:rsidRDefault="00A71E3D">
      <w:pPr>
        <w:pStyle w:val="ListParagraph"/>
        <w:numPr>
          <w:ilvl w:val="2"/>
          <w:numId w:val="10"/>
        </w:numPr>
        <w:tabs>
          <w:tab w:val="left" w:pos="284"/>
          <w:tab w:val="left" w:pos="567"/>
        </w:tabs>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 xml:space="preserve"> Repr</w:t>
      </w:r>
      <w:r w:rsidR="00E6244C" w:rsidRPr="003A377E">
        <w:rPr>
          <w:rFonts w:ascii="Times New Roman" w:eastAsia="Times New Roman" w:hAnsi="Times New Roman" w:cs="Times New Roman"/>
          <w:b/>
          <w:sz w:val="24"/>
          <w:szCs w:val="24"/>
        </w:rPr>
        <w:t xml:space="preserve">ioritisation and reductions of </w:t>
      </w:r>
      <w:r w:rsidR="003E3091" w:rsidRPr="003A377E">
        <w:rPr>
          <w:rFonts w:ascii="Times New Roman" w:eastAsia="Times New Roman" w:hAnsi="Times New Roman" w:cs="Times New Roman"/>
          <w:b/>
          <w:sz w:val="24"/>
          <w:szCs w:val="24"/>
        </w:rPr>
        <w:t>grant</w:t>
      </w:r>
      <w:r w:rsidRPr="003A377E">
        <w:rPr>
          <w:rFonts w:ascii="Times New Roman" w:eastAsia="Times New Roman" w:hAnsi="Times New Roman" w:cs="Times New Roman"/>
          <w:b/>
          <w:sz w:val="24"/>
          <w:szCs w:val="24"/>
        </w:rPr>
        <w:t xml:space="preserve"> allocation</w:t>
      </w:r>
      <w:r w:rsidR="003E3091" w:rsidRPr="003A377E">
        <w:rPr>
          <w:rFonts w:ascii="Times New Roman" w:eastAsia="Times New Roman" w:hAnsi="Times New Roman" w:cs="Times New Roman"/>
          <w:b/>
          <w:sz w:val="24"/>
          <w:szCs w:val="24"/>
        </w:rPr>
        <w:t>s</w:t>
      </w:r>
      <w:r w:rsidRPr="003A377E">
        <w:rPr>
          <w:rFonts w:ascii="Times New Roman" w:eastAsia="Times New Roman" w:hAnsi="Times New Roman" w:cs="Times New Roman"/>
          <w:b/>
          <w:sz w:val="24"/>
          <w:szCs w:val="24"/>
        </w:rPr>
        <w:t xml:space="preserve"> </w:t>
      </w:r>
    </w:p>
    <w:p w:rsidR="00A71E3D" w:rsidRPr="003A377E" w:rsidRDefault="00A71E3D">
      <w:pPr>
        <w:tabs>
          <w:tab w:val="left" w:pos="284"/>
          <w:tab w:val="left" w:pos="567"/>
        </w:tabs>
        <w:spacing w:after="0" w:line="360" w:lineRule="auto"/>
        <w:ind w:left="360"/>
        <w:contextualSpacing/>
        <w:jc w:val="both"/>
        <w:rPr>
          <w:rFonts w:ascii="Times New Roman" w:eastAsia="Times New Roman" w:hAnsi="Times New Roman" w:cs="Times New Roman"/>
          <w:b/>
          <w:sz w:val="24"/>
          <w:szCs w:val="24"/>
        </w:rPr>
      </w:pPr>
    </w:p>
    <w:p w:rsidR="00A71E3D" w:rsidRPr="003A377E" w:rsidRDefault="00A71E3D">
      <w:pPr>
        <w:numPr>
          <w:ilvl w:val="0"/>
          <w:numId w:val="8"/>
        </w:numPr>
        <w:tabs>
          <w:tab w:val="left" w:pos="284"/>
          <w:tab w:val="left" w:pos="567"/>
        </w:tabs>
        <w:spacing w:after="0" w:line="360" w:lineRule="auto"/>
        <w:contextualSpacing/>
        <w:jc w:val="both"/>
        <w:rPr>
          <w:rFonts w:ascii="Times New Roman" w:eastAsia="Times New Roman" w:hAnsi="Times New Roman" w:cs="Times New Roman"/>
          <w:b/>
          <w:sz w:val="24"/>
          <w:szCs w:val="24"/>
        </w:rPr>
      </w:pPr>
      <w:r w:rsidRPr="003A377E">
        <w:rPr>
          <w:rFonts w:ascii="Times New Roman" w:eastAsia="Times New Roman" w:hAnsi="Times New Roman" w:cs="Times New Roman"/>
          <w:sz w:val="24"/>
          <w:szCs w:val="24"/>
        </w:rPr>
        <w:t>To address funding shortfalls for medical i</w:t>
      </w:r>
      <w:r w:rsidR="0041115F" w:rsidRPr="003A377E">
        <w:rPr>
          <w:rFonts w:ascii="Times New Roman" w:eastAsia="Times New Roman" w:hAnsi="Times New Roman" w:cs="Times New Roman"/>
          <w:sz w:val="24"/>
          <w:szCs w:val="24"/>
        </w:rPr>
        <w:t>nternship and community service</w:t>
      </w:r>
      <w:r w:rsidRPr="003A377E">
        <w:rPr>
          <w:rFonts w:ascii="Times New Roman" w:eastAsia="Times New Roman" w:hAnsi="Times New Roman" w:cs="Times New Roman"/>
          <w:sz w:val="24"/>
          <w:szCs w:val="24"/>
        </w:rPr>
        <w:t xml:space="preserve"> posts in provinces over the 2022 MTEF period, R745 million is reprioritised to the </w:t>
      </w:r>
      <w:r w:rsidR="003E3091" w:rsidRPr="003A377E">
        <w:rPr>
          <w:rFonts w:ascii="Times New Roman" w:eastAsia="Times New Roman" w:hAnsi="Times New Roman" w:cs="Times New Roman"/>
          <w:sz w:val="24"/>
          <w:szCs w:val="24"/>
        </w:rPr>
        <w:t>Human Resources and T</w:t>
      </w:r>
      <w:r w:rsidRPr="003A377E">
        <w:rPr>
          <w:rFonts w:ascii="Times New Roman" w:eastAsia="Times New Roman" w:hAnsi="Times New Roman" w:cs="Times New Roman"/>
          <w:sz w:val="24"/>
          <w:szCs w:val="24"/>
        </w:rPr>
        <w:t xml:space="preserve">raining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Th</w:t>
      </w:r>
      <w:r w:rsidR="00901353" w:rsidRPr="003A377E">
        <w:rPr>
          <w:rFonts w:ascii="Times New Roman" w:eastAsia="Times New Roman" w:hAnsi="Times New Roman" w:cs="Times New Roman"/>
          <w:sz w:val="24"/>
          <w:szCs w:val="24"/>
        </w:rPr>
        <w:t xml:space="preserve">is </w:t>
      </w:r>
      <w:r w:rsidRPr="003A377E">
        <w:rPr>
          <w:rFonts w:ascii="Times New Roman" w:eastAsia="Times New Roman" w:hAnsi="Times New Roman" w:cs="Times New Roman"/>
          <w:sz w:val="24"/>
          <w:szCs w:val="24"/>
        </w:rPr>
        <w:t xml:space="preserve">funding </w:t>
      </w:r>
      <w:r w:rsidR="00901353" w:rsidRPr="003A377E">
        <w:rPr>
          <w:rFonts w:ascii="Times New Roman" w:eastAsia="Times New Roman" w:hAnsi="Times New Roman" w:cs="Times New Roman"/>
          <w:sz w:val="24"/>
          <w:szCs w:val="24"/>
        </w:rPr>
        <w:t xml:space="preserve">will be made </w:t>
      </w:r>
      <w:r w:rsidRPr="003A377E">
        <w:rPr>
          <w:rFonts w:ascii="Times New Roman" w:eastAsia="Times New Roman" w:hAnsi="Times New Roman" w:cs="Times New Roman"/>
          <w:sz w:val="24"/>
          <w:szCs w:val="24"/>
        </w:rPr>
        <w:t xml:space="preserve">available through reprioritising R345 million from the Health Facility Revitalisation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 and R400 million from the </w:t>
      </w:r>
      <w:r w:rsidR="00901353" w:rsidRPr="003A377E">
        <w:rPr>
          <w:rFonts w:ascii="Times New Roman" w:eastAsia="Times New Roman" w:hAnsi="Times New Roman" w:cs="Times New Roman"/>
          <w:sz w:val="24"/>
          <w:szCs w:val="24"/>
        </w:rPr>
        <w:t>N</w:t>
      </w:r>
      <w:r w:rsidRPr="003A377E">
        <w:rPr>
          <w:rFonts w:ascii="Times New Roman" w:eastAsia="Times New Roman" w:hAnsi="Times New Roman" w:cs="Times New Roman"/>
          <w:sz w:val="24"/>
          <w:szCs w:val="24"/>
        </w:rPr>
        <w:t xml:space="preserve">ational </w:t>
      </w:r>
      <w:r w:rsidR="00901353" w:rsidRPr="003A377E">
        <w:rPr>
          <w:rFonts w:ascii="Times New Roman" w:eastAsia="Times New Roman" w:hAnsi="Times New Roman" w:cs="Times New Roman"/>
          <w:sz w:val="24"/>
          <w:szCs w:val="24"/>
        </w:rPr>
        <w:t>Health I</w:t>
      </w:r>
      <w:r w:rsidRPr="003A377E">
        <w:rPr>
          <w:rFonts w:ascii="Times New Roman" w:eastAsia="Times New Roman" w:hAnsi="Times New Roman" w:cs="Times New Roman"/>
          <w:sz w:val="24"/>
          <w:szCs w:val="24"/>
        </w:rPr>
        <w:t xml:space="preserve">nsurance </w:t>
      </w:r>
      <w:r w:rsidR="00901353" w:rsidRPr="003A377E">
        <w:rPr>
          <w:rFonts w:ascii="Times New Roman" w:eastAsia="Times New Roman" w:hAnsi="Times New Roman" w:cs="Times New Roman"/>
          <w:sz w:val="24"/>
          <w:szCs w:val="24"/>
        </w:rPr>
        <w:t>I</w:t>
      </w:r>
      <w:r w:rsidRPr="003A377E">
        <w:rPr>
          <w:rFonts w:ascii="Times New Roman" w:eastAsia="Times New Roman" w:hAnsi="Times New Roman" w:cs="Times New Roman"/>
          <w:sz w:val="24"/>
          <w:szCs w:val="24"/>
        </w:rPr>
        <w:t xml:space="preserve">ndirect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 over the 2022 MTEF period.</w:t>
      </w:r>
    </w:p>
    <w:p w:rsidR="00964BE0" w:rsidRPr="003A377E" w:rsidRDefault="00A71E3D">
      <w:pPr>
        <w:numPr>
          <w:ilvl w:val="0"/>
          <w:numId w:val="8"/>
        </w:numPr>
        <w:tabs>
          <w:tab w:val="left" w:pos="284"/>
          <w:tab w:val="left" w:pos="567"/>
        </w:tabs>
        <w:spacing w:after="0" w:line="360" w:lineRule="auto"/>
        <w:contextualSpacing/>
        <w:jc w:val="both"/>
        <w:rPr>
          <w:rFonts w:ascii="Times New Roman" w:eastAsia="Times New Roman" w:hAnsi="Times New Roman" w:cs="Times New Roman"/>
          <w:b/>
          <w:sz w:val="24"/>
          <w:szCs w:val="24"/>
        </w:rPr>
      </w:pPr>
      <w:r w:rsidRPr="003A377E">
        <w:rPr>
          <w:rFonts w:ascii="Times New Roman" w:eastAsia="Times New Roman" w:hAnsi="Times New Roman" w:cs="Times New Roman"/>
          <w:sz w:val="24"/>
          <w:szCs w:val="24"/>
        </w:rPr>
        <w:t xml:space="preserve"> </w:t>
      </w:r>
      <w:r w:rsidR="00901353" w:rsidRPr="003A377E">
        <w:rPr>
          <w:rFonts w:ascii="Times New Roman" w:eastAsia="Times New Roman" w:hAnsi="Times New Roman" w:cs="Times New Roman"/>
          <w:sz w:val="24"/>
          <w:szCs w:val="24"/>
        </w:rPr>
        <w:t xml:space="preserve">R1.7 billion will be </w:t>
      </w:r>
      <w:r w:rsidRPr="003A377E">
        <w:rPr>
          <w:rFonts w:ascii="Times New Roman" w:eastAsia="Times New Roman" w:hAnsi="Times New Roman" w:cs="Times New Roman"/>
          <w:sz w:val="24"/>
          <w:szCs w:val="24"/>
        </w:rPr>
        <w:t xml:space="preserve">reduced from the Provincial Roads Maintenance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 in 2022/23. These funds were set aside in the </w:t>
      </w:r>
      <w:r w:rsidR="00E72F03" w:rsidRPr="003A377E">
        <w:rPr>
          <w:rFonts w:ascii="Times New Roman" w:eastAsia="Times New Roman" w:hAnsi="Times New Roman" w:cs="Times New Roman"/>
          <w:sz w:val="24"/>
          <w:szCs w:val="24"/>
        </w:rPr>
        <w:t>G</w:t>
      </w:r>
      <w:r w:rsidR="0041115F" w:rsidRPr="003A377E">
        <w:rPr>
          <w:rFonts w:ascii="Times New Roman" w:eastAsia="Times New Roman" w:hAnsi="Times New Roman" w:cs="Times New Roman"/>
          <w:sz w:val="24"/>
          <w:szCs w:val="24"/>
        </w:rPr>
        <w:t xml:space="preserve">rant </w:t>
      </w:r>
      <w:r w:rsidRPr="003A377E">
        <w:rPr>
          <w:rFonts w:ascii="Times New Roman" w:eastAsia="Times New Roman" w:hAnsi="Times New Roman" w:cs="Times New Roman"/>
          <w:sz w:val="24"/>
          <w:szCs w:val="24"/>
        </w:rPr>
        <w:t xml:space="preserve">baseline in the 2021 MTEF as an incentive portion allocated to provinces based on their performance. For the 2022/23 financial year, the incentive portion will not be allocated </w:t>
      </w:r>
      <w:r w:rsidR="00901353" w:rsidRPr="003A377E">
        <w:rPr>
          <w:rFonts w:ascii="Times New Roman" w:eastAsia="Times New Roman" w:hAnsi="Times New Roman" w:cs="Times New Roman"/>
          <w:sz w:val="24"/>
          <w:szCs w:val="24"/>
        </w:rPr>
        <w:t xml:space="preserve">as </w:t>
      </w:r>
      <w:r w:rsidRPr="003A377E">
        <w:rPr>
          <w:rFonts w:ascii="Times New Roman" w:eastAsia="Times New Roman" w:hAnsi="Times New Roman" w:cs="Times New Roman"/>
          <w:sz w:val="24"/>
          <w:szCs w:val="24"/>
        </w:rPr>
        <w:t>the process of developi</w:t>
      </w:r>
      <w:r w:rsidR="003E3091" w:rsidRPr="003A377E">
        <w:rPr>
          <w:rFonts w:ascii="Times New Roman" w:eastAsia="Times New Roman" w:hAnsi="Times New Roman" w:cs="Times New Roman"/>
          <w:sz w:val="24"/>
          <w:szCs w:val="24"/>
        </w:rPr>
        <w:t>ng clear and objective criteria</w:t>
      </w:r>
      <w:r w:rsidRPr="003A377E">
        <w:rPr>
          <w:rFonts w:ascii="Times New Roman" w:eastAsia="Times New Roman" w:hAnsi="Times New Roman" w:cs="Times New Roman"/>
          <w:sz w:val="24"/>
          <w:szCs w:val="24"/>
        </w:rPr>
        <w:t xml:space="preserve"> </w:t>
      </w:r>
      <w:r w:rsidR="00901353" w:rsidRPr="003A377E">
        <w:rPr>
          <w:rFonts w:ascii="Times New Roman" w:eastAsia="Times New Roman" w:hAnsi="Times New Roman" w:cs="Times New Roman"/>
          <w:sz w:val="24"/>
          <w:szCs w:val="24"/>
        </w:rPr>
        <w:t>is being finalised</w:t>
      </w:r>
      <w:r w:rsidR="00E6244C" w:rsidRPr="003A377E">
        <w:rPr>
          <w:rFonts w:ascii="Times New Roman" w:eastAsia="Times New Roman" w:hAnsi="Times New Roman" w:cs="Times New Roman"/>
          <w:sz w:val="24"/>
          <w:szCs w:val="24"/>
        </w:rPr>
        <w:t xml:space="preserve"> by the sector</w:t>
      </w:r>
      <w:r w:rsidR="00901353" w:rsidRPr="003A377E">
        <w:rPr>
          <w:rFonts w:ascii="Times New Roman" w:eastAsia="Times New Roman" w:hAnsi="Times New Roman" w:cs="Times New Roman"/>
          <w:sz w:val="24"/>
          <w:szCs w:val="24"/>
        </w:rPr>
        <w:t>.</w:t>
      </w:r>
    </w:p>
    <w:p w:rsidR="00A71E3D" w:rsidRPr="003A377E" w:rsidRDefault="00901353">
      <w:pPr>
        <w:tabs>
          <w:tab w:val="left" w:pos="284"/>
          <w:tab w:val="left" w:pos="567"/>
        </w:tabs>
        <w:spacing w:after="0" w:line="360" w:lineRule="auto"/>
        <w:ind w:left="644"/>
        <w:contextualSpacing/>
        <w:jc w:val="both"/>
        <w:rPr>
          <w:rFonts w:ascii="Times New Roman" w:eastAsia="Times New Roman" w:hAnsi="Times New Roman" w:cs="Times New Roman"/>
          <w:b/>
          <w:sz w:val="24"/>
          <w:szCs w:val="24"/>
        </w:rPr>
      </w:pPr>
      <w:r w:rsidRPr="003A377E">
        <w:rPr>
          <w:rFonts w:ascii="Times New Roman" w:eastAsia="Times New Roman" w:hAnsi="Times New Roman" w:cs="Times New Roman"/>
          <w:sz w:val="24"/>
          <w:szCs w:val="24"/>
        </w:rPr>
        <w:t xml:space="preserve"> </w:t>
      </w:r>
      <w:r w:rsidR="00A71E3D" w:rsidRPr="003A377E">
        <w:rPr>
          <w:rFonts w:ascii="Times New Roman" w:eastAsia="Times New Roman" w:hAnsi="Times New Roman" w:cs="Times New Roman"/>
          <w:sz w:val="24"/>
          <w:szCs w:val="24"/>
        </w:rPr>
        <w:t xml:space="preserve"> </w:t>
      </w:r>
    </w:p>
    <w:p w:rsidR="00964BE0" w:rsidRPr="003A377E" w:rsidRDefault="00964BE0">
      <w:pPr>
        <w:pStyle w:val="ListParagraph"/>
        <w:numPr>
          <w:ilvl w:val="2"/>
          <w:numId w:val="10"/>
        </w:numPr>
        <w:tabs>
          <w:tab w:val="left" w:pos="284"/>
          <w:tab w:val="left" w:pos="567"/>
        </w:tabs>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Correction t</w:t>
      </w:r>
      <w:r w:rsidR="00E6244C" w:rsidRPr="003A377E">
        <w:rPr>
          <w:rFonts w:ascii="Times New Roman" w:eastAsia="Times New Roman" w:hAnsi="Times New Roman" w:cs="Times New Roman"/>
          <w:b/>
          <w:sz w:val="24"/>
          <w:szCs w:val="24"/>
        </w:rPr>
        <w:t>o the District Health Programme</w:t>
      </w:r>
      <w:r w:rsidRPr="003A377E">
        <w:rPr>
          <w:rFonts w:ascii="Times New Roman" w:eastAsia="Times New Roman" w:hAnsi="Times New Roman" w:cs="Times New Roman"/>
          <w:b/>
          <w:sz w:val="24"/>
          <w:szCs w:val="24"/>
        </w:rPr>
        <w:t xml:space="preserve"> </w:t>
      </w:r>
      <w:r w:rsidR="003E3091" w:rsidRPr="003A377E">
        <w:rPr>
          <w:rFonts w:ascii="Times New Roman" w:eastAsia="Times New Roman" w:hAnsi="Times New Roman" w:cs="Times New Roman"/>
          <w:b/>
          <w:sz w:val="24"/>
          <w:szCs w:val="24"/>
        </w:rPr>
        <w:t>Grant</w:t>
      </w:r>
      <w:r w:rsidRPr="003A377E">
        <w:rPr>
          <w:rFonts w:ascii="Times New Roman" w:eastAsia="Times New Roman" w:hAnsi="Times New Roman" w:cs="Times New Roman"/>
          <w:b/>
          <w:sz w:val="24"/>
          <w:szCs w:val="24"/>
        </w:rPr>
        <w:t xml:space="preserve"> </w:t>
      </w:r>
      <w:r w:rsidR="002C710B" w:rsidRPr="003A377E">
        <w:rPr>
          <w:rFonts w:ascii="Times New Roman" w:eastAsia="Times New Roman" w:hAnsi="Times New Roman" w:cs="Times New Roman"/>
          <w:b/>
          <w:sz w:val="24"/>
          <w:szCs w:val="24"/>
        </w:rPr>
        <w:t>F</w:t>
      </w:r>
      <w:r w:rsidRPr="003A377E">
        <w:rPr>
          <w:rFonts w:ascii="Times New Roman" w:eastAsia="Times New Roman" w:hAnsi="Times New Roman" w:cs="Times New Roman"/>
          <w:b/>
          <w:sz w:val="24"/>
          <w:szCs w:val="24"/>
        </w:rPr>
        <w:t>ramework</w:t>
      </w:r>
    </w:p>
    <w:p w:rsidR="00964BE0" w:rsidRPr="003A377E" w:rsidRDefault="00964BE0">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lastRenderedPageBreak/>
        <w:t>The overarching framework fo</w:t>
      </w:r>
      <w:r w:rsidR="00E6244C" w:rsidRPr="003A377E">
        <w:rPr>
          <w:rFonts w:ascii="Times New Roman" w:eastAsia="Times New Roman" w:hAnsi="Times New Roman" w:cs="Times New Roman"/>
          <w:sz w:val="24"/>
          <w:szCs w:val="24"/>
        </w:rPr>
        <w:t>r the District Health Programme</w:t>
      </w:r>
      <w:r w:rsidRPr="003A377E">
        <w:rPr>
          <w:rFonts w:ascii="Times New Roman" w:eastAsia="Times New Roman" w:hAnsi="Times New Roman" w:cs="Times New Roman"/>
          <w:sz w:val="24"/>
          <w:szCs w:val="24"/>
        </w:rPr>
        <w:t xml:space="preserve"> </w:t>
      </w:r>
      <w:r w:rsidR="003E3091" w:rsidRPr="003A377E">
        <w:rPr>
          <w:rFonts w:ascii="Times New Roman" w:eastAsia="Times New Roman" w:hAnsi="Times New Roman" w:cs="Times New Roman"/>
          <w:sz w:val="24"/>
          <w:szCs w:val="24"/>
        </w:rPr>
        <w:t>Grant</w:t>
      </w:r>
      <w:r w:rsidR="006A2D2D" w:rsidRPr="003A377E">
        <w:rPr>
          <w:rFonts w:ascii="Times New Roman" w:eastAsia="Times New Roman" w:hAnsi="Times New Roman" w:cs="Times New Roman"/>
          <w:sz w:val="24"/>
          <w:szCs w:val="24"/>
        </w:rPr>
        <w:t xml:space="preserve"> wrongly</w:t>
      </w:r>
      <w:r w:rsidRPr="003A377E">
        <w:rPr>
          <w:rFonts w:ascii="Times New Roman" w:eastAsia="Times New Roman" w:hAnsi="Times New Roman" w:cs="Times New Roman"/>
          <w:sz w:val="24"/>
          <w:szCs w:val="24"/>
        </w:rPr>
        <w:t xml:space="preserve"> indicates the target for </w:t>
      </w:r>
      <w:r w:rsidR="006A2D2D" w:rsidRPr="003A377E">
        <w:rPr>
          <w:rFonts w:ascii="Times New Roman" w:eastAsia="Times New Roman" w:hAnsi="Times New Roman" w:cs="Times New Roman"/>
          <w:sz w:val="24"/>
          <w:szCs w:val="24"/>
        </w:rPr>
        <w:t xml:space="preserve">the </w:t>
      </w:r>
      <w:r w:rsidRPr="003A377E">
        <w:rPr>
          <w:rFonts w:ascii="Times New Roman" w:eastAsia="Times New Roman" w:hAnsi="Times New Roman" w:cs="Times New Roman"/>
          <w:sz w:val="24"/>
          <w:szCs w:val="24"/>
        </w:rPr>
        <w:t xml:space="preserve">human papillomavirus vaccination programme </w:t>
      </w:r>
      <w:r w:rsidR="006A2D2D" w:rsidRPr="003A377E">
        <w:rPr>
          <w:rFonts w:ascii="Times New Roman" w:eastAsia="Times New Roman" w:hAnsi="Times New Roman" w:cs="Times New Roman"/>
          <w:sz w:val="24"/>
          <w:szCs w:val="24"/>
        </w:rPr>
        <w:t>as G</w:t>
      </w:r>
      <w:r w:rsidRPr="003A377E">
        <w:rPr>
          <w:rFonts w:ascii="Times New Roman" w:eastAsia="Times New Roman" w:hAnsi="Times New Roman" w:cs="Times New Roman"/>
          <w:sz w:val="24"/>
          <w:szCs w:val="24"/>
        </w:rPr>
        <w:t xml:space="preserve">rade </w:t>
      </w:r>
      <w:r w:rsidR="006A2D2D" w:rsidRPr="003A377E">
        <w:rPr>
          <w:rFonts w:ascii="Times New Roman" w:eastAsia="Times New Roman" w:hAnsi="Times New Roman" w:cs="Times New Roman"/>
          <w:sz w:val="24"/>
          <w:szCs w:val="24"/>
        </w:rPr>
        <w:t>7</w:t>
      </w:r>
      <w:r w:rsidRPr="003A377E">
        <w:rPr>
          <w:rFonts w:ascii="Times New Roman" w:eastAsia="Times New Roman" w:hAnsi="Times New Roman" w:cs="Times New Roman"/>
          <w:sz w:val="24"/>
          <w:szCs w:val="24"/>
        </w:rPr>
        <w:t xml:space="preserve"> school girls. However, </w:t>
      </w:r>
      <w:r w:rsidR="00E6244C" w:rsidRPr="003A377E">
        <w:rPr>
          <w:rFonts w:ascii="Times New Roman" w:eastAsia="Times New Roman" w:hAnsi="Times New Roman" w:cs="Times New Roman"/>
          <w:sz w:val="24"/>
          <w:szCs w:val="24"/>
        </w:rPr>
        <w:t xml:space="preserve">the </w:t>
      </w:r>
      <w:r w:rsidR="004E603F"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 fund</w:t>
      </w:r>
      <w:r w:rsidR="004E603F" w:rsidRPr="003A377E">
        <w:rPr>
          <w:rFonts w:ascii="Times New Roman" w:eastAsia="Times New Roman" w:hAnsi="Times New Roman" w:cs="Times New Roman"/>
          <w:sz w:val="24"/>
          <w:szCs w:val="24"/>
        </w:rPr>
        <w:t>s are</w:t>
      </w:r>
      <w:r w:rsidRPr="003A377E">
        <w:rPr>
          <w:rFonts w:ascii="Times New Roman" w:eastAsia="Times New Roman" w:hAnsi="Times New Roman" w:cs="Times New Roman"/>
          <w:sz w:val="24"/>
          <w:szCs w:val="24"/>
        </w:rPr>
        <w:t xml:space="preserve"> targeted at</w:t>
      </w:r>
      <w:r w:rsidR="006A2D2D" w:rsidRPr="003A377E">
        <w:rPr>
          <w:rFonts w:ascii="Times New Roman" w:eastAsia="Times New Roman" w:hAnsi="Times New Roman" w:cs="Times New Roman"/>
          <w:sz w:val="24"/>
          <w:szCs w:val="24"/>
        </w:rPr>
        <w:t xml:space="preserve"> G</w:t>
      </w:r>
      <w:r w:rsidRPr="003A377E">
        <w:rPr>
          <w:rFonts w:ascii="Times New Roman" w:eastAsia="Times New Roman" w:hAnsi="Times New Roman" w:cs="Times New Roman"/>
          <w:sz w:val="24"/>
          <w:szCs w:val="24"/>
        </w:rPr>
        <w:t xml:space="preserve">rade </w:t>
      </w:r>
      <w:r w:rsidR="006A2D2D" w:rsidRPr="003A377E">
        <w:rPr>
          <w:rFonts w:ascii="Times New Roman" w:eastAsia="Times New Roman" w:hAnsi="Times New Roman" w:cs="Times New Roman"/>
          <w:sz w:val="24"/>
          <w:szCs w:val="24"/>
        </w:rPr>
        <w:t xml:space="preserve">5 </w:t>
      </w:r>
      <w:r w:rsidR="00E6244C" w:rsidRPr="003A377E">
        <w:rPr>
          <w:rFonts w:ascii="Times New Roman" w:eastAsia="Times New Roman" w:hAnsi="Times New Roman" w:cs="Times New Roman"/>
          <w:sz w:val="24"/>
          <w:szCs w:val="24"/>
        </w:rPr>
        <w:t xml:space="preserve">girls in public </w:t>
      </w:r>
      <w:r w:rsidR="006A2D2D" w:rsidRPr="003A377E">
        <w:rPr>
          <w:rFonts w:ascii="Times New Roman" w:eastAsia="Times New Roman" w:hAnsi="Times New Roman" w:cs="Times New Roman"/>
          <w:sz w:val="24"/>
          <w:szCs w:val="24"/>
        </w:rPr>
        <w:t>and special schools. While t</w:t>
      </w:r>
      <w:r w:rsidRPr="003A377E">
        <w:rPr>
          <w:rFonts w:ascii="Times New Roman" w:eastAsia="Times New Roman" w:hAnsi="Times New Roman" w:cs="Times New Roman"/>
          <w:sz w:val="24"/>
          <w:szCs w:val="24"/>
        </w:rPr>
        <w:t xml:space="preserve">he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 framework for the District Health component shows the correct target </w:t>
      </w:r>
      <w:r w:rsidR="006A2D2D" w:rsidRPr="003A377E">
        <w:rPr>
          <w:rFonts w:ascii="Times New Roman" w:eastAsia="Times New Roman" w:hAnsi="Times New Roman" w:cs="Times New Roman"/>
          <w:sz w:val="24"/>
          <w:szCs w:val="24"/>
        </w:rPr>
        <w:t>and the</w:t>
      </w:r>
      <w:r w:rsidRPr="003A377E">
        <w:rPr>
          <w:rFonts w:ascii="Times New Roman" w:eastAsia="Times New Roman" w:hAnsi="Times New Roman" w:cs="Times New Roman"/>
          <w:sz w:val="24"/>
          <w:szCs w:val="24"/>
        </w:rPr>
        <w:t xml:space="preserve"> error does not affect al</w:t>
      </w:r>
      <w:r w:rsidR="006A2D2D" w:rsidRPr="003A377E">
        <w:rPr>
          <w:rFonts w:ascii="Times New Roman" w:eastAsia="Times New Roman" w:hAnsi="Times New Roman" w:cs="Times New Roman"/>
          <w:sz w:val="24"/>
          <w:szCs w:val="24"/>
        </w:rPr>
        <w:t>locations per province;</w:t>
      </w:r>
      <w:r w:rsidRPr="003A377E">
        <w:rPr>
          <w:rFonts w:ascii="Times New Roman" w:eastAsia="Times New Roman" w:hAnsi="Times New Roman" w:cs="Times New Roman"/>
          <w:sz w:val="24"/>
          <w:szCs w:val="24"/>
        </w:rPr>
        <w:t xml:space="preserve"> it creates confusion </w:t>
      </w:r>
      <w:r w:rsidR="006A2D2D" w:rsidRPr="003A377E">
        <w:rPr>
          <w:rFonts w:ascii="Times New Roman" w:eastAsia="Times New Roman" w:hAnsi="Times New Roman" w:cs="Times New Roman"/>
          <w:sz w:val="24"/>
          <w:szCs w:val="24"/>
        </w:rPr>
        <w:t>and National Treasury requested</w:t>
      </w:r>
      <w:r w:rsidRPr="003A377E">
        <w:rPr>
          <w:rFonts w:ascii="Times New Roman" w:eastAsia="Times New Roman" w:hAnsi="Times New Roman" w:cs="Times New Roman"/>
          <w:sz w:val="24"/>
          <w:szCs w:val="24"/>
        </w:rPr>
        <w:t xml:space="preserve"> the Standing Committee on Appropriations to recommend that the conditional </w:t>
      </w:r>
      <w:r w:rsidR="006A2D2D"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 framework be corrected as part of the gazette that will be issued in terms of section 15 of the Act, once the Bill is enacted.</w:t>
      </w:r>
    </w:p>
    <w:p w:rsidR="004C79D9" w:rsidRPr="003A377E" w:rsidRDefault="004C79D9">
      <w:pPr>
        <w:pStyle w:val="Default"/>
        <w:spacing w:line="360" w:lineRule="auto"/>
        <w:jc w:val="both"/>
        <w:rPr>
          <w:rFonts w:ascii="Times New Roman" w:hAnsi="Times New Roman" w:cs="Times New Roman"/>
          <w:bCs/>
        </w:rPr>
      </w:pPr>
    </w:p>
    <w:p w:rsidR="00964BE0" w:rsidRPr="003A377E" w:rsidRDefault="00964BE0">
      <w:pPr>
        <w:tabs>
          <w:tab w:val="left" w:pos="284"/>
          <w:tab w:val="left" w:pos="567"/>
        </w:tabs>
        <w:spacing w:after="0" w:line="360" w:lineRule="auto"/>
        <w:contextualSpacing/>
        <w:jc w:val="both"/>
        <w:rPr>
          <w:rFonts w:ascii="Times New Roman" w:eastAsia="Times New Roman" w:hAnsi="Times New Roman" w:cs="Times New Roman"/>
          <w:b/>
          <w:sz w:val="24"/>
          <w:szCs w:val="24"/>
        </w:rPr>
      </w:pPr>
      <w:r w:rsidRPr="003A377E">
        <w:rPr>
          <w:rFonts w:ascii="Times New Roman" w:hAnsi="Times New Roman" w:cs="Times New Roman"/>
          <w:b/>
          <w:bCs/>
          <w:sz w:val="24"/>
          <w:szCs w:val="24"/>
        </w:rPr>
        <w:t>4.2.4</w:t>
      </w:r>
      <w:r w:rsidRPr="003A377E">
        <w:rPr>
          <w:rFonts w:ascii="Times New Roman" w:hAnsi="Times New Roman" w:cs="Times New Roman"/>
          <w:bCs/>
          <w:sz w:val="24"/>
          <w:szCs w:val="24"/>
        </w:rPr>
        <w:t xml:space="preserve"> </w:t>
      </w:r>
      <w:r w:rsidRPr="003A377E">
        <w:rPr>
          <w:rFonts w:ascii="Times New Roman" w:eastAsia="Times New Roman" w:hAnsi="Times New Roman" w:cs="Times New Roman"/>
          <w:b/>
          <w:sz w:val="24"/>
          <w:szCs w:val="24"/>
        </w:rPr>
        <w:t>Cha</w:t>
      </w:r>
      <w:r w:rsidR="00FB417A" w:rsidRPr="003A377E">
        <w:rPr>
          <w:rFonts w:ascii="Times New Roman" w:eastAsia="Times New Roman" w:hAnsi="Times New Roman" w:cs="Times New Roman"/>
          <w:b/>
          <w:sz w:val="24"/>
          <w:szCs w:val="24"/>
        </w:rPr>
        <w:t xml:space="preserve">nges and renaming of </w:t>
      </w:r>
      <w:r w:rsidR="005F50AE" w:rsidRPr="003A377E">
        <w:rPr>
          <w:rFonts w:ascii="Times New Roman" w:eastAsia="Times New Roman" w:hAnsi="Times New Roman" w:cs="Times New Roman"/>
          <w:b/>
          <w:sz w:val="24"/>
          <w:szCs w:val="24"/>
        </w:rPr>
        <w:t>g</w:t>
      </w:r>
      <w:r w:rsidR="003E3091" w:rsidRPr="003A377E">
        <w:rPr>
          <w:rFonts w:ascii="Times New Roman" w:eastAsia="Times New Roman" w:hAnsi="Times New Roman" w:cs="Times New Roman"/>
          <w:b/>
          <w:sz w:val="24"/>
          <w:szCs w:val="24"/>
        </w:rPr>
        <w:t>rant</w:t>
      </w:r>
      <w:r w:rsidRPr="003A377E">
        <w:rPr>
          <w:rFonts w:ascii="Times New Roman" w:eastAsia="Times New Roman" w:hAnsi="Times New Roman" w:cs="Times New Roman"/>
          <w:b/>
          <w:sz w:val="24"/>
          <w:szCs w:val="24"/>
        </w:rPr>
        <w:t xml:space="preserve">s </w:t>
      </w:r>
    </w:p>
    <w:p w:rsidR="00964BE0" w:rsidRPr="003A377E" w:rsidRDefault="005F50AE">
      <w:pPr>
        <w:numPr>
          <w:ilvl w:val="0"/>
          <w:numId w:val="11"/>
        </w:numPr>
        <w:tabs>
          <w:tab w:val="left" w:pos="284"/>
          <w:tab w:val="left" w:pos="567"/>
        </w:tabs>
        <w:spacing w:after="0" w:line="360" w:lineRule="auto"/>
        <w:contextualSpacing/>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w:t>
      </w:r>
      <w:r w:rsidR="00964BE0" w:rsidRPr="003A377E">
        <w:rPr>
          <w:rFonts w:ascii="Times New Roman" w:eastAsia="Times New Roman" w:hAnsi="Times New Roman" w:cs="Times New Roman"/>
          <w:sz w:val="24"/>
          <w:szCs w:val="24"/>
        </w:rPr>
        <w:t xml:space="preserve">The HIV, TB, Malaria and Community Outreach </w:t>
      </w:r>
      <w:r w:rsidR="003E3091" w:rsidRPr="003A377E">
        <w:rPr>
          <w:rFonts w:ascii="Times New Roman" w:eastAsia="Times New Roman" w:hAnsi="Times New Roman" w:cs="Times New Roman"/>
          <w:sz w:val="24"/>
          <w:szCs w:val="24"/>
        </w:rPr>
        <w:t>Grant</w:t>
      </w:r>
      <w:r w:rsidR="00964BE0" w:rsidRPr="003A377E">
        <w:rPr>
          <w:rFonts w:ascii="Times New Roman" w:eastAsia="Times New Roman" w:hAnsi="Times New Roman" w:cs="Times New Roman"/>
          <w:sz w:val="24"/>
          <w:szCs w:val="24"/>
        </w:rPr>
        <w:t xml:space="preserve"> is renamed t</w:t>
      </w:r>
      <w:r w:rsidR="002544DD" w:rsidRPr="003A377E">
        <w:rPr>
          <w:rFonts w:ascii="Times New Roman" w:eastAsia="Times New Roman" w:hAnsi="Times New Roman" w:cs="Times New Roman"/>
          <w:sz w:val="24"/>
          <w:szCs w:val="24"/>
        </w:rPr>
        <w:t>he</w:t>
      </w:r>
      <w:r w:rsidR="00964BE0" w:rsidRPr="003A377E">
        <w:rPr>
          <w:rFonts w:ascii="Times New Roman" w:eastAsia="Times New Roman" w:hAnsi="Times New Roman" w:cs="Times New Roman"/>
          <w:sz w:val="24"/>
          <w:szCs w:val="24"/>
        </w:rPr>
        <w:t xml:space="preserve"> </w:t>
      </w:r>
      <w:r w:rsidR="002544DD" w:rsidRPr="003A377E">
        <w:rPr>
          <w:rFonts w:ascii="Times New Roman" w:eastAsia="Times New Roman" w:hAnsi="Times New Roman" w:cs="Times New Roman"/>
          <w:sz w:val="24"/>
          <w:szCs w:val="24"/>
        </w:rPr>
        <w:t>District Health P</w:t>
      </w:r>
      <w:r w:rsidR="00964BE0" w:rsidRPr="003A377E">
        <w:rPr>
          <w:rFonts w:ascii="Times New Roman" w:eastAsia="Times New Roman" w:hAnsi="Times New Roman" w:cs="Times New Roman"/>
          <w:sz w:val="24"/>
          <w:szCs w:val="24"/>
        </w:rPr>
        <w:t xml:space="preserve">rogramme </w:t>
      </w:r>
      <w:r w:rsidR="003E3091" w:rsidRPr="003A377E">
        <w:rPr>
          <w:rFonts w:ascii="Times New Roman" w:eastAsia="Times New Roman" w:hAnsi="Times New Roman" w:cs="Times New Roman"/>
          <w:sz w:val="24"/>
          <w:szCs w:val="24"/>
        </w:rPr>
        <w:t>Grant</w:t>
      </w:r>
      <w:r w:rsidR="00964BE0" w:rsidRPr="003A377E">
        <w:rPr>
          <w:rFonts w:ascii="Times New Roman" w:eastAsia="Times New Roman" w:hAnsi="Times New Roman" w:cs="Times New Roman"/>
          <w:sz w:val="24"/>
          <w:szCs w:val="24"/>
        </w:rPr>
        <w:t xml:space="preserve">. Though it will still be used for the same purpose, the number of components within the </w:t>
      </w:r>
      <w:r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00964BE0" w:rsidRPr="003A377E">
        <w:rPr>
          <w:rFonts w:ascii="Times New Roman" w:eastAsia="Times New Roman" w:hAnsi="Times New Roman" w:cs="Times New Roman"/>
          <w:sz w:val="24"/>
          <w:szCs w:val="24"/>
        </w:rPr>
        <w:t xml:space="preserve"> will be reduced to two. The mental health services component and the oncology service</w:t>
      </w:r>
      <w:r w:rsidRPr="003A377E">
        <w:rPr>
          <w:rFonts w:ascii="Times New Roman" w:eastAsia="Times New Roman" w:hAnsi="Times New Roman" w:cs="Times New Roman"/>
          <w:sz w:val="24"/>
          <w:szCs w:val="24"/>
        </w:rPr>
        <w:t>s</w:t>
      </w:r>
      <w:r w:rsidR="00964BE0" w:rsidRPr="003A377E">
        <w:rPr>
          <w:rFonts w:ascii="Times New Roman" w:eastAsia="Times New Roman" w:hAnsi="Times New Roman" w:cs="Times New Roman"/>
          <w:sz w:val="24"/>
          <w:szCs w:val="24"/>
        </w:rPr>
        <w:t xml:space="preserve"> component of the previous </w:t>
      </w:r>
      <w:r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 are </w:t>
      </w:r>
      <w:r w:rsidR="00964BE0" w:rsidRPr="003A377E">
        <w:rPr>
          <w:rFonts w:ascii="Times New Roman" w:eastAsia="Times New Roman" w:hAnsi="Times New Roman" w:cs="Times New Roman"/>
          <w:sz w:val="24"/>
          <w:szCs w:val="24"/>
        </w:rPr>
        <w:t xml:space="preserve">shifted to the National Health </w:t>
      </w:r>
      <w:r w:rsidR="002544DD" w:rsidRPr="003A377E">
        <w:rPr>
          <w:rFonts w:ascii="Times New Roman" w:eastAsia="Times New Roman" w:hAnsi="Times New Roman" w:cs="Times New Roman"/>
          <w:sz w:val="24"/>
          <w:szCs w:val="24"/>
        </w:rPr>
        <w:t>I</w:t>
      </w:r>
      <w:r w:rsidR="00964BE0" w:rsidRPr="003A377E">
        <w:rPr>
          <w:rFonts w:ascii="Times New Roman" w:eastAsia="Times New Roman" w:hAnsi="Times New Roman" w:cs="Times New Roman"/>
          <w:sz w:val="24"/>
          <w:szCs w:val="24"/>
        </w:rPr>
        <w:t xml:space="preserve">nsurance </w:t>
      </w:r>
      <w:r w:rsidR="003E3091" w:rsidRPr="003A377E">
        <w:rPr>
          <w:rFonts w:ascii="Times New Roman" w:eastAsia="Times New Roman" w:hAnsi="Times New Roman" w:cs="Times New Roman"/>
          <w:sz w:val="24"/>
          <w:szCs w:val="24"/>
        </w:rPr>
        <w:t>Grant</w:t>
      </w:r>
      <w:r w:rsidR="00964BE0" w:rsidRPr="003A377E">
        <w:rPr>
          <w:rFonts w:ascii="Times New Roman" w:eastAsia="Times New Roman" w:hAnsi="Times New Roman" w:cs="Times New Roman"/>
          <w:sz w:val="24"/>
          <w:szCs w:val="24"/>
        </w:rPr>
        <w:t xml:space="preserve">. </w:t>
      </w:r>
    </w:p>
    <w:p w:rsidR="00964BE0" w:rsidRPr="003A377E" w:rsidRDefault="00964BE0">
      <w:pPr>
        <w:numPr>
          <w:ilvl w:val="0"/>
          <w:numId w:val="11"/>
        </w:numPr>
        <w:tabs>
          <w:tab w:val="left" w:pos="284"/>
          <w:tab w:val="left" w:pos="567"/>
        </w:tabs>
        <w:spacing w:after="0" w:line="360" w:lineRule="auto"/>
        <w:contextualSpacing/>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The </w:t>
      </w:r>
      <w:r w:rsidR="00930D73" w:rsidRPr="003A377E">
        <w:rPr>
          <w:rFonts w:ascii="Times New Roman" w:eastAsia="Times New Roman" w:hAnsi="Times New Roman" w:cs="Times New Roman"/>
          <w:sz w:val="24"/>
          <w:szCs w:val="24"/>
        </w:rPr>
        <w:t>E</w:t>
      </w:r>
      <w:r w:rsidRPr="003A377E">
        <w:rPr>
          <w:rFonts w:ascii="Times New Roman" w:eastAsia="Times New Roman" w:hAnsi="Times New Roman" w:cs="Times New Roman"/>
          <w:sz w:val="24"/>
          <w:szCs w:val="24"/>
        </w:rPr>
        <w:t xml:space="preserve">arly </w:t>
      </w:r>
      <w:r w:rsidR="00930D73" w:rsidRPr="003A377E">
        <w:rPr>
          <w:rFonts w:ascii="Times New Roman" w:eastAsia="Times New Roman" w:hAnsi="Times New Roman" w:cs="Times New Roman"/>
          <w:sz w:val="24"/>
          <w:szCs w:val="24"/>
        </w:rPr>
        <w:t>C</w:t>
      </w:r>
      <w:r w:rsidRPr="003A377E">
        <w:rPr>
          <w:rFonts w:ascii="Times New Roman" w:eastAsia="Times New Roman" w:hAnsi="Times New Roman" w:cs="Times New Roman"/>
          <w:sz w:val="24"/>
          <w:szCs w:val="24"/>
        </w:rPr>
        <w:t xml:space="preserve">hildhood </w:t>
      </w:r>
      <w:r w:rsidR="00930D73" w:rsidRPr="003A377E">
        <w:rPr>
          <w:rFonts w:ascii="Times New Roman" w:eastAsia="Times New Roman" w:hAnsi="Times New Roman" w:cs="Times New Roman"/>
          <w:sz w:val="24"/>
          <w:szCs w:val="24"/>
        </w:rPr>
        <w:t>D</w:t>
      </w:r>
      <w:r w:rsidRPr="003A377E">
        <w:rPr>
          <w:rFonts w:ascii="Times New Roman" w:eastAsia="Times New Roman" w:hAnsi="Times New Roman" w:cs="Times New Roman"/>
          <w:sz w:val="24"/>
          <w:szCs w:val="24"/>
        </w:rPr>
        <w:t xml:space="preserve">evelopment </w:t>
      </w:r>
      <w:r w:rsidR="004E603F" w:rsidRPr="003A377E">
        <w:rPr>
          <w:rFonts w:ascii="Times New Roman" w:eastAsia="Times New Roman" w:hAnsi="Times New Roman" w:cs="Times New Roman"/>
          <w:sz w:val="24"/>
          <w:szCs w:val="24"/>
        </w:rPr>
        <w:t xml:space="preserve">(ECD) </w:t>
      </w:r>
      <w:r w:rsidR="00930D73" w:rsidRPr="003A377E">
        <w:rPr>
          <w:rFonts w:ascii="Times New Roman" w:eastAsia="Times New Roman" w:hAnsi="Times New Roman" w:cs="Times New Roman"/>
          <w:sz w:val="24"/>
          <w:szCs w:val="24"/>
        </w:rPr>
        <w:t>P</w:t>
      </w:r>
      <w:r w:rsidRPr="003A377E">
        <w:rPr>
          <w:rFonts w:ascii="Times New Roman" w:eastAsia="Times New Roman" w:hAnsi="Times New Roman" w:cs="Times New Roman"/>
          <w:sz w:val="24"/>
          <w:szCs w:val="24"/>
        </w:rPr>
        <w:t xml:space="preserve">rogramme will be </w:t>
      </w:r>
      <w:r w:rsidR="00DD54DC" w:rsidRPr="003A377E">
        <w:rPr>
          <w:rFonts w:ascii="Times New Roman" w:eastAsia="Times New Roman" w:hAnsi="Times New Roman" w:cs="Times New Roman"/>
          <w:sz w:val="24"/>
          <w:szCs w:val="24"/>
        </w:rPr>
        <w:t xml:space="preserve">officially </w:t>
      </w:r>
      <w:r w:rsidRPr="003A377E">
        <w:rPr>
          <w:rFonts w:ascii="Times New Roman" w:eastAsia="Times New Roman" w:hAnsi="Times New Roman" w:cs="Times New Roman"/>
          <w:sz w:val="24"/>
          <w:szCs w:val="24"/>
        </w:rPr>
        <w:t>transferred from the Department of Social Development to the Department of Basic Education from April 2022. As a result, the</w:t>
      </w:r>
      <w:r w:rsidR="0062036D" w:rsidRPr="003A377E">
        <w:rPr>
          <w:rFonts w:ascii="Times New Roman" w:eastAsia="Times New Roman" w:hAnsi="Times New Roman" w:cs="Times New Roman"/>
          <w:sz w:val="24"/>
          <w:szCs w:val="24"/>
        </w:rPr>
        <w:t xml:space="preserve"> ECD</w:t>
      </w:r>
      <w:r w:rsidRPr="003A377E">
        <w:rPr>
          <w:rFonts w:ascii="Times New Roman" w:eastAsia="Times New Roman" w:hAnsi="Times New Roman" w:cs="Times New Roman"/>
          <w:sz w:val="24"/>
          <w:szCs w:val="24"/>
        </w:rPr>
        <w:t xml:space="preserve">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 will </w:t>
      </w:r>
      <w:r w:rsidR="00BC1748" w:rsidRPr="003A377E">
        <w:rPr>
          <w:rFonts w:ascii="Times New Roman" w:eastAsia="Times New Roman" w:hAnsi="Times New Roman" w:cs="Times New Roman"/>
          <w:sz w:val="24"/>
          <w:szCs w:val="24"/>
        </w:rPr>
        <w:t xml:space="preserve">also </w:t>
      </w:r>
      <w:r w:rsidR="0062036D" w:rsidRPr="003A377E">
        <w:rPr>
          <w:rFonts w:ascii="Times New Roman" w:eastAsia="Times New Roman" w:hAnsi="Times New Roman" w:cs="Times New Roman"/>
          <w:sz w:val="24"/>
          <w:szCs w:val="24"/>
        </w:rPr>
        <w:t>follow the function accordingly</w:t>
      </w:r>
      <w:r w:rsidRPr="003A377E">
        <w:rPr>
          <w:rFonts w:ascii="Times New Roman" w:eastAsia="Times New Roman" w:hAnsi="Times New Roman" w:cs="Times New Roman"/>
          <w:sz w:val="24"/>
          <w:szCs w:val="24"/>
        </w:rPr>
        <w:t>.</w:t>
      </w:r>
      <w:r w:rsidR="0062036D" w:rsidRPr="003A377E">
        <w:rPr>
          <w:rFonts w:ascii="Times New Roman" w:eastAsia="Times New Roman" w:hAnsi="Times New Roman" w:cs="Times New Roman"/>
          <w:sz w:val="24"/>
          <w:szCs w:val="24"/>
        </w:rPr>
        <w:t xml:space="preserve">  </w:t>
      </w:r>
      <w:r w:rsidRPr="003A377E">
        <w:rPr>
          <w:rFonts w:ascii="Times New Roman" w:eastAsia="Times New Roman" w:hAnsi="Times New Roman" w:cs="Times New Roman"/>
          <w:sz w:val="24"/>
          <w:szCs w:val="24"/>
        </w:rPr>
        <w:t xml:space="preserve"> </w:t>
      </w:r>
    </w:p>
    <w:p w:rsidR="00D05701" w:rsidRPr="003A377E" w:rsidRDefault="00964BE0">
      <w:pPr>
        <w:numPr>
          <w:ilvl w:val="0"/>
          <w:numId w:val="11"/>
        </w:numPr>
        <w:tabs>
          <w:tab w:val="left" w:pos="284"/>
          <w:tab w:val="left" w:pos="567"/>
        </w:tabs>
        <w:spacing w:after="0" w:line="360" w:lineRule="auto"/>
        <w:contextualSpacing/>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The name of the Provincial Disaster Relief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 is </w:t>
      </w:r>
      <w:r w:rsidR="002544DD" w:rsidRPr="003A377E">
        <w:rPr>
          <w:rFonts w:ascii="Times New Roman" w:eastAsia="Times New Roman" w:hAnsi="Times New Roman" w:cs="Times New Roman"/>
          <w:sz w:val="24"/>
          <w:szCs w:val="24"/>
        </w:rPr>
        <w:t>changed</w:t>
      </w:r>
      <w:r w:rsidRPr="003A377E">
        <w:rPr>
          <w:rFonts w:ascii="Times New Roman" w:eastAsia="Times New Roman" w:hAnsi="Times New Roman" w:cs="Times New Roman"/>
          <w:sz w:val="24"/>
          <w:szCs w:val="24"/>
        </w:rPr>
        <w:t xml:space="preserve"> to </w:t>
      </w:r>
      <w:r w:rsidR="002544DD" w:rsidRPr="003A377E">
        <w:rPr>
          <w:rFonts w:ascii="Times New Roman" w:eastAsia="Times New Roman" w:hAnsi="Times New Roman" w:cs="Times New Roman"/>
          <w:sz w:val="24"/>
          <w:szCs w:val="24"/>
        </w:rPr>
        <w:t xml:space="preserve">the </w:t>
      </w:r>
      <w:r w:rsidRPr="003A377E">
        <w:rPr>
          <w:rFonts w:ascii="Times New Roman" w:eastAsia="Times New Roman" w:hAnsi="Times New Roman" w:cs="Times New Roman"/>
          <w:sz w:val="24"/>
          <w:szCs w:val="24"/>
        </w:rPr>
        <w:t xml:space="preserve">Provincial Disaster Response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 to align the existing processes and actions that are followed by the National Disaster Management Centre in responding to disasters, including the provision of relief where it is needed. </w:t>
      </w:r>
    </w:p>
    <w:p w:rsidR="00D05701" w:rsidRPr="003A377E" w:rsidRDefault="00D05701">
      <w:pPr>
        <w:pStyle w:val="ListParagraph"/>
        <w:numPr>
          <w:ilvl w:val="1"/>
          <w:numId w:val="4"/>
        </w:num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Local government equitable share allocation</w:t>
      </w:r>
    </w:p>
    <w:p w:rsidR="006F45F7" w:rsidRPr="003A377E" w:rsidRDefault="00C41DE3">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Over the 2022 MTEF period, R481.3 billion will be transferred directly to local government, this is 9.8 percent of national government’s non-interest expenditure</w:t>
      </w:r>
      <w:r w:rsidR="006F45F7" w:rsidRPr="003A377E">
        <w:rPr>
          <w:rFonts w:ascii="Times New Roman" w:eastAsia="Times New Roman" w:hAnsi="Times New Roman" w:cs="Times New Roman"/>
          <w:sz w:val="24"/>
          <w:szCs w:val="24"/>
        </w:rPr>
        <w:t>. Allocations to local government will increase by R31.5 billion</w:t>
      </w:r>
      <w:r w:rsidR="004E603F" w:rsidRPr="003A377E">
        <w:rPr>
          <w:rFonts w:ascii="Times New Roman" w:eastAsia="Times New Roman" w:hAnsi="Times New Roman" w:cs="Times New Roman"/>
          <w:sz w:val="24"/>
          <w:szCs w:val="24"/>
        </w:rPr>
        <w:t>,</w:t>
      </w:r>
      <w:r w:rsidR="006F45F7" w:rsidRPr="003A377E">
        <w:rPr>
          <w:rFonts w:ascii="Times New Roman" w:eastAsia="Times New Roman" w:hAnsi="Times New Roman" w:cs="Times New Roman"/>
          <w:sz w:val="24"/>
          <w:szCs w:val="24"/>
        </w:rPr>
        <w:t xml:space="preserve"> relative to the indicative allocations in the 2021 Budget. </w:t>
      </w:r>
      <w:r w:rsidR="00BA2E8A" w:rsidRPr="003A377E">
        <w:rPr>
          <w:rFonts w:ascii="Times New Roman" w:eastAsia="Times New Roman" w:hAnsi="Times New Roman" w:cs="Times New Roman"/>
          <w:sz w:val="24"/>
          <w:szCs w:val="24"/>
        </w:rPr>
        <w:t>T</w:t>
      </w:r>
      <w:r w:rsidR="006F45F7" w:rsidRPr="003A377E">
        <w:rPr>
          <w:rFonts w:ascii="Times New Roman" w:eastAsia="Times New Roman" w:hAnsi="Times New Roman" w:cs="Times New Roman"/>
          <w:sz w:val="24"/>
          <w:szCs w:val="24"/>
        </w:rPr>
        <w:t xml:space="preserve">he </w:t>
      </w:r>
      <w:r w:rsidR="00FB417A" w:rsidRPr="003A377E">
        <w:rPr>
          <w:rFonts w:ascii="Times New Roman" w:eastAsia="Times New Roman" w:hAnsi="Times New Roman" w:cs="Times New Roman"/>
          <w:sz w:val="24"/>
          <w:szCs w:val="24"/>
        </w:rPr>
        <w:t>LGES</w:t>
      </w:r>
      <w:r w:rsidR="006F45F7" w:rsidRPr="003A377E">
        <w:rPr>
          <w:rFonts w:ascii="Times New Roman" w:eastAsia="Times New Roman" w:hAnsi="Times New Roman" w:cs="Times New Roman"/>
          <w:sz w:val="24"/>
          <w:szCs w:val="24"/>
        </w:rPr>
        <w:t>, including the Regional Service Council/Join</w:t>
      </w:r>
      <w:r w:rsidR="002544DD" w:rsidRPr="003A377E">
        <w:rPr>
          <w:rFonts w:ascii="Times New Roman" w:eastAsia="Times New Roman" w:hAnsi="Times New Roman" w:cs="Times New Roman"/>
          <w:sz w:val="24"/>
          <w:szCs w:val="24"/>
        </w:rPr>
        <w:t>t Service Board (RSC/JSB) L</w:t>
      </w:r>
      <w:r w:rsidR="006F45F7" w:rsidRPr="003A377E">
        <w:rPr>
          <w:rFonts w:ascii="Times New Roman" w:eastAsia="Times New Roman" w:hAnsi="Times New Roman" w:cs="Times New Roman"/>
          <w:sz w:val="24"/>
          <w:szCs w:val="24"/>
        </w:rPr>
        <w:t xml:space="preserve">evies </w:t>
      </w:r>
      <w:r w:rsidR="002544DD" w:rsidRPr="003A377E">
        <w:rPr>
          <w:rFonts w:ascii="Times New Roman" w:eastAsia="Times New Roman" w:hAnsi="Times New Roman" w:cs="Times New Roman"/>
          <w:sz w:val="24"/>
          <w:szCs w:val="24"/>
        </w:rPr>
        <w:t>R</w:t>
      </w:r>
      <w:r w:rsidR="006F45F7" w:rsidRPr="003A377E">
        <w:rPr>
          <w:rFonts w:ascii="Times New Roman" w:eastAsia="Times New Roman" w:hAnsi="Times New Roman" w:cs="Times New Roman"/>
          <w:sz w:val="24"/>
          <w:szCs w:val="24"/>
        </w:rPr>
        <w:t xml:space="preserve">eplacement </w:t>
      </w:r>
      <w:r w:rsidR="003E3091" w:rsidRPr="003A377E">
        <w:rPr>
          <w:rFonts w:ascii="Times New Roman" w:eastAsia="Times New Roman" w:hAnsi="Times New Roman" w:cs="Times New Roman"/>
          <w:sz w:val="24"/>
          <w:szCs w:val="24"/>
        </w:rPr>
        <w:t>Grant</w:t>
      </w:r>
      <w:r w:rsidR="006F45F7" w:rsidRPr="003A377E">
        <w:rPr>
          <w:rFonts w:ascii="Times New Roman" w:eastAsia="Times New Roman" w:hAnsi="Times New Roman" w:cs="Times New Roman"/>
          <w:sz w:val="24"/>
          <w:szCs w:val="24"/>
        </w:rPr>
        <w:t xml:space="preserve"> and </w:t>
      </w:r>
      <w:r w:rsidR="002544DD" w:rsidRPr="003A377E">
        <w:rPr>
          <w:rFonts w:ascii="Times New Roman" w:eastAsia="Times New Roman" w:hAnsi="Times New Roman" w:cs="Times New Roman"/>
          <w:sz w:val="24"/>
          <w:szCs w:val="24"/>
        </w:rPr>
        <w:t>Sp</w:t>
      </w:r>
      <w:r w:rsidR="006F45F7" w:rsidRPr="003A377E">
        <w:rPr>
          <w:rFonts w:ascii="Times New Roman" w:eastAsia="Times New Roman" w:hAnsi="Times New Roman" w:cs="Times New Roman"/>
          <w:sz w:val="24"/>
          <w:szCs w:val="24"/>
        </w:rPr>
        <w:t xml:space="preserve">ecial </w:t>
      </w:r>
      <w:r w:rsidR="002544DD" w:rsidRPr="003A377E">
        <w:rPr>
          <w:rFonts w:ascii="Times New Roman" w:eastAsia="Times New Roman" w:hAnsi="Times New Roman" w:cs="Times New Roman"/>
          <w:sz w:val="24"/>
          <w:szCs w:val="24"/>
        </w:rPr>
        <w:t>S</w:t>
      </w:r>
      <w:r w:rsidR="006F45F7" w:rsidRPr="003A377E">
        <w:rPr>
          <w:rFonts w:ascii="Times New Roman" w:eastAsia="Times New Roman" w:hAnsi="Times New Roman" w:cs="Times New Roman"/>
          <w:sz w:val="24"/>
          <w:szCs w:val="24"/>
        </w:rPr>
        <w:t xml:space="preserve">upport for </w:t>
      </w:r>
      <w:r w:rsidR="002544DD" w:rsidRPr="003A377E">
        <w:rPr>
          <w:rFonts w:ascii="Times New Roman" w:eastAsia="Times New Roman" w:hAnsi="Times New Roman" w:cs="Times New Roman"/>
          <w:sz w:val="24"/>
          <w:szCs w:val="24"/>
        </w:rPr>
        <w:t>C</w:t>
      </w:r>
      <w:r w:rsidR="006F45F7" w:rsidRPr="003A377E">
        <w:rPr>
          <w:rFonts w:ascii="Times New Roman" w:eastAsia="Times New Roman" w:hAnsi="Times New Roman" w:cs="Times New Roman"/>
          <w:sz w:val="24"/>
          <w:szCs w:val="24"/>
        </w:rPr>
        <w:t xml:space="preserve">ouncillor </w:t>
      </w:r>
      <w:r w:rsidR="002544DD" w:rsidRPr="003A377E">
        <w:rPr>
          <w:rFonts w:ascii="Times New Roman" w:eastAsia="Times New Roman" w:hAnsi="Times New Roman" w:cs="Times New Roman"/>
          <w:sz w:val="24"/>
          <w:szCs w:val="24"/>
        </w:rPr>
        <w:t>R</w:t>
      </w:r>
      <w:r w:rsidR="006F45F7" w:rsidRPr="003A377E">
        <w:rPr>
          <w:rFonts w:ascii="Times New Roman" w:eastAsia="Times New Roman" w:hAnsi="Times New Roman" w:cs="Times New Roman"/>
          <w:sz w:val="24"/>
          <w:szCs w:val="24"/>
        </w:rPr>
        <w:t xml:space="preserve">emuneration and </w:t>
      </w:r>
      <w:r w:rsidR="002544DD" w:rsidRPr="003A377E">
        <w:rPr>
          <w:rFonts w:ascii="Times New Roman" w:eastAsia="Times New Roman" w:hAnsi="Times New Roman" w:cs="Times New Roman"/>
          <w:sz w:val="24"/>
          <w:szCs w:val="24"/>
        </w:rPr>
        <w:t>Ward C</w:t>
      </w:r>
      <w:r w:rsidR="006F45F7" w:rsidRPr="003A377E">
        <w:rPr>
          <w:rFonts w:ascii="Times New Roman" w:eastAsia="Times New Roman" w:hAnsi="Times New Roman" w:cs="Times New Roman"/>
          <w:sz w:val="24"/>
          <w:szCs w:val="24"/>
        </w:rPr>
        <w:t xml:space="preserve">ommittees </w:t>
      </w:r>
      <w:r w:rsidR="003E3091" w:rsidRPr="003A377E">
        <w:rPr>
          <w:rFonts w:ascii="Times New Roman" w:eastAsia="Times New Roman" w:hAnsi="Times New Roman" w:cs="Times New Roman"/>
          <w:sz w:val="24"/>
          <w:szCs w:val="24"/>
        </w:rPr>
        <w:t>Grant</w:t>
      </w:r>
      <w:r w:rsidR="006F45F7" w:rsidRPr="003A377E">
        <w:rPr>
          <w:rFonts w:ascii="Times New Roman" w:eastAsia="Times New Roman" w:hAnsi="Times New Roman" w:cs="Times New Roman"/>
          <w:sz w:val="24"/>
          <w:szCs w:val="24"/>
        </w:rPr>
        <w:t xml:space="preserve">, will amount </w:t>
      </w:r>
      <w:r w:rsidR="006D6BF1" w:rsidRPr="003A377E">
        <w:rPr>
          <w:rFonts w:ascii="Times New Roman" w:eastAsia="Times New Roman" w:hAnsi="Times New Roman" w:cs="Times New Roman"/>
          <w:sz w:val="24"/>
          <w:szCs w:val="24"/>
        </w:rPr>
        <w:t xml:space="preserve">to </w:t>
      </w:r>
      <w:r w:rsidR="006F45F7" w:rsidRPr="003A377E">
        <w:rPr>
          <w:rFonts w:ascii="Times New Roman" w:eastAsia="Times New Roman" w:hAnsi="Times New Roman" w:cs="Times New Roman"/>
          <w:sz w:val="24"/>
          <w:szCs w:val="24"/>
        </w:rPr>
        <w:t xml:space="preserve">R282.9 billion (R87.3 billion in 2022/23, R94.1 billion in 2023/24 and R101.5 billion in 2024/25).   </w:t>
      </w:r>
    </w:p>
    <w:p w:rsidR="00D05701" w:rsidRPr="003A377E" w:rsidRDefault="00D05701">
      <w:pPr>
        <w:tabs>
          <w:tab w:val="left" w:pos="284"/>
          <w:tab w:val="left" w:pos="567"/>
        </w:tabs>
        <w:spacing w:after="0" w:line="360" w:lineRule="auto"/>
        <w:jc w:val="both"/>
        <w:rPr>
          <w:rFonts w:ascii="Times New Roman" w:eastAsia="Times New Roman" w:hAnsi="Times New Roman" w:cs="Times New Roman"/>
          <w:sz w:val="24"/>
          <w:szCs w:val="24"/>
        </w:rPr>
      </w:pPr>
    </w:p>
    <w:p w:rsidR="00D05701" w:rsidRPr="003A377E" w:rsidRDefault="00D05701">
      <w:pPr>
        <w:tabs>
          <w:tab w:val="left" w:pos="284"/>
          <w:tab w:val="left" w:pos="567"/>
        </w:tabs>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 xml:space="preserve">4.4 Local government conditional </w:t>
      </w:r>
      <w:r w:rsidR="002544DD" w:rsidRPr="003A377E">
        <w:rPr>
          <w:rFonts w:ascii="Times New Roman" w:eastAsia="Times New Roman" w:hAnsi="Times New Roman" w:cs="Times New Roman"/>
          <w:b/>
          <w:sz w:val="24"/>
          <w:szCs w:val="24"/>
        </w:rPr>
        <w:t>g</w:t>
      </w:r>
      <w:r w:rsidR="003E3091" w:rsidRPr="003A377E">
        <w:rPr>
          <w:rFonts w:ascii="Times New Roman" w:eastAsia="Times New Roman" w:hAnsi="Times New Roman" w:cs="Times New Roman"/>
          <w:b/>
          <w:sz w:val="24"/>
          <w:szCs w:val="24"/>
        </w:rPr>
        <w:t>rant</w:t>
      </w:r>
      <w:r w:rsidRPr="003A377E">
        <w:rPr>
          <w:rFonts w:ascii="Times New Roman" w:eastAsia="Times New Roman" w:hAnsi="Times New Roman" w:cs="Times New Roman"/>
          <w:b/>
          <w:sz w:val="24"/>
          <w:szCs w:val="24"/>
        </w:rPr>
        <w:t>s</w:t>
      </w:r>
    </w:p>
    <w:p w:rsidR="00C41DE3" w:rsidRPr="003A377E" w:rsidRDefault="00BA2E8A">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lastRenderedPageBreak/>
        <w:t xml:space="preserve">National government allocates funds to local government through a variety of conditional </w:t>
      </w:r>
      <w:r w:rsidR="00E0625C"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s. These </w:t>
      </w:r>
      <w:r w:rsidR="00E0625C"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s fall into two main categories: infrastructure and capacity building. The total value of conditional </w:t>
      </w:r>
      <w:r w:rsidR="00E0625C"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s directly transferred to local government will increase from R48 billion in 2022/23 to R51 billion in 2023/24 and R52.5 billion in 2024/25</w:t>
      </w:r>
      <w:r w:rsidR="00FB417A" w:rsidRPr="003A377E">
        <w:rPr>
          <w:rFonts w:ascii="Times New Roman" w:eastAsia="Times New Roman" w:hAnsi="Times New Roman" w:cs="Times New Roman"/>
          <w:sz w:val="24"/>
          <w:szCs w:val="24"/>
        </w:rPr>
        <w:t>; with growth just above inflation, at an average annual rate of 5.3 percent.</w:t>
      </w:r>
    </w:p>
    <w:p w:rsidR="007E5134" w:rsidRPr="003A377E" w:rsidRDefault="007E5134">
      <w:pPr>
        <w:tabs>
          <w:tab w:val="left" w:pos="284"/>
          <w:tab w:val="left" w:pos="567"/>
        </w:tabs>
        <w:spacing w:after="0" w:line="360" w:lineRule="auto"/>
        <w:jc w:val="both"/>
        <w:rPr>
          <w:rFonts w:ascii="Times New Roman" w:eastAsia="Times New Roman" w:hAnsi="Times New Roman" w:cs="Times New Roman"/>
          <w:sz w:val="24"/>
          <w:szCs w:val="24"/>
        </w:rPr>
      </w:pPr>
    </w:p>
    <w:p w:rsidR="007E5134" w:rsidRPr="003A377E" w:rsidRDefault="007E5134">
      <w:pPr>
        <w:tabs>
          <w:tab w:val="left" w:pos="284"/>
          <w:tab w:val="left" w:pos="567"/>
        </w:tabs>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 xml:space="preserve">4.4.1 Changes to </w:t>
      </w:r>
      <w:r w:rsidR="00FB417A" w:rsidRPr="003A377E">
        <w:rPr>
          <w:rFonts w:ascii="Times New Roman" w:eastAsia="Times New Roman" w:hAnsi="Times New Roman" w:cs="Times New Roman"/>
          <w:b/>
          <w:sz w:val="24"/>
          <w:szCs w:val="24"/>
        </w:rPr>
        <w:t>c</w:t>
      </w:r>
      <w:r w:rsidRPr="003A377E">
        <w:rPr>
          <w:rFonts w:ascii="Times New Roman" w:eastAsia="Times New Roman" w:hAnsi="Times New Roman" w:cs="Times New Roman"/>
          <w:b/>
          <w:sz w:val="24"/>
          <w:szCs w:val="24"/>
        </w:rPr>
        <w:t xml:space="preserve">onditional </w:t>
      </w:r>
      <w:r w:rsidR="00E0625C" w:rsidRPr="003A377E">
        <w:rPr>
          <w:rFonts w:ascii="Times New Roman" w:eastAsia="Times New Roman" w:hAnsi="Times New Roman" w:cs="Times New Roman"/>
          <w:b/>
          <w:sz w:val="24"/>
          <w:szCs w:val="24"/>
        </w:rPr>
        <w:t>g</w:t>
      </w:r>
      <w:r w:rsidR="003E3091" w:rsidRPr="003A377E">
        <w:rPr>
          <w:rFonts w:ascii="Times New Roman" w:eastAsia="Times New Roman" w:hAnsi="Times New Roman" w:cs="Times New Roman"/>
          <w:b/>
          <w:sz w:val="24"/>
          <w:szCs w:val="24"/>
        </w:rPr>
        <w:t>rant</w:t>
      </w:r>
      <w:r w:rsidRPr="003A377E">
        <w:rPr>
          <w:rFonts w:ascii="Times New Roman" w:eastAsia="Times New Roman" w:hAnsi="Times New Roman" w:cs="Times New Roman"/>
          <w:b/>
          <w:sz w:val="24"/>
          <w:szCs w:val="24"/>
        </w:rPr>
        <w:t>s</w:t>
      </w:r>
    </w:p>
    <w:p w:rsidR="007E5134" w:rsidRPr="003A377E" w:rsidRDefault="007E5134">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Over the 2022 MTEF, </w:t>
      </w:r>
      <w:r w:rsidR="00E0625C" w:rsidRPr="003A377E">
        <w:rPr>
          <w:rFonts w:ascii="Times New Roman" w:eastAsia="Times New Roman" w:hAnsi="Times New Roman" w:cs="Times New Roman"/>
          <w:sz w:val="24"/>
          <w:szCs w:val="24"/>
        </w:rPr>
        <w:t xml:space="preserve">the </w:t>
      </w:r>
      <w:r w:rsidRPr="003A377E">
        <w:rPr>
          <w:rFonts w:ascii="Times New Roman" w:eastAsia="Times New Roman" w:hAnsi="Times New Roman" w:cs="Times New Roman"/>
          <w:sz w:val="24"/>
          <w:szCs w:val="24"/>
        </w:rPr>
        <w:t>Department of Cooperative Governance</w:t>
      </w:r>
      <w:r w:rsidR="00FB417A" w:rsidRPr="003A377E">
        <w:rPr>
          <w:rFonts w:ascii="Times New Roman" w:eastAsia="Times New Roman" w:hAnsi="Times New Roman" w:cs="Times New Roman"/>
          <w:sz w:val="24"/>
          <w:szCs w:val="24"/>
        </w:rPr>
        <w:t xml:space="preserve"> (DCoG)</w:t>
      </w:r>
      <w:r w:rsidRPr="003A377E">
        <w:rPr>
          <w:rFonts w:ascii="Times New Roman" w:eastAsia="Times New Roman" w:hAnsi="Times New Roman" w:cs="Times New Roman"/>
          <w:sz w:val="24"/>
          <w:szCs w:val="24"/>
        </w:rPr>
        <w:t xml:space="preserve"> will introduce an indirect component to the Municipal Infrastructure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 It is envisaged that this will improve efficiency in </w:t>
      </w:r>
      <w:r w:rsidR="001E68D1"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 expenditure to develop more and better quality infrastructure. A portion of the Municipal Systems Improvement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 will be utilised to continue to support the institutionalisation of the </w:t>
      </w:r>
      <w:r w:rsidR="001E68D1" w:rsidRPr="003A377E">
        <w:rPr>
          <w:rFonts w:ascii="Times New Roman" w:eastAsia="Times New Roman" w:hAnsi="Times New Roman" w:cs="Times New Roman"/>
          <w:sz w:val="24"/>
          <w:szCs w:val="24"/>
        </w:rPr>
        <w:t>D</w:t>
      </w:r>
      <w:r w:rsidRPr="003A377E">
        <w:rPr>
          <w:rFonts w:ascii="Times New Roman" w:eastAsia="Times New Roman" w:hAnsi="Times New Roman" w:cs="Times New Roman"/>
          <w:sz w:val="24"/>
          <w:szCs w:val="24"/>
        </w:rPr>
        <w:t xml:space="preserve">istrict </w:t>
      </w:r>
      <w:r w:rsidR="001E68D1" w:rsidRPr="003A377E">
        <w:rPr>
          <w:rFonts w:ascii="Times New Roman" w:eastAsia="Times New Roman" w:hAnsi="Times New Roman" w:cs="Times New Roman"/>
          <w:sz w:val="24"/>
          <w:szCs w:val="24"/>
        </w:rPr>
        <w:t>D</w:t>
      </w:r>
      <w:r w:rsidRPr="003A377E">
        <w:rPr>
          <w:rFonts w:ascii="Times New Roman" w:eastAsia="Times New Roman" w:hAnsi="Times New Roman" w:cs="Times New Roman"/>
          <w:sz w:val="24"/>
          <w:szCs w:val="24"/>
        </w:rPr>
        <w:t xml:space="preserve">evelopment </w:t>
      </w:r>
      <w:r w:rsidR="001E68D1" w:rsidRPr="003A377E">
        <w:rPr>
          <w:rFonts w:ascii="Times New Roman" w:eastAsia="Times New Roman" w:hAnsi="Times New Roman" w:cs="Times New Roman"/>
          <w:sz w:val="24"/>
          <w:szCs w:val="24"/>
        </w:rPr>
        <w:t>M</w:t>
      </w:r>
      <w:r w:rsidRPr="003A377E">
        <w:rPr>
          <w:rFonts w:ascii="Times New Roman" w:eastAsia="Times New Roman" w:hAnsi="Times New Roman" w:cs="Times New Roman"/>
          <w:sz w:val="24"/>
          <w:szCs w:val="24"/>
        </w:rPr>
        <w:t>odel</w:t>
      </w:r>
      <w:r w:rsidR="001E68D1" w:rsidRPr="003A377E">
        <w:rPr>
          <w:rFonts w:ascii="Times New Roman" w:eastAsia="Times New Roman" w:hAnsi="Times New Roman" w:cs="Times New Roman"/>
          <w:sz w:val="24"/>
          <w:szCs w:val="24"/>
        </w:rPr>
        <w:t xml:space="preserve"> (DDM)</w:t>
      </w:r>
      <w:r w:rsidRPr="003A377E">
        <w:rPr>
          <w:rFonts w:ascii="Times New Roman" w:eastAsia="Times New Roman" w:hAnsi="Times New Roman" w:cs="Times New Roman"/>
          <w:sz w:val="24"/>
          <w:szCs w:val="24"/>
        </w:rPr>
        <w:t xml:space="preserve">. The name of the Municipal Disaster Relief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 will change to the Municipal Disaster Response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w:t>
      </w:r>
    </w:p>
    <w:p w:rsidR="007E5134" w:rsidRPr="003A377E" w:rsidRDefault="007E5134">
      <w:pPr>
        <w:tabs>
          <w:tab w:val="left" w:pos="284"/>
          <w:tab w:val="left" w:pos="567"/>
        </w:tabs>
        <w:spacing w:after="0" w:line="360" w:lineRule="auto"/>
        <w:jc w:val="both"/>
        <w:rPr>
          <w:rFonts w:ascii="Times New Roman" w:eastAsia="Times New Roman" w:hAnsi="Times New Roman" w:cs="Times New Roman"/>
          <w:sz w:val="24"/>
          <w:szCs w:val="24"/>
        </w:rPr>
      </w:pPr>
    </w:p>
    <w:p w:rsidR="007E5134" w:rsidRPr="003A377E" w:rsidRDefault="00FB417A">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Other changes include -</w:t>
      </w:r>
    </w:p>
    <w:p w:rsidR="00C03A1F" w:rsidRPr="003A377E" w:rsidRDefault="00FB417A">
      <w:pPr>
        <w:pStyle w:val="ListParagraph"/>
        <w:numPr>
          <w:ilvl w:val="0"/>
          <w:numId w:val="12"/>
        </w:num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A r</w:t>
      </w:r>
      <w:r w:rsidR="007E5134" w:rsidRPr="003A377E">
        <w:rPr>
          <w:rFonts w:ascii="Times New Roman" w:eastAsia="Times New Roman" w:hAnsi="Times New Roman" w:cs="Times New Roman"/>
          <w:sz w:val="24"/>
          <w:szCs w:val="24"/>
        </w:rPr>
        <w:t xml:space="preserve">eduction of R754 million in 2022/23 and R105 million in 2023/24; and an increase of R621 million in 2024/25 in the Public Transport Network </w:t>
      </w:r>
      <w:r w:rsidR="003E3091" w:rsidRPr="003A377E">
        <w:rPr>
          <w:rFonts w:ascii="Times New Roman" w:eastAsia="Times New Roman" w:hAnsi="Times New Roman" w:cs="Times New Roman"/>
          <w:sz w:val="24"/>
          <w:szCs w:val="24"/>
        </w:rPr>
        <w:t>Grant</w:t>
      </w:r>
      <w:r w:rsidR="00C03A1F" w:rsidRPr="003A377E">
        <w:rPr>
          <w:rFonts w:ascii="Times New Roman" w:eastAsia="Times New Roman" w:hAnsi="Times New Roman" w:cs="Times New Roman"/>
          <w:sz w:val="24"/>
          <w:szCs w:val="24"/>
        </w:rPr>
        <w:t xml:space="preserve"> to align to the revised implementation plan and cash</w:t>
      </w:r>
      <w:r w:rsidR="00E0625C" w:rsidRPr="003A377E">
        <w:rPr>
          <w:rFonts w:ascii="Times New Roman" w:eastAsia="Times New Roman" w:hAnsi="Times New Roman" w:cs="Times New Roman"/>
          <w:sz w:val="24"/>
          <w:szCs w:val="24"/>
        </w:rPr>
        <w:t xml:space="preserve"> </w:t>
      </w:r>
      <w:r w:rsidR="00C03A1F" w:rsidRPr="003A377E">
        <w:rPr>
          <w:rFonts w:ascii="Times New Roman" w:eastAsia="Times New Roman" w:hAnsi="Times New Roman" w:cs="Times New Roman"/>
          <w:sz w:val="24"/>
          <w:szCs w:val="24"/>
        </w:rPr>
        <w:t>flow projections for the City of Cape Town’s MyCiti public transport network.</w:t>
      </w:r>
    </w:p>
    <w:p w:rsidR="00C03A1F" w:rsidRPr="003A377E" w:rsidRDefault="00FB417A">
      <w:pPr>
        <w:pStyle w:val="ListParagraph"/>
        <w:numPr>
          <w:ilvl w:val="0"/>
          <w:numId w:val="12"/>
        </w:num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w:t>
      </w:r>
      <w:r w:rsidR="00C03A1F" w:rsidRPr="003A377E">
        <w:rPr>
          <w:rFonts w:ascii="Times New Roman" w:eastAsia="Times New Roman" w:hAnsi="Times New Roman" w:cs="Times New Roman"/>
          <w:sz w:val="24"/>
          <w:szCs w:val="24"/>
        </w:rPr>
        <w:t>R1 bill</w:t>
      </w:r>
      <w:r w:rsidRPr="003A377E">
        <w:rPr>
          <w:rFonts w:ascii="Times New Roman" w:eastAsia="Times New Roman" w:hAnsi="Times New Roman" w:cs="Times New Roman"/>
          <w:sz w:val="24"/>
          <w:szCs w:val="24"/>
        </w:rPr>
        <w:t xml:space="preserve">ion </w:t>
      </w:r>
      <w:r w:rsidR="00C03A1F" w:rsidRPr="003A377E">
        <w:rPr>
          <w:rFonts w:ascii="Times New Roman" w:eastAsia="Times New Roman" w:hAnsi="Times New Roman" w:cs="Times New Roman"/>
          <w:sz w:val="24"/>
          <w:szCs w:val="24"/>
        </w:rPr>
        <w:t xml:space="preserve">added through the Budget Facility for Infrastructure to the Regional Bulk Infrastructure </w:t>
      </w:r>
      <w:r w:rsidR="003E3091" w:rsidRPr="003A377E">
        <w:rPr>
          <w:rFonts w:ascii="Times New Roman" w:eastAsia="Times New Roman" w:hAnsi="Times New Roman" w:cs="Times New Roman"/>
          <w:sz w:val="24"/>
          <w:szCs w:val="24"/>
        </w:rPr>
        <w:t>Grant</w:t>
      </w:r>
      <w:r w:rsidR="00C03A1F" w:rsidRPr="003A377E">
        <w:rPr>
          <w:rFonts w:ascii="Times New Roman" w:eastAsia="Times New Roman" w:hAnsi="Times New Roman" w:cs="Times New Roman"/>
          <w:sz w:val="24"/>
          <w:szCs w:val="24"/>
        </w:rPr>
        <w:t xml:space="preserve"> to continue with the implementation of the Potable Water Security and Remedial Works </w:t>
      </w:r>
      <w:r w:rsidR="00E1404F" w:rsidRPr="003A377E">
        <w:rPr>
          <w:rFonts w:ascii="Times New Roman" w:eastAsia="Times New Roman" w:hAnsi="Times New Roman" w:cs="Times New Roman"/>
          <w:sz w:val="24"/>
          <w:szCs w:val="24"/>
        </w:rPr>
        <w:t>P</w:t>
      </w:r>
      <w:r w:rsidR="00C03A1F" w:rsidRPr="003A377E">
        <w:rPr>
          <w:rFonts w:ascii="Times New Roman" w:eastAsia="Times New Roman" w:hAnsi="Times New Roman" w:cs="Times New Roman"/>
          <w:sz w:val="24"/>
          <w:szCs w:val="24"/>
        </w:rPr>
        <w:t xml:space="preserve">roject in George Local Municipality. </w:t>
      </w:r>
    </w:p>
    <w:p w:rsidR="00096B98" w:rsidRPr="003A377E" w:rsidRDefault="00096B98">
      <w:pPr>
        <w:tabs>
          <w:tab w:val="left" w:pos="284"/>
          <w:tab w:val="left" w:pos="567"/>
        </w:tabs>
        <w:spacing w:after="0" w:line="360" w:lineRule="auto"/>
        <w:ind w:left="360"/>
        <w:jc w:val="both"/>
        <w:rPr>
          <w:rFonts w:ascii="Times New Roman" w:eastAsia="Times New Roman" w:hAnsi="Times New Roman" w:cs="Times New Roman"/>
          <w:sz w:val="24"/>
          <w:szCs w:val="24"/>
        </w:rPr>
      </w:pPr>
    </w:p>
    <w:p w:rsidR="00C03A1F" w:rsidRPr="003A377E" w:rsidRDefault="00C0441D">
      <w:pPr>
        <w:tabs>
          <w:tab w:val="left" w:pos="284"/>
          <w:tab w:val="left" w:pos="567"/>
        </w:tabs>
        <w:spacing w:after="0" w:line="360" w:lineRule="auto"/>
        <w:ind w:left="360"/>
        <w:jc w:val="both"/>
        <w:rPr>
          <w:rFonts w:ascii="Times New Roman" w:eastAsia="Times New Roman" w:hAnsi="Times New Roman" w:cs="Times New Roman"/>
          <w:sz w:val="24"/>
          <w:szCs w:val="24"/>
        </w:rPr>
      </w:pPr>
      <w:r w:rsidRPr="003A377E">
        <w:rPr>
          <w:rFonts w:ascii="Times New Roman" w:eastAsia="Times New Roman" w:hAnsi="Times New Roman" w:cs="Times New Roman"/>
          <w:b/>
          <w:sz w:val="24"/>
          <w:szCs w:val="24"/>
        </w:rPr>
        <w:t>4.</w:t>
      </w:r>
      <w:r w:rsidR="00FB417A" w:rsidRPr="003A377E">
        <w:rPr>
          <w:rFonts w:ascii="Times New Roman" w:eastAsia="Times New Roman" w:hAnsi="Times New Roman" w:cs="Times New Roman"/>
          <w:b/>
          <w:sz w:val="24"/>
          <w:szCs w:val="24"/>
        </w:rPr>
        <w:t>4</w:t>
      </w:r>
      <w:r w:rsidR="00096B98" w:rsidRPr="003A377E">
        <w:rPr>
          <w:rFonts w:ascii="Times New Roman" w:eastAsia="Times New Roman" w:hAnsi="Times New Roman" w:cs="Times New Roman"/>
          <w:b/>
          <w:sz w:val="24"/>
          <w:szCs w:val="24"/>
        </w:rPr>
        <w:t xml:space="preserve">.2 </w:t>
      </w:r>
      <w:r w:rsidR="00C03A1F" w:rsidRPr="003A377E">
        <w:rPr>
          <w:rFonts w:ascii="Times New Roman" w:eastAsia="Times New Roman" w:hAnsi="Times New Roman" w:cs="Times New Roman"/>
          <w:b/>
          <w:sz w:val="24"/>
          <w:szCs w:val="24"/>
        </w:rPr>
        <w:t>Reprioritisations, technical shifts and additional allocations</w:t>
      </w:r>
    </w:p>
    <w:p w:rsidR="00C03A1F" w:rsidRPr="003A377E" w:rsidRDefault="00E0625C">
      <w:pPr>
        <w:pStyle w:val="ListParagraph"/>
        <w:numPr>
          <w:ilvl w:val="0"/>
          <w:numId w:val="21"/>
        </w:num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w:t>
      </w:r>
      <w:r w:rsidR="00C03A1F" w:rsidRPr="003A377E">
        <w:rPr>
          <w:rFonts w:ascii="Times New Roman" w:eastAsia="Times New Roman" w:hAnsi="Times New Roman" w:cs="Times New Roman"/>
          <w:sz w:val="24"/>
          <w:szCs w:val="24"/>
        </w:rPr>
        <w:t xml:space="preserve">R50 million will be reprioritised from the Integrated National Electrification Programme (Eskom) </w:t>
      </w:r>
      <w:r w:rsidR="003E3091" w:rsidRPr="003A377E">
        <w:rPr>
          <w:rFonts w:ascii="Times New Roman" w:eastAsia="Times New Roman" w:hAnsi="Times New Roman" w:cs="Times New Roman"/>
          <w:sz w:val="24"/>
          <w:szCs w:val="24"/>
        </w:rPr>
        <w:t>Grant</w:t>
      </w:r>
      <w:r w:rsidR="00C03A1F" w:rsidRPr="003A377E">
        <w:rPr>
          <w:rFonts w:ascii="Times New Roman" w:eastAsia="Times New Roman" w:hAnsi="Times New Roman" w:cs="Times New Roman"/>
          <w:sz w:val="24"/>
          <w:szCs w:val="24"/>
        </w:rPr>
        <w:t xml:space="preserve"> to finance the operational requirements of the Independent Power Producer Office in 2022/23.</w:t>
      </w:r>
    </w:p>
    <w:p w:rsidR="00096B98" w:rsidRPr="003A377E" w:rsidRDefault="00E0625C">
      <w:pPr>
        <w:pStyle w:val="ListParagraph"/>
        <w:numPr>
          <w:ilvl w:val="0"/>
          <w:numId w:val="21"/>
        </w:num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w:t>
      </w:r>
      <w:r w:rsidR="00C03A1F" w:rsidRPr="003A377E">
        <w:rPr>
          <w:rFonts w:ascii="Times New Roman" w:eastAsia="Times New Roman" w:hAnsi="Times New Roman" w:cs="Times New Roman"/>
          <w:sz w:val="24"/>
          <w:szCs w:val="24"/>
        </w:rPr>
        <w:t xml:space="preserve">R8 million in 2022/23 and 2023/24, respectively, will be reprioritised from </w:t>
      </w:r>
      <w:r w:rsidRPr="003A377E">
        <w:rPr>
          <w:rFonts w:ascii="Times New Roman" w:eastAsia="Times New Roman" w:hAnsi="Times New Roman" w:cs="Times New Roman"/>
          <w:sz w:val="24"/>
          <w:szCs w:val="24"/>
        </w:rPr>
        <w:t xml:space="preserve">the </w:t>
      </w:r>
      <w:r w:rsidR="00C03A1F" w:rsidRPr="003A377E">
        <w:rPr>
          <w:rFonts w:ascii="Times New Roman" w:eastAsia="Times New Roman" w:hAnsi="Times New Roman" w:cs="Times New Roman"/>
          <w:sz w:val="24"/>
          <w:szCs w:val="24"/>
        </w:rPr>
        <w:t>Ene</w:t>
      </w:r>
      <w:r w:rsidRPr="003A377E">
        <w:rPr>
          <w:rFonts w:ascii="Times New Roman" w:eastAsia="Times New Roman" w:hAnsi="Times New Roman" w:cs="Times New Roman"/>
          <w:sz w:val="24"/>
          <w:szCs w:val="24"/>
        </w:rPr>
        <w:t>rgy Efficiency and Demand Side M</w:t>
      </w:r>
      <w:r w:rsidR="00C03A1F" w:rsidRPr="003A377E">
        <w:rPr>
          <w:rFonts w:ascii="Times New Roman" w:eastAsia="Times New Roman" w:hAnsi="Times New Roman" w:cs="Times New Roman"/>
          <w:sz w:val="24"/>
          <w:szCs w:val="24"/>
        </w:rPr>
        <w:t xml:space="preserve">anagement </w:t>
      </w:r>
      <w:r w:rsidR="003E3091" w:rsidRPr="003A377E">
        <w:rPr>
          <w:rFonts w:ascii="Times New Roman" w:eastAsia="Times New Roman" w:hAnsi="Times New Roman" w:cs="Times New Roman"/>
          <w:sz w:val="24"/>
          <w:szCs w:val="24"/>
        </w:rPr>
        <w:t>Grant</w:t>
      </w:r>
      <w:r w:rsidR="00840150" w:rsidRPr="003A377E">
        <w:rPr>
          <w:rFonts w:ascii="Times New Roman" w:eastAsia="Times New Roman" w:hAnsi="Times New Roman" w:cs="Times New Roman"/>
          <w:sz w:val="24"/>
          <w:szCs w:val="24"/>
        </w:rPr>
        <w:t xml:space="preserve"> to finance</w:t>
      </w:r>
      <w:r w:rsidR="00C03A1F" w:rsidRPr="003A377E">
        <w:rPr>
          <w:rFonts w:ascii="Times New Roman" w:eastAsia="Times New Roman" w:hAnsi="Times New Roman" w:cs="Times New Roman"/>
          <w:sz w:val="24"/>
          <w:szCs w:val="24"/>
        </w:rPr>
        <w:t xml:space="preserve"> operational requirements within the vote of the Department of Mineral Resources and E</w:t>
      </w:r>
      <w:r w:rsidR="00096B98" w:rsidRPr="003A377E">
        <w:rPr>
          <w:rFonts w:ascii="Times New Roman" w:eastAsia="Times New Roman" w:hAnsi="Times New Roman" w:cs="Times New Roman"/>
          <w:sz w:val="24"/>
          <w:szCs w:val="24"/>
        </w:rPr>
        <w:t>ne</w:t>
      </w:r>
      <w:r w:rsidR="00C03A1F" w:rsidRPr="003A377E">
        <w:rPr>
          <w:rFonts w:ascii="Times New Roman" w:eastAsia="Times New Roman" w:hAnsi="Times New Roman" w:cs="Times New Roman"/>
          <w:sz w:val="24"/>
          <w:szCs w:val="24"/>
        </w:rPr>
        <w:t>rgy.</w:t>
      </w:r>
    </w:p>
    <w:p w:rsidR="00096B98" w:rsidRPr="003A377E" w:rsidRDefault="00E0625C">
      <w:pPr>
        <w:pStyle w:val="ListParagraph"/>
        <w:numPr>
          <w:ilvl w:val="0"/>
          <w:numId w:val="21"/>
        </w:num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w:t>
      </w:r>
      <w:r w:rsidR="00096B98" w:rsidRPr="003A377E">
        <w:rPr>
          <w:rFonts w:ascii="Times New Roman" w:eastAsia="Times New Roman" w:hAnsi="Times New Roman" w:cs="Times New Roman"/>
          <w:sz w:val="24"/>
          <w:szCs w:val="24"/>
        </w:rPr>
        <w:t xml:space="preserve">R10 million will be shifted from the sport component of the Municipal Infrastructure </w:t>
      </w:r>
      <w:r w:rsidR="003E3091" w:rsidRPr="003A377E">
        <w:rPr>
          <w:rFonts w:ascii="Times New Roman" w:eastAsia="Times New Roman" w:hAnsi="Times New Roman" w:cs="Times New Roman"/>
          <w:sz w:val="24"/>
          <w:szCs w:val="24"/>
        </w:rPr>
        <w:t>Grant</w:t>
      </w:r>
      <w:r w:rsidR="00096B98" w:rsidRPr="003A377E">
        <w:rPr>
          <w:rFonts w:ascii="Times New Roman" w:eastAsia="Times New Roman" w:hAnsi="Times New Roman" w:cs="Times New Roman"/>
          <w:sz w:val="24"/>
          <w:szCs w:val="24"/>
        </w:rPr>
        <w:t xml:space="preserve"> (MIG) to fund a sport project in Polokwane Local Municipality.</w:t>
      </w:r>
    </w:p>
    <w:p w:rsidR="00096B98" w:rsidRPr="003A377E" w:rsidRDefault="00E0625C">
      <w:pPr>
        <w:pStyle w:val="ListParagraph"/>
        <w:numPr>
          <w:ilvl w:val="0"/>
          <w:numId w:val="21"/>
        </w:num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lastRenderedPageBreak/>
        <w:t xml:space="preserve">  </w:t>
      </w:r>
      <w:r w:rsidR="00096B98" w:rsidRPr="003A377E">
        <w:rPr>
          <w:rFonts w:ascii="Times New Roman" w:eastAsia="Times New Roman" w:hAnsi="Times New Roman" w:cs="Times New Roman"/>
          <w:sz w:val="24"/>
          <w:szCs w:val="24"/>
        </w:rPr>
        <w:t xml:space="preserve">Over the MTEF period, R347 million will be added to the Municipal Disaster Recovery </w:t>
      </w:r>
      <w:r w:rsidR="003E3091" w:rsidRPr="003A377E">
        <w:rPr>
          <w:rFonts w:ascii="Times New Roman" w:eastAsia="Times New Roman" w:hAnsi="Times New Roman" w:cs="Times New Roman"/>
          <w:sz w:val="24"/>
          <w:szCs w:val="24"/>
        </w:rPr>
        <w:t>Grant</w:t>
      </w:r>
      <w:r w:rsidR="00096B98" w:rsidRPr="003A377E">
        <w:rPr>
          <w:rFonts w:ascii="Times New Roman" w:eastAsia="Times New Roman" w:hAnsi="Times New Roman" w:cs="Times New Roman"/>
          <w:sz w:val="24"/>
          <w:szCs w:val="24"/>
        </w:rPr>
        <w:t xml:space="preserve"> to fund infrastructure recovery in KwaZulu-Natal municipalities. </w:t>
      </w:r>
    </w:p>
    <w:p w:rsidR="00096B98" w:rsidRPr="003A377E" w:rsidRDefault="00E0625C">
      <w:pPr>
        <w:pStyle w:val="ListParagraph"/>
        <w:numPr>
          <w:ilvl w:val="0"/>
          <w:numId w:val="21"/>
        </w:num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w:t>
      </w:r>
      <w:r w:rsidR="00096B98" w:rsidRPr="003A377E">
        <w:rPr>
          <w:rFonts w:ascii="Times New Roman" w:eastAsia="Times New Roman" w:hAnsi="Times New Roman" w:cs="Times New Roman"/>
          <w:sz w:val="24"/>
          <w:szCs w:val="24"/>
        </w:rPr>
        <w:t xml:space="preserve"> Over the MTEF period, R1.7 billion will be added to the Neighbourhood Development Partnership </w:t>
      </w:r>
      <w:r w:rsidR="003E3091" w:rsidRPr="003A377E">
        <w:rPr>
          <w:rFonts w:ascii="Times New Roman" w:eastAsia="Times New Roman" w:hAnsi="Times New Roman" w:cs="Times New Roman"/>
          <w:sz w:val="24"/>
          <w:szCs w:val="24"/>
        </w:rPr>
        <w:t>Grant</w:t>
      </w:r>
      <w:r w:rsidR="00096B98" w:rsidRPr="003A377E">
        <w:rPr>
          <w:rFonts w:ascii="Times New Roman" w:eastAsia="Times New Roman" w:hAnsi="Times New Roman" w:cs="Times New Roman"/>
          <w:sz w:val="24"/>
          <w:szCs w:val="24"/>
        </w:rPr>
        <w:t xml:space="preserve"> to fund the continuation of city-led public employment programmes as part of the Presidential Employment Initiative. </w:t>
      </w:r>
    </w:p>
    <w:p w:rsidR="00C0441D" w:rsidRPr="003A377E" w:rsidRDefault="00C0441D">
      <w:pPr>
        <w:tabs>
          <w:tab w:val="left" w:pos="284"/>
          <w:tab w:val="left" w:pos="567"/>
        </w:tabs>
        <w:spacing w:after="0" w:line="360" w:lineRule="auto"/>
        <w:jc w:val="both"/>
        <w:rPr>
          <w:rFonts w:ascii="Times New Roman" w:eastAsia="Times New Roman" w:hAnsi="Times New Roman" w:cs="Times New Roman"/>
          <w:sz w:val="24"/>
          <w:szCs w:val="24"/>
        </w:rPr>
      </w:pPr>
    </w:p>
    <w:p w:rsidR="00C0441D" w:rsidRPr="003A377E" w:rsidRDefault="00C0441D">
      <w:pPr>
        <w:pStyle w:val="ListParagraph"/>
        <w:numPr>
          <w:ilvl w:val="2"/>
          <w:numId w:val="13"/>
        </w:numPr>
        <w:tabs>
          <w:tab w:val="left" w:pos="284"/>
          <w:tab w:val="left" w:pos="567"/>
        </w:tabs>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 xml:space="preserve">Amendment to the Local Government Financial Management </w:t>
      </w:r>
      <w:r w:rsidR="003E3091" w:rsidRPr="003A377E">
        <w:rPr>
          <w:rFonts w:ascii="Times New Roman" w:eastAsia="Times New Roman" w:hAnsi="Times New Roman" w:cs="Times New Roman"/>
          <w:b/>
          <w:sz w:val="24"/>
          <w:szCs w:val="24"/>
        </w:rPr>
        <w:t>Grant</w:t>
      </w:r>
      <w:r w:rsidRPr="003A377E">
        <w:rPr>
          <w:rFonts w:ascii="Times New Roman" w:eastAsia="Times New Roman" w:hAnsi="Times New Roman" w:cs="Times New Roman"/>
          <w:b/>
          <w:sz w:val="24"/>
          <w:szCs w:val="24"/>
        </w:rPr>
        <w:t xml:space="preserve"> (FMG) framework</w:t>
      </w:r>
    </w:p>
    <w:p w:rsidR="00C0441D" w:rsidRPr="003A377E" w:rsidRDefault="00C0441D">
      <w:pPr>
        <w:tabs>
          <w:tab w:val="left" w:pos="284"/>
          <w:tab w:val="left" w:pos="567"/>
        </w:tabs>
        <w:spacing w:after="0" w:line="360" w:lineRule="auto"/>
        <w:contextualSpacing/>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From 2022/23, the FMG will make provision for the preparation of asset registers. The Municipal Infrastructure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administered by</w:t>
      </w:r>
      <w:r w:rsidR="00840150" w:rsidRPr="003A377E">
        <w:rPr>
          <w:rFonts w:ascii="Times New Roman" w:eastAsia="Times New Roman" w:hAnsi="Times New Roman" w:cs="Times New Roman"/>
          <w:sz w:val="24"/>
          <w:szCs w:val="24"/>
        </w:rPr>
        <w:t xml:space="preserve"> DCoG</w:t>
      </w:r>
      <w:r w:rsidRPr="003A377E">
        <w:rPr>
          <w:rFonts w:ascii="Times New Roman" w:eastAsia="Times New Roman" w:hAnsi="Times New Roman" w:cs="Times New Roman"/>
          <w:sz w:val="24"/>
          <w:szCs w:val="24"/>
        </w:rPr>
        <w:t>, has a similar</w:t>
      </w:r>
      <w:r w:rsidR="000E3AE1" w:rsidRPr="003A377E">
        <w:rPr>
          <w:rFonts w:ascii="Times New Roman" w:eastAsia="Times New Roman" w:hAnsi="Times New Roman" w:cs="Times New Roman"/>
          <w:sz w:val="24"/>
          <w:szCs w:val="24"/>
        </w:rPr>
        <w:t>, but broader,</w:t>
      </w:r>
      <w:r w:rsidRPr="003A377E">
        <w:rPr>
          <w:rFonts w:ascii="Times New Roman" w:eastAsia="Times New Roman" w:hAnsi="Times New Roman" w:cs="Times New Roman"/>
          <w:sz w:val="24"/>
          <w:szCs w:val="24"/>
        </w:rPr>
        <w:t xml:space="preserve"> provision</w:t>
      </w:r>
      <w:r w:rsidR="000E3AE1" w:rsidRPr="003A377E">
        <w:rPr>
          <w:rFonts w:ascii="Times New Roman" w:eastAsia="Times New Roman" w:hAnsi="Times New Roman" w:cs="Times New Roman"/>
          <w:sz w:val="24"/>
          <w:szCs w:val="24"/>
        </w:rPr>
        <w:t xml:space="preserve">: </w:t>
      </w:r>
      <w:r w:rsidRPr="003A377E">
        <w:rPr>
          <w:rFonts w:ascii="Times New Roman" w:eastAsia="Times New Roman" w:hAnsi="Times New Roman" w:cs="Times New Roman"/>
          <w:sz w:val="24"/>
          <w:szCs w:val="24"/>
        </w:rPr>
        <w:t>funding the development of Asset Management Plans. The submission of a</w:t>
      </w:r>
      <w:r w:rsidR="00840150" w:rsidRPr="003A377E">
        <w:rPr>
          <w:rFonts w:ascii="Times New Roman" w:eastAsia="Times New Roman" w:hAnsi="Times New Roman" w:cs="Times New Roman"/>
          <w:sz w:val="24"/>
          <w:szCs w:val="24"/>
        </w:rPr>
        <w:t>udited asset registers is a pre</w:t>
      </w:r>
      <w:r w:rsidRPr="003A377E">
        <w:rPr>
          <w:rFonts w:ascii="Times New Roman" w:eastAsia="Times New Roman" w:hAnsi="Times New Roman" w:cs="Times New Roman"/>
          <w:sz w:val="24"/>
          <w:szCs w:val="24"/>
        </w:rPr>
        <w:t xml:space="preserve">requisite for eligibility for this provision. Where the asset registers need updating, DCoG </w:t>
      </w:r>
      <w:r w:rsidR="00840150" w:rsidRPr="003A377E">
        <w:rPr>
          <w:rFonts w:ascii="Times New Roman" w:eastAsia="Times New Roman" w:hAnsi="Times New Roman" w:cs="Times New Roman"/>
          <w:sz w:val="24"/>
          <w:szCs w:val="24"/>
        </w:rPr>
        <w:t>c</w:t>
      </w:r>
      <w:r w:rsidRPr="003A377E">
        <w:rPr>
          <w:rFonts w:ascii="Times New Roman" w:eastAsia="Times New Roman" w:hAnsi="Times New Roman" w:cs="Times New Roman"/>
          <w:sz w:val="24"/>
          <w:szCs w:val="24"/>
        </w:rPr>
        <w:t xml:space="preserve">an provide support. National Treasury added a requirement in the responsibilities of the administrators of the FMG, to ensure that there is no duplication of effort and funding for municipalities targeted for this support.  The phrasing of this requirement in the framework </w:t>
      </w:r>
      <w:r w:rsidR="00840150" w:rsidRPr="003A377E">
        <w:rPr>
          <w:rFonts w:ascii="Times New Roman" w:eastAsia="Times New Roman" w:hAnsi="Times New Roman" w:cs="Times New Roman"/>
          <w:sz w:val="24"/>
          <w:szCs w:val="24"/>
        </w:rPr>
        <w:t>ha</w:t>
      </w:r>
      <w:r w:rsidRPr="003A377E">
        <w:rPr>
          <w:rFonts w:ascii="Times New Roman" w:eastAsia="Times New Roman" w:hAnsi="Times New Roman" w:cs="Times New Roman"/>
          <w:sz w:val="24"/>
          <w:szCs w:val="24"/>
        </w:rPr>
        <w:t xml:space="preserve">s to be amended to highlight the need for alignment between the provisions in both </w:t>
      </w:r>
      <w:r w:rsidR="00840150"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s. This will be done through improved collaboration between the two administering departments when support is provided in the preparation of asset registers. </w:t>
      </w:r>
    </w:p>
    <w:p w:rsidR="00B74D78" w:rsidRPr="003A377E" w:rsidRDefault="00096B98">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w:t>
      </w:r>
      <w:r w:rsidR="00C03A1F" w:rsidRPr="003A377E">
        <w:rPr>
          <w:rFonts w:ascii="Times New Roman" w:eastAsia="Times New Roman" w:hAnsi="Times New Roman" w:cs="Times New Roman"/>
          <w:sz w:val="24"/>
          <w:szCs w:val="24"/>
        </w:rPr>
        <w:t xml:space="preserve"> </w:t>
      </w:r>
      <w:r w:rsidR="007E5134" w:rsidRPr="003A377E">
        <w:rPr>
          <w:rFonts w:ascii="Times New Roman" w:eastAsia="Times New Roman" w:hAnsi="Times New Roman" w:cs="Times New Roman"/>
          <w:sz w:val="24"/>
          <w:szCs w:val="24"/>
        </w:rPr>
        <w:t xml:space="preserve">  </w:t>
      </w:r>
    </w:p>
    <w:p w:rsidR="00B74D78" w:rsidRPr="003A377E" w:rsidRDefault="00B74D78">
      <w:pPr>
        <w:pStyle w:val="ListParagraph"/>
        <w:numPr>
          <w:ilvl w:val="0"/>
          <w:numId w:val="1"/>
        </w:numPr>
        <w:tabs>
          <w:tab w:val="left" w:pos="284"/>
        </w:tabs>
        <w:spacing w:after="0" w:line="360" w:lineRule="auto"/>
        <w:ind w:hanging="644"/>
        <w:jc w:val="both"/>
        <w:rPr>
          <w:rFonts w:ascii="Times New Roman" w:hAnsi="Times New Roman" w:cs="Times New Roman"/>
          <w:b/>
          <w:sz w:val="24"/>
          <w:szCs w:val="24"/>
        </w:rPr>
      </w:pPr>
      <w:r w:rsidRPr="003A377E">
        <w:rPr>
          <w:rFonts w:ascii="Times New Roman" w:hAnsi="Times New Roman" w:cs="Times New Roman"/>
          <w:b/>
          <w:sz w:val="24"/>
          <w:szCs w:val="24"/>
        </w:rPr>
        <w:t>Consultation process</w:t>
      </w:r>
      <w:r w:rsidR="006C3C6D" w:rsidRPr="003A377E">
        <w:rPr>
          <w:rFonts w:ascii="Times New Roman" w:hAnsi="Times New Roman" w:cs="Times New Roman"/>
          <w:b/>
          <w:sz w:val="24"/>
          <w:szCs w:val="24"/>
        </w:rPr>
        <w:t xml:space="preserve"> in terms of Section 214 of the Constitution</w:t>
      </w:r>
    </w:p>
    <w:p w:rsidR="00D05701" w:rsidRPr="003A377E" w:rsidRDefault="00D05701">
      <w:pPr>
        <w:numPr>
          <w:ilvl w:val="1"/>
          <w:numId w:val="5"/>
        </w:numPr>
        <w:tabs>
          <w:tab w:val="left" w:pos="284"/>
          <w:tab w:val="left" w:pos="567"/>
        </w:tabs>
        <w:spacing w:after="0" w:line="360" w:lineRule="auto"/>
        <w:contextualSpacing/>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Financial and Fiscal Commission (FFC)</w:t>
      </w:r>
    </w:p>
    <w:p w:rsidR="00D01627" w:rsidRPr="003A377E" w:rsidRDefault="00D01627">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The Financial and Fiscal Commission (FFC) submitted that </w:t>
      </w:r>
      <w:r w:rsidR="00587B43" w:rsidRPr="003A377E">
        <w:rPr>
          <w:rFonts w:ascii="Times New Roman" w:eastAsia="Times New Roman" w:hAnsi="Times New Roman" w:cs="Times New Roman"/>
          <w:sz w:val="24"/>
          <w:szCs w:val="24"/>
        </w:rPr>
        <w:t>t</w:t>
      </w:r>
      <w:r w:rsidR="00840150" w:rsidRPr="003A377E">
        <w:rPr>
          <w:rFonts w:ascii="Times New Roman" w:eastAsia="Times New Roman" w:hAnsi="Times New Roman" w:cs="Times New Roman"/>
          <w:sz w:val="24"/>
          <w:szCs w:val="24"/>
        </w:rPr>
        <w:t>he 2022 B</w:t>
      </w:r>
      <w:r w:rsidRPr="003A377E">
        <w:rPr>
          <w:rFonts w:ascii="Times New Roman" w:eastAsia="Times New Roman" w:hAnsi="Times New Roman" w:cs="Times New Roman"/>
          <w:sz w:val="24"/>
          <w:szCs w:val="24"/>
        </w:rPr>
        <w:t>udget proposed a total allocation of R682 billion over the 2022 MTEF to the provincial fiscal framework which represented a</w:t>
      </w:r>
      <w:r w:rsidR="00840150" w:rsidRPr="003A377E">
        <w:rPr>
          <w:rFonts w:ascii="Times New Roman" w:eastAsia="Times New Roman" w:hAnsi="Times New Roman" w:cs="Times New Roman"/>
          <w:sz w:val="24"/>
          <w:szCs w:val="24"/>
        </w:rPr>
        <w:t xml:space="preserve"> slight improvement to the 2021 </w:t>
      </w:r>
      <w:r w:rsidRPr="003A377E">
        <w:rPr>
          <w:rFonts w:ascii="Times New Roman" w:eastAsia="Times New Roman" w:hAnsi="Times New Roman" w:cs="Times New Roman"/>
          <w:sz w:val="24"/>
          <w:szCs w:val="24"/>
        </w:rPr>
        <w:t>MTBPS estimate of R658 billion. However, the FFC submitted that notwithstanding the upward adjustment, the 2022 MTEF allocations remained below pre-</w:t>
      </w:r>
      <w:r w:rsidR="003E3091" w:rsidRPr="003A377E">
        <w:rPr>
          <w:rFonts w:ascii="Times New Roman" w:eastAsia="Times New Roman" w:hAnsi="Times New Roman" w:cs="Times New Roman"/>
          <w:sz w:val="24"/>
          <w:szCs w:val="24"/>
        </w:rPr>
        <w:t>COVID</w:t>
      </w:r>
      <w:r w:rsidRPr="003A377E">
        <w:rPr>
          <w:rFonts w:ascii="Times New Roman" w:eastAsia="Times New Roman" w:hAnsi="Times New Roman" w:cs="Times New Roman"/>
          <w:sz w:val="24"/>
          <w:szCs w:val="24"/>
        </w:rPr>
        <w:t xml:space="preserve">-19 projections. The FFC recommended that provinces identify selected service delivery indicators and provide assessments of service levels using </w:t>
      </w:r>
      <w:r w:rsidR="00587B43" w:rsidRPr="003A377E">
        <w:rPr>
          <w:rFonts w:ascii="Times New Roman" w:eastAsia="Times New Roman" w:hAnsi="Times New Roman" w:cs="Times New Roman"/>
          <w:sz w:val="24"/>
          <w:szCs w:val="24"/>
        </w:rPr>
        <w:t xml:space="preserve">the </w:t>
      </w:r>
      <w:r w:rsidRPr="003A377E">
        <w:rPr>
          <w:rFonts w:ascii="Times New Roman" w:eastAsia="Times New Roman" w:hAnsi="Times New Roman" w:cs="Times New Roman"/>
          <w:sz w:val="24"/>
          <w:szCs w:val="24"/>
        </w:rPr>
        <w:t xml:space="preserve">2020 financial year as a point of reference to determine the impact of stagnant allocations on service delivery. These assessments must also incorporate provincial conditional </w:t>
      </w:r>
      <w:r w:rsidR="00587B43"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 delivery targets set out in the 2020 D</w:t>
      </w:r>
      <w:r w:rsidR="00587B43" w:rsidRPr="003A377E">
        <w:rPr>
          <w:rFonts w:ascii="Times New Roman" w:eastAsia="Times New Roman" w:hAnsi="Times New Roman" w:cs="Times New Roman"/>
          <w:sz w:val="24"/>
          <w:szCs w:val="24"/>
        </w:rPr>
        <w:t>ivision of Revenue Act</w:t>
      </w:r>
      <w:r w:rsidRPr="003A377E">
        <w:rPr>
          <w:rFonts w:ascii="Times New Roman" w:eastAsia="Times New Roman" w:hAnsi="Times New Roman" w:cs="Times New Roman"/>
          <w:sz w:val="24"/>
          <w:szCs w:val="24"/>
        </w:rPr>
        <w:t xml:space="preserve"> in comparison to the year of assessment. </w:t>
      </w:r>
      <w:r w:rsidR="00A56B32" w:rsidRPr="003A377E">
        <w:rPr>
          <w:rFonts w:ascii="Times New Roman" w:eastAsia="Times New Roman" w:hAnsi="Times New Roman" w:cs="Times New Roman"/>
          <w:sz w:val="24"/>
          <w:szCs w:val="24"/>
        </w:rPr>
        <w:t xml:space="preserve">With regard to the </w:t>
      </w:r>
      <w:r w:rsidR="00DD39B5" w:rsidRPr="003A377E">
        <w:rPr>
          <w:rFonts w:ascii="Times New Roman" w:eastAsia="Times New Roman" w:hAnsi="Times New Roman" w:cs="Times New Roman"/>
          <w:sz w:val="24"/>
          <w:szCs w:val="24"/>
        </w:rPr>
        <w:t>R24.6 billion allocated</w:t>
      </w:r>
      <w:r w:rsidRPr="003A377E">
        <w:rPr>
          <w:rFonts w:ascii="Times New Roman" w:eastAsia="Times New Roman" w:hAnsi="Times New Roman" w:cs="Times New Roman"/>
          <w:sz w:val="24"/>
          <w:szCs w:val="24"/>
        </w:rPr>
        <w:t xml:space="preserve"> over the 2022 MTEF for provincial education departments to address the shortage of teachers, </w:t>
      </w:r>
      <w:r w:rsidR="00A56B32" w:rsidRPr="003A377E">
        <w:rPr>
          <w:rFonts w:ascii="Times New Roman" w:eastAsia="Times New Roman" w:hAnsi="Times New Roman" w:cs="Times New Roman"/>
          <w:sz w:val="24"/>
          <w:szCs w:val="24"/>
        </w:rPr>
        <w:t xml:space="preserve">the FFC cautioned that government </w:t>
      </w:r>
      <w:r w:rsidR="00DD39B5" w:rsidRPr="003A377E">
        <w:rPr>
          <w:rFonts w:ascii="Times New Roman" w:eastAsia="Times New Roman" w:hAnsi="Times New Roman" w:cs="Times New Roman"/>
          <w:sz w:val="24"/>
          <w:szCs w:val="24"/>
        </w:rPr>
        <w:t xml:space="preserve">should </w:t>
      </w:r>
      <w:r w:rsidR="00A56B32" w:rsidRPr="003A377E">
        <w:rPr>
          <w:rFonts w:ascii="Times New Roman" w:eastAsia="Times New Roman" w:hAnsi="Times New Roman" w:cs="Times New Roman"/>
          <w:sz w:val="24"/>
          <w:szCs w:val="24"/>
        </w:rPr>
        <w:t>consider the carry-</w:t>
      </w:r>
      <w:r w:rsidRPr="003A377E">
        <w:rPr>
          <w:rFonts w:ascii="Times New Roman" w:eastAsia="Times New Roman" w:hAnsi="Times New Roman" w:cs="Times New Roman"/>
          <w:sz w:val="24"/>
          <w:szCs w:val="24"/>
        </w:rPr>
        <w:t xml:space="preserve">through cost </w:t>
      </w:r>
      <w:r w:rsidR="00DD39B5" w:rsidRPr="003A377E">
        <w:rPr>
          <w:rFonts w:ascii="Times New Roman" w:eastAsia="Times New Roman" w:hAnsi="Times New Roman" w:cs="Times New Roman"/>
          <w:sz w:val="24"/>
          <w:szCs w:val="24"/>
        </w:rPr>
        <w:t>of these</w:t>
      </w:r>
      <w:r w:rsidRPr="003A377E">
        <w:rPr>
          <w:rFonts w:ascii="Times New Roman" w:eastAsia="Times New Roman" w:hAnsi="Times New Roman" w:cs="Times New Roman"/>
          <w:sz w:val="24"/>
          <w:szCs w:val="24"/>
        </w:rPr>
        <w:t xml:space="preserve"> teachers going forward.</w:t>
      </w:r>
    </w:p>
    <w:p w:rsidR="00D01627" w:rsidRPr="003A377E" w:rsidRDefault="00D01627">
      <w:pPr>
        <w:tabs>
          <w:tab w:val="left" w:pos="284"/>
          <w:tab w:val="left" w:pos="567"/>
        </w:tabs>
        <w:spacing w:after="0" w:line="360" w:lineRule="auto"/>
        <w:jc w:val="both"/>
        <w:rPr>
          <w:rFonts w:ascii="Times New Roman" w:eastAsia="Times New Roman" w:hAnsi="Times New Roman" w:cs="Times New Roman"/>
          <w:sz w:val="24"/>
          <w:szCs w:val="24"/>
        </w:rPr>
      </w:pPr>
    </w:p>
    <w:p w:rsidR="00D01627" w:rsidRPr="003A377E" w:rsidRDefault="00D01627">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Regarding local government, </w:t>
      </w:r>
      <w:r w:rsidR="00A56B32" w:rsidRPr="003A377E">
        <w:rPr>
          <w:rFonts w:ascii="Times New Roman" w:eastAsia="Times New Roman" w:hAnsi="Times New Roman" w:cs="Times New Roman"/>
          <w:sz w:val="24"/>
          <w:szCs w:val="24"/>
        </w:rPr>
        <w:t>the FFC submitted that 2022 would</w:t>
      </w:r>
      <w:r w:rsidRPr="003A377E">
        <w:rPr>
          <w:rFonts w:ascii="Times New Roman" w:eastAsia="Times New Roman" w:hAnsi="Times New Roman" w:cs="Times New Roman"/>
          <w:sz w:val="24"/>
          <w:szCs w:val="24"/>
        </w:rPr>
        <w:t xml:space="preserve"> be a challenging year for municipalities as the political landscape ha</w:t>
      </w:r>
      <w:r w:rsidR="00A56B32" w:rsidRPr="003A377E">
        <w:rPr>
          <w:rFonts w:ascii="Times New Roman" w:eastAsia="Times New Roman" w:hAnsi="Times New Roman" w:cs="Times New Roman"/>
          <w:sz w:val="24"/>
          <w:szCs w:val="24"/>
        </w:rPr>
        <w:t>d</w:t>
      </w:r>
      <w:r w:rsidRPr="003A377E">
        <w:rPr>
          <w:rFonts w:ascii="Times New Roman" w:eastAsia="Times New Roman" w:hAnsi="Times New Roman" w:cs="Times New Roman"/>
          <w:sz w:val="24"/>
          <w:szCs w:val="24"/>
        </w:rPr>
        <w:t xml:space="preserve"> changed drastically after the municipal elections with governance and fiscal challenges which ha</w:t>
      </w:r>
      <w:r w:rsidR="00A56B32" w:rsidRPr="003A377E">
        <w:rPr>
          <w:rFonts w:ascii="Times New Roman" w:eastAsia="Times New Roman" w:hAnsi="Times New Roman" w:cs="Times New Roman"/>
          <w:sz w:val="24"/>
          <w:szCs w:val="24"/>
        </w:rPr>
        <w:t>d</w:t>
      </w:r>
      <w:r w:rsidRPr="003A377E">
        <w:rPr>
          <w:rFonts w:ascii="Times New Roman" w:eastAsia="Times New Roman" w:hAnsi="Times New Roman" w:cs="Times New Roman"/>
          <w:sz w:val="24"/>
          <w:szCs w:val="24"/>
        </w:rPr>
        <w:t xml:space="preserve"> the potential to impact the delivery of basic services. Furthermore, these changes were taking place against the backdrop of </w:t>
      </w:r>
      <w:r w:rsidR="003E3091" w:rsidRPr="003A377E">
        <w:rPr>
          <w:rFonts w:ascii="Times New Roman" w:eastAsia="Times New Roman" w:hAnsi="Times New Roman" w:cs="Times New Roman"/>
          <w:sz w:val="24"/>
          <w:szCs w:val="24"/>
        </w:rPr>
        <w:t>COVID</w:t>
      </w:r>
      <w:r w:rsidRPr="003A377E">
        <w:rPr>
          <w:rFonts w:ascii="Times New Roman" w:eastAsia="Times New Roman" w:hAnsi="Times New Roman" w:cs="Times New Roman"/>
          <w:sz w:val="24"/>
          <w:szCs w:val="24"/>
        </w:rPr>
        <w:t>-19, which amplified challenges relat</w:t>
      </w:r>
      <w:r w:rsidR="00A56B32" w:rsidRPr="003A377E">
        <w:rPr>
          <w:rFonts w:ascii="Times New Roman" w:eastAsia="Times New Roman" w:hAnsi="Times New Roman" w:cs="Times New Roman"/>
          <w:sz w:val="24"/>
          <w:szCs w:val="24"/>
        </w:rPr>
        <w:t>ed to access to basic services, such as</w:t>
      </w:r>
      <w:r w:rsidRPr="003A377E">
        <w:rPr>
          <w:rFonts w:ascii="Times New Roman" w:eastAsia="Times New Roman" w:hAnsi="Times New Roman" w:cs="Times New Roman"/>
          <w:sz w:val="24"/>
          <w:szCs w:val="24"/>
        </w:rPr>
        <w:t xml:space="preserve"> wat</w:t>
      </w:r>
      <w:r w:rsidR="00A56B32" w:rsidRPr="003A377E">
        <w:rPr>
          <w:rFonts w:ascii="Times New Roman" w:eastAsia="Times New Roman" w:hAnsi="Times New Roman" w:cs="Times New Roman"/>
          <w:sz w:val="24"/>
          <w:szCs w:val="24"/>
        </w:rPr>
        <w:t>er, electricity, and sanitation,</w:t>
      </w:r>
      <w:r w:rsidRPr="003A377E">
        <w:rPr>
          <w:rFonts w:ascii="Times New Roman" w:eastAsia="Times New Roman" w:hAnsi="Times New Roman" w:cs="Times New Roman"/>
          <w:sz w:val="24"/>
          <w:szCs w:val="24"/>
        </w:rPr>
        <w:t xml:space="preserve"> with wider fiscal </w:t>
      </w:r>
      <w:r w:rsidR="00A56B32" w:rsidRPr="003A377E">
        <w:rPr>
          <w:rFonts w:ascii="Times New Roman" w:eastAsia="Times New Roman" w:hAnsi="Times New Roman" w:cs="Times New Roman"/>
          <w:sz w:val="24"/>
          <w:szCs w:val="24"/>
        </w:rPr>
        <w:t>gaps and municipalities (68 per</w:t>
      </w:r>
      <w:r w:rsidRPr="003A377E">
        <w:rPr>
          <w:rFonts w:ascii="Times New Roman" w:eastAsia="Times New Roman" w:hAnsi="Times New Roman" w:cs="Times New Roman"/>
          <w:sz w:val="24"/>
          <w:szCs w:val="24"/>
        </w:rPr>
        <w:t xml:space="preserve">cent of 278) in financial distress. The FFC made the following </w:t>
      </w:r>
      <w:r w:rsidR="00A56B32" w:rsidRPr="003A377E">
        <w:rPr>
          <w:rFonts w:ascii="Times New Roman" w:eastAsia="Times New Roman" w:hAnsi="Times New Roman" w:cs="Times New Roman"/>
          <w:sz w:val="24"/>
          <w:szCs w:val="24"/>
        </w:rPr>
        <w:t>comments</w:t>
      </w:r>
      <w:r w:rsidRPr="003A377E">
        <w:rPr>
          <w:rFonts w:ascii="Times New Roman" w:eastAsia="Times New Roman" w:hAnsi="Times New Roman" w:cs="Times New Roman"/>
          <w:sz w:val="24"/>
          <w:szCs w:val="24"/>
        </w:rPr>
        <w:t xml:space="preserve"> with regard to local government:</w:t>
      </w:r>
    </w:p>
    <w:p w:rsidR="00D01627" w:rsidRPr="003A377E" w:rsidRDefault="00D01627">
      <w:pPr>
        <w:tabs>
          <w:tab w:val="left" w:pos="284"/>
          <w:tab w:val="left" w:pos="567"/>
        </w:tabs>
        <w:spacing w:after="0" w:line="360" w:lineRule="auto"/>
        <w:jc w:val="both"/>
        <w:rPr>
          <w:rFonts w:ascii="Times New Roman" w:eastAsia="Times New Roman" w:hAnsi="Times New Roman" w:cs="Times New Roman"/>
          <w:sz w:val="24"/>
          <w:szCs w:val="24"/>
        </w:rPr>
      </w:pPr>
    </w:p>
    <w:p w:rsidR="00D01627" w:rsidRPr="003A377E" w:rsidRDefault="00D01627">
      <w:pPr>
        <w:pStyle w:val="ListParagraph"/>
        <w:numPr>
          <w:ilvl w:val="0"/>
          <w:numId w:val="6"/>
        </w:numPr>
        <w:tabs>
          <w:tab w:val="left" w:pos="284"/>
          <w:tab w:val="left" w:pos="709"/>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The FFC welcomed government's efforts to keep the L</w:t>
      </w:r>
      <w:r w:rsidR="00A56B32" w:rsidRPr="003A377E">
        <w:rPr>
          <w:rFonts w:ascii="Times New Roman" w:eastAsia="Times New Roman" w:hAnsi="Times New Roman" w:cs="Times New Roman"/>
          <w:sz w:val="24"/>
          <w:szCs w:val="24"/>
        </w:rPr>
        <w:t>GES growth rate above inflation as this would</w:t>
      </w:r>
      <w:r w:rsidRPr="003A377E">
        <w:rPr>
          <w:rFonts w:ascii="Times New Roman" w:eastAsia="Times New Roman" w:hAnsi="Times New Roman" w:cs="Times New Roman"/>
          <w:sz w:val="24"/>
          <w:szCs w:val="24"/>
        </w:rPr>
        <w:t xml:space="preserve"> go a long way in offsetting the ever-increasing costs of basic services and enable the delivery of basic services to poor households. </w:t>
      </w:r>
    </w:p>
    <w:p w:rsidR="00D01627" w:rsidRPr="003A377E" w:rsidRDefault="00D01627">
      <w:pPr>
        <w:pStyle w:val="ListParagraph"/>
        <w:numPr>
          <w:ilvl w:val="0"/>
          <w:numId w:val="6"/>
        </w:numPr>
        <w:tabs>
          <w:tab w:val="left" w:pos="284"/>
          <w:tab w:val="left" w:pos="709"/>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The FFC welcomed the review of capacity-building systems and infrastructure </w:t>
      </w:r>
      <w:r w:rsidR="00A56B32"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s</w:t>
      </w:r>
      <w:r w:rsidR="00DD39B5" w:rsidRPr="003A377E">
        <w:rPr>
          <w:rFonts w:ascii="Times New Roman" w:eastAsia="Times New Roman" w:hAnsi="Times New Roman" w:cs="Times New Roman"/>
          <w:sz w:val="24"/>
          <w:szCs w:val="24"/>
        </w:rPr>
        <w:t xml:space="preserve">, indicating </w:t>
      </w:r>
      <w:r w:rsidR="00A56B32" w:rsidRPr="003A377E">
        <w:rPr>
          <w:rFonts w:ascii="Times New Roman" w:eastAsia="Times New Roman" w:hAnsi="Times New Roman" w:cs="Times New Roman"/>
          <w:sz w:val="24"/>
          <w:szCs w:val="24"/>
        </w:rPr>
        <w:t>that such initiatives would</w:t>
      </w:r>
      <w:r w:rsidRPr="003A377E">
        <w:rPr>
          <w:rFonts w:ascii="Times New Roman" w:eastAsia="Times New Roman" w:hAnsi="Times New Roman" w:cs="Times New Roman"/>
          <w:sz w:val="24"/>
          <w:szCs w:val="24"/>
        </w:rPr>
        <w:t xml:space="preserve"> enhance municipal performance, move the local government sector forward, and quicken the recovery process. </w:t>
      </w:r>
    </w:p>
    <w:p w:rsidR="00D01627" w:rsidRPr="003A377E" w:rsidRDefault="00D01627">
      <w:pPr>
        <w:pStyle w:val="ListParagraph"/>
        <w:numPr>
          <w:ilvl w:val="0"/>
          <w:numId w:val="6"/>
        </w:numPr>
        <w:tabs>
          <w:tab w:val="left" w:pos="284"/>
          <w:tab w:val="left" w:pos="709"/>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The FFC further underscored that the aforementioned review initiatives should be synchronised with the </w:t>
      </w:r>
      <w:r w:rsidR="00DD39B5" w:rsidRPr="003A377E">
        <w:rPr>
          <w:rFonts w:ascii="Times New Roman" w:eastAsia="Times New Roman" w:hAnsi="Times New Roman" w:cs="Times New Roman"/>
          <w:sz w:val="24"/>
          <w:szCs w:val="24"/>
        </w:rPr>
        <w:t>d</w:t>
      </w:r>
      <w:r w:rsidRPr="003A377E">
        <w:rPr>
          <w:rFonts w:ascii="Times New Roman" w:eastAsia="Times New Roman" w:hAnsi="Times New Roman" w:cs="Times New Roman"/>
          <w:sz w:val="24"/>
          <w:szCs w:val="24"/>
        </w:rPr>
        <w:t xml:space="preserve">istrict </w:t>
      </w:r>
      <w:r w:rsidR="00DD39B5" w:rsidRPr="003A377E">
        <w:rPr>
          <w:rFonts w:ascii="Times New Roman" w:eastAsia="Times New Roman" w:hAnsi="Times New Roman" w:cs="Times New Roman"/>
          <w:sz w:val="24"/>
          <w:szCs w:val="24"/>
        </w:rPr>
        <w:t>d</w:t>
      </w:r>
      <w:r w:rsidRPr="003A377E">
        <w:rPr>
          <w:rFonts w:ascii="Times New Roman" w:eastAsia="Times New Roman" w:hAnsi="Times New Roman" w:cs="Times New Roman"/>
          <w:sz w:val="24"/>
          <w:szCs w:val="24"/>
        </w:rPr>
        <w:t xml:space="preserve">evelopment </w:t>
      </w:r>
      <w:r w:rsidR="00DD39B5" w:rsidRPr="003A377E">
        <w:rPr>
          <w:rFonts w:ascii="Times New Roman" w:eastAsia="Times New Roman" w:hAnsi="Times New Roman" w:cs="Times New Roman"/>
          <w:sz w:val="24"/>
          <w:szCs w:val="24"/>
        </w:rPr>
        <w:t>m</w:t>
      </w:r>
      <w:r w:rsidRPr="003A377E">
        <w:rPr>
          <w:rFonts w:ascii="Times New Roman" w:eastAsia="Times New Roman" w:hAnsi="Times New Roman" w:cs="Times New Roman"/>
          <w:sz w:val="24"/>
          <w:szCs w:val="24"/>
        </w:rPr>
        <w:t>odel, which seeks to address critical issues of municipal finances and service delivery failures.</w:t>
      </w:r>
    </w:p>
    <w:p w:rsidR="00D05701" w:rsidRPr="003A377E" w:rsidRDefault="00D01627">
      <w:pPr>
        <w:numPr>
          <w:ilvl w:val="0"/>
          <w:numId w:val="6"/>
        </w:numPr>
        <w:tabs>
          <w:tab w:val="left" w:pos="284"/>
          <w:tab w:val="left" w:pos="709"/>
        </w:tabs>
        <w:spacing w:after="0" w:line="360" w:lineRule="auto"/>
        <w:contextualSpacing/>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Lastly, the FFC emphasised that municipalities must improve the efficiency of spending with cooperative support from the national and provincial spheres of government through monitoring, reporting and evaluation to fulfil their constitutional mandates</w:t>
      </w:r>
      <w:r w:rsidR="00D05701" w:rsidRPr="003A377E">
        <w:rPr>
          <w:rFonts w:ascii="Times New Roman" w:eastAsia="Times New Roman" w:hAnsi="Times New Roman" w:cs="Times New Roman"/>
          <w:sz w:val="24"/>
          <w:szCs w:val="24"/>
        </w:rPr>
        <w:t>.</w:t>
      </w:r>
    </w:p>
    <w:p w:rsidR="00D05701" w:rsidRPr="003A377E" w:rsidRDefault="00D05701">
      <w:pPr>
        <w:tabs>
          <w:tab w:val="left" w:pos="284"/>
          <w:tab w:val="left" w:pos="567"/>
        </w:tabs>
        <w:spacing w:after="0" w:line="360" w:lineRule="auto"/>
        <w:jc w:val="both"/>
        <w:rPr>
          <w:rFonts w:ascii="Times New Roman" w:eastAsia="Times New Roman" w:hAnsi="Times New Roman" w:cs="Times New Roman"/>
          <w:sz w:val="24"/>
          <w:szCs w:val="24"/>
        </w:rPr>
      </w:pPr>
    </w:p>
    <w:p w:rsidR="006C3C6D" w:rsidRPr="003A377E" w:rsidRDefault="006C3C6D">
      <w:pPr>
        <w:pStyle w:val="ListParagraph"/>
        <w:numPr>
          <w:ilvl w:val="1"/>
          <w:numId w:val="5"/>
        </w:numPr>
        <w:tabs>
          <w:tab w:val="left" w:pos="284"/>
          <w:tab w:val="left" w:pos="567"/>
        </w:tabs>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South African Local Government Association (</w:t>
      </w:r>
      <w:r w:rsidR="00A56B32" w:rsidRPr="003A377E">
        <w:rPr>
          <w:rFonts w:ascii="Times New Roman" w:eastAsia="Times New Roman" w:hAnsi="Times New Roman" w:cs="Times New Roman"/>
          <w:b/>
          <w:sz w:val="24"/>
          <w:szCs w:val="24"/>
        </w:rPr>
        <w:t>Salga</w:t>
      </w:r>
      <w:r w:rsidRPr="003A377E">
        <w:rPr>
          <w:rFonts w:ascii="Times New Roman" w:eastAsia="Times New Roman" w:hAnsi="Times New Roman" w:cs="Times New Roman"/>
          <w:b/>
          <w:sz w:val="24"/>
          <w:szCs w:val="24"/>
        </w:rPr>
        <w:t>)</w:t>
      </w:r>
    </w:p>
    <w:p w:rsidR="006C3C6D"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lang w:val="en-US"/>
        </w:rPr>
        <w:t>The South African Local Government Association (</w:t>
      </w:r>
      <w:r w:rsidR="00A56B32" w:rsidRPr="003A377E">
        <w:rPr>
          <w:rFonts w:ascii="Times New Roman" w:eastAsia="Times New Roman" w:hAnsi="Times New Roman" w:cs="Times New Roman"/>
          <w:sz w:val="24"/>
          <w:szCs w:val="24"/>
          <w:lang w:val="en-US"/>
        </w:rPr>
        <w:t>Salga</w:t>
      </w:r>
      <w:r w:rsidRPr="003A377E">
        <w:rPr>
          <w:rFonts w:ascii="Times New Roman" w:eastAsia="Times New Roman" w:hAnsi="Times New Roman" w:cs="Times New Roman"/>
          <w:sz w:val="24"/>
          <w:szCs w:val="24"/>
          <w:lang w:val="en-US"/>
        </w:rPr>
        <w:t xml:space="preserve">) noted </w:t>
      </w:r>
      <w:r w:rsidRPr="003A377E">
        <w:rPr>
          <w:rFonts w:ascii="Times New Roman" w:eastAsia="Times New Roman" w:hAnsi="Times New Roman" w:cs="Times New Roman"/>
          <w:sz w:val="24"/>
          <w:szCs w:val="24"/>
        </w:rPr>
        <w:t xml:space="preserve">and supported the fiscal consolidation course plotted by government to narrow the budget deficit and submitted that this </w:t>
      </w:r>
      <w:r w:rsidR="00DD39B5" w:rsidRPr="003A377E">
        <w:rPr>
          <w:rFonts w:ascii="Times New Roman" w:eastAsia="Times New Roman" w:hAnsi="Times New Roman" w:cs="Times New Roman"/>
          <w:sz w:val="24"/>
          <w:szCs w:val="24"/>
        </w:rPr>
        <w:t>p</w:t>
      </w:r>
      <w:r w:rsidRPr="003A377E">
        <w:rPr>
          <w:rFonts w:ascii="Times New Roman" w:eastAsia="Times New Roman" w:hAnsi="Times New Roman" w:cs="Times New Roman"/>
          <w:sz w:val="24"/>
          <w:szCs w:val="24"/>
        </w:rPr>
        <w:t>romis</w:t>
      </w:r>
      <w:r w:rsidR="00DD39B5" w:rsidRPr="003A377E">
        <w:rPr>
          <w:rFonts w:ascii="Times New Roman" w:eastAsia="Times New Roman" w:hAnsi="Times New Roman" w:cs="Times New Roman"/>
          <w:sz w:val="24"/>
          <w:szCs w:val="24"/>
        </w:rPr>
        <w:t>ed</w:t>
      </w:r>
      <w:r w:rsidRPr="003A377E">
        <w:rPr>
          <w:rFonts w:ascii="Times New Roman" w:eastAsia="Times New Roman" w:hAnsi="Times New Roman" w:cs="Times New Roman"/>
          <w:sz w:val="24"/>
          <w:szCs w:val="24"/>
        </w:rPr>
        <w:t xml:space="preserve"> to bear results, notwithstanding the risk factors cited. </w:t>
      </w:r>
      <w:r w:rsidR="00A56B32" w:rsidRPr="003A377E">
        <w:rPr>
          <w:rFonts w:ascii="Times New Roman" w:eastAsia="Times New Roman" w:hAnsi="Times New Roman" w:cs="Times New Roman"/>
          <w:sz w:val="24"/>
          <w:szCs w:val="24"/>
          <w:lang w:val="en-US"/>
        </w:rPr>
        <w:t>Salga</w:t>
      </w:r>
      <w:r w:rsidRPr="003A377E">
        <w:rPr>
          <w:rFonts w:ascii="Times New Roman" w:eastAsia="Times New Roman" w:hAnsi="Times New Roman" w:cs="Times New Roman"/>
          <w:sz w:val="24"/>
          <w:szCs w:val="24"/>
        </w:rPr>
        <w:t xml:space="preserve"> welcomed the increased adjustment to the local government </w:t>
      </w:r>
      <w:r w:rsidR="00DD39B5" w:rsidRPr="003A377E">
        <w:rPr>
          <w:rFonts w:ascii="Times New Roman" w:eastAsia="Times New Roman" w:hAnsi="Times New Roman" w:cs="Times New Roman"/>
          <w:sz w:val="24"/>
          <w:szCs w:val="24"/>
        </w:rPr>
        <w:t>fiscal framework</w:t>
      </w:r>
      <w:r w:rsidRPr="003A377E">
        <w:rPr>
          <w:rFonts w:ascii="Times New Roman" w:eastAsia="Times New Roman" w:hAnsi="Times New Roman" w:cs="Times New Roman"/>
          <w:sz w:val="24"/>
          <w:szCs w:val="24"/>
        </w:rPr>
        <w:t xml:space="preserve"> since this accorde</w:t>
      </w:r>
      <w:r w:rsidR="00DD39B5" w:rsidRPr="003A377E">
        <w:rPr>
          <w:rFonts w:ascii="Times New Roman" w:eastAsia="Times New Roman" w:hAnsi="Times New Roman" w:cs="Times New Roman"/>
          <w:sz w:val="24"/>
          <w:szCs w:val="24"/>
        </w:rPr>
        <w:t>d with what the organisation had</w:t>
      </w:r>
      <w:r w:rsidRPr="003A377E">
        <w:rPr>
          <w:rFonts w:ascii="Times New Roman" w:eastAsia="Times New Roman" w:hAnsi="Times New Roman" w:cs="Times New Roman"/>
          <w:sz w:val="24"/>
          <w:szCs w:val="24"/>
        </w:rPr>
        <w:t xml:space="preserve"> been lobbying and advocating for at the Budget Forum, Parliament and various other intergovernmental relations fora. </w:t>
      </w:r>
      <w:r w:rsidR="00A56B32" w:rsidRPr="003A377E">
        <w:rPr>
          <w:rFonts w:ascii="Times New Roman" w:eastAsia="Times New Roman" w:hAnsi="Times New Roman" w:cs="Times New Roman"/>
          <w:sz w:val="24"/>
          <w:szCs w:val="24"/>
          <w:lang w:val="en-US"/>
        </w:rPr>
        <w:t>Salga</w:t>
      </w:r>
      <w:r w:rsidRPr="003A377E">
        <w:rPr>
          <w:rFonts w:ascii="Times New Roman" w:eastAsia="Times New Roman" w:hAnsi="Times New Roman" w:cs="Times New Roman"/>
          <w:sz w:val="24"/>
          <w:szCs w:val="24"/>
        </w:rPr>
        <w:t xml:space="preserve"> submitted that the proposed increase in the allocation to local gov</w:t>
      </w:r>
      <w:r w:rsidR="00DD39B5" w:rsidRPr="003A377E">
        <w:rPr>
          <w:rFonts w:ascii="Times New Roman" w:eastAsia="Times New Roman" w:hAnsi="Times New Roman" w:cs="Times New Roman"/>
          <w:sz w:val="24"/>
          <w:szCs w:val="24"/>
        </w:rPr>
        <w:t xml:space="preserve">ernment over the MTEF cycle would </w:t>
      </w:r>
      <w:r w:rsidRPr="003A377E">
        <w:rPr>
          <w:rFonts w:ascii="Times New Roman" w:eastAsia="Times New Roman" w:hAnsi="Times New Roman" w:cs="Times New Roman"/>
          <w:sz w:val="24"/>
          <w:szCs w:val="24"/>
        </w:rPr>
        <w:t xml:space="preserve">gradually </w:t>
      </w:r>
      <w:r w:rsidR="00DD39B5" w:rsidRPr="003A377E">
        <w:rPr>
          <w:rFonts w:ascii="Times New Roman" w:eastAsia="Times New Roman" w:hAnsi="Times New Roman" w:cs="Times New Roman"/>
          <w:sz w:val="24"/>
          <w:szCs w:val="24"/>
        </w:rPr>
        <w:t>realise</w:t>
      </w:r>
      <w:r w:rsidRPr="003A377E">
        <w:rPr>
          <w:rFonts w:ascii="Times New Roman" w:eastAsia="Times New Roman" w:hAnsi="Times New Roman" w:cs="Times New Roman"/>
          <w:sz w:val="24"/>
          <w:szCs w:val="24"/>
        </w:rPr>
        <w:t xml:space="preserve"> the promise contained in the White Paper on Local Government of an equitable share of nationally raised revenue.</w:t>
      </w:r>
    </w:p>
    <w:p w:rsidR="006C3C6D"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lang w:val="en-US"/>
        </w:rPr>
      </w:pPr>
    </w:p>
    <w:p w:rsidR="006C3C6D"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lang w:val="en-US"/>
        </w:rPr>
        <w:t>With regard to the importance of effective municipal capacity building</w:t>
      </w:r>
      <w:r w:rsidR="00DD39B5" w:rsidRPr="003A377E">
        <w:rPr>
          <w:rFonts w:ascii="Times New Roman" w:eastAsia="Times New Roman" w:hAnsi="Times New Roman" w:cs="Times New Roman"/>
          <w:sz w:val="24"/>
          <w:szCs w:val="24"/>
          <w:lang w:val="en-US"/>
        </w:rPr>
        <w:t>,</w:t>
      </w:r>
      <w:r w:rsidRPr="003A377E">
        <w:rPr>
          <w:rFonts w:ascii="Times New Roman" w:eastAsia="Times New Roman" w:hAnsi="Times New Roman" w:cs="Times New Roman"/>
          <w:sz w:val="24"/>
          <w:szCs w:val="24"/>
          <w:lang w:val="en-US"/>
        </w:rPr>
        <w:t xml:space="preserve"> given the high number of municipalities currently </w:t>
      </w:r>
      <w:r w:rsidR="00DD39B5" w:rsidRPr="003A377E">
        <w:rPr>
          <w:rFonts w:ascii="Times New Roman" w:eastAsia="Times New Roman" w:hAnsi="Times New Roman" w:cs="Times New Roman"/>
          <w:sz w:val="24"/>
          <w:szCs w:val="24"/>
          <w:lang w:val="en-US"/>
        </w:rPr>
        <w:t>in</w:t>
      </w:r>
      <w:r w:rsidRPr="003A377E">
        <w:rPr>
          <w:rFonts w:ascii="Times New Roman" w:eastAsia="Times New Roman" w:hAnsi="Times New Roman" w:cs="Times New Roman"/>
          <w:sz w:val="24"/>
          <w:szCs w:val="24"/>
          <w:lang w:val="en-US"/>
        </w:rPr>
        <w:t xml:space="preserve"> financial distress, </w:t>
      </w:r>
      <w:r w:rsidR="00A56B32" w:rsidRPr="003A377E">
        <w:rPr>
          <w:rFonts w:ascii="Times New Roman" w:eastAsia="Times New Roman" w:hAnsi="Times New Roman" w:cs="Times New Roman"/>
          <w:sz w:val="24"/>
          <w:szCs w:val="24"/>
          <w:lang w:val="en-US"/>
        </w:rPr>
        <w:t>Salga</w:t>
      </w:r>
      <w:r w:rsidRPr="003A377E">
        <w:rPr>
          <w:rFonts w:ascii="Times New Roman" w:eastAsia="Times New Roman" w:hAnsi="Times New Roman" w:cs="Times New Roman"/>
          <w:sz w:val="24"/>
          <w:szCs w:val="24"/>
          <w:lang w:val="en-US"/>
        </w:rPr>
        <w:t xml:space="preserve"> submitted that it </w:t>
      </w:r>
      <w:r w:rsidRPr="003A377E">
        <w:rPr>
          <w:rFonts w:ascii="Times New Roman" w:eastAsia="Times New Roman" w:hAnsi="Times New Roman" w:cs="Times New Roman"/>
          <w:sz w:val="24"/>
          <w:szCs w:val="24"/>
        </w:rPr>
        <w:t>ha</w:t>
      </w:r>
      <w:r w:rsidR="00DD39B5" w:rsidRPr="003A377E">
        <w:rPr>
          <w:rFonts w:ascii="Times New Roman" w:eastAsia="Times New Roman" w:hAnsi="Times New Roman" w:cs="Times New Roman"/>
          <w:sz w:val="24"/>
          <w:szCs w:val="24"/>
        </w:rPr>
        <w:t>d</w:t>
      </w:r>
      <w:r w:rsidRPr="003A377E">
        <w:rPr>
          <w:rFonts w:ascii="Times New Roman" w:eastAsia="Times New Roman" w:hAnsi="Times New Roman" w:cs="Times New Roman"/>
          <w:sz w:val="24"/>
          <w:szCs w:val="24"/>
        </w:rPr>
        <w:t xml:space="preserve"> introduced the following: </w:t>
      </w:r>
    </w:p>
    <w:p w:rsidR="006C3C6D"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rPr>
      </w:pPr>
    </w:p>
    <w:p w:rsidR="006C3C6D" w:rsidRPr="003A377E" w:rsidRDefault="005627B6">
      <w:pPr>
        <w:pStyle w:val="ListParagraph"/>
        <w:numPr>
          <w:ilvl w:val="0"/>
          <w:numId w:val="14"/>
        </w:numPr>
        <w:tabs>
          <w:tab w:val="left" w:pos="284"/>
          <w:tab w:val="left" w:pos="709"/>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The development of a </w:t>
      </w:r>
      <w:r w:rsidR="006C3C6D" w:rsidRPr="003A377E">
        <w:rPr>
          <w:rFonts w:ascii="Times New Roman" w:eastAsia="Times New Roman" w:hAnsi="Times New Roman" w:cs="Times New Roman"/>
          <w:sz w:val="24"/>
          <w:szCs w:val="24"/>
        </w:rPr>
        <w:t>Good Practice Guide on</w:t>
      </w:r>
      <w:r w:rsidRPr="003A377E">
        <w:rPr>
          <w:rFonts w:ascii="Times New Roman" w:eastAsia="Times New Roman" w:hAnsi="Times New Roman" w:cs="Times New Roman"/>
          <w:sz w:val="24"/>
          <w:szCs w:val="24"/>
        </w:rPr>
        <w:t xml:space="preserve"> Municipal Financial Management,</w:t>
      </w:r>
      <w:r w:rsidR="006C3C6D" w:rsidRPr="003A377E">
        <w:rPr>
          <w:rFonts w:ascii="Times New Roman" w:eastAsia="Times New Roman" w:hAnsi="Times New Roman" w:cs="Times New Roman"/>
          <w:sz w:val="24"/>
          <w:szCs w:val="24"/>
        </w:rPr>
        <w:t xml:space="preserve"> with a view to improve the capacity of municipal officials and political leadership. Furthermore, </w:t>
      </w:r>
      <w:r w:rsidRPr="003A377E">
        <w:rPr>
          <w:rFonts w:ascii="Times New Roman" w:eastAsia="Times New Roman" w:hAnsi="Times New Roman" w:cs="Times New Roman"/>
          <w:sz w:val="24"/>
          <w:szCs w:val="24"/>
        </w:rPr>
        <w:t xml:space="preserve">it is in the process of rolling </w:t>
      </w:r>
      <w:r w:rsidR="006C3C6D" w:rsidRPr="003A377E">
        <w:rPr>
          <w:rFonts w:ascii="Times New Roman" w:eastAsia="Times New Roman" w:hAnsi="Times New Roman" w:cs="Times New Roman"/>
          <w:sz w:val="24"/>
          <w:szCs w:val="24"/>
        </w:rPr>
        <w:t>out capacity building initiatives via the Municipal Finance Integrated Councillo</w:t>
      </w:r>
      <w:r w:rsidRPr="003A377E">
        <w:rPr>
          <w:rFonts w:ascii="Times New Roman" w:eastAsia="Times New Roman" w:hAnsi="Times New Roman" w:cs="Times New Roman"/>
          <w:sz w:val="24"/>
          <w:szCs w:val="24"/>
        </w:rPr>
        <w:t>r Induction Programme (ICIP) as well as</w:t>
      </w:r>
      <w:r w:rsidR="006C3C6D" w:rsidRPr="003A377E">
        <w:rPr>
          <w:rFonts w:ascii="Times New Roman" w:eastAsia="Times New Roman" w:hAnsi="Times New Roman" w:cs="Times New Roman"/>
          <w:sz w:val="24"/>
          <w:szCs w:val="24"/>
        </w:rPr>
        <w:t xml:space="preserve"> capacity building workshops targeting municipal officials. </w:t>
      </w:r>
    </w:p>
    <w:p w:rsidR="006C3C6D" w:rsidRPr="003A377E" w:rsidRDefault="006C3C6D">
      <w:pPr>
        <w:pStyle w:val="ListParagraph"/>
        <w:numPr>
          <w:ilvl w:val="0"/>
          <w:numId w:val="14"/>
        </w:numPr>
        <w:tabs>
          <w:tab w:val="left" w:pos="284"/>
          <w:tab w:val="left" w:pos="709"/>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In</w:t>
      </w:r>
      <w:r w:rsidR="005627B6" w:rsidRPr="003A377E">
        <w:rPr>
          <w:rFonts w:ascii="Times New Roman" w:eastAsia="Times New Roman" w:hAnsi="Times New Roman" w:cs="Times New Roman"/>
          <w:sz w:val="24"/>
          <w:szCs w:val="24"/>
        </w:rPr>
        <w:t xml:space="preserve"> line with the </w:t>
      </w:r>
      <w:r w:rsidRPr="003A377E">
        <w:rPr>
          <w:rFonts w:ascii="Times New Roman" w:eastAsia="Times New Roman" w:hAnsi="Times New Roman" w:cs="Times New Roman"/>
          <w:sz w:val="24"/>
          <w:szCs w:val="24"/>
        </w:rPr>
        <w:t>coordination of capacity building initiatives targeted at municipalities, the ICIP is offered in collaboration with National Treasury a</w:t>
      </w:r>
      <w:r w:rsidR="005627B6" w:rsidRPr="003A377E">
        <w:rPr>
          <w:rFonts w:ascii="Times New Roman" w:eastAsia="Times New Roman" w:hAnsi="Times New Roman" w:cs="Times New Roman"/>
          <w:sz w:val="24"/>
          <w:szCs w:val="24"/>
        </w:rPr>
        <w:t>nd</w:t>
      </w:r>
      <w:r w:rsidRPr="003A377E">
        <w:rPr>
          <w:rFonts w:ascii="Times New Roman" w:eastAsia="Times New Roman" w:hAnsi="Times New Roman" w:cs="Times New Roman"/>
          <w:sz w:val="24"/>
          <w:szCs w:val="24"/>
        </w:rPr>
        <w:t xml:space="preserve"> </w:t>
      </w:r>
      <w:r w:rsidR="005627B6" w:rsidRPr="003A377E">
        <w:rPr>
          <w:rFonts w:ascii="Times New Roman" w:eastAsia="Times New Roman" w:hAnsi="Times New Roman" w:cs="Times New Roman"/>
          <w:sz w:val="24"/>
          <w:szCs w:val="24"/>
        </w:rPr>
        <w:t>p</w:t>
      </w:r>
      <w:r w:rsidRPr="003A377E">
        <w:rPr>
          <w:rFonts w:ascii="Times New Roman" w:eastAsia="Times New Roman" w:hAnsi="Times New Roman" w:cs="Times New Roman"/>
          <w:sz w:val="24"/>
          <w:szCs w:val="24"/>
        </w:rPr>
        <w:t xml:space="preserve">rovincial </w:t>
      </w:r>
      <w:r w:rsidR="005627B6" w:rsidRPr="003A377E">
        <w:rPr>
          <w:rFonts w:ascii="Times New Roman" w:eastAsia="Times New Roman" w:hAnsi="Times New Roman" w:cs="Times New Roman"/>
          <w:sz w:val="24"/>
          <w:szCs w:val="24"/>
        </w:rPr>
        <w:t>t</w:t>
      </w:r>
      <w:r w:rsidRPr="003A377E">
        <w:rPr>
          <w:rFonts w:ascii="Times New Roman" w:eastAsia="Times New Roman" w:hAnsi="Times New Roman" w:cs="Times New Roman"/>
          <w:sz w:val="24"/>
          <w:szCs w:val="24"/>
        </w:rPr>
        <w:t>reasuries;</w:t>
      </w:r>
      <w:r w:rsidR="005627B6" w:rsidRPr="003A377E">
        <w:rPr>
          <w:rFonts w:ascii="Times New Roman" w:eastAsia="Times New Roman" w:hAnsi="Times New Roman" w:cs="Times New Roman"/>
          <w:sz w:val="24"/>
          <w:szCs w:val="24"/>
        </w:rPr>
        <w:t xml:space="preserve"> DCoG, the</w:t>
      </w:r>
      <w:r w:rsidRPr="003A377E">
        <w:rPr>
          <w:rFonts w:ascii="Times New Roman" w:eastAsia="Times New Roman" w:hAnsi="Times New Roman" w:cs="Times New Roman"/>
          <w:sz w:val="24"/>
          <w:szCs w:val="24"/>
        </w:rPr>
        <w:t xml:space="preserve"> South African Revenue Service</w:t>
      </w:r>
      <w:r w:rsidR="005627B6" w:rsidRPr="003A377E">
        <w:rPr>
          <w:rFonts w:ascii="Times New Roman" w:eastAsia="Times New Roman" w:hAnsi="Times New Roman" w:cs="Times New Roman"/>
          <w:sz w:val="24"/>
          <w:szCs w:val="24"/>
        </w:rPr>
        <w:t xml:space="preserve"> (SARS)</w:t>
      </w:r>
      <w:r w:rsidRPr="003A377E">
        <w:rPr>
          <w:rFonts w:ascii="Times New Roman" w:eastAsia="Times New Roman" w:hAnsi="Times New Roman" w:cs="Times New Roman"/>
          <w:sz w:val="24"/>
          <w:szCs w:val="24"/>
        </w:rPr>
        <w:t>, and the Local Government Sector Education and Training Authority.</w:t>
      </w:r>
    </w:p>
    <w:p w:rsidR="006C3C6D" w:rsidRPr="003A377E" w:rsidRDefault="005627B6">
      <w:pPr>
        <w:pStyle w:val="ListParagraph"/>
        <w:numPr>
          <w:ilvl w:val="0"/>
          <w:numId w:val="14"/>
        </w:numPr>
        <w:tabs>
          <w:tab w:val="left" w:pos="284"/>
          <w:tab w:val="left" w:pos="709"/>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The development of the accredited </w:t>
      </w:r>
      <w:r w:rsidR="006C3C6D" w:rsidRPr="003A377E">
        <w:rPr>
          <w:rFonts w:ascii="Times New Roman" w:eastAsia="Times New Roman" w:hAnsi="Times New Roman" w:cs="Times New Roman"/>
          <w:sz w:val="24"/>
          <w:szCs w:val="24"/>
        </w:rPr>
        <w:t>Project Preparation and Financing capacity building initiative for major capital projects included piloted municipalities to ensure that the learning outcomes address the deficiencies agreed with municipalities.</w:t>
      </w:r>
    </w:p>
    <w:p w:rsidR="006C3C6D"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lang w:val="en-US"/>
        </w:rPr>
      </w:pPr>
    </w:p>
    <w:p w:rsidR="006C3C6D"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lang w:val="en-US"/>
        </w:rPr>
      </w:pPr>
      <w:r w:rsidRPr="003A377E">
        <w:rPr>
          <w:rFonts w:ascii="Times New Roman" w:eastAsia="Times New Roman" w:hAnsi="Times New Roman" w:cs="Times New Roman"/>
          <w:sz w:val="24"/>
          <w:szCs w:val="24"/>
          <w:lang w:val="en-US"/>
        </w:rPr>
        <w:t xml:space="preserve">In terms of municipal revenue, </w:t>
      </w:r>
      <w:r w:rsidR="00A56B32" w:rsidRPr="003A377E">
        <w:rPr>
          <w:rFonts w:ascii="Times New Roman" w:eastAsia="Times New Roman" w:hAnsi="Times New Roman" w:cs="Times New Roman"/>
          <w:sz w:val="24"/>
          <w:szCs w:val="24"/>
          <w:lang w:val="en-US"/>
        </w:rPr>
        <w:t>Salga</w:t>
      </w:r>
      <w:r w:rsidRPr="003A377E">
        <w:rPr>
          <w:rFonts w:ascii="Times New Roman" w:eastAsia="Times New Roman" w:hAnsi="Times New Roman" w:cs="Times New Roman"/>
          <w:sz w:val="24"/>
          <w:szCs w:val="24"/>
          <w:lang w:val="en-US"/>
        </w:rPr>
        <w:t xml:space="preserve"> submitted that the</w:t>
      </w:r>
      <w:r w:rsidRPr="003A377E">
        <w:rPr>
          <w:rFonts w:ascii="Times New Roman" w:eastAsia="Times New Roman" w:hAnsi="Times New Roman" w:cs="Times New Roman"/>
          <w:sz w:val="24"/>
          <w:szCs w:val="24"/>
        </w:rPr>
        <w:t xml:space="preserve"> National Conference resolved amongst others to encourage municipalities to strictly implement their credit control policies in an effort to manage escalating debt-owing to municipalities, particularly in collecting debt from customers who are able to pay but not willing as opposed to indigent customers.</w:t>
      </w:r>
    </w:p>
    <w:p w:rsidR="006C3C6D"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lang w:val="en-US"/>
        </w:rPr>
      </w:pPr>
    </w:p>
    <w:p w:rsidR="006C3C6D" w:rsidRPr="003A377E" w:rsidRDefault="00A56B32">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lang w:val="en-US"/>
        </w:rPr>
        <w:t>Salga</w:t>
      </w:r>
      <w:r w:rsidR="006C3C6D" w:rsidRPr="003A377E">
        <w:rPr>
          <w:rFonts w:ascii="Times New Roman" w:eastAsia="Times New Roman" w:hAnsi="Times New Roman" w:cs="Times New Roman"/>
          <w:sz w:val="24"/>
          <w:szCs w:val="24"/>
          <w:lang w:val="en-US"/>
        </w:rPr>
        <w:t xml:space="preserve"> made reference to the updated Municipal Borrowing Policy Framework, and stated that </w:t>
      </w:r>
      <w:r w:rsidR="006C3C6D" w:rsidRPr="003A377E">
        <w:rPr>
          <w:rFonts w:ascii="Times New Roman" w:eastAsia="Times New Roman" w:hAnsi="Times New Roman" w:cs="Times New Roman"/>
          <w:sz w:val="24"/>
          <w:szCs w:val="24"/>
        </w:rPr>
        <w:t xml:space="preserve">it is collaborating with the Development Bank of Southern Africa’s Infrastructure Fund in an effort to facilitate the uptake of long-term borrowing instruments for major capital projects. </w:t>
      </w:r>
    </w:p>
    <w:p w:rsidR="006C3C6D"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rPr>
      </w:pPr>
    </w:p>
    <w:p w:rsidR="006C3C6D" w:rsidRPr="003A377E" w:rsidRDefault="00A56B32">
      <w:pPr>
        <w:tabs>
          <w:tab w:val="left" w:pos="284"/>
          <w:tab w:val="left" w:pos="567"/>
        </w:tabs>
        <w:spacing w:after="0" w:line="360" w:lineRule="auto"/>
        <w:jc w:val="both"/>
        <w:rPr>
          <w:rFonts w:ascii="Times New Roman" w:eastAsia="Times New Roman" w:hAnsi="Times New Roman" w:cs="Times New Roman"/>
          <w:sz w:val="24"/>
          <w:szCs w:val="24"/>
          <w:lang w:val="en-US"/>
        </w:rPr>
      </w:pPr>
      <w:r w:rsidRPr="003A377E">
        <w:rPr>
          <w:rFonts w:ascii="Times New Roman" w:eastAsia="Times New Roman" w:hAnsi="Times New Roman" w:cs="Times New Roman"/>
          <w:sz w:val="24"/>
          <w:szCs w:val="24"/>
          <w:lang w:val="en-US"/>
        </w:rPr>
        <w:t>Salga</w:t>
      </w:r>
      <w:r w:rsidR="006C3C6D" w:rsidRPr="003A377E">
        <w:rPr>
          <w:rFonts w:ascii="Times New Roman" w:eastAsia="Times New Roman" w:hAnsi="Times New Roman" w:cs="Times New Roman"/>
          <w:sz w:val="24"/>
          <w:szCs w:val="24"/>
        </w:rPr>
        <w:t xml:space="preserve"> welcomed the allocations of R800 million in 2022/23 and R856 million in 2023/24 in respect of the Neighbourhood Development Partnership </w:t>
      </w:r>
      <w:r w:rsidR="003E3091" w:rsidRPr="003A377E">
        <w:rPr>
          <w:rFonts w:ascii="Times New Roman" w:eastAsia="Times New Roman" w:hAnsi="Times New Roman" w:cs="Times New Roman"/>
          <w:sz w:val="24"/>
          <w:szCs w:val="24"/>
        </w:rPr>
        <w:t>Grant</w:t>
      </w:r>
      <w:r w:rsidR="006C3C6D" w:rsidRPr="003A377E">
        <w:rPr>
          <w:rFonts w:ascii="Times New Roman" w:eastAsia="Times New Roman" w:hAnsi="Times New Roman" w:cs="Times New Roman"/>
          <w:sz w:val="24"/>
          <w:szCs w:val="24"/>
        </w:rPr>
        <w:t xml:space="preserve"> to continue with city-led employment programmes forming part of the presidential employment initiative. However, it submitted that these allocations must be aligned to the local government functions of the </w:t>
      </w:r>
      <w:r w:rsidR="005627B6"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006C3C6D" w:rsidRPr="003A377E">
        <w:rPr>
          <w:rFonts w:ascii="Times New Roman" w:eastAsia="Times New Roman" w:hAnsi="Times New Roman" w:cs="Times New Roman"/>
          <w:sz w:val="24"/>
          <w:szCs w:val="24"/>
        </w:rPr>
        <w:t xml:space="preserve">. </w:t>
      </w:r>
      <w:r w:rsidRPr="003A377E">
        <w:rPr>
          <w:rFonts w:ascii="Times New Roman" w:eastAsia="Times New Roman" w:hAnsi="Times New Roman" w:cs="Times New Roman"/>
          <w:sz w:val="24"/>
          <w:szCs w:val="24"/>
          <w:lang w:val="en-US"/>
        </w:rPr>
        <w:t>Salga</w:t>
      </w:r>
      <w:r w:rsidR="006C3C6D" w:rsidRPr="003A377E">
        <w:rPr>
          <w:rFonts w:ascii="Times New Roman" w:eastAsia="Times New Roman" w:hAnsi="Times New Roman" w:cs="Times New Roman"/>
          <w:sz w:val="24"/>
          <w:szCs w:val="24"/>
        </w:rPr>
        <w:t xml:space="preserve"> acknowledged the temporary nature of the initiative </w:t>
      </w:r>
      <w:r w:rsidR="005627B6" w:rsidRPr="003A377E">
        <w:rPr>
          <w:rFonts w:ascii="Times New Roman" w:eastAsia="Times New Roman" w:hAnsi="Times New Roman" w:cs="Times New Roman"/>
          <w:sz w:val="24"/>
          <w:szCs w:val="24"/>
        </w:rPr>
        <w:t xml:space="preserve">as a </w:t>
      </w:r>
      <w:r w:rsidR="006C3C6D" w:rsidRPr="003A377E">
        <w:rPr>
          <w:rFonts w:ascii="Times New Roman" w:eastAsia="Times New Roman" w:hAnsi="Times New Roman" w:cs="Times New Roman"/>
          <w:sz w:val="24"/>
          <w:szCs w:val="24"/>
        </w:rPr>
        <w:t xml:space="preserve">response to the impact of the </w:t>
      </w:r>
      <w:r w:rsidR="003E3091" w:rsidRPr="003A377E">
        <w:rPr>
          <w:rFonts w:ascii="Times New Roman" w:eastAsia="Times New Roman" w:hAnsi="Times New Roman" w:cs="Times New Roman"/>
          <w:sz w:val="24"/>
          <w:szCs w:val="24"/>
        </w:rPr>
        <w:t>COVID</w:t>
      </w:r>
      <w:r w:rsidR="006C3C6D" w:rsidRPr="003A377E">
        <w:rPr>
          <w:rFonts w:ascii="Times New Roman" w:eastAsia="Times New Roman" w:hAnsi="Times New Roman" w:cs="Times New Roman"/>
          <w:sz w:val="24"/>
          <w:szCs w:val="24"/>
        </w:rPr>
        <w:t xml:space="preserve">-19 pandemic on the economy. Furthermore, </w:t>
      </w:r>
      <w:r w:rsidRPr="003A377E">
        <w:rPr>
          <w:rFonts w:ascii="Times New Roman" w:eastAsia="Times New Roman" w:hAnsi="Times New Roman" w:cs="Times New Roman"/>
          <w:sz w:val="24"/>
          <w:szCs w:val="24"/>
          <w:lang w:val="en-US"/>
        </w:rPr>
        <w:t>Salga</w:t>
      </w:r>
      <w:r w:rsidR="005627B6" w:rsidRPr="003A377E">
        <w:rPr>
          <w:rFonts w:ascii="Times New Roman" w:eastAsia="Times New Roman" w:hAnsi="Times New Roman" w:cs="Times New Roman"/>
          <w:sz w:val="24"/>
          <w:szCs w:val="24"/>
        </w:rPr>
        <w:t xml:space="preserve"> noted the</w:t>
      </w:r>
      <w:r w:rsidR="006C3C6D" w:rsidRPr="003A377E">
        <w:rPr>
          <w:rFonts w:ascii="Times New Roman" w:eastAsia="Times New Roman" w:hAnsi="Times New Roman" w:cs="Times New Roman"/>
          <w:sz w:val="24"/>
          <w:szCs w:val="24"/>
        </w:rPr>
        <w:t xml:space="preserve"> risk of placing </w:t>
      </w:r>
      <w:r w:rsidR="006C3C6D" w:rsidRPr="003A377E">
        <w:rPr>
          <w:rFonts w:ascii="Times New Roman" w:eastAsia="Times New Roman" w:hAnsi="Times New Roman" w:cs="Times New Roman"/>
          <w:sz w:val="24"/>
          <w:szCs w:val="24"/>
        </w:rPr>
        <w:lastRenderedPageBreak/>
        <w:t>expectations on municipalities to prov</w:t>
      </w:r>
      <w:r w:rsidR="005627B6" w:rsidRPr="003A377E">
        <w:rPr>
          <w:rFonts w:ascii="Times New Roman" w:eastAsia="Times New Roman" w:hAnsi="Times New Roman" w:cs="Times New Roman"/>
          <w:sz w:val="24"/>
          <w:szCs w:val="24"/>
        </w:rPr>
        <w:t xml:space="preserve">ide this form of employment in the </w:t>
      </w:r>
      <w:r w:rsidR="006C3C6D" w:rsidRPr="003A377E">
        <w:rPr>
          <w:rFonts w:ascii="Times New Roman" w:eastAsia="Times New Roman" w:hAnsi="Times New Roman" w:cs="Times New Roman"/>
          <w:sz w:val="24"/>
          <w:szCs w:val="24"/>
        </w:rPr>
        <w:t>medium to long-term after the funds were no longer available.</w:t>
      </w:r>
    </w:p>
    <w:p w:rsidR="006C3C6D"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lang w:val="en-US"/>
        </w:rPr>
      </w:pPr>
    </w:p>
    <w:p w:rsidR="00F62F86"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lang w:val="en-US"/>
        </w:rPr>
        <w:t xml:space="preserve">Regarding the Municipal Disaster Recovery </w:t>
      </w:r>
      <w:r w:rsidR="003E3091" w:rsidRPr="003A377E">
        <w:rPr>
          <w:rFonts w:ascii="Times New Roman" w:eastAsia="Times New Roman" w:hAnsi="Times New Roman" w:cs="Times New Roman"/>
          <w:sz w:val="24"/>
          <w:szCs w:val="24"/>
          <w:lang w:val="en-US"/>
        </w:rPr>
        <w:t>Grant</w:t>
      </w:r>
      <w:r w:rsidRPr="003A377E">
        <w:rPr>
          <w:rFonts w:ascii="Times New Roman" w:eastAsia="Times New Roman" w:hAnsi="Times New Roman" w:cs="Times New Roman"/>
          <w:sz w:val="24"/>
          <w:szCs w:val="24"/>
          <w:lang w:val="en-US"/>
        </w:rPr>
        <w:t xml:space="preserve">, </w:t>
      </w:r>
      <w:r w:rsidR="00A56B32" w:rsidRPr="003A377E">
        <w:rPr>
          <w:rFonts w:ascii="Times New Roman" w:eastAsia="Times New Roman" w:hAnsi="Times New Roman" w:cs="Times New Roman"/>
          <w:sz w:val="24"/>
          <w:szCs w:val="24"/>
          <w:lang w:val="en-US"/>
        </w:rPr>
        <w:t>Salga</w:t>
      </w:r>
      <w:r w:rsidR="00A56B32" w:rsidRPr="003A377E">
        <w:rPr>
          <w:rFonts w:ascii="Times New Roman" w:eastAsia="Times New Roman" w:hAnsi="Times New Roman" w:cs="Times New Roman"/>
          <w:sz w:val="24"/>
          <w:szCs w:val="24"/>
        </w:rPr>
        <w:t xml:space="preserve"> </w:t>
      </w:r>
      <w:r w:rsidR="005627B6" w:rsidRPr="003A377E">
        <w:rPr>
          <w:rFonts w:ascii="Times New Roman" w:eastAsia="Times New Roman" w:hAnsi="Times New Roman" w:cs="Times New Roman"/>
          <w:sz w:val="24"/>
          <w:szCs w:val="24"/>
        </w:rPr>
        <w:t xml:space="preserve">highlighted the need to factor </w:t>
      </w:r>
      <w:r w:rsidRPr="003A377E">
        <w:rPr>
          <w:rFonts w:ascii="Times New Roman" w:eastAsia="Times New Roman" w:hAnsi="Times New Roman" w:cs="Times New Roman"/>
          <w:sz w:val="24"/>
          <w:szCs w:val="24"/>
        </w:rPr>
        <w:t xml:space="preserve">in rapid disbursements of the </w:t>
      </w:r>
      <w:r w:rsidR="005627B6"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 allocations to municipalities</w:t>
      </w:r>
      <w:r w:rsidR="005627B6" w:rsidRPr="003A377E">
        <w:rPr>
          <w:rFonts w:ascii="Times New Roman" w:eastAsia="Times New Roman" w:hAnsi="Times New Roman" w:cs="Times New Roman"/>
          <w:sz w:val="24"/>
          <w:szCs w:val="24"/>
        </w:rPr>
        <w:t xml:space="preserve"> in </w:t>
      </w:r>
      <w:r w:rsidRPr="003A377E">
        <w:rPr>
          <w:rFonts w:ascii="Times New Roman" w:eastAsia="Times New Roman" w:hAnsi="Times New Roman" w:cs="Times New Roman"/>
          <w:sz w:val="24"/>
          <w:szCs w:val="24"/>
        </w:rPr>
        <w:t>case</w:t>
      </w:r>
      <w:r w:rsidR="005627B6" w:rsidRPr="003A377E">
        <w:rPr>
          <w:rFonts w:ascii="Times New Roman" w:eastAsia="Times New Roman" w:hAnsi="Times New Roman" w:cs="Times New Roman"/>
          <w:sz w:val="24"/>
          <w:szCs w:val="24"/>
        </w:rPr>
        <w:t>s of</w:t>
      </w:r>
      <w:r w:rsidRPr="003A377E">
        <w:rPr>
          <w:rFonts w:ascii="Times New Roman" w:eastAsia="Times New Roman" w:hAnsi="Times New Roman" w:cs="Times New Roman"/>
          <w:sz w:val="24"/>
          <w:szCs w:val="24"/>
        </w:rPr>
        <w:t xml:space="preserve"> disaster. </w:t>
      </w:r>
      <w:r w:rsidR="00A56B32" w:rsidRPr="003A377E">
        <w:rPr>
          <w:rFonts w:ascii="Times New Roman" w:eastAsia="Times New Roman" w:hAnsi="Times New Roman" w:cs="Times New Roman"/>
          <w:sz w:val="24"/>
          <w:szCs w:val="24"/>
          <w:lang w:val="en-US"/>
        </w:rPr>
        <w:t>Salga</w:t>
      </w:r>
      <w:r w:rsidRPr="003A377E">
        <w:rPr>
          <w:rFonts w:ascii="Times New Roman" w:eastAsia="Times New Roman" w:hAnsi="Times New Roman" w:cs="Times New Roman"/>
          <w:sz w:val="24"/>
          <w:szCs w:val="24"/>
        </w:rPr>
        <w:t xml:space="preserve"> emphasised that the responsiveness</w:t>
      </w:r>
      <w:r w:rsidR="005627B6" w:rsidRPr="003A377E">
        <w:rPr>
          <w:rFonts w:ascii="Times New Roman" w:eastAsia="Times New Roman" w:hAnsi="Times New Roman" w:cs="Times New Roman"/>
          <w:sz w:val="24"/>
          <w:szCs w:val="24"/>
        </w:rPr>
        <w:t xml:space="preserve"> in the disbursement of the funds de</w:t>
      </w:r>
      <w:r w:rsidRPr="003A377E">
        <w:rPr>
          <w:rFonts w:ascii="Times New Roman" w:eastAsia="Times New Roman" w:hAnsi="Times New Roman" w:cs="Times New Roman"/>
          <w:sz w:val="24"/>
          <w:szCs w:val="24"/>
        </w:rPr>
        <w:t xml:space="preserve">termined whether the </w:t>
      </w:r>
      <w:r w:rsidR="005627B6"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 would have the requisite impact in the event of disasters and it was therefore important to draw from lessons learnt during the </w:t>
      </w:r>
      <w:r w:rsidR="003E3091" w:rsidRPr="003A377E">
        <w:rPr>
          <w:rFonts w:ascii="Times New Roman" w:eastAsia="Times New Roman" w:hAnsi="Times New Roman" w:cs="Times New Roman"/>
          <w:sz w:val="24"/>
          <w:szCs w:val="24"/>
        </w:rPr>
        <w:t>COVID</w:t>
      </w:r>
      <w:r w:rsidRPr="003A377E">
        <w:rPr>
          <w:rFonts w:ascii="Times New Roman" w:eastAsia="Times New Roman" w:hAnsi="Times New Roman" w:cs="Times New Roman"/>
          <w:sz w:val="24"/>
          <w:szCs w:val="24"/>
        </w:rPr>
        <w:t>-19 hard lock-down.</w:t>
      </w:r>
      <w:r w:rsidR="00F62F86" w:rsidRPr="003A377E">
        <w:rPr>
          <w:rFonts w:ascii="Times New Roman" w:eastAsia="Times New Roman" w:hAnsi="Times New Roman" w:cs="Times New Roman"/>
          <w:sz w:val="24"/>
          <w:szCs w:val="24"/>
        </w:rPr>
        <w:t xml:space="preserve"> </w:t>
      </w:r>
      <w:r w:rsidR="00A56B32" w:rsidRPr="003A377E">
        <w:rPr>
          <w:rFonts w:ascii="Times New Roman" w:eastAsia="Times New Roman" w:hAnsi="Times New Roman" w:cs="Times New Roman"/>
          <w:sz w:val="24"/>
          <w:szCs w:val="24"/>
        </w:rPr>
        <w:t>S</w:t>
      </w:r>
      <w:r w:rsidR="005627B6" w:rsidRPr="003A377E">
        <w:rPr>
          <w:rFonts w:ascii="Times New Roman" w:eastAsia="Times New Roman" w:hAnsi="Times New Roman" w:cs="Times New Roman"/>
          <w:sz w:val="24"/>
          <w:szCs w:val="24"/>
        </w:rPr>
        <w:t xml:space="preserve">alga </w:t>
      </w:r>
      <w:r w:rsidR="00F62F86" w:rsidRPr="003A377E">
        <w:rPr>
          <w:rFonts w:ascii="Times New Roman" w:eastAsia="Times New Roman" w:hAnsi="Times New Roman" w:cs="Times New Roman"/>
          <w:sz w:val="24"/>
          <w:szCs w:val="24"/>
        </w:rPr>
        <w:t xml:space="preserve">further noted the changes to the Public Transport Network </w:t>
      </w:r>
      <w:r w:rsidR="003E3091" w:rsidRPr="003A377E">
        <w:rPr>
          <w:rFonts w:ascii="Times New Roman" w:eastAsia="Times New Roman" w:hAnsi="Times New Roman" w:cs="Times New Roman"/>
          <w:sz w:val="24"/>
          <w:szCs w:val="24"/>
        </w:rPr>
        <w:t>Grant</w:t>
      </w:r>
      <w:r w:rsidR="00F62F86" w:rsidRPr="003A377E">
        <w:rPr>
          <w:rFonts w:ascii="Times New Roman" w:eastAsia="Times New Roman" w:hAnsi="Times New Roman" w:cs="Times New Roman"/>
          <w:sz w:val="24"/>
          <w:szCs w:val="24"/>
        </w:rPr>
        <w:t xml:space="preserve"> and Integrated Urban Development </w:t>
      </w:r>
      <w:r w:rsidR="003E3091" w:rsidRPr="003A377E">
        <w:rPr>
          <w:rFonts w:ascii="Times New Roman" w:eastAsia="Times New Roman" w:hAnsi="Times New Roman" w:cs="Times New Roman"/>
          <w:sz w:val="24"/>
          <w:szCs w:val="24"/>
        </w:rPr>
        <w:t>Grant</w:t>
      </w:r>
      <w:r w:rsidR="00F62F86" w:rsidRPr="003A377E">
        <w:rPr>
          <w:rFonts w:ascii="Times New Roman" w:eastAsia="Times New Roman" w:hAnsi="Times New Roman" w:cs="Times New Roman"/>
          <w:sz w:val="24"/>
          <w:szCs w:val="24"/>
        </w:rPr>
        <w:t>.</w:t>
      </w:r>
    </w:p>
    <w:p w:rsidR="006C3C6D" w:rsidRPr="003A377E" w:rsidRDefault="006C3C6D">
      <w:pPr>
        <w:tabs>
          <w:tab w:val="left" w:pos="284"/>
          <w:tab w:val="left" w:pos="709"/>
        </w:tabs>
        <w:spacing w:after="0" w:line="360" w:lineRule="auto"/>
        <w:contextualSpacing/>
        <w:jc w:val="both"/>
        <w:rPr>
          <w:rFonts w:ascii="Times New Roman" w:eastAsia="Times New Roman" w:hAnsi="Times New Roman" w:cs="Times New Roman"/>
          <w:sz w:val="24"/>
          <w:szCs w:val="24"/>
          <w:lang w:val="en-US"/>
        </w:rPr>
      </w:pPr>
    </w:p>
    <w:p w:rsidR="006C3C6D" w:rsidRPr="003A377E" w:rsidRDefault="006C3C6D">
      <w:pPr>
        <w:tabs>
          <w:tab w:val="left" w:pos="284"/>
          <w:tab w:val="left" w:pos="709"/>
        </w:tabs>
        <w:spacing w:after="0" w:line="360" w:lineRule="auto"/>
        <w:contextualSpacing/>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lang w:val="en-US"/>
        </w:rPr>
        <w:t xml:space="preserve">In conclusion, </w:t>
      </w:r>
      <w:r w:rsidR="00A56B32" w:rsidRPr="003A377E">
        <w:rPr>
          <w:rFonts w:ascii="Times New Roman" w:eastAsia="Times New Roman" w:hAnsi="Times New Roman" w:cs="Times New Roman"/>
          <w:sz w:val="24"/>
          <w:szCs w:val="24"/>
          <w:lang w:val="en-US"/>
        </w:rPr>
        <w:t>Salga</w:t>
      </w:r>
      <w:r w:rsidRPr="003A377E">
        <w:rPr>
          <w:rFonts w:ascii="Times New Roman" w:eastAsia="Times New Roman" w:hAnsi="Times New Roman" w:cs="Times New Roman"/>
          <w:sz w:val="24"/>
          <w:szCs w:val="24"/>
          <w:lang w:val="en-US"/>
        </w:rPr>
        <w:t xml:space="preserve"> submitted that it supported the Bill and recommended that</w:t>
      </w:r>
      <w:r w:rsidRPr="003A377E">
        <w:rPr>
          <w:rFonts w:ascii="Times New Roman" w:eastAsia="Times New Roman" w:hAnsi="Times New Roman" w:cs="Times New Roman"/>
          <w:sz w:val="24"/>
          <w:szCs w:val="24"/>
        </w:rPr>
        <w:t xml:space="preserve"> the upward trajectory in local government allocations from nationally raised revenue be maintained in order to realise the aspirations con</w:t>
      </w:r>
      <w:r w:rsidR="005627B6" w:rsidRPr="003A377E">
        <w:rPr>
          <w:rFonts w:ascii="Times New Roman" w:eastAsia="Times New Roman" w:hAnsi="Times New Roman" w:cs="Times New Roman"/>
          <w:sz w:val="24"/>
          <w:szCs w:val="24"/>
        </w:rPr>
        <w:t>tained i</w:t>
      </w:r>
      <w:r w:rsidRPr="003A377E">
        <w:rPr>
          <w:rFonts w:ascii="Times New Roman" w:eastAsia="Times New Roman" w:hAnsi="Times New Roman" w:cs="Times New Roman"/>
          <w:sz w:val="24"/>
          <w:szCs w:val="24"/>
        </w:rPr>
        <w:t>n the White Paper on Local Government</w:t>
      </w:r>
      <w:r w:rsidR="005627B6" w:rsidRPr="003A377E">
        <w:rPr>
          <w:rFonts w:ascii="Times New Roman" w:eastAsia="Times New Roman" w:hAnsi="Times New Roman" w:cs="Times New Roman"/>
          <w:sz w:val="24"/>
          <w:szCs w:val="24"/>
        </w:rPr>
        <w:t xml:space="preserve"> of</w:t>
      </w:r>
      <w:r w:rsidRPr="003A377E">
        <w:rPr>
          <w:rFonts w:ascii="Times New Roman" w:eastAsia="Times New Roman" w:hAnsi="Times New Roman" w:cs="Times New Roman"/>
          <w:sz w:val="24"/>
          <w:szCs w:val="24"/>
        </w:rPr>
        <w:t xml:space="preserve"> 1998 in respect of subsidising the provision of basic services.</w:t>
      </w:r>
    </w:p>
    <w:p w:rsidR="006C3C6D"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rPr>
      </w:pPr>
    </w:p>
    <w:p w:rsidR="006C3C6D" w:rsidRPr="003A377E" w:rsidRDefault="00F922CA">
      <w:pPr>
        <w:pStyle w:val="ListParagraph"/>
        <w:numPr>
          <w:ilvl w:val="0"/>
          <w:numId w:val="1"/>
        </w:numPr>
        <w:tabs>
          <w:tab w:val="left" w:pos="284"/>
          <w:tab w:val="left" w:pos="567"/>
        </w:tabs>
        <w:spacing w:after="0" w:line="360" w:lineRule="auto"/>
        <w:ind w:hanging="644"/>
        <w:jc w:val="both"/>
        <w:rPr>
          <w:rFonts w:ascii="Times New Roman" w:eastAsia="Times New Roman" w:hAnsi="Times New Roman" w:cs="Times New Roman"/>
          <w:b/>
          <w:sz w:val="24"/>
          <w:szCs w:val="24"/>
        </w:rPr>
      </w:pPr>
      <w:r w:rsidRPr="003A377E">
        <w:rPr>
          <w:rFonts w:ascii="Times New Roman" w:hAnsi="Times New Roman" w:cs="Times New Roman"/>
          <w:b/>
          <w:sz w:val="24"/>
          <w:szCs w:val="24"/>
        </w:rPr>
        <w:t>Consultation process in terms of Section 9 (5)(b) of the Money Bills Act</w:t>
      </w:r>
      <w:r w:rsidR="00D05701" w:rsidRPr="003A377E">
        <w:rPr>
          <w:rFonts w:ascii="Times New Roman" w:eastAsia="Times New Roman" w:hAnsi="Times New Roman" w:cs="Times New Roman"/>
          <w:b/>
          <w:sz w:val="24"/>
          <w:szCs w:val="24"/>
        </w:rPr>
        <w:tab/>
      </w:r>
    </w:p>
    <w:p w:rsidR="00D05701" w:rsidRPr="003A377E" w:rsidRDefault="00F922CA">
      <w:pPr>
        <w:tabs>
          <w:tab w:val="left" w:pos="284"/>
          <w:tab w:val="left" w:pos="567"/>
        </w:tabs>
        <w:spacing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 xml:space="preserve">6.1 </w:t>
      </w:r>
      <w:r w:rsidR="00D05701" w:rsidRPr="003A377E">
        <w:rPr>
          <w:rFonts w:ascii="Times New Roman" w:eastAsia="Times New Roman" w:hAnsi="Times New Roman" w:cs="Times New Roman"/>
          <w:b/>
          <w:sz w:val="24"/>
          <w:szCs w:val="24"/>
        </w:rPr>
        <w:t>Parliamentary Budget Office (PBO)</w:t>
      </w:r>
    </w:p>
    <w:p w:rsidR="00637E8E" w:rsidRPr="003A377E" w:rsidRDefault="00D01627">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The Parliamentary Budget Office (PBO) gave an overview of the Bill and provided a situational analysis at national, provincial and local government</w:t>
      </w:r>
      <w:r w:rsidR="00113CFE" w:rsidRPr="003A377E">
        <w:rPr>
          <w:rFonts w:ascii="Times New Roman" w:eastAsia="Times New Roman" w:hAnsi="Times New Roman" w:cs="Times New Roman"/>
          <w:sz w:val="24"/>
          <w:szCs w:val="24"/>
        </w:rPr>
        <w:t xml:space="preserve"> level</w:t>
      </w:r>
      <w:r w:rsidRPr="003A377E">
        <w:rPr>
          <w:rFonts w:ascii="Times New Roman" w:eastAsia="Times New Roman" w:hAnsi="Times New Roman" w:cs="Times New Roman"/>
          <w:sz w:val="24"/>
          <w:szCs w:val="24"/>
        </w:rPr>
        <w:t>. The PBO submitted that</w:t>
      </w:r>
      <w:r w:rsidR="00113CFE" w:rsidRPr="003A377E">
        <w:rPr>
          <w:rFonts w:ascii="Times New Roman" w:eastAsia="Times New Roman" w:hAnsi="Times New Roman" w:cs="Times New Roman"/>
          <w:sz w:val="24"/>
          <w:szCs w:val="24"/>
        </w:rPr>
        <w:t>,</w:t>
      </w:r>
      <w:r w:rsidRPr="003A377E">
        <w:rPr>
          <w:rFonts w:ascii="Times New Roman" w:eastAsia="Times New Roman" w:hAnsi="Times New Roman" w:cs="Times New Roman"/>
          <w:sz w:val="24"/>
          <w:szCs w:val="24"/>
        </w:rPr>
        <w:t xml:space="preserve"> while the 2022</w:t>
      </w:r>
      <w:r w:rsidR="00113CFE" w:rsidRPr="003A377E">
        <w:rPr>
          <w:rFonts w:ascii="Times New Roman" w:eastAsia="Times New Roman" w:hAnsi="Times New Roman" w:cs="Times New Roman"/>
          <w:sz w:val="24"/>
          <w:szCs w:val="24"/>
        </w:rPr>
        <w:t xml:space="preserve"> B</w:t>
      </w:r>
      <w:r w:rsidRPr="003A377E">
        <w:rPr>
          <w:rFonts w:ascii="Times New Roman" w:eastAsia="Times New Roman" w:hAnsi="Times New Roman" w:cs="Times New Roman"/>
          <w:sz w:val="24"/>
          <w:szCs w:val="24"/>
        </w:rPr>
        <w:t xml:space="preserve">udget increased the local government equitable share by an average annual rate of 10.3 </w:t>
      </w:r>
      <w:r w:rsidR="00C15643" w:rsidRPr="003A377E">
        <w:rPr>
          <w:rFonts w:ascii="Times New Roman" w:eastAsia="Times New Roman" w:hAnsi="Times New Roman" w:cs="Times New Roman"/>
          <w:sz w:val="24"/>
          <w:szCs w:val="24"/>
        </w:rPr>
        <w:t>percent</w:t>
      </w:r>
      <w:r w:rsidR="00113CFE" w:rsidRPr="003A377E">
        <w:rPr>
          <w:rFonts w:ascii="Times New Roman" w:eastAsia="Times New Roman" w:hAnsi="Times New Roman" w:cs="Times New Roman"/>
          <w:sz w:val="24"/>
          <w:szCs w:val="24"/>
        </w:rPr>
        <w:t xml:space="preserve">, this did </w:t>
      </w:r>
      <w:r w:rsidRPr="003A377E">
        <w:rPr>
          <w:rFonts w:ascii="Times New Roman" w:eastAsia="Times New Roman" w:hAnsi="Times New Roman" w:cs="Times New Roman"/>
          <w:sz w:val="24"/>
          <w:szCs w:val="24"/>
        </w:rPr>
        <w:t>not guarantee that the needs of indigent households would be sufficiently met. The PBO stated that national transfers accounted for a relatively small proportion of the local government fiscal framework, with the majority of local government revenues being raised by municipalities. How</w:t>
      </w:r>
      <w:r w:rsidR="00113CFE" w:rsidRPr="003A377E">
        <w:rPr>
          <w:rFonts w:ascii="Times New Roman" w:eastAsia="Times New Roman" w:hAnsi="Times New Roman" w:cs="Times New Roman"/>
          <w:sz w:val="24"/>
          <w:szCs w:val="24"/>
        </w:rPr>
        <w:t>ever, poor rural municipalities</w:t>
      </w:r>
      <w:r w:rsidRPr="003A377E">
        <w:rPr>
          <w:rFonts w:ascii="Times New Roman" w:eastAsia="Times New Roman" w:hAnsi="Times New Roman" w:cs="Times New Roman"/>
          <w:sz w:val="24"/>
          <w:szCs w:val="24"/>
        </w:rPr>
        <w:t xml:space="preserve"> received most of their revenue from transfers, while urban municipalities raised the majority of their own revenues. </w:t>
      </w:r>
    </w:p>
    <w:p w:rsidR="00637E8E" w:rsidRPr="003A377E" w:rsidRDefault="00637E8E">
      <w:pPr>
        <w:tabs>
          <w:tab w:val="left" w:pos="284"/>
          <w:tab w:val="left" w:pos="567"/>
        </w:tabs>
        <w:spacing w:after="0" w:line="360" w:lineRule="auto"/>
        <w:jc w:val="both"/>
        <w:rPr>
          <w:rFonts w:ascii="Times New Roman" w:eastAsia="Times New Roman" w:hAnsi="Times New Roman" w:cs="Times New Roman"/>
          <w:sz w:val="24"/>
          <w:szCs w:val="24"/>
        </w:rPr>
      </w:pPr>
    </w:p>
    <w:p w:rsidR="00D01627" w:rsidRPr="003A377E" w:rsidRDefault="00D01627">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The PBO made reference to the research work undertaken by the Public Affairs Research Institute which found the following: </w:t>
      </w:r>
    </w:p>
    <w:p w:rsidR="00D01627" w:rsidRPr="003A377E" w:rsidRDefault="00D01627">
      <w:pPr>
        <w:pStyle w:val="ListParagraph"/>
        <w:numPr>
          <w:ilvl w:val="0"/>
          <w:numId w:val="15"/>
        </w:numPr>
        <w:tabs>
          <w:tab w:val="left" w:pos="284"/>
          <w:tab w:val="left" w:pos="709"/>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The challenges faced by local government were systemic and were the direct result of the u</w:t>
      </w:r>
      <w:r w:rsidR="00113CFE" w:rsidRPr="003A377E">
        <w:rPr>
          <w:rFonts w:ascii="Times New Roman" w:eastAsia="Times New Roman" w:hAnsi="Times New Roman" w:cs="Times New Roman"/>
          <w:sz w:val="24"/>
          <w:szCs w:val="24"/>
        </w:rPr>
        <w:t>nrealistic assumptions made when</w:t>
      </w:r>
      <w:r w:rsidRPr="003A377E">
        <w:rPr>
          <w:rFonts w:ascii="Times New Roman" w:eastAsia="Times New Roman" w:hAnsi="Times New Roman" w:cs="Times New Roman"/>
          <w:sz w:val="24"/>
          <w:szCs w:val="24"/>
        </w:rPr>
        <w:t xml:space="preserve"> designing the funding model in the 1998 White Paper on Local Government. </w:t>
      </w:r>
    </w:p>
    <w:p w:rsidR="00D01627" w:rsidRPr="003A377E" w:rsidRDefault="00D01627">
      <w:pPr>
        <w:pStyle w:val="ListParagraph"/>
        <w:numPr>
          <w:ilvl w:val="0"/>
          <w:numId w:val="15"/>
        </w:numPr>
        <w:tabs>
          <w:tab w:val="left" w:pos="284"/>
          <w:tab w:val="left" w:pos="709"/>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lastRenderedPageBreak/>
        <w:t xml:space="preserve">The White Paper assumed that local governments could raise over 70 </w:t>
      </w:r>
      <w:r w:rsidR="00C15643" w:rsidRPr="003A377E">
        <w:rPr>
          <w:rFonts w:ascii="Times New Roman" w:eastAsia="Times New Roman" w:hAnsi="Times New Roman" w:cs="Times New Roman"/>
          <w:sz w:val="24"/>
          <w:szCs w:val="24"/>
        </w:rPr>
        <w:t>percent</w:t>
      </w:r>
      <w:r w:rsidRPr="003A377E">
        <w:rPr>
          <w:rFonts w:ascii="Times New Roman" w:eastAsia="Times New Roman" w:hAnsi="Times New Roman" w:cs="Times New Roman"/>
          <w:sz w:val="24"/>
          <w:szCs w:val="24"/>
        </w:rPr>
        <w:t xml:space="preserve"> of their financing requirements through service charges and also made them responsible for providing affordable services to households. </w:t>
      </w:r>
    </w:p>
    <w:p w:rsidR="00D01627" w:rsidRPr="003A377E" w:rsidRDefault="00D01627">
      <w:pPr>
        <w:tabs>
          <w:tab w:val="left" w:pos="284"/>
          <w:tab w:val="left" w:pos="567"/>
        </w:tabs>
        <w:spacing w:after="0" w:line="360" w:lineRule="auto"/>
        <w:jc w:val="both"/>
        <w:rPr>
          <w:rFonts w:ascii="Times New Roman" w:eastAsia="Times New Roman" w:hAnsi="Times New Roman" w:cs="Times New Roman"/>
          <w:sz w:val="24"/>
          <w:szCs w:val="24"/>
        </w:rPr>
      </w:pPr>
    </w:p>
    <w:p w:rsidR="00D01627" w:rsidRPr="003A377E" w:rsidRDefault="00D01627">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The PBO made reference to the capital and operating revenue trends </w:t>
      </w:r>
      <w:r w:rsidR="00113CFE" w:rsidRPr="003A377E">
        <w:rPr>
          <w:rFonts w:ascii="Times New Roman" w:eastAsia="Times New Roman" w:hAnsi="Times New Roman" w:cs="Times New Roman"/>
          <w:sz w:val="24"/>
          <w:szCs w:val="24"/>
        </w:rPr>
        <w:t>at local government, and</w:t>
      </w:r>
      <w:r w:rsidRPr="003A377E">
        <w:rPr>
          <w:rFonts w:ascii="Times New Roman" w:eastAsia="Times New Roman" w:hAnsi="Times New Roman" w:cs="Times New Roman"/>
          <w:sz w:val="24"/>
          <w:szCs w:val="24"/>
        </w:rPr>
        <w:t xml:space="preserve"> underscored that poor revenue management and an inability to efficiently raise own revenue was </w:t>
      </w:r>
      <w:r w:rsidR="00113CFE" w:rsidRPr="003A377E">
        <w:rPr>
          <w:rFonts w:ascii="Times New Roman" w:eastAsia="Times New Roman" w:hAnsi="Times New Roman" w:cs="Times New Roman"/>
          <w:sz w:val="24"/>
          <w:szCs w:val="24"/>
        </w:rPr>
        <w:t xml:space="preserve">some </w:t>
      </w:r>
      <w:r w:rsidRPr="003A377E">
        <w:rPr>
          <w:rFonts w:ascii="Times New Roman" w:eastAsia="Times New Roman" w:hAnsi="Times New Roman" w:cs="Times New Roman"/>
          <w:sz w:val="24"/>
          <w:szCs w:val="24"/>
        </w:rPr>
        <w:t xml:space="preserve">of the biggest causes of financial distress in municipalities. Furthermore, a number of municipalities failed to deliver services effectively due to poor governance, financial mismanagement and insufficient capacity. The PBO also stated that the key issues in municipal budgets included growing </w:t>
      </w:r>
      <w:r w:rsidR="00113CFE" w:rsidRPr="003A377E">
        <w:rPr>
          <w:rFonts w:ascii="Times New Roman" w:eastAsia="Times New Roman" w:hAnsi="Times New Roman" w:cs="Times New Roman"/>
          <w:sz w:val="24"/>
          <w:szCs w:val="24"/>
        </w:rPr>
        <w:t>g</w:t>
      </w:r>
      <w:r w:rsidR="003E3091" w:rsidRPr="003A377E">
        <w:rPr>
          <w:rFonts w:ascii="Times New Roman" w:eastAsia="Times New Roman" w:hAnsi="Times New Roman" w:cs="Times New Roman"/>
          <w:sz w:val="24"/>
          <w:szCs w:val="24"/>
        </w:rPr>
        <w:t>rant</w:t>
      </w:r>
      <w:r w:rsidRPr="003A377E">
        <w:rPr>
          <w:rFonts w:ascii="Times New Roman" w:eastAsia="Times New Roman" w:hAnsi="Times New Roman" w:cs="Times New Roman"/>
          <w:sz w:val="24"/>
          <w:szCs w:val="24"/>
        </w:rPr>
        <w:t xml:space="preserve"> dependence, inadequate maintenance expenditure, outstanding customer debt, and under-pricing of services. </w:t>
      </w:r>
    </w:p>
    <w:p w:rsidR="00D01627" w:rsidRPr="003A377E" w:rsidRDefault="00D01627">
      <w:pPr>
        <w:tabs>
          <w:tab w:val="left" w:pos="284"/>
          <w:tab w:val="left" w:pos="567"/>
        </w:tabs>
        <w:spacing w:after="0" w:line="360" w:lineRule="auto"/>
        <w:jc w:val="both"/>
        <w:rPr>
          <w:rFonts w:ascii="Times New Roman" w:eastAsia="Times New Roman" w:hAnsi="Times New Roman" w:cs="Times New Roman"/>
          <w:sz w:val="24"/>
          <w:szCs w:val="24"/>
        </w:rPr>
      </w:pPr>
    </w:p>
    <w:p w:rsidR="002D41FD" w:rsidRPr="003A377E" w:rsidRDefault="00113CFE">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The PBO</w:t>
      </w:r>
      <w:r w:rsidR="00D01627" w:rsidRPr="003A377E">
        <w:rPr>
          <w:rFonts w:ascii="Times New Roman" w:eastAsia="Times New Roman" w:hAnsi="Times New Roman" w:cs="Times New Roman"/>
          <w:sz w:val="24"/>
          <w:szCs w:val="24"/>
        </w:rPr>
        <w:t xml:space="preserve"> recommended that national departments must monitor information on financial and non-financial performance of programmes partially or fully funded by an allocation made in the D</w:t>
      </w:r>
      <w:r w:rsidR="00384DD5" w:rsidRPr="003A377E">
        <w:rPr>
          <w:rFonts w:ascii="Times New Roman" w:eastAsia="Times New Roman" w:hAnsi="Times New Roman" w:cs="Times New Roman"/>
          <w:sz w:val="24"/>
          <w:szCs w:val="24"/>
        </w:rPr>
        <w:t xml:space="preserve">ivision </w:t>
      </w:r>
      <w:r w:rsidR="00D01627" w:rsidRPr="003A377E">
        <w:rPr>
          <w:rFonts w:ascii="Times New Roman" w:eastAsia="Times New Roman" w:hAnsi="Times New Roman" w:cs="Times New Roman"/>
          <w:sz w:val="24"/>
          <w:szCs w:val="24"/>
        </w:rPr>
        <w:t>o</w:t>
      </w:r>
      <w:r w:rsidR="00384DD5" w:rsidRPr="003A377E">
        <w:rPr>
          <w:rFonts w:ascii="Times New Roman" w:eastAsia="Times New Roman" w:hAnsi="Times New Roman" w:cs="Times New Roman"/>
          <w:sz w:val="24"/>
          <w:szCs w:val="24"/>
        </w:rPr>
        <w:t xml:space="preserve">f </w:t>
      </w:r>
      <w:r w:rsidR="00D01627" w:rsidRPr="003A377E">
        <w:rPr>
          <w:rFonts w:ascii="Times New Roman" w:eastAsia="Times New Roman" w:hAnsi="Times New Roman" w:cs="Times New Roman"/>
          <w:sz w:val="24"/>
          <w:szCs w:val="24"/>
        </w:rPr>
        <w:t>R</w:t>
      </w:r>
      <w:r w:rsidR="00384DD5" w:rsidRPr="003A377E">
        <w:rPr>
          <w:rFonts w:ascii="Times New Roman" w:eastAsia="Times New Roman" w:hAnsi="Times New Roman" w:cs="Times New Roman"/>
          <w:sz w:val="24"/>
          <w:szCs w:val="24"/>
        </w:rPr>
        <w:t xml:space="preserve">evenue </w:t>
      </w:r>
      <w:r w:rsidR="00D01627" w:rsidRPr="003A377E">
        <w:rPr>
          <w:rFonts w:ascii="Times New Roman" w:eastAsia="Times New Roman" w:hAnsi="Times New Roman" w:cs="Times New Roman"/>
          <w:sz w:val="24"/>
          <w:szCs w:val="24"/>
        </w:rPr>
        <w:t>A</w:t>
      </w:r>
      <w:r w:rsidR="00384DD5" w:rsidRPr="003A377E">
        <w:rPr>
          <w:rFonts w:ascii="Times New Roman" w:eastAsia="Times New Roman" w:hAnsi="Times New Roman" w:cs="Times New Roman"/>
          <w:sz w:val="24"/>
          <w:szCs w:val="24"/>
        </w:rPr>
        <w:t>ct</w:t>
      </w:r>
      <w:r w:rsidR="00D01627" w:rsidRPr="003A377E">
        <w:rPr>
          <w:rFonts w:ascii="Times New Roman" w:eastAsia="Times New Roman" w:hAnsi="Times New Roman" w:cs="Times New Roman"/>
          <w:sz w:val="24"/>
          <w:szCs w:val="24"/>
        </w:rPr>
        <w:t>. The mandates of the different spheres of government are addressed by the division of revenue considering the demographic</w:t>
      </w:r>
      <w:r w:rsidRPr="003A377E">
        <w:rPr>
          <w:rFonts w:ascii="Times New Roman" w:eastAsia="Times New Roman" w:hAnsi="Times New Roman" w:cs="Times New Roman"/>
          <w:sz w:val="24"/>
          <w:szCs w:val="24"/>
        </w:rPr>
        <w:t>,</w:t>
      </w:r>
      <w:r w:rsidR="00D01627" w:rsidRPr="003A377E">
        <w:rPr>
          <w:rFonts w:ascii="Times New Roman" w:eastAsia="Times New Roman" w:hAnsi="Times New Roman" w:cs="Times New Roman"/>
          <w:sz w:val="24"/>
          <w:szCs w:val="24"/>
        </w:rPr>
        <w:t xml:space="preserve"> social and economic needs of the environment. The PBO emphasised that relevant up-to-date official statistical data was, however, not always available to inform policy and funding decisions.</w:t>
      </w:r>
    </w:p>
    <w:p w:rsidR="00D01627" w:rsidRPr="003A377E" w:rsidRDefault="00D01627">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 </w:t>
      </w:r>
    </w:p>
    <w:p w:rsidR="006C3C6D" w:rsidRPr="003A377E" w:rsidRDefault="006C3C6D">
      <w:pPr>
        <w:pStyle w:val="ListParagraph"/>
        <w:numPr>
          <w:ilvl w:val="0"/>
          <w:numId w:val="1"/>
        </w:numPr>
        <w:spacing w:before="120" w:line="360" w:lineRule="auto"/>
        <w:ind w:left="567" w:hanging="567"/>
        <w:jc w:val="both"/>
        <w:rPr>
          <w:rFonts w:ascii="Times New Roman" w:hAnsi="Times New Roman" w:cs="Times New Roman"/>
          <w:b/>
          <w:sz w:val="24"/>
          <w:szCs w:val="24"/>
        </w:rPr>
      </w:pPr>
      <w:r w:rsidRPr="003A377E">
        <w:rPr>
          <w:rFonts w:ascii="Times New Roman" w:hAnsi="Times New Roman" w:cs="Times New Roman"/>
          <w:b/>
          <w:sz w:val="24"/>
          <w:szCs w:val="24"/>
        </w:rPr>
        <w:t>Submissions by stakeholders</w:t>
      </w:r>
    </w:p>
    <w:p w:rsidR="006C3C6D" w:rsidRPr="003A377E" w:rsidRDefault="006C3C6D">
      <w:pPr>
        <w:tabs>
          <w:tab w:val="left" w:pos="284"/>
          <w:tab w:val="left" w:pos="567"/>
        </w:tabs>
        <w:spacing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As indicated under section 2 above, </w:t>
      </w:r>
      <w:r w:rsidR="00113CFE" w:rsidRPr="003A377E">
        <w:rPr>
          <w:rFonts w:ascii="Times New Roman" w:eastAsia="Times New Roman" w:hAnsi="Times New Roman" w:cs="Times New Roman"/>
          <w:sz w:val="24"/>
          <w:szCs w:val="24"/>
        </w:rPr>
        <w:t>o</w:t>
      </w:r>
      <w:r w:rsidRPr="003A377E">
        <w:rPr>
          <w:rFonts w:ascii="Times New Roman" w:eastAsia="Times New Roman" w:hAnsi="Times New Roman" w:cs="Times New Roman"/>
          <w:sz w:val="24"/>
          <w:szCs w:val="24"/>
        </w:rPr>
        <w:t>nly five public submission</w:t>
      </w:r>
      <w:r w:rsidR="002D41FD" w:rsidRPr="003A377E">
        <w:rPr>
          <w:rFonts w:ascii="Times New Roman" w:eastAsia="Times New Roman" w:hAnsi="Times New Roman" w:cs="Times New Roman"/>
          <w:sz w:val="24"/>
          <w:szCs w:val="24"/>
        </w:rPr>
        <w:t>s</w:t>
      </w:r>
      <w:r w:rsidRPr="003A377E">
        <w:rPr>
          <w:rFonts w:ascii="Times New Roman" w:eastAsia="Times New Roman" w:hAnsi="Times New Roman" w:cs="Times New Roman"/>
          <w:sz w:val="24"/>
          <w:szCs w:val="24"/>
        </w:rPr>
        <w:t xml:space="preserve"> on the Bill were received despite the Committee’s efforts to facilitate </w:t>
      </w:r>
      <w:r w:rsidR="00113CFE" w:rsidRPr="003A377E">
        <w:rPr>
          <w:rFonts w:ascii="Times New Roman" w:eastAsia="Times New Roman" w:hAnsi="Times New Roman" w:cs="Times New Roman"/>
          <w:sz w:val="24"/>
          <w:szCs w:val="24"/>
        </w:rPr>
        <w:t xml:space="preserve">wider </w:t>
      </w:r>
      <w:r w:rsidRPr="003A377E">
        <w:rPr>
          <w:rFonts w:ascii="Times New Roman" w:eastAsia="Times New Roman" w:hAnsi="Times New Roman" w:cs="Times New Roman"/>
          <w:sz w:val="24"/>
          <w:szCs w:val="24"/>
        </w:rPr>
        <w:t>public participation.</w:t>
      </w:r>
    </w:p>
    <w:p w:rsidR="00637E8E" w:rsidRPr="003A377E" w:rsidRDefault="00637E8E">
      <w:pPr>
        <w:tabs>
          <w:tab w:val="left" w:pos="284"/>
          <w:tab w:val="left" w:pos="709"/>
        </w:tabs>
        <w:spacing w:after="0" w:line="360" w:lineRule="auto"/>
        <w:contextualSpacing/>
        <w:jc w:val="both"/>
        <w:rPr>
          <w:rFonts w:ascii="Times New Roman" w:eastAsia="Times New Roman" w:hAnsi="Times New Roman" w:cs="Times New Roman"/>
          <w:sz w:val="24"/>
          <w:szCs w:val="24"/>
          <w:lang w:val="en-US"/>
        </w:rPr>
      </w:pPr>
    </w:p>
    <w:p w:rsidR="00D05701" w:rsidRPr="003A377E" w:rsidRDefault="00D05701" w:rsidP="006B30A6">
      <w:pPr>
        <w:pStyle w:val="ListParagraph"/>
        <w:numPr>
          <w:ilvl w:val="1"/>
          <w:numId w:val="17"/>
        </w:num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Congress of South African Trade Unions (COSATU)</w:t>
      </w:r>
    </w:p>
    <w:p w:rsidR="00256D25" w:rsidRPr="003A377E" w:rsidRDefault="00D05701">
      <w:pPr>
        <w:pStyle w:val="Default"/>
        <w:spacing w:line="360" w:lineRule="auto"/>
        <w:jc w:val="both"/>
        <w:rPr>
          <w:rFonts w:ascii="Times New Roman" w:hAnsi="Times New Roman" w:cs="Times New Roman"/>
        </w:rPr>
      </w:pPr>
      <w:r w:rsidRPr="003A377E">
        <w:rPr>
          <w:rFonts w:ascii="Times New Roman" w:hAnsi="Times New Roman" w:cs="Times New Roman"/>
        </w:rPr>
        <w:t xml:space="preserve">COSATU </w:t>
      </w:r>
      <w:r w:rsidR="005475AC" w:rsidRPr="003A377E">
        <w:rPr>
          <w:rFonts w:ascii="Times New Roman" w:hAnsi="Times New Roman" w:cs="Times New Roman"/>
        </w:rPr>
        <w:t xml:space="preserve">welcomed the extension of the R350 Social Relief of Distress </w:t>
      </w:r>
      <w:r w:rsidR="00113CFE" w:rsidRPr="003A377E">
        <w:rPr>
          <w:rFonts w:ascii="Times New Roman" w:hAnsi="Times New Roman" w:cs="Times New Roman"/>
        </w:rPr>
        <w:t>(SRD) Grant, indicating th</w:t>
      </w:r>
      <w:r w:rsidR="005475AC" w:rsidRPr="003A377E">
        <w:rPr>
          <w:rFonts w:ascii="Times New Roman" w:hAnsi="Times New Roman" w:cs="Times New Roman"/>
        </w:rPr>
        <w:t>at it needed to be extended and linked to skills training programmes, to help its recipients find jobs. COSATU added that the SR</w:t>
      </w:r>
      <w:r w:rsidR="00113CFE" w:rsidRPr="003A377E">
        <w:rPr>
          <w:rFonts w:ascii="Times New Roman" w:hAnsi="Times New Roman" w:cs="Times New Roman"/>
        </w:rPr>
        <w:t xml:space="preserve">D </w:t>
      </w:r>
      <w:r w:rsidR="005475AC" w:rsidRPr="003A377E">
        <w:rPr>
          <w:rFonts w:ascii="Times New Roman" w:hAnsi="Times New Roman" w:cs="Times New Roman"/>
        </w:rPr>
        <w:t>G</w:t>
      </w:r>
      <w:r w:rsidR="00113CFE" w:rsidRPr="003A377E">
        <w:rPr>
          <w:rFonts w:ascii="Times New Roman" w:hAnsi="Times New Roman" w:cs="Times New Roman"/>
        </w:rPr>
        <w:t>rant laid</w:t>
      </w:r>
      <w:r w:rsidR="005475AC" w:rsidRPr="003A377E">
        <w:rPr>
          <w:rFonts w:ascii="Times New Roman" w:hAnsi="Times New Roman" w:cs="Times New Roman"/>
        </w:rPr>
        <w:t xml:space="preserve"> the foundation for a Basic Income </w:t>
      </w:r>
      <w:r w:rsidR="003E3091" w:rsidRPr="003A377E">
        <w:rPr>
          <w:rFonts w:ascii="Times New Roman" w:hAnsi="Times New Roman" w:cs="Times New Roman"/>
        </w:rPr>
        <w:t>Grant</w:t>
      </w:r>
      <w:r w:rsidR="005475AC" w:rsidRPr="003A377E">
        <w:rPr>
          <w:rFonts w:ascii="Times New Roman" w:hAnsi="Times New Roman" w:cs="Times New Roman"/>
        </w:rPr>
        <w:t xml:space="preserve">, but </w:t>
      </w:r>
      <w:r w:rsidR="00113CFE" w:rsidRPr="003A377E">
        <w:rPr>
          <w:rFonts w:ascii="Times New Roman" w:hAnsi="Times New Roman" w:cs="Times New Roman"/>
        </w:rPr>
        <w:t xml:space="preserve">expressed </w:t>
      </w:r>
      <w:r w:rsidR="005475AC" w:rsidRPr="003A377E">
        <w:rPr>
          <w:rFonts w:ascii="Times New Roman" w:hAnsi="Times New Roman" w:cs="Times New Roman"/>
        </w:rPr>
        <w:t>disappoint</w:t>
      </w:r>
      <w:r w:rsidR="00113CFE" w:rsidRPr="003A377E">
        <w:rPr>
          <w:rFonts w:ascii="Times New Roman" w:hAnsi="Times New Roman" w:cs="Times New Roman"/>
        </w:rPr>
        <w:t>ment</w:t>
      </w:r>
      <w:r w:rsidR="005475AC" w:rsidRPr="003A377E">
        <w:rPr>
          <w:rFonts w:ascii="Times New Roman" w:hAnsi="Times New Roman" w:cs="Times New Roman"/>
        </w:rPr>
        <w:t xml:space="preserve"> that it had not been adjusted for inflation or</w:t>
      </w:r>
      <w:r w:rsidR="00113CFE" w:rsidRPr="003A377E">
        <w:rPr>
          <w:rFonts w:ascii="Times New Roman" w:hAnsi="Times New Roman" w:cs="Times New Roman"/>
        </w:rPr>
        <w:t xml:space="preserve"> to</w:t>
      </w:r>
      <w:r w:rsidR="005475AC" w:rsidRPr="003A377E">
        <w:rPr>
          <w:rFonts w:ascii="Times New Roman" w:hAnsi="Times New Roman" w:cs="Times New Roman"/>
        </w:rPr>
        <w:t xml:space="preserve"> </w:t>
      </w:r>
      <w:r w:rsidR="00113CFE" w:rsidRPr="003A377E">
        <w:rPr>
          <w:rFonts w:ascii="Times New Roman" w:hAnsi="Times New Roman" w:cs="Times New Roman"/>
        </w:rPr>
        <w:t xml:space="preserve">match </w:t>
      </w:r>
      <w:r w:rsidR="005475AC" w:rsidRPr="003A377E">
        <w:rPr>
          <w:rFonts w:ascii="Times New Roman" w:hAnsi="Times New Roman" w:cs="Times New Roman"/>
        </w:rPr>
        <w:t xml:space="preserve">the food poverty level. COSATU supported the R76 billion allocation to </w:t>
      </w:r>
      <w:r w:rsidR="00113CFE" w:rsidRPr="003A377E">
        <w:rPr>
          <w:rFonts w:ascii="Times New Roman" w:hAnsi="Times New Roman" w:cs="Times New Roman"/>
        </w:rPr>
        <w:t xml:space="preserve">the </w:t>
      </w:r>
      <w:r w:rsidR="005475AC" w:rsidRPr="003A377E">
        <w:rPr>
          <w:rFonts w:ascii="Times New Roman" w:hAnsi="Times New Roman" w:cs="Times New Roman"/>
        </w:rPr>
        <w:t>Presidential Employment Stimulus</w:t>
      </w:r>
      <w:r w:rsidR="00256D25" w:rsidRPr="003A377E">
        <w:rPr>
          <w:rFonts w:ascii="Times New Roman" w:hAnsi="Times New Roman" w:cs="Times New Roman"/>
        </w:rPr>
        <w:t>, eve</w:t>
      </w:r>
      <w:r w:rsidR="00113CFE" w:rsidRPr="003A377E">
        <w:rPr>
          <w:rFonts w:ascii="Times New Roman" w:hAnsi="Times New Roman" w:cs="Times New Roman"/>
        </w:rPr>
        <w:t>n though the 2022 allocation had been</w:t>
      </w:r>
      <w:r w:rsidR="00256D25" w:rsidRPr="003A377E">
        <w:rPr>
          <w:rFonts w:ascii="Times New Roman" w:hAnsi="Times New Roman" w:cs="Times New Roman"/>
        </w:rPr>
        <w:t xml:space="preserve"> reduced by R6 billion and</w:t>
      </w:r>
      <w:r w:rsidR="00113CFE" w:rsidRPr="003A377E">
        <w:rPr>
          <w:rFonts w:ascii="Times New Roman" w:hAnsi="Times New Roman" w:cs="Times New Roman"/>
        </w:rPr>
        <w:t xml:space="preserve"> the</w:t>
      </w:r>
      <w:r w:rsidR="00216A6A" w:rsidRPr="003A377E">
        <w:rPr>
          <w:rFonts w:ascii="Times New Roman" w:hAnsi="Times New Roman" w:cs="Times New Roman"/>
        </w:rPr>
        <w:t xml:space="preserve"> jobs target reduced</w:t>
      </w:r>
      <w:r w:rsidR="00256D25" w:rsidRPr="003A377E">
        <w:rPr>
          <w:rFonts w:ascii="Times New Roman" w:hAnsi="Times New Roman" w:cs="Times New Roman"/>
        </w:rPr>
        <w:t xml:space="preserve"> to 510</w:t>
      </w:r>
      <w:r w:rsidR="00113CFE" w:rsidRPr="003A377E">
        <w:rPr>
          <w:rFonts w:ascii="Times New Roman" w:hAnsi="Times New Roman" w:cs="Times New Roman"/>
        </w:rPr>
        <w:t> </w:t>
      </w:r>
      <w:r w:rsidR="00256D25" w:rsidRPr="003A377E">
        <w:rPr>
          <w:rFonts w:ascii="Times New Roman" w:hAnsi="Times New Roman" w:cs="Times New Roman"/>
        </w:rPr>
        <w:t>000</w:t>
      </w:r>
      <w:r w:rsidR="00113CFE" w:rsidRPr="003A377E">
        <w:rPr>
          <w:rFonts w:ascii="Times New Roman" w:hAnsi="Times New Roman" w:cs="Times New Roman"/>
        </w:rPr>
        <w:t xml:space="preserve">, as it had </w:t>
      </w:r>
      <w:r w:rsidR="005475AC" w:rsidRPr="003A377E">
        <w:rPr>
          <w:rFonts w:ascii="Times New Roman" w:hAnsi="Times New Roman" w:cs="Times New Roman"/>
        </w:rPr>
        <w:t>helped 840 000 people to fin</w:t>
      </w:r>
      <w:r w:rsidR="00113CFE" w:rsidRPr="003A377E">
        <w:rPr>
          <w:rFonts w:ascii="Times New Roman" w:hAnsi="Times New Roman" w:cs="Times New Roman"/>
        </w:rPr>
        <w:t>d work and</w:t>
      </w:r>
      <w:r w:rsidR="005475AC" w:rsidRPr="003A377E">
        <w:rPr>
          <w:rFonts w:ascii="Times New Roman" w:hAnsi="Times New Roman" w:cs="Times New Roman"/>
        </w:rPr>
        <w:t xml:space="preserve"> gain experience and skills</w:t>
      </w:r>
      <w:r w:rsidR="00113CFE" w:rsidRPr="003A377E">
        <w:rPr>
          <w:rFonts w:ascii="Times New Roman" w:hAnsi="Times New Roman" w:cs="Times New Roman"/>
        </w:rPr>
        <w:t xml:space="preserve"> thus far</w:t>
      </w:r>
      <w:r w:rsidR="005475AC" w:rsidRPr="003A377E">
        <w:rPr>
          <w:rFonts w:ascii="Times New Roman" w:hAnsi="Times New Roman" w:cs="Times New Roman"/>
        </w:rPr>
        <w:t>.</w:t>
      </w:r>
      <w:r w:rsidR="00216A6A" w:rsidRPr="003A377E">
        <w:rPr>
          <w:rFonts w:ascii="Times New Roman" w:hAnsi="Times New Roman" w:cs="Times New Roman"/>
        </w:rPr>
        <w:t xml:space="preserve"> COSATU further expressed the hope</w:t>
      </w:r>
      <w:r w:rsidR="00256D25" w:rsidRPr="003A377E">
        <w:rPr>
          <w:rFonts w:ascii="Times New Roman" w:hAnsi="Times New Roman" w:cs="Times New Roman"/>
        </w:rPr>
        <w:t xml:space="preserve"> that the R35 billion funding </w:t>
      </w:r>
      <w:r w:rsidR="00256D25" w:rsidRPr="003A377E">
        <w:rPr>
          <w:rFonts w:ascii="Times New Roman" w:hAnsi="Times New Roman" w:cs="Times New Roman"/>
        </w:rPr>
        <w:lastRenderedPageBreak/>
        <w:t>for small, m</w:t>
      </w:r>
      <w:r w:rsidR="00216A6A" w:rsidRPr="003A377E">
        <w:rPr>
          <w:rFonts w:ascii="Times New Roman" w:hAnsi="Times New Roman" w:cs="Times New Roman"/>
        </w:rPr>
        <w:t>edium and micro enterprises would not be suffocated by banks’</w:t>
      </w:r>
      <w:r w:rsidR="00256D25" w:rsidRPr="003A377E">
        <w:rPr>
          <w:rFonts w:ascii="Times New Roman" w:hAnsi="Times New Roman" w:cs="Times New Roman"/>
        </w:rPr>
        <w:t xml:space="preserve"> lending criteria. COSATU also </w:t>
      </w:r>
      <w:r w:rsidR="00216A6A" w:rsidRPr="003A377E">
        <w:rPr>
          <w:rFonts w:ascii="Times New Roman" w:hAnsi="Times New Roman" w:cs="Times New Roman"/>
        </w:rPr>
        <w:t xml:space="preserve">indicated </w:t>
      </w:r>
      <w:r w:rsidR="00256D25" w:rsidRPr="003A377E">
        <w:rPr>
          <w:rFonts w:ascii="Times New Roman" w:hAnsi="Times New Roman" w:cs="Times New Roman"/>
        </w:rPr>
        <w:t xml:space="preserve">that there was a need to fast-track pension relief legislation to help financially distressed and indebted workers. </w:t>
      </w:r>
    </w:p>
    <w:p w:rsidR="00256D25" w:rsidRPr="003A377E" w:rsidRDefault="00256D25">
      <w:pPr>
        <w:pStyle w:val="Default"/>
        <w:spacing w:line="360" w:lineRule="auto"/>
        <w:jc w:val="both"/>
        <w:rPr>
          <w:rFonts w:ascii="Times New Roman" w:hAnsi="Times New Roman" w:cs="Times New Roman"/>
        </w:rPr>
      </w:pPr>
    </w:p>
    <w:p w:rsidR="00256D25" w:rsidRPr="003A377E" w:rsidRDefault="00256D25">
      <w:pPr>
        <w:pStyle w:val="Default"/>
        <w:spacing w:line="360" w:lineRule="auto"/>
        <w:jc w:val="both"/>
        <w:rPr>
          <w:rFonts w:ascii="Times New Roman" w:hAnsi="Times New Roman" w:cs="Times New Roman"/>
        </w:rPr>
      </w:pPr>
      <w:r w:rsidRPr="003A377E">
        <w:rPr>
          <w:rFonts w:ascii="Times New Roman" w:hAnsi="Times New Roman" w:cs="Times New Roman"/>
        </w:rPr>
        <w:t xml:space="preserve">On </w:t>
      </w:r>
      <w:r w:rsidR="00216A6A" w:rsidRPr="003A377E">
        <w:rPr>
          <w:rFonts w:ascii="Times New Roman" w:hAnsi="Times New Roman" w:cs="Times New Roman"/>
        </w:rPr>
        <w:t xml:space="preserve">the </w:t>
      </w:r>
      <w:r w:rsidRPr="003A377E">
        <w:rPr>
          <w:rFonts w:ascii="Times New Roman" w:hAnsi="Times New Roman" w:cs="Times New Roman"/>
        </w:rPr>
        <w:t>public wage bill, COSATU welcomed the Minister’s move</w:t>
      </w:r>
      <w:r w:rsidR="00216A6A" w:rsidRPr="003A377E">
        <w:rPr>
          <w:rFonts w:ascii="Times New Roman" w:hAnsi="Times New Roman" w:cs="Times New Roman"/>
        </w:rPr>
        <w:t xml:space="preserve"> towards collective bargaining, indicating that i</w:t>
      </w:r>
      <w:r w:rsidRPr="003A377E">
        <w:rPr>
          <w:rFonts w:ascii="Times New Roman" w:hAnsi="Times New Roman" w:cs="Times New Roman"/>
        </w:rPr>
        <w:t>t was critical to settle the 2022 public service negotiations soon and honour the 2020 wage agreement.</w:t>
      </w:r>
      <w:r w:rsidR="005475AC" w:rsidRPr="003A377E">
        <w:rPr>
          <w:rFonts w:ascii="Times New Roman" w:hAnsi="Times New Roman" w:cs="Times New Roman"/>
        </w:rPr>
        <w:t xml:space="preserve"> </w:t>
      </w:r>
      <w:r w:rsidRPr="003A377E">
        <w:rPr>
          <w:rFonts w:ascii="Times New Roman" w:hAnsi="Times New Roman" w:cs="Times New Roman"/>
        </w:rPr>
        <w:t xml:space="preserve">COSATU emphasised that there was a need for a single wage regime and </w:t>
      </w:r>
      <w:r w:rsidR="00216A6A" w:rsidRPr="003A377E">
        <w:rPr>
          <w:rFonts w:ascii="Times New Roman" w:hAnsi="Times New Roman" w:cs="Times New Roman"/>
        </w:rPr>
        <w:t xml:space="preserve">a </w:t>
      </w:r>
      <w:r w:rsidRPr="003A377E">
        <w:rPr>
          <w:rFonts w:ascii="Times New Roman" w:hAnsi="Times New Roman" w:cs="Times New Roman"/>
        </w:rPr>
        <w:t>collective bargaining pr</w:t>
      </w:r>
      <w:r w:rsidR="00216A6A" w:rsidRPr="003A377E">
        <w:rPr>
          <w:rFonts w:ascii="Times New Roman" w:hAnsi="Times New Roman" w:cs="Times New Roman"/>
        </w:rPr>
        <w:t xml:space="preserve">ocess for national, provincial and </w:t>
      </w:r>
      <w:r w:rsidRPr="003A377E">
        <w:rPr>
          <w:rFonts w:ascii="Times New Roman" w:hAnsi="Times New Roman" w:cs="Times New Roman"/>
        </w:rPr>
        <w:t xml:space="preserve">local government, </w:t>
      </w:r>
      <w:r w:rsidR="00216A6A" w:rsidRPr="003A377E">
        <w:rPr>
          <w:rFonts w:ascii="Times New Roman" w:hAnsi="Times New Roman" w:cs="Times New Roman"/>
        </w:rPr>
        <w:t>state-owned entities (</w:t>
      </w:r>
      <w:r w:rsidRPr="003A377E">
        <w:rPr>
          <w:rFonts w:ascii="Times New Roman" w:hAnsi="Times New Roman" w:cs="Times New Roman"/>
        </w:rPr>
        <w:t>SOEs</w:t>
      </w:r>
      <w:r w:rsidR="00216A6A" w:rsidRPr="003A377E">
        <w:rPr>
          <w:rFonts w:ascii="Times New Roman" w:hAnsi="Times New Roman" w:cs="Times New Roman"/>
        </w:rPr>
        <w:t>)</w:t>
      </w:r>
      <w:r w:rsidRPr="003A377E">
        <w:rPr>
          <w:rFonts w:ascii="Times New Roman" w:hAnsi="Times New Roman" w:cs="Times New Roman"/>
        </w:rPr>
        <w:t xml:space="preserve"> and all public entities. </w:t>
      </w:r>
      <w:r w:rsidR="00216A6A" w:rsidRPr="003A377E">
        <w:rPr>
          <w:rFonts w:ascii="Times New Roman" w:hAnsi="Times New Roman" w:cs="Times New Roman"/>
        </w:rPr>
        <w:t xml:space="preserve">In addition, the remuneration </w:t>
      </w:r>
      <w:r w:rsidRPr="003A377E">
        <w:rPr>
          <w:rFonts w:ascii="Times New Roman" w:hAnsi="Times New Roman" w:cs="Times New Roman"/>
        </w:rPr>
        <w:t xml:space="preserve">packages of politicians and managers </w:t>
      </w:r>
      <w:r w:rsidR="00216A6A" w:rsidRPr="003A377E">
        <w:rPr>
          <w:rFonts w:ascii="Times New Roman" w:hAnsi="Times New Roman" w:cs="Times New Roman"/>
        </w:rPr>
        <w:t xml:space="preserve">should be reduced </w:t>
      </w:r>
      <w:r w:rsidRPr="003A377E">
        <w:rPr>
          <w:rFonts w:ascii="Times New Roman" w:hAnsi="Times New Roman" w:cs="Times New Roman"/>
        </w:rPr>
        <w:t>and, in order to eliminate ghost posts and workers, there must be a physical headcount.</w:t>
      </w:r>
    </w:p>
    <w:p w:rsidR="00256D25" w:rsidRPr="003A377E" w:rsidRDefault="00256D25">
      <w:pPr>
        <w:pStyle w:val="Default"/>
        <w:spacing w:line="360" w:lineRule="auto"/>
        <w:jc w:val="both"/>
        <w:rPr>
          <w:rFonts w:ascii="Times New Roman" w:hAnsi="Times New Roman" w:cs="Times New Roman"/>
        </w:rPr>
      </w:pPr>
    </w:p>
    <w:p w:rsidR="00256D25" w:rsidRPr="003A377E" w:rsidRDefault="00256D25">
      <w:pPr>
        <w:pStyle w:val="Default"/>
        <w:spacing w:line="360" w:lineRule="auto"/>
        <w:jc w:val="both"/>
        <w:rPr>
          <w:rFonts w:ascii="Times New Roman" w:hAnsi="Times New Roman" w:cs="Times New Roman"/>
        </w:rPr>
      </w:pPr>
      <w:r w:rsidRPr="003A377E">
        <w:rPr>
          <w:rFonts w:ascii="Times New Roman" w:hAnsi="Times New Roman" w:cs="Times New Roman"/>
        </w:rPr>
        <w:t>With respect to infrastructure, COSATU welcomed the R</w:t>
      </w:r>
      <w:r w:rsidR="009C3DE4" w:rsidRPr="003A377E">
        <w:rPr>
          <w:rFonts w:ascii="Times New Roman" w:hAnsi="Times New Roman" w:cs="Times New Roman"/>
        </w:rPr>
        <w:t>812 billion 50-</w:t>
      </w:r>
      <w:r w:rsidRPr="003A377E">
        <w:rPr>
          <w:rFonts w:ascii="Times New Roman" w:hAnsi="Times New Roman" w:cs="Times New Roman"/>
        </w:rPr>
        <w:t>year plan, in particular</w:t>
      </w:r>
      <w:r w:rsidR="00216A6A" w:rsidRPr="003A377E">
        <w:rPr>
          <w:rFonts w:ascii="Times New Roman" w:hAnsi="Times New Roman" w:cs="Times New Roman"/>
        </w:rPr>
        <w:t xml:space="preserve"> the -</w:t>
      </w:r>
    </w:p>
    <w:p w:rsidR="00256D25" w:rsidRPr="003A377E" w:rsidRDefault="00256D25">
      <w:pPr>
        <w:pStyle w:val="Default"/>
        <w:numPr>
          <w:ilvl w:val="0"/>
          <w:numId w:val="16"/>
        </w:numPr>
        <w:spacing w:line="360" w:lineRule="auto"/>
        <w:jc w:val="both"/>
        <w:rPr>
          <w:rFonts w:ascii="Times New Roman" w:hAnsi="Times New Roman" w:cs="Times New Roman"/>
        </w:rPr>
      </w:pPr>
      <w:r w:rsidRPr="003A377E">
        <w:rPr>
          <w:rFonts w:ascii="Times New Roman" w:hAnsi="Times New Roman" w:cs="Times New Roman"/>
        </w:rPr>
        <w:t>R126 billion to Transnet;</w:t>
      </w:r>
    </w:p>
    <w:p w:rsidR="00256D25" w:rsidRPr="003A377E" w:rsidRDefault="00256D25">
      <w:pPr>
        <w:pStyle w:val="Default"/>
        <w:numPr>
          <w:ilvl w:val="0"/>
          <w:numId w:val="16"/>
        </w:numPr>
        <w:spacing w:line="360" w:lineRule="auto"/>
        <w:jc w:val="both"/>
        <w:rPr>
          <w:rFonts w:ascii="Times New Roman" w:hAnsi="Times New Roman" w:cs="Times New Roman"/>
        </w:rPr>
      </w:pPr>
      <w:r w:rsidRPr="003A377E">
        <w:rPr>
          <w:rFonts w:ascii="Times New Roman" w:hAnsi="Times New Roman" w:cs="Times New Roman"/>
        </w:rPr>
        <w:t>R62 billion to PRASA;</w:t>
      </w:r>
    </w:p>
    <w:p w:rsidR="00256D25" w:rsidRPr="003A377E" w:rsidRDefault="00256D25">
      <w:pPr>
        <w:pStyle w:val="Default"/>
        <w:numPr>
          <w:ilvl w:val="0"/>
          <w:numId w:val="16"/>
        </w:numPr>
        <w:spacing w:line="360" w:lineRule="auto"/>
        <w:jc w:val="both"/>
        <w:rPr>
          <w:rFonts w:ascii="Times New Roman" w:hAnsi="Times New Roman" w:cs="Times New Roman"/>
        </w:rPr>
      </w:pPr>
      <w:r w:rsidRPr="003A377E">
        <w:rPr>
          <w:rFonts w:ascii="Times New Roman" w:hAnsi="Times New Roman" w:cs="Times New Roman"/>
        </w:rPr>
        <w:t xml:space="preserve">R26 billion to upgrade 900 informal settlements; and </w:t>
      </w:r>
    </w:p>
    <w:p w:rsidR="00176C97" w:rsidRPr="003A377E" w:rsidRDefault="009C3DE4">
      <w:pPr>
        <w:pStyle w:val="Default"/>
        <w:numPr>
          <w:ilvl w:val="0"/>
          <w:numId w:val="16"/>
        </w:numPr>
        <w:spacing w:line="360" w:lineRule="auto"/>
        <w:jc w:val="both"/>
        <w:rPr>
          <w:rFonts w:ascii="Times New Roman" w:hAnsi="Times New Roman" w:cs="Times New Roman"/>
        </w:rPr>
      </w:pPr>
      <w:r w:rsidRPr="003A377E">
        <w:rPr>
          <w:rFonts w:ascii="Times New Roman" w:hAnsi="Times New Roman" w:cs="Times New Roman"/>
        </w:rPr>
        <w:t xml:space="preserve">R471 million infrastructure fund for </w:t>
      </w:r>
      <w:r w:rsidR="00176C97" w:rsidRPr="003A377E">
        <w:rPr>
          <w:rFonts w:ascii="Times New Roman" w:hAnsi="Times New Roman" w:cs="Times New Roman"/>
        </w:rPr>
        <w:t>30 new school</w:t>
      </w:r>
      <w:r w:rsidR="00216A6A" w:rsidRPr="003A377E">
        <w:rPr>
          <w:rFonts w:ascii="Times New Roman" w:hAnsi="Times New Roman" w:cs="Times New Roman"/>
        </w:rPr>
        <w:t>s, 40 schools to receive water and</w:t>
      </w:r>
      <w:r w:rsidR="00176C97" w:rsidRPr="003A377E">
        <w:rPr>
          <w:rFonts w:ascii="Times New Roman" w:hAnsi="Times New Roman" w:cs="Times New Roman"/>
        </w:rPr>
        <w:t xml:space="preserve"> 450 to receive sanitation.</w:t>
      </w:r>
    </w:p>
    <w:p w:rsidR="00176C97" w:rsidRPr="003A377E" w:rsidRDefault="00176C97">
      <w:pPr>
        <w:pStyle w:val="Default"/>
        <w:spacing w:line="360" w:lineRule="auto"/>
        <w:jc w:val="both"/>
        <w:rPr>
          <w:rFonts w:ascii="Times New Roman" w:hAnsi="Times New Roman" w:cs="Times New Roman"/>
        </w:rPr>
      </w:pPr>
    </w:p>
    <w:p w:rsidR="00C04E0D" w:rsidRPr="003A377E" w:rsidRDefault="00176C97">
      <w:pPr>
        <w:pStyle w:val="Default"/>
        <w:spacing w:line="360" w:lineRule="auto"/>
        <w:jc w:val="both"/>
        <w:rPr>
          <w:rFonts w:ascii="Times New Roman" w:hAnsi="Times New Roman" w:cs="Times New Roman"/>
        </w:rPr>
      </w:pPr>
      <w:r w:rsidRPr="003A377E">
        <w:rPr>
          <w:rFonts w:ascii="Times New Roman" w:hAnsi="Times New Roman" w:cs="Times New Roman"/>
        </w:rPr>
        <w:t>With respect to provincial government</w:t>
      </w:r>
      <w:r w:rsidR="00216A6A" w:rsidRPr="003A377E">
        <w:rPr>
          <w:rFonts w:ascii="Times New Roman" w:hAnsi="Times New Roman" w:cs="Times New Roman"/>
        </w:rPr>
        <w:t xml:space="preserve"> allocations, COSATU noted </w:t>
      </w:r>
      <w:r w:rsidRPr="003A377E">
        <w:rPr>
          <w:rFonts w:ascii="Times New Roman" w:hAnsi="Times New Roman" w:cs="Times New Roman"/>
        </w:rPr>
        <w:t xml:space="preserve">the R8 billion </w:t>
      </w:r>
      <w:r w:rsidR="00216A6A" w:rsidRPr="003A377E">
        <w:rPr>
          <w:rFonts w:ascii="Times New Roman" w:hAnsi="Times New Roman" w:cs="Times New Roman"/>
        </w:rPr>
        <w:t>National Health Insurance (</w:t>
      </w:r>
      <w:r w:rsidRPr="003A377E">
        <w:rPr>
          <w:rFonts w:ascii="Times New Roman" w:hAnsi="Times New Roman" w:cs="Times New Roman"/>
        </w:rPr>
        <w:t>NHI</w:t>
      </w:r>
      <w:r w:rsidR="00216A6A" w:rsidRPr="003A377E">
        <w:rPr>
          <w:rFonts w:ascii="Times New Roman" w:hAnsi="Times New Roman" w:cs="Times New Roman"/>
        </w:rPr>
        <w:t>)</w:t>
      </w:r>
      <w:r w:rsidRPr="003A377E">
        <w:rPr>
          <w:rFonts w:ascii="Times New Roman" w:hAnsi="Times New Roman" w:cs="Times New Roman"/>
        </w:rPr>
        <w:t xml:space="preserve"> funding over the MTEF, the R3 billion for employing health workers, and </w:t>
      </w:r>
      <w:r w:rsidR="00216A6A" w:rsidRPr="003A377E">
        <w:rPr>
          <w:rFonts w:ascii="Times New Roman" w:hAnsi="Times New Roman" w:cs="Times New Roman"/>
        </w:rPr>
        <w:t xml:space="preserve">the </w:t>
      </w:r>
      <w:r w:rsidRPr="003A377E">
        <w:rPr>
          <w:rFonts w:ascii="Times New Roman" w:hAnsi="Times New Roman" w:cs="Times New Roman"/>
        </w:rPr>
        <w:t xml:space="preserve">R15.6 billion to fight </w:t>
      </w:r>
      <w:r w:rsidR="003E3091" w:rsidRPr="003A377E">
        <w:rPr>
          <w:rFonts w:ascii="Times New Roman" w:hAnsi="Times New Roman" w:cs="Times New Roman"/>
        </w:rPr>
        <w:t>COVID</w:t>
      </w:r>
      <w:r w:rsidR="00216A6A" w:rsidRPr="003A377E">
        <w:rPr>
          <w:rFonts w:ascii="Times New Roman" w:hAnsi="Times New Roman" w:cs="Times New Roman"/>
        </w:rPr>
        <w:t>-19;</w:t>
      </w:r>
      <w:r w:rsidRPr="003A377E">
        <w:rPr>
          <w:rFonts w:ascii="Times New Roman" w:hAnsi="Times New Roman" w:cs="Times New Roman"/>
        </w:rPr>
        <w:t xml:space="preserve"> but </w:t>
      </w:r>
      <w:r w:rsidR="00216A6A" w:rsidRPr="003A377E">
        <w:rPr>
          <w:rFonts w:ascii="Times New Roman" w:hAnsi="Times New Roman" w:cs="Times New Roman"/>
        </w:rPr>
        <w:t>expressed concern</w:t>
      </w:r>
      <w:r w:rsidRPr="003A377E">
        <w:rPr>
          <w:rFonts w:ascii="Times New Roman" w:hAnsi="Times New Roman" w:cs="Times New Roman"/>
        </w:rPr>
        <w:t xml:space="preserve"> that 0.2 percent growth over </w:t>
      </w:r>
      <w:r w:rsidR="00216A6A" w:rsidRPr="003A377E">
        <w:rPr>
          <w:rFonts w:ascii="Times New Roman" w:hAnsi="Times New Roman" w:cs="Times New Roman"/>
        </w:rPr>
        <w:t>the MTEF would</w:t>
      </w:r>
      <w:r w:rsidRPr="003A377E">
        <w:rPr>
          <w:rFonts w:ascii="Times New Roman" w:hAnsi="Times New Roman" w:cs="Times New Roman"/>
        </w:rPr>
        <w:t xml:space="preserve"> weaken an already overstretched healthcare system. </w:t>
      </w:r>
      <w:r w:rsidR="00216A6A" w:rsidRPr="003A377E">
        <w:rPr>
          <w:rFonts w:ascii="Times New Roman" w:hAnsi="Times New Roman" w:cs="Times New Roman"/>
        </w:rPr>
        <w:t>C</w:t>
      </w:r>
      <w:r w:rsidR="009C3DE4" w:rsidRPr="003A377E">
        <w:rPr>
          <w:rFonts w:ascii="Times New Roman" w:hAnsi="Times New Roman" w:cs="Times New Roman"/>
        </w:rPr>
        <w:t xml:space="preserve">OSATU </w:t>
      </w:r>
      <w:r w:rsidR="00216A6A" w:rsidRPr="003A377E">
        <w:rPr>
          <w:rFonts w:ascii="Times New Roman" w:hAnsi="Times New Roman" w:cs="Times New Roman"/>
        </w:rPr>
        <w:t xml:space="preserve">further </w:t>
      </w:r>
      <w:r w:rsidR="009C3DE4" w:rsidRPr="003A377E">
        <w:rPr>
          <w:rFonts w:ascii="Times New Roman" w:hAnsi="Times New Roman" w:cs="Times New Roman"/>
        </w:rPr>
        <w:t>welcomed the R24.6 billion to address teacher and learning material shortages and the R12.7 billion to hire over 310 000 teaching assistants.</w:t>
      </w:r>
    </w:p>
    <w:p w:rsidR="00C04E0D" w:rsidRPr="003A377E" w:rsidRDefault="00C04E0D">
      <w:pPr>
        <w:pStyle w:val="Default"/>
        <w:spacing w:line="360" w:lineRule="auto"/>
        <w:jc w:val="both"/>
        <w:rPr>
          <w:rFonts w:ascii="Times New Roman" w:hAnsi="Times New Roman" w:cs="Times New Roman"/>
        </w:rPr>
      </w:pPr>
    </w:p>
    <w:p w:rsidR="00794C57" w:rsidRPr="003A377E" w:rsidRDefault="009C3DE4">
      <w:pPr>
        <w:pStyle w:val="Default"/>
        <w:spacing w:line="360" w:lineRule="auto"/>
        <w:jc w:val="both"/>
        <w:rPr>
          <w:rFonts w:ascii="Times New Roman" w:hAnsi="Times New Roman" w:cs="Times New Roman"/>
          <w:lang w:val="en-US"/>
        </w:rPr>
      </w:pPr>
      <w:r w:rsidRPr="003A377E">
        <w:rPr>
          <w:rFonts w:ascii="Times New Roman" w:hAnsi="Times New Roman" w:cs="Times New Roman"/>
        </w:rPr>
        <w:t>On local government, COSATU</w:t>
      </w:r>
      <w:r w:rsidR="005475AC" w:rsidRPr="003A377E">
        <w:rPr>
          <w:rFonts w:ascii="Times New Roman" w:hAnsi="Times New Roman" w:cs="Times New Roman"/>
        </w:rPr>
        <w:t xml:space="preserve"> </w:t>
      </w:r>
      <w:r w:rsidR="00860D03" w:rsidRPr="003A377E">
        <w:rPr>
          <w:rFonts w:ascii="Times New Roman" w:hAnsi="Times New Roman" w:cs="Times New Roman"/>
        </w:rPr>
        <w:t xml:space="preserve">was </w:t>
      </w:r>
      <w:r w:rsidR="00C55FB2" w:rsidRPr="003A377E">
        <w:rPr>
          <w:rFonts w:ascii="Times New Roman" w:hAnsi="Times New Roman" w:cs="Times New Roman"/>
        </w:rPr>
        <w:t>c</w:t>
      </w:r>
      <w:r w:rsidR="00D05701" w:rsidRPr="003A377E">
        <w:rPr>
          <w:rFonts w:ascii="Times New Roman" w:hAnsi="Times New Roman" w:cs="Times New Roman"/>
        </w:rPr>
        <w:t>oncern</w:t>
      </w:r>
      <w:r w:rsidR="00C55FB2" w:rsidRPr="003A377E">
        <w:rPr>
          <w:rFonts w:ascii="Times New Roman" w:hAnsi="Times New Roman" w:cs="Times New Roman"/>
        </w:rPr>
        <w:t>ed that 175 out o</w:t>
      </w:r>
      <w:r w:rsidRPr="003A377E">
        <w:rPr>
          <w:rFonts w:ascii="Times New Roman" w:hAnsi="Times New Roman" w:cs="Times New Roman"/>
        </w:rPr>
        <w:t xml:space="preserve">f 259 municipalities </w:t>
      </w:r>
      <w:r w:rsidR="00C55FB2" w:rsidRPr="003A377E">
        <w:rPr>
          <w:rFonts w:ascii="Times New Roman" w:hAnsi="Times New Roman" w:cs="Times New Roman"/>
        </w:rPr>
        <w:t>wer</w:t>
      </w:r>
      <w:r w:rsidRPr="003A377E">
        <w:rPr>
          <w:rFonts w:ascii="Times New Roman" w:hAnsi="Times New Roman" w:cs="Times New Roman"/>
        </w:rPr>
        <w:t>e financial</w:t>
      </w:r>
      <w:r w:rsidR="00C55FB2" w:rsidRPr="003A377E">
        <w:rPr>
          <w:rFonts w:ascii="Times New Roman" w:hAnsi="Times New Roman" w:cs="Times New Roman"/>
        </w:rPr>
        <w:t>ly</w:t>
      </w:r>
      <w:r w:rsidRPr="003A377E">
        <w:rPr>
          <w:rFonts w:ascii="Times New Roman" w:hAnsi="Times New Roman" w:cs="Times New Roman"/>
        </w:rPr>
        <w:t xml:space="preserve"> distressed</w:t>
      </w:r>
      <w:r w:rsidR="0025709E" w:rsidRPr="003A377E">
        <w:rPr>
          <w:rFonts w:ascii="Times New Roman" w:hAnsi="Times New Roman" w:cs="Times New Roman"/>
        </w:rPr>
        <w:t xml:space="preserve">, </w:t>
      </w:r>
      <w:r w:rsidR="00C55FB2" w:rsidRPr="003A377E">
        <w:rPr>
          <w:rFonts w:ascii="Times New Roman" w:hAnsi="Times New Roman" w:cs="Times New Roman"/>
        </w:rPr>
        <w:t xml:space="preserve">compared to the 86 </w:t>
      </w:r>
      <w:r w:rsidR="0025709E" w:rsidRPr="003A377E">
        <w:rPr>
          <w:rFonts w:ascii="Times New Roman" w:hAnsi="Times New Roman" w:cs="Times New Roman"/>
        </w:rPr>
        <w:t>in 2013</w:t>
      </w:r>
      <w:r w:rsidR="00C55FB2" w:rsidRPr="003A377E">
        <w:rPr>
          <w:rFonts w:ascii="Times New Roman" w:hAnsi="Times New Roman" w:cs="Times New Roman"/>
        </w:rPr>
        <w:t>. According to COSATU, m</w:t>
      </w:r>
      <w:r w:rsidR="0025709E" w:rsidRPr="003A377E">
        <w:rPr>
          <w:rFonts w:ascii="Times New Roman" w:hAnsi="Times New Roman" w:cs="Times New Roman"/>
        </w:rPr>
        <w:t>any of these munic</w:t>
      </w:r>
      <w:r w:rsidR="00C55FB2" w:rsidRPr="003A377E">
        <w:rPr>
          <w:rFonts w:ascii="Times New Roman" w:hAnsi="Times New Roman" w:cs="Times New Roman"/>
        </w:rPr>
        <w:t xml:space="preserve">ipalities </w:t>
      </w:r>
      <w:r w:rsidR="0025709E" w:rsidRPr="003A377E">
        <w:rPr>
          <w:rFonts w:ascii="Times New Roman" w:hAnsi="Times New Roman" w:cs="Times New Roman"/>
        </w:rPr>
        <w:t>fail</w:t>
      </w:r>
      <w:r w:rsidR="00C55FB2" w:rsidRPr="003A377E">
        <w:rPr>
          <w:rFonts w:ascii="Times New Roman" w:hAnsi="Times New Roman" w:cs="Times New Roman"/>
        </w:rPr>
        <w:t>ed</w:t>
      </w:r>
      <w:r w:rsidR="0025709E" w:rsidRPr="003A377E">
        <w:rPr>
          <w:rFonts w:ascii="Times New Roman" w:hAnsi="Times New Roman" w:cs="Times New Roman"/>
        </w:rPr>
        <w:t xml:space="preserve"> to provide water, sanitation, electricity and roads or indigent rebates and subsidies</w:t>
      </w:r>
      <w:r w:rsidR="00C55FB2" w:rsidRPr="003A377E">
        <w:rPr>
          <w:rFonts w:ascii="Times New Roman" w:hAnsi="Times New Roman" w:cs="Times New Roman"/>
        </w:rPr>
        <w:t>; but there were</w:t>
      </w:r>
      <w:r w:rsidR="0025709E" w:rsidRPr="003A377E">
        <w:rPr>
          <w:rFonts w:ascii="Times New Roman" w:hAnsi="Times New Roman" w:cs="Times New Roman"/>
        </w:rPr>
        <w:t xml:space="preserve"> no concrete measures in the 2022 Budget to address th</w:t>
      </w:r>
      <w:r w:rsidR="00C55FB2" w:rsidRPr="003A377E">
        <w:rPr>
          <w:rFonts w:ascii="Times New Roman" w:hAnsi="Times New Roman" w:cs="Times New Roman"/>
        </w:rPr>
        <w:t>is</w:t>
      </w:r>
      <w:r w:rsidR="0025709E" w:rsidRPr="003A377E">
        <w:rPr>
          <w:rFonts w:ascii="Times New Roman" w:hAnsi="Times New Roman" w:cs="Times New Roman"/>
        </w:rPr>
        <w:t xml:space="preserve"> cris</w:t>
      </w:r>
      <w:r w:rsidR="00C55FB2" w:rsidRPr="003A377E">
        <w:rPr>
          <w:rFonts w:ascii="Times New Roman" w:hAnsi="Times New Roman" w:cs="Times New Roman"/>
        </w:rPr>
        <w:t>i</w:t>
      </w:r>
      <w:r w:rsidR="0025709E" w:rsidRPr="003A377E">
        <w:rPr>
          <w:rFonts w:ascii="Times New Roman" w:hAnsi="Times New Roman" w:cs="Times New Roman"/>
        </w:rPr>
        <w:t xml:space="preserve">s. </w:t>
      </w:r>
      <w:r w:rsidR="00B74D78" w:rsidRPr="003A377E">
        <w:rPr>
          <w:rFonts w:ascii="Times New Roman" w:hAnsi="Times New Roman" w:cs="Times New Roman"/>
        </w:rPr>
        <w:t xml:space="preserve">COSATU also highlighted that there was no road map to move from unsustainable municipalities to </w:t>
      </w:r>
      <w:r w:rsidR="0089047F" w:rsidRPr="003A377E">
        <w:rPr>
          <w:rFonts w:ascii="Times New Roman" w:hAnsi="Times New Roman" w:cs="Times New Roman"/>
        </w:rPr>
        <w:t xml:space="preserve">the </w:t>
      </w:r>
      <w:r w:rsidR="00380A36" w:rsidRPr="003A377E">
        <w:rPr>
          <w:rFonts w:ascii="Times New Roman" w:hAnsi="Times New Roman" w:cs="Times New Roman"/>
        </w:rPr>
        <w:t>D</w:t>
      </w:r>
      <w:r w:rsidR="00B74D78" w:rsidRPr="003A377E">
        <w:rPr>
          <w:rFonts w:ascii="Times New Roman" w:hAnsi="Times New Roman" w:cs="Times New Roman"/>
        </w:rPr>
        <w:t xml:space="preserve">istrict </w:t>
      </w:r>
      <w:r w:rsidR="00380A36" w:rsidRPr="003A377E">
        <w:rPr>
          <w:rFonts w:ascii="Times New Roman" w:hAnsi="Times New Roman" w:cs="Times New Roman"/>
        </w:rPr>
        <w:t>D</w:t>
      </w:r>
      <w:r w:rsidR="00B74D78" w:rsidRPr="003A377E">
        <w:rPr>
          <w:rFonts w:ascii="Times New Roman" w:hAnsi="Times New Roman" w:cs="Times New Roman"/>
        </w:rPr>
        <w:t xml:space="preserve">evelopment </w:t>
      </w:r>
      <w:r w:rsidR="00380A36" w:rsidRPr="003A377E">
        <w:rPr>
          <w:rFonts w:ascii="Times New Roman" w:hAnsi="Times New Roman" w:cs="Times New Roman"/>
        </w:rPr>
        <w:t>M</w:t>
      </w:r>
      <w:r w:rsidR="00B74D78" w:rsidRPr="003A377E">
        <w:rPr>
          <w:rFonts w:ascii="Times New Roman" w:hAnsi="Times New Roman" w:cs="Times New Roman"/>
        </w:rPr>
        <w:t>odel.</w:t>
      </w:r>
      <w:r w:rsidR="00C04E0D" w:rsidRPr="003A377E">
        <w:rPr>
          <w:rFonts w:ascii="Times New Roman" w:hAnsi="Times New Roman" w:cs="Times New Roman"/>
          <w:lang w:val="en-US"/>
        </w:rPr>
        <w:t xml:space="preserve"> </w:t>
      </w:r>
    </w:p>
    <w:p w:rsidR="0089047F" w:rsidRPr="003A377E" w:rsidRDefault="0089047F">
      <w:pPr>
        <w:pStyle w:val="Default"/>
        <w:spacing w:line="360" w:lineRule="auto"/>
        <w:jc w:val="both"/>
        <w:rPr>
          <w:rFonts w:ascii="Times New Roman" w:hAnsi="Times New Roman" w:cs="Times New Roman"/>
          <w:lang w:val="en-US"/>
        </w:rPr>
      </w:pPr>
    </w:p>
    <w:p w:rsidR="00C04E0D" w:rsidRPr="003A377E" w:rsidRDefault="00C04E0D">
      <w:pPr>
        <w:pStyle w:val="Default"/>
        <w:spacing w:line="360" w:lineRule="auto"/>
        <w:jc w:val="both"/>
        <w:rPr>
          <w:rFonts w:ascii="Times New Roman" w:hAnsi="Times New Roman" w:cs="Times New Roman"/>
          <w:lang w:val="en-US"/>
        </w:rPr>
      </w:pPr>
      <w:r w:rsidRPr="003A377E">
        <w:rPr>
          <w:rFonts w:ascii="Times New Roman" w:hAnsi="Times New Roman" w:cs="Times New Roman"/>
          <w:lang w:val="en-US"/>
        </w:rPr>
        <w:t xml:space="preserve">COSATU concluded by commenting </w:t>
      </w:r>
      <w:r w:rsidR="00123414" w:rsidRPr="003A377E">
        <w:rPr>
          <w:rFonts w:ascii="Times New Roman" w:hAnsi="Times New Roman" w:cs="Times New Roman"/>
          <w:lang w:val="en-US"/>
        </w:rPr>
        <w:t xml:space="preserve">that this </w:t>
      </w:r>
      <w:r w:rsidRPr="003A377E">
        <w:rPr>
          <w:rFonts w:ascii="Times New Roman" w:hAnsi="Times New Roman" w:cs="Times New Roman"/>
          <w:lang w:val="en-US"/>
        </w:rPr>
        <w:t>Bill</w:t>
      </w:r>
      <w:r w:rsidR="00860D03" w:rsidRPr="003A377E">
        <w:rPr>
          <w:rFonts w:ascii="Times New Roman" w:hAnsi="Times New Roman" w:cs="Times New Roman"/>
          <w:lang w:val="en-US"/>
        </w:rPr>
        <w:t>,</w:t>
      </w:r>
      <w:r w:rsidRPr="003A377E">
        <w:rPr>
          <w:rFonts w:ascii="Times New Roman" w:hAnsi="Times New Roman" w:cs="Times New Roman"/>
          <w:lang w:val="en-US"/>
        </w:rPr>
        <w:t xml:space="preserve"> and the 2022 Budget</w:t>
      </w:r>
      <w:r w:rsidR="00860D03" w:rsidRPr="003A377E">
        <w:rPr>
          <w:rFonts w:ascii="Times New Roman" w:hAnsi="Times New Roman" w:cs="Times New Roman"/>
          <w:lang w:val="en-US"/>
        </w:rPr>
        <w:t>,</w:t>
      </w:r>
      <w:r w:rsidRPr="003A377E">
        <w:rPr>
          <w:rFonts w:ascii="Times New Roman" w:hAnsi="Times New Roman" w:cs="Times New Roman"/>
          <w:lang w:val="en-US"/>
        </w:rPr>
        <w:t xml:space="preserve"> </w:t>
      </w:r>
      <w:r w:rsidR="00860D03" w:rsidRPr="003A377E">
        <w:rPr>
          <w:rFonts w:ascii="Times New Roman" w:hAnsi="Times New Roman" w:cs="Times New Roman"/>
          <w:lang w:val="en-US"/>
        </w:rPr>
        <w:t>would</w:t>
      </w:r>
      <w:r w:rsidRPr="003A377E">
        <w:rPr>
          <w:rFonts w:ascii="Times New Roman" w:hAnsi="Times New Roman" w:cs="Times New Roman"/>
          <w:lang w:val="en-US"/>
        </w:rPr>
        <w:t xml:space="preserve"> not take South Africa out</w:t>
      </w:r>
      <w:r w:rsidR="00860D03" w:rsidRPr="003A377E">
        <w:rPr>
          <w:rFonts w:ascii="Times New Roman" w:hAnsi="Times New Roman" w:cs="Times New Roman"/>
          <w:lang w:val="en-US"/>
        </w:rPr>
        <w:t xml:space="preserve"> of its current quagmire, but would</w:t>
      </w:r>
      <w:r w:rsidRPr="003A377E">
        <w:rPr>
          <w:rFonts w:ascii="Times New Roman" w:hAnsi="Times New Roman" w:cs="Times New Roman"/>
          <w:lang w:val="en-US"/>
        </w:rPr>
        <w:t xml:space="preserve"> only worsen the situation. </w:t>
      </w:r>
    </w:p>
    <w:p w:rsidR="00DD39B5" w:rsidRPr="003A377E" w:rsidRDefault="00DD39B5">
      <w:pPr>
        <w:pStyle w:val="Default"/>
        <w:spacing w:line="360" w:lineRule="auto"/>
        <w:jc w:val="both"/>
        <w:rPr>
          <w:rFonts w:ascii="Times New Roman" w:hAnsi="Times New Roman" w:cs="Times New Roman"/>
        </w:rPr>
      </w:pPr>
    </w:p>
    <w:p w:rsidR="00794C57" w:rsidRPr="003A377E" w:rsidRDefault="00B74D78">
      <w:pPr>
        <w:pStyle w:val="Default"/>
        <w:spacing w:line="360" w:lineRule="auto"/>
        <w:jc w:val="both"/>
        <w:rPr>
          <w:rFonts w:ascii="Times New Roman" w:hAnsi="Times New Roman" w:cs="Times New Roman"/>
          <w:b/>
        </w:rPr>
      </w:pPr>
      <w:r w:rsidRPr="003A377E">
        <w:rPr>
          <w:rFonts w:ascii="Times New Roman" w:hAnsi="Times New Roman" w:cs="Times New Roman"/>
        </w:rPr>
        <w:t xml:space="preserve">  </w:t>
      </w:r>
      <w:r w:rsidR="00794C57" w:rsidRPr="003A377E">
        <w:rPr>
          <w:rFonts w:ascii="Times New Roman" w:hAnsi="Times New Roman" w:cs="Times New Roman"/>
          <w:b/>
        </w:rPr>
        <w:t>7.2 Healthy Living Alliance (HEALA)</w:t>
      </w:r>
    </w:p>
    <w:p w:rsidR="00794C57" w:rsidRPr="003A377E" w:rsidRDefault="00794C57">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The Healthy Living Alliance (HEALA) proposed that revenue collected through the Health Promotion Levy (HPL) be earmarked specifically for support for the Department of Health’s health promotion programme and other high impact interventions that could contribute to decreasing the burden of hunger, obesity and diet-related non-communicable diseases; stating that its proposals were in line with the holistic intent of the HPL and the furtherance of its goals. HEALA believed that the health and nutrition of women and children needed to be prioritised and therefore suggested the following three areas where the HPL revenue could be utilised:</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7.2.1 Increasing support for School Nutrition Programme (SNP)</w:t>
      </w:r>
    </w:p>
    <w:p w:rsidR="00794C57" w:rsidRPr="003A377E" w:rsidRDefault="00794C57">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The SNP reportedly benefited over 9 million learners aged four and above every day and was an effective poverty alleviation intervention, reaching some of the most vulnerable children in South Africa. It allowed learners to realise their constitutional rights to basic nutrition and basic education. However, studies had identified numerous shortcomings in the implementation of the programme. While schools argued that they could not meet the SNP's nutrition requirements without sufficient funding, most provincial education departments underspent on their budgets for the SNP implementation. In order to be a more effective programme and meet the nutritional needs of many vulnerable children, HEALA proposed that the SNP be expanded to include breakfast. Evidence showed that breakfast had positive benefits for children’s academic performance and attention in school; and using the funds from the HPL to strengthen and expand this programme could be an effective way to address child hunger.</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 xml:space="preserve">7.2.2 Supporting nutrition of children in the critical first 1000 days: Maternity </w:t>
      </w:r>
      <w:r w:rsidR="003E3091" w:rsidRPr="003A377E">
        <w:rPr>
          <w:rFonts w:ascii="Times New Roman" w:hAnsi="Times New Roman" w:cs="Times New Roman"/>
          <w:b/>
          <w:sz w:val="24"/>
          <w:szCs w:val="24"/>
        </w:rPr>
        <w:t>Grant</w:t>
      </w:r>
    </w:p>
    <w:p w:rsidR="00794C57" w:rsidRPr="003A377E" w:rsidRDefault="00794C57">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HEALA indicated that intervening in a child’s nutrition in the first 1000 days could have lifelong positive results, as stunting arose from chronic malnutrition in pregnancy and the early years of life and impaired the physical and cognitive development of young children. Improving the wellbeing and nutritional status of pregnant women during this critical period, when the growth of the developing foetus was dependent on the nutritional status of the mother, was vital to combat stunting. Exte</w:t>
      </w:r>
      <w:r w:rsidRPr="003A377E">
        <w:rPr>
          <w:rFonts w:ascii="Times New Roman" w:hAnsi="Times New Roman" w:cs="Times New Roman"/>
          <w:bCs/>
          <w:sz w:val="24"/>
          <w:szCs w:val="24"/>
        </w:rPr>
        <w:t xml:space="preserve">nding the Child Support </w:t>
      </w:r>
      <w:r w:rsidR="003E3091" w:rsidRPr="003A377E">
        <w:rPr>
          <w:rFonts w:ascii="Times New Roman" w:hAnsi="Times New Roman" w:cs="Times New Roman"/>
          <w:bCs/>
          <w:sz w:val="24"/>
          <w:szCs w:val="24"/>
        </w:rPr>
        <w:t>Grant</w:t>
      </w:r>
      <w:r w:rsidRPr="003A377E">
        <w:rPr>
          <w:rFonts w:ascii="Times New Roman" w:hAnsi="Times New Roman" w:cs="Times New Roman"/>
          <w:bCs/>
          <w:sz w:val="24"/>
          <w:szCs w:val="24"/>
        </w:rPr>
        <w:t xml:space="preserve"> into pregnancy in the form of </w:t>
      </w:r>
      <w:r w:rsidRPr="003A377E">
        <w:rPr>
          <w:rFonts w:ascii="Times New Roman" w:hAnsi="Times New Roman" w:cs="Times New Roman"/>
          <w:bCs/>
          <w:sz w:val="24"/>
          <w:szCs w:val="24"/>
        </w:rPr>
        <w:lastRenderedPageBreak/>
        <w:t xml:space="preserve">a maternity support </w:t>
      </w:r>
      <w:r w:rsidR="00860D03" w:rsidRPr="003A377E">
        <w:rPr>
          <w:rFonts w:ascii="Times New Roman" w:hAnsi="Times New Roman" w:cs="Times New Roman"/>
          <w:bCs/>
          <w:sz w:val="24"/>
          <w:szCs w:val="24"/>
        </w:rPr>
        <w:t>g</w:t>
      </w:r>
      <w:r w:rsidR="003E3091" w:rsidRPr="003A377E">
        <w:rPr>
          <w:rFonts w:ascii="Times New Roman" w:hAnsi="Times New Roman" w:cs="Times New Roman"/>
          <w:bCs/>
          <w:sz w:val="24"/>
          <w:szCs w:val="24"/>
        </w:rPr>
        <w:t>rant</w:t>
      </w:r>
      <w:r w:rsidRPr="003A377E">
        <w:rPr>
          <w:rFonts w:ascii="Times New Roman" w:hAnsi="Times New Roman" w:cs="Times New Roman"/>
          <w:bCs/>
          <w:sz w:val="24"/>
          <w:szCs w:val="24"/>
        </w:rPr>
        <w:t xml:space="preserve"> would provide p</w:t>
      </w:r>
      <w:r w:rsidRPr="003A377E">
        <w:rPr>
          <w:rFonts w:ascii="Times New Roman" w:hAnsi="Times New Roman" w:cs="Times New Roman"/>
          <w:sz w:val="24"/>
          <w:szCs w:val="24"/>
        </w:rPr>
        <w:t xml:space="preserve">oor and vulnerable pregnant women with access to income support, enable healthy nutrition and improve mental health. </w:t>
      </w:r>
    </w:p>
    <w:p w:rsidR="00794C57" w:rsidRPr="003A377E" w:rsidRDefault="00794C57">
      <w:pPr>
        <w:spacing w:line="360" w:lineRule="auto"/>
        <w:jc w:val="both"/>
        <w:rPr>
          <w:rFonts w:ascii="Times New Roman" w:hAnsi="Times New Roman" w:cs="Times New Roman"/>
          <w:sz w:val="24"/>
          <w:szCs w:val="24"/>
        </w:rPr>
      </w:pPr>
      <w:r w:rsidRPr="003A377E">
        <w:rPr>
          <w:rFonts w:ascii="Times New Roman" w:hAnsi="Times New Roman" w:cs="Times New Roman"/>
          <w:b/>
          <w:sz w:val="24"/>
          <w:szCs w:val="24"/>
        </w:rPr>
        <w:t>7.2.3 Improving nutrition in households: Basic Income Support</w:t>
      </w:r>
    </w:p>
    <w:p w:rsidR="00794C57" w:rsidRPr="003A377E" w:rsidRDefault="00794C57">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HEALA reported that cash </w:t>
      </w:r>
      <w:r w:rsidR="00860D03" w:rsidRPr="003A377E">
        <w:rPr>
          <w:rFonts w:ascii="Times New Roman" w:hAnsi="Times New Roman" w:cs="Times New Roman"/>
          <w:sz w:val="24"/>
          <w:szCs w:val="24"/>
        </w:rPr>
        <w:t>g</w:t>
      </w:r>
      <w:r w:rsidR="003E3091" w:rsidRPr="003A377E">
        <w:rPr>
          <w:rFonts w:ascii="Times New Roman" w:hAnsi="Times New Roman" w:cs="Times New Roman"/>
          <w:sz w:val="24"/>
          <w:szCs w:val="24"/>
        </w:rPr>
        <w:t>rant</w:t>
      </w:r>
      <w:r w:rsidRPr="003A377E">
        <w:rPr>
          <w:rFonts w:ascii="Times New Roman" w:hAnsi="Times New Roman" w:cs="Times New Roman"/>
          <w:sz w:val="24"/>
          <w:szCs w:val="24"/>
        </w:rPr>
        <w:t xml:space="preserve">s reduced hunger and malnutrition and improved food sufficiency; evidenced by the fact that the R350 Social Relief of Distress (SRD) </w:t>
      </w:r>
      <w:r w:rsidR="003E3091" w:rsidRPr="003A377E">
        <w:rPr>
          <w:rFonts w:ascii="Times New Roman" w:hAnsi="Times New Roman" w:cs="Times New Roman"/>
          <w:sz w:val="24"/>
          <w:szCs w:val="24"/>
        </w:rPr>
        <w:t>Grant</w:t>
      </w:r>
      <w:r w:rsidRPr="003A377E">
        <w:rPr>
          <w:rFonts w:ascii="Times New Roman" w:hAnsi="Times New Roman" w:cs="Times New Roman"/>
          <w:sz w:val="24"/>
          <w:szCs w:val="24"/>
        </w:rPr>
        <w:t xml:space="preserve"> introduced during the pandemic, had been used primarily to buy food. HEALA believed that the implementation of a Basic Income Support (BIS) in South Africa was feasible and affordable, and would contribute to economic growth and job creation, ensuring many households had improved food security, health and educational outcomes, having a long-term impact on poverty reduction. Although the extension of the SRD </w:t>
      </w:r>
      <w:r w:rsidR="003E3091" w:rsidRPr="003A377E">
        <w:rPr>
          <w:rFonts w:ascii="Times New Roman" w:hAnsi="Times New Roman" w:cs="Times New Roman"/>
          <w:sz w:val="24"/>
          <w:szCs w:val="24"/>
        </w:rPr>
        <w:t>Grant</w:t>
      </w:r>
      <w:r w:rsidRPr="003A377E">
        <w:rPr>
          <w:rFonts w:ascii="Times New Roman" w:hAnsi="Times New Roman" w:cs="Times New Roman"/>
          <w:sz w:val="24"/>
          <w:szCs w:val="24"/>
        </w:rPr>
        <w:t xml:space="preserve"> was welcomed, HEALA proposed that it be increased to at least the monthly food poverty line of R624, until social assistance for the unemployed was made permanent.</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7.3 Rural Health Advocacy Project (RHAP)</w:t>
      </w:r>
    </w:p>
    <w:p w:rsidR="00794C57" w:rsidRPr="003A377E" w:rsidRDefault="00794C57">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The Rural Health Advocacy Project (RHAP) submitted that, while there were huge inequalities and inefficiencies in current health spending and resources were constrained, the recovery efforts in the wake of the </w:t>
      </w:r>
      <w:r w:rsidR="003E3091" w:rsidRPr="003A377E">
        <w:rPr>
          <w:rFonts w:ascii="Times New Roman" w:hAnsi="Times New Roman" w:cs="Times New Roman"/>
          <w:sz w:val="24"/>
          <w:szCs w:val="24"/>
        </w:rPr>
        <w:t>COVID</w:t>
      </w:r>
      <w:r w:rsidRPr="003A377E">
        <w:rPr>
          <w:rFonts w:ascii="Times New Roman" w:hAnsi="Times New Roman" w:cs="Times New Roman"/>
          <w:sz w:val="24"/>
          <w:szCs w:val="24"/>
        </w:rPr>
        <w:t xml:space="preserve">-19 pandemic presented a vital opportunity to rebuild differently. Rethinking how an adequate healthcare workforce, relevant health information systems and responsive budgeting mechanisms could be coordinated under good governance and values offered the possibility of building resilient health systems, reducing vulnerability to shocks and deepening South Africans’ health and wellbeing. RHAP indicated that realising the right to healthcare access should be understood through achieving universal health coverage (UHC), defined by access, quality and affordability of healthcare for all; and that deepening quality of healthcare for the few could not be prioritised over increasing access to healthcare for the majority. This meant better investment in primary healthcare (PHC) services, and focus on rural areas, which suffered historical and ongoing low service coverage. </w:t>
      </w:r>
    </w:p>
    <w:p w:rsidR="00794C57" w:rsidRPr="003A377E" w:rsidRDefault="00794C57">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It was government’s responsibility to ensure the optimisation of health spending to secure a more equitable access to primary healthcare (PHC), towards universal health coverage (UHC). This required a human rights budgeting framework which more intentionally aligned economic policy with socioeconomic rights. RHAP argued that building resilient rural health systems was inseparable from this aim. Rural-proofing current policies challenged core features of persistent inequalities, while improving access to health for the majority of the under-served or excluded. </w:t>
      </w:r>
    </w:p>
    <w:p w:rsidR="00794C57" w:rsidRPr="003A377E" w:rsidRDefault="00794C57">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lastRenderedPageBreak/>
        <w:t>After outlining the historic under-funding of the sector as well as the unequal distribution of resources, RHAP commented on the 2022 Budget, as follows:</w:t>
      </w:r>
    </w:p>
    <w:p w:rsidR="00794C57" w:rsidRPr="003A377E" w:rsidRDefault="00794C57">
      <w:pPr>
        <w:pStyle w:val="ListParagraph"/>
        <w:numPr>
          <w:ilvl w:val="0"/>
          <w:numId w:val="18"/>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In real terms, consolidated healthcare expenditure decreased by 4.3 percent over the medium term, with per person expenditure dropping by 15 percent. </w:t>
      </w:r>
    </w:p>
    <w:p w:rsidR="00794C57" w:rsidRPr="003A377E" w:rsidRDefault="00794C57">
      <w:pPr>
        <w:pStyle w:val="ListParagraph"/>
        <w:numPr>
          <w:ilvl w:val="0"/>
          <w:numId w:val="18"/>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Changes to the provincial equitable share (PES) formula for more rural-sensitive budgeting is welcomed, but the impact remains dependent on efficiency of spending.</w:t>
      </w:r>
    </w:p>
    <w:p w:rsidR="00794C57" w:rsidRPr="003A377E" w:rsidRDefault="00794C57">
      <w:pPr>
        <w:pStyle w:val="ListParagraph"/>
        <w:numPr>
          <w:ilvl w:val="0"/>
          <w:numId w:val="18"/>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The lack of new funding specifically for PHC is worrying in light of </w:t>
      </w:r>
      <w:r w:rsidR="003E3091" w:rsidRPr="003A377E">
        <w:rPr>
          <w:rFonts w:ascii="Times New Roman" w:hAnsi="Times New Roman" w:cs="Times New Roman"/>
          <w:sz w:val="24"/>
          <w:szCs w:val="24"/>
        </w:rPr>
        <w:t>COVID</w:t>
      </w:r>
      <w:r w:rsidRPr="003A377E">
        <w:rPr>
          <w:rFonts w:ascii="Times New Roman" w:hAnsi="Times New Roman" w:cs="Times New Roman"/>
          <w:sz w:val="24"/>
          <w:szCs w:val="24"/>
        </w:rPr>
        <w:t>-19 regressions; and clear plans are required from provinces here.</w:t>
      </w:r>
    </w:p>
    <w:p w:rsidR="00794C57" w:rsidRPr="003A377E" w:rsidRDefault="00794C57">
      <w:pPr>
        <w:pStyle w:val="ListParagraph"/>
        <w:numPr>
          <w:ilvl w:val="0"/>
          <w:numId w:val="18"/>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The freeze on filling critical and vacant posts is set to continue. While the allocation to fund medical interns and community service doctors is welcomed, the impact on the current unequal distribution is dependent on placement.</w:t>
      </w:r>
    </w:p>
    <w:p w:rsidR="00794C57" w:rsidRPr="003A377E" w:rsidRDefault="00794C57">
      <w:pPr>
        <w:pStyle w:val="ListParagraph"/>
        <w:numPr>
          <w:ilvl w:val="0"/>
          <w:numId w:val="18"/>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Cuts to infrastructure spending continue, but funding remains for much needed and delayed projects. However, greater oversight is needed to ensure value for money and that provinces’ project lists improve service delivery coverage. </w:t>
      </w:r>
    </w:p>
    <w:p w:rsidR="00794C57" w:rsidRPr="003A377E" w:rsidRDefault="00794C57">
      <w:pPr>
        <w:pStyle w:val="ListParagraph"/>
        <w:numPr>
          <w:ilvl w:val="0"/>
          <w:numId w:val="18"/>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The reduction over the medium term to the District Health Programme </w:t>
      </w:r>
      <w:r w:rsidR="003E3091" w:rsidRPr="003A377E">
        <w:rPr>
          <w:rFonts w:ascii="Times New Roman" w:hAnsi="Times New Roman" w:cs="Times New Roman"/>
          <w:sz w:val="24"/>
          <w:szCs w:val="24"/>
        </w:rPr>
        <w:t>Grant</w:t>
      </w:r>
      <w:r w:rsidRPr="003A377E">
        <w:rPr>
          <w:rFonts w:ascii="Times New Roman" w:hAnsi="Times New Roman" w:cs="Times New Roman"/>
          <w:sz w:val="24"/>
          <w:szCs w:val="24"/>
        </w:rPr>
        <w:t xml:space="preserve"> potentially endangers progress with HIV/Aids, but may present an opportunity to review and strengthen implementation.</w:t>
      </w:r>
    </w:p>
    <w:p w:rsidR="00794C57" w:rsidRPr="003A377E" w:rsidRDefault="00794C57">
      <w:pPr>
        <w:pStyle w:val="ListParagraph"/>
        <w:numPr>
          <w:ilvl w:val="0"/>
          <w:numId w:val="18"/>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I</w:t>
      </w:r>
      <w:r w:rsidR="00860D03" w:rsidRPr="003A377E">
        <w:rPr>
          <w:rFonts w:ascii="Times New Roman" w:hAnsi="Times New Roman" w:cs="Times New Roman"/>
          <w:sz w:val="24"/>
          <w:szCs w:val="24"/>
        </w:rPr>
        <w:t xml:space="preserve">t was important to provide </w:t>
      </w:r>
      <w:r w:rsidRPr="003A377E">
        <w:rPr>
          <w:rFonts w:ascii="Times New Roman" w:hAnsi="Times New Roman" w:cs="Times New Roman"/>
          <w:sz w:val="24"/>
          <w:szCs w:val="24"/>
        </w:rPr>
        <w:t>clarity</w:t>
      </w:r>
      <w:r w:rsidR="00860D03" w:rsidRPr="003A377E">
        <w:rPr>
          <w:rFonts w:ascii="Times New Roman" w:hAnsi="Times New Roman" w:cs="Times New Roman"/>
          <w:sz w:val="24"/>
          <w:szCs w:val="24"/>
        </w:rPr>
        <w:t xml:space="preserve"> on</w:t>
      </w:r>
      <w:r w:rsidRPr="003A377E">
        <w:rPr>
          <w:rFonts w:ascii="Times New Roman" w:hAnsi="Times New Roman" w:cs="Times New Roman"/>
          <w:sz w:val="24"/>
          <w:szCs w:val="24"/>
        </w:rPr>
        <w:t xml:space="preserve"> how mental health and oncology se</w:t>
      </w:r>
      <w:r w:rsidR="00860D03" w:rsidRPr="003A377E">
        <w:rPr>
          <w:rFonts w:ascii="Times New Roman" w:hAnsi="Times New Roman" w:cs="Times New Roman"/>
          <w:sz w:val="24"/>
          <w:szCs w:val="24"/>
        </w:rPr>
        <w:t>rvices (and funding for this) would</w:t>
      </w:r>
      <w:r w:rsidRPr="003A377E">
        <w:rPr>
          <w:rFonts w:ascii="Times New Roman" w:hAnsi="Times New Roman" w:cs="Times New Roman"/>
          <w:sz w:val="24"/>
          <w:szCs w:val="24"/>
        </w:rPr>
        <w:t xml:space="preserve"> be protected under </w:t>
      </w:r>
      <w:r w:rsidR="00860D03" w:rsidRPr="003A377E">
        <w:rPr>
          <w:rFonts w:ascii="Times New Roman" w:hAnsi="Times New Roman" w:cs="Times New Roman"/>
          <w:sz w:val="24"/>
          <w:szCs w:val="24"/>
        </w:rPr>
        <w:t xml:space="preserve">the </w:t>
      </w:r>
      <w:r w:rsidRPr="003A377E">
        <w:rPr>
          <w:rFonts w:ascii="Times New Roman" w:hAnsi="Times New Roman" w:cs="Times New Roman"/>
          <w:sz w:val="24"/>
          <w:szCs w:val="24"/>
        </w:rPr>
        <w:t xml:space="preserve">NHI Direct </w:t>
      </w:r>
      <w:r w:rsidR="003E3091" w:rsidRPr="003A377E">
        <w:rPr>
          <w:rFonts w:ascii="Times New Roman" w:hAnsi="Times New Roman" w:cs="Times New Roman"/>
          <w:sz w:val="24"/>
          <w:szCs w:val="24"/>
        </w:rPr>
        <w:t>Grant</w:t>
      </w:r>
      <w:r w:rsidRPr="003A377E">
        <w:rPr>
          <w:rFonts w:ascii="Times New Roman" w:hAnsi="Times New Roman" w:cs="Times New Roman"/>
          <w:sz w:val="24"/>
          <w:szCs w:val="24"/>
        </w:rPr>
        <w:t xml:space="preserve">. </w:t>
      </w:r>
    </w:p>
    <w:p w:rsidR="00794C57" w:rsidRPr="003A377E" w:rsidRDefault="00860D03">
      <w:pPr>
        <w:pStyle w:val="ListParagraph"/>
        <w:numPr>
          <w:ilvl w:val="0"/>
          <w:numId w:val="18"/>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The </w:t>
      </w:r>
      <w:r w:rsidR="00794C57" w:rsidRPr="003A377E">
        <w:rPr>
          <w:rFonts w:ascii="Times New Roman" w:hAnsi="Times New Roman" w:cs="Times New Roman"/>
          <w:sz w:val="24"/>
          <w:szCs w:val="24"/>
        </w:rPr>
        <w:t xml:space="preserve">NHI Indirect </w:t>
      </w:r>
      <w:r w:rsidR="003E3091" w:rsidRPr="003A377E">
        <w:rPr>
          <w:rFonts w:ascii="Times New Roman" w:hAnsi="Times New Roman" w:cs="Times New Roman"/>
          <w:sz w:val="24"/>
          <w:szCs w:val="24"/>
        </w:rPr>
        <w:t>Grant</w:t>
      </w:r>
      <w:r w:rsidR="00794C57" w:rsidRPr="003A377E">
        <w:rPr>
          <w:rFonts w:ascii="Times New Roman" w:hAnsi="Times New Roman" w:cs="Times New Roman"/>
          <w:sz w:val="24"/>
          <w:szCs w:val="24"/>
        </w:rPr>
        <w:t xml:space="preserve"> represent</w:t>
      </w:r>
      <w:r w:rsidRPr="003A377E">
        <w:rPr>
          <w:rFonts w:ascii="Times New Roman" w:hAnsi="Times New Roman" w:cs="Times New Roman"/>
          <w:sz w:val="24"/>
          <w:szCs w:val="24"/>
        </w:rPr>
        <w:t>ed</w:t>
      </w:r>
      <w:r w:rsidR="00794C57" w:rsidRPr="003A377E">
        <w:rPr>
          <w:rFonts w:ascii="Times New Roman" w:hAnsi="Times New Roman" w:cs="Times New Roman"/>
          <w:sz w:val="24"/>
          <w:szCs w:val="24"/>
        </w:rPr>
        <w:t xml:space="preserve"> key opportunities for strengthening PHC networks, producing impactful NHI demonstration projects, and improving</w:t>
      </w:r>
      <w:r w:rsidRPr="003A377E">
        <w:rPr>
          <w:rFonts w:ascii="Times New Roman" w:hAnsi="Times New Roman" w:cs="Times New Roman"/>
          <w:sz w:val="24"/>
          <w:szCs w:val="24"/>
        </w:rPr>
        <w:t xml:space="preserve"> the</w:t>
      </w:r>
      <w:r w:rsidR="00794C57" w:rsidRPr="003A377E">
        <w:rPr>
          <w:rFonts w:ascii="Times New Roman" w:hAnsi="Times New Roman" w:cs="Times New Roman"/>
          <w:sz w:val="24"/>
          <w:szCs w:val="24"/>
        </w:rPr>
        <w:t xml:space="preserve"> capacity, relevance and responsiveness of current Health Information Systems</w:t>
      </w:r>
      <w:r w:rsidRPr="003A377E">
        <w:rPr>
          <w:rFonts w:ascii="Times New Roman" w:hAnsi="Times New Roman" w:cs="Times New Roman"/>
          <w:sz w:val="24"/>
          <w:szCs w:val="24"/>
        </w:rPr>
        <w:t>.</w:t>
      </w:r>
    </w:p>
    <w:p w:rsidR="00794C57" w:rsidRPr="003A377E" w:rsidRDefault="00794C57">
      <w:pPr>
        <w:pStyle w:val="ListParagraph"/>
        <w:numPr>
          <w:ilvl w:val="0"/>
          <w:numId w:val="18"/>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Despite some progress, the 2022 Health budget arguably fails to provide an expansive recovery budget or strong strategic clarity on how this recovery can be achieved.</w:t>
      </w:r>
    </w:p>
    <w:p w:rsidR="00794C57" w:rsidRPr="003A377E" w:rsidRDefault="00794C57">
      <w:pPr>
        <w:spacing w:line="360" w:lineRule="auto"/>
        <w:jc w:val="both"/>
        <w:rPr>
          <w:rFonts w:ascii="Times New Roman" w:hAnsi="Times New Roman" w:cs="Times New Roman"/>
          <w:sz w:val="24"/>
          <w:szCs w:val="24"/>
          <w:lang w:val="en-US"/>
        </w:rPr>
      </w:pPr>
      <w:r w:rsidRPr="003A377E">
        <w:rPr>
          <w:rFonts w:ascii="Times New Roman" w:hAnsi="Times New Roman" w:cs="Times New Roman"/>
          <w:sz w:val="24"/>
          <w:szCs w:val="24"/>
        </w:rPr>
        <w:t xml:space="preserve">Noting National Treasury’s statement that </w:t>
      </w:r>
      <w:r w:rsidRPr="003A377E">
        <w:rPr>
          <w:rFonts w:ascii="Times New Roman" w:hAnsi="Times New Roman" w:cs="Times New Roman"/>
          <w:sz w:val="24"/>
          <w:szCs w:val="24"/>
          <w:lang w:val="en-US"/>
        </w:rPr>
        <w:t>provinces and municipalities would need to improve efficiency and spend more effectively, RHAP suggested the following to support improved efficiency in provincial spending:</w:t>
      </w:r>
    </w:p>
    <w:p w:rsidR="00794C57" w:rsidRPr="003A377E" w:rsidRDefault="00794C57">
      <w:pPr>
        <w:pStyle w:val="ListParagraph"/>
        <w:numPr>
          <w:ilvl w:val="0"/>
          <w:numId w:val="19"/>
        </w:numPr>
        <w:spacing w:line="360" w:lineRule="auto"/>
        <w:jc w:val="both"/>
        <w:rPr>
          <w:rFonts w:ascii="Times New Roman" w:hAnsi="Times New Roman" w:cs="Times New Roman"/>
          <w:sz w:val="24"/>
          <w:szCs w:val="24"/>
          <w:lang w:val="en-US"/>
        </w:rPr>
      </w:pPr>
      <w:r w:rsidRPr="003A377E">
        <w:rPr>
          <w:rFonts w:ascii="Times New Roman" w:hAnsi="Times New Roman" w:cs="Times New Roman"/>
          <w:sz w:val="24"/>
          <w:szCs w:val="24"/>
          <w:lang w:val="en-US"/>
        </w:rPr>
        <w:t>A one-size-fits-all model cannot be imposed on provinces, given contextual factors.</w:t>
      </w:r>
    </w:p>
    <w:p w:rsidR="00794C57" w:rsidRPr="003A377E" w:rsidRDefault="00794C57">
      <w:pPr>
        <w:pStyle w:val="ListParagraph"/>
        <w:numPr>
          <w:ilvl w:val="0"/>
          <w:numId w:val="19"/>
        </w:numPr>
        <w:spacing w:line="360" w:lineRule="auto"/>
        <w:jc w:val="both"/>
        <w:rPr>
          <w:rFonts w:ascii="Times New Roman" w:hAnsi="Times New Roman" w:cs="Times New Roman"/>
          <w:sz w:val="24"/>
          <w:szCs w:val="24"/>
          <w:lang w:val="en-US"/>
        </w:rPr>
      </w:pPr>
      <w:r w:rsidRPr="003A377E">
        <w:rPr>
          <w:rFonts w:ascii="Times New Roman" w:hAnsi="Times New Roman" w:cs="Times New Roman"/>
          <w:sz w:val="24"/>
          <w:szCs w:val="24"/>
          <w:lang w:val="en-US"/>
        </w:rPr>
        <w:t>Inefficiencies are not necessarily resolved at provincial level without support. Provincial allocations often become based on historical expenditure trends as opposed to clear links to plans, targets, or changes in programme performance.</w:t>
      </w:r>
    </w:p>
    <w:p w:rsidR="00794C57" w:rsidRPr="003A377E" w:rsidRDefault="00794C57">
      <w:pPr>
        <w:pStyle w:val="ListParagraph"/>
        <w:numPr>
          <w:ilvl w:val="0"/>
          <w:numId w:val="19"/>
        </w:numPr>
        <w:spacing w:line="360" w:lineRule="auto"/>
        <w:jc w:val="both"/>
        <w:rPr>
          <w:rFonts w:ascii="Times New Roman" w:hAnsi="Times New Roman" w:cs="Times New Roman"/>
          <w:sz w:val="24"/>
          <w:szCs w:val="24"/>
          <w:lang w:val="en-US"/>
        </w:rPr>
      </w:pPr>
      <w:r w:rsidRPr="003A377E">
        <w:rPr>
          <w:rFonts w:ascii="Times New Roman" w:hAnsi="Times New Roman" w:cs="Times New Roman"/>
          <w:sz w:val="24"/>
          <w:szCs w:val="24"/>
          <w:lang w:val="en-US"/>
        </w:rPr>
        <w:lastRenderedPageBreak/>
        <w:t>Improving efficiency is a long-term task, yet immediate steps are required in the context of imperative recovery and preventing regression.</w:t>
      </w:r>
    </w:p>
    <w:p w:rsidR="00794C57" w:rsidRPr="003A377E" w:rsidRDefault="00794C57">
      <w:pPr>
        <w:pStyle w:val="ListParagraph"/>
        <w:numPr>
          <w:ilvl w:val="0"/>
          <w:numId w:val="19"/>
        </w:numPr>
        <w:spacing w:line="360" w:lineRule="auto"/>
        <w:jc w:val="both"/>
        <w:rPr>
          <w:rFonts w:ascii="Times New Roman" w:hAnsi="Times New Roman" w:cs="Times New Roman"/>
          <w:sz w:val="24"/>
          <w:szCs w:val="24"/>
          <w:lang w:val="en-US"/>
        </w:rPr>
      </w:pPr>
      <w:r w:rsidRPr="003A377E">
        <w:rPr>
          <w:rFonts w:ascii="Times New Roman" w:hAnsi="Times New Roman" w:cs="Times New Roman"/>
          <w:sz w:val="24"/>
          <w:szCs w:val="24"/>
          <w:lang w:val="en-US"/>
        </w:rPr>
        <w:t>While existing provincial autonomy should be upheld, there is room for the potential review and enhancement of provincial annual performance plans beyond existing accountability mechanisms.</w:t>
      </w:r>
    </w:p>
    <w:p w:rsidR="00794C57" w:rsidRPr="003A377E" w:rsidRDefault="00794C57">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In conclusion, RHAP recommended that a joint committee be set up temporarily to review and interrogate provincial departments’ budgetary decisions for 2022/23, in accordance with the most optimally aligning allocation of available resources to meeting existing needs. This committee should be jointly comprised of the Department of Health, the Portfolio Committee on Health, the National Council of Provinces, and civil society actors in the health sector. Appropriate representatives from provincial departments should engage with this committee to present on and explain how their allocations, given by their annual performance plan, were intentionally prioritising efficient coverage for the most vulnerable.</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7.4 Section27</w:t>
      </w:r>
    </w:p>
    <w:p w:rsidR="00794C57" w:rsidRPr="003A377E" w:rsidRDefault="00794C57">
      <w:pPr>
        <w:tabs>
          <w:tab w:val="num" w:pos="720"/>
        </w:tabs>
        <w:spacing w:line="360" w:lineRule="auto"/>
        <w:jc w:val="both"/>
        <w:rPr>
          <w:rFonts w:ascii="Times New Roman" w:hAnsi="Times New Roman" w:cs="Times New Roman"/>
          <w:sz w:val="24"/>
          <w:szCs w:val="24"/>
        </w:rPr>
      </w:pPr>
      <w:r w:rsidRPr="003A377E">
        <w:rPr>
          <w:rFonts w:ascii="Times New Roman" w:hAnsi="Times New Roman" w:cs="Times New Roman"/>
          <w:sz w:val="24"/>
          <w:szCs w:val="24"/>
          <w:lang w:val="en-US"/>
        </w:rPr>
        <w:t xml:space="preserve">Section27 submitted that significant real term reductions in the provincial equitable share (PES) and certain conditional </w:t>
      </w:r>
      <w:r w:rsidR="00860D03" w:rsidRPr="003A377E">
        <w:rPr>
          <w:rFonts w:ascii="Times New Roman" w:hAnsi="Times New Roman" w:cs="Times New Roman"/>
          <w:sz w:val="24"/>
          <w:szCs w:val="24"/>
          <w:lang w:val="en-US"/>
        </w:rPr>
        <w:t>g</w:t>
      </w:r>
      <w:r w:rsidR="003E3091" w:rsidRPr="003A377E">
        <w:rPr>
          <w:rFonts w:ascii="Times New Roman" w:hAnsi="Times New Roman" w:cs="Times New Roman"/>
          <w:sz w:val="24"/>
          <w:szCs w:val="24"/>
          <w:lang w:val="en-US"/>
        </w:rPr>
        <w:t>rant</w:t>
      </w:r>
      <w:r w:rsidRPr="003A377E">
        <w:rPr>
          <w:rFonts w:ascii="Times New Roman" w:hAnsi="Times New Roman" w:cs="Times New Roman"/>
          <w:sz w:val="24"/>
          <w:szCs w:val="24"/>
          <w:lang w:val="en-US"/>
        </w:rPr>
        <w:t xml:space="preserve">s would impact both the availability and the quality of public health and education and that the government had failed to justify these measures or take adequate steps to mitigate their impact on human rights. It asked Parliament to consider whether this Bill would strengthen the fiscal capacity and efficiency of provinces and municipalities, enabling them to provide basic services and perform the functions allocated to them. Section27 further insisted that cuts to social spending must be based on </w:t>
      </w:r>
      <w:r w:rsidRPr="003A377E">
        <w:rPr>
          <w:rFonts w:ascii="Times New Roman" w:hAnsi="Times New Roman" w:cs="Times New Roman"/>
          <w:bCs/>
          <w:sz w:val="24"/>
          <w:szCs w:val="24"/>
          <w:lang w:val="en-US"/>
        </w:rPr>
        <w:t xml:space="preserve">transparent and participatory human rights impact assessments </w:t>
      </w:r>
      <w:r w:rsidRPr="003A377E">
        <w:rPr>
          <w:rFonts w:ascii="Times New Roman" w:hAnsi="Times New Roman" w:cs="Times New Roman"/>
          <w:sz w:val="24"/>
          <w:szCs w:val="24"/>
          <w:lang w:val="en-US"/>
        </w:rPr>
        <w:t xml:space="preserve">that demonstrated that the </w:t>
      </w:r>
      <w:r w:rsidRPr="003A377E">
        <w:rPr>
          <w:rFonts w:ascii="Times New Roman" w:hAnsi="Times New Roman" w:cs="Times New Roman"/>
          <w:bCs/>
          <w:sz w:val="24"/>
          <w:szCs w:val="24"/>
          <w:lang w:val="en-US"/>
        </w:rPr>
        <w:t>reductions would not increase inequality and undermine people's right of access to quality basic education and healthcare services.</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7.4.1 Gender-responsive budgeting</w:t>
      </w:r>
    </w:p>
    <w:p w:rsidR="00794C57" w:rsidRPr="003A377E" w:rsidRDefault="00794C57">
      <w:pPr>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Section27 submitted that conditional </w:t>
      </w:r>
      <w:r w:rsidR="009361ED" w:rsidRPr="003A377E">
        <w:rPr>
          <w:rFonts w:ascii="Times New Roman" w:hAnsi="Times New Roman" w:cs="Times New Roman"/>
          <w:sz w:val="24"/>
          <w:szCs w:val="24"/>
        </w:rPr>
        <w:t>g</w:t>
      </w:r>
      <w:r w:rsidR="003E3091" w:rsidRPr="003A377E">
        <w:rPr>
          <w:rFonts w:ascii="Times New Roman" w:hAnsi="Times New Roman" w:cs="Times New Roman"/>
          <w:sz w:val="24"/>
          <w:szCs w:val="24"/>
        </w:rPr>
        <w:t>rant</w:t>
      </w:r>
      <w:r w:rsidRPr="003A377E">
        <w:rPr>
          <w:rFonts w:ascii="Times New Roman" w:hAnsi="Times New Roman" w:cs="Times New Roman"/>
          <w:sz w:val="24"/>
          <w:szCs w:val="24"/>
        </w:rPr>
        <w:t xml:space="preserve">s were not allocated in a gender-responsive manner, despite an FFC recommendation that the </w:t>
      </w:r>
      <w:r w:rsidR="001B4812" w:rsidRPr="003A377E">
        <w:rPr>
          <w:rFonts w:ascii="Times New Roman" w:hAnsi="Times New Roman" w:cs="Times New Roman"/>
          <w:sz w:val="24"/>
          <w:szCs w:val="24"/>
        </w:rPr>
        <w:t>b</w:t>
      </w:r>
      <w:r w:rsidRPr="003A377E">
        <w:rPr>
          <w:rFonts w:ascii="Times New Roman" w:hAnsi="Times New Roman" w:cs="Times New Roman"/>
          <w:sz w:val="24"/>
          <w:szCs w:val="24"/>
        </w:rPr>
        <w:t>udget should address gender inequality through gender budgeting in the public sector. In addition, funding for the Department of Women, Children and People with Disabilities had been reduced by an annual average of 11.9 percent over the MTEF. Section27 requested that the NCOP monitor whether this would impact on provinces, and further made the following recommendations:</w:t>
      </w:r>
    </w:p>
    <w:p w:rsidR="00794C57" w:rsidRPr="003A377E" w:rsidRDefault="00794C57">
      <w:pPr>
        <w:pStyle w:val="ListParagraph"/>
        <w:numPr>
          <w:ilvl w:val="0"/>
          <w:numId w:val="20"/>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lang w:val="en-US"/>
        </w:rPr>
        <w:lastRenderedPageBreak/>
        <w:t>Parliament should request a copy of the government’s plans for the medium term that reflects steps in advancing gender-responsive budgeting.</w:t>
      </w:r>
    </w:p>
    <w:p w:rsidR="00794C57" w:rsidRPr="003A377E" w:rsidRDefault="00794C57">
      <w:pPr>
        <w:pStyle w:val="ListParagraph"/>
        <w:numPr>
          <w:ilvl w:val="0"/>
          <w:numId w:val="20"/>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lang w:val="en-US"/>
        </w:rPr>
        <w:t>There should be engagement between government, Parliament and the public on what gender-responsive budgeting should look like in the South African context.</w:t>
      </w:r>
    </w:p>
    <w:p w:rsidR="00794C57" w:rsidRPr="003A377E" w:rsidRDefault="00794C57">
      <w:pPr>
        <w:pStyle w:val="ListParagraph"/>
        <w:numPr>
          <w:ilvl w:val="0"/>
          <w:numId w:val="20"/>
        </w:numPr>
        <w:spacing w:line="360" w:lineRule="auto"/>
        <w:jc w:val="both"/>
        <w:rPr>
          <w:rFonts w:ascii="Times New Roman" w:hAnsi="Times New Roman" w:cs="Times New Roman"/>
          <w:sz w:val="24"/>
          <w:szCs w:val="24"/>
        </w:rPr>
      </w:pPr>
      <w:r w:rsidRPr="003A377E">
        <w:rPr>
          <w:rFonts w:ascii="Times New Roman" w:hAnsi="Times New Roman" w:cs="Times New Roman"/>
          <w:sz w:val="24"/>
          <w:szCs w:val="24"/>
          <w:lang w:val="en-US"/>
        </w:rPr>
        <w:t xml:space="preserve">Parliament must insist on adequate resource allocation to gender empowerment programmes and for provinces in particular to implement the National Strategic Plan on Gender-Based Violence and Femicide to address the scourge of gender-based violence. </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 xml:space="preserve">7.4.2 Basic Education conditional </w:t>
      </w:r>
      <w:r w:rsidR="00113CFE" w:rsidRPr="003A377E">
        <w:rPr>
          <w:rFonts w:ascii="Times New Roman" w:hAnsi="Times New Roman" w:cs="Times New Roman"/>
          <w:b/>
          <w:sz w:val="24"/>
          <w:szCs w:val="24"/>
        </w:rPr>
        <w:t>g</w:t>
      </w:r>
      <w:r w:rsidR="003E3091" w:rsidRPr="003A377E">
        <w:rPr>
          <w:rFonts w:ascii="Times New Roman" w:hAnsi="Times New Roman" w:cs="Times New Roman"/>
          <w:b/>
          <w:sz w:val="24"/>
          <w:szCs w:val="24"/>
        </w:rPr>
        <w:t>rant</w:t>
      </w:r>
      <w:r w:rsidRPr="003A377E">
        <w:rPr>
          <w:rFonts w:ascii="Times New Roman" w:hAnsi="Times New Roman" w:cs="Times New Roman"/>
          <w:b/>
          <w:sz w:val="24"/>
          <w:szCs w:val="24"/>
        </w:rPr>
        <w:t>s</w:t>
      </w:r>
    </w:p>
    <w:p w:rsidR="00794C57" w:rsidRPr="003A377E" w:rsidRDefault="00794C57">
      <w:pPr>
        <w:tabs>
          <w:tab w:val="num" w:pos="720"/>
          <w:tab w:val="num" w:pos="2160"/>
        </w:tabs>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While welcoming the increase of 4.5 percent over the MTEF to the Education Infrastructure </w:t>
      </w:r>
      <w:r w:rsidR="003E3091" w:rsidRPr="003A377E">
        <w:rPr>
          <w:rFonts w:ascii="Times New Roman" w:hAnsi="Times New Roman" w:cs="Times New Roman"/>
          <w:sz w:val="24"/>
          <w:szCs w:val="24"/>
        </w:rPr>
        <w:t>Grant</w:t>
      </w:r>
      <w:r w:rsidRPr="003A377E">
        <w:rPr>
          <w:rFonts w:ascii="Times New Roman" w:hAnsi="Times New Roman" w:cs="Times New Roman"/>
          <w:sz w:val="24"/>
          <w:szCs w:val="24"/>
        </w:rPr>
        <w:t xml:space="preserve"> (EIG), Section27 was concerned over nominal cuts in the current year to provinces with a pre-existing infrastructure crisis, namely the Eastern Cape, North West and Limpopo. It was further concerned over the below-inflation </w:t>
      </w:r>
      <w:r w:rsidRPr="003A377E">
        <w:rPr>
          <w:rFonts w:ascii="Times New Roman" w:hAnsi="Times New Roman" w:cs="Times New Roman"/>
          <w:sz w:val="24"/>
          <w:szCs w:val="24"/>
          <w:lang w:val="en-US"/>
        </w:rPr>
        <w:t xml:space="preserve">increase of 0.3 percent in the School Infrastructure Backlogs </w:t>
      </w:r>
      <w:r w:rsidR="003E3091" w:rsidRPr="003A377E">
        <w:rPr>
          <w:rFonts w:ascii="Times New Roman" w:hAnsi="Times New Roman" w:cs="Times New Roman"/>
          <w:sz w:val="24"/>
          <w:szCs w:val="24"/>
          <w:lang w:val="en-US"/>
        </w:rPr>
        <w:t>Grant</w:t>
      </w:r>
      <w:r w:rsidRPr="003A377E">
        <w:rPr>
          <w:rFonts w:ascii="Times New Roman" w:hAnsi="Times New Roman" w:cs="Times New Roman"/>
          <w:sz w:val="24"/>
          <w:szCs w:val="24"/>
          <w:lang w:val="en-US"/>
        </w:rPr>
        <w:t xml:space="preserve"> (SIBG)</w:t>
      </w:r>
      <w:r w:rsidR="00E25B83" w:rsidRPr="003A377E">
        <w:rPr>
          <w:rFonts w:ascii="Times New Roman" w:hAnsi="Times New Roman" w:cs="Times New Roman"/>
          <w:sz w:val="24"/>
          <w:szCs w:val="24"/>
          <w:lang w:val="en-US"/>
        </w:rPr>
        <w:t xml:space="preserve"> </w:t>
      </w:r>
      <w:r w:rsidRPr="003A377E">
        <w:rPr>
          <w:rFonts w:ascii="Times New Roman" w:hAnsi="Times New Roman" w:cs="Times New Roman"/>
          <w:sz w:val="24"/>
          <w:szCs w:val="24"/>
          <w:lang w:val="en-US"/>
        </w:rPr>
        <w:t>in the current year, followed by a 13.5 percent reduction the following year. The nominal cut to the EIG in the outer year of the MTEF was not supplemented by SIBG allocations. Section27 requested clarity on these reductions in light of the exiting backlogs. Section27 further expressed concern over the 1.7 percent gr</w:t>
      </w:r>
      <w:r w:rsidRPr="003A377E">
        <w:rPr>
          <w:rFonts w:ascii="Times New Roman" w:hAnsi="Times New Roman" w:cs="Times New Roman"/>
          <w:sz w:val="24"/>
          <w:szCs w:val="24"/>
        </w:rPr>
        <w:t xml:space="preserve">owth in the Early Childhood Development (ECD) </w:t>
      </w:r>
      <w:r w:rsidR="003E3091" w:rsidRPr="003A377E">
        <w:rPr>
          <w:rFonts w:ascii="Times New Roman" w:hAnsi="Times New Roman" w:cs="Times New Roman"/>
          <w:sz w:val="24"/>
          <w:szCs w:val="24"/>
        </w:rPr>
        <w:t>Grant</w:t>
      </w:r>
      <w:r w:rsidRPr="003A377E">
        <w:rPr>
          <w:rFonts w:ascii="Times New Roman" w:hAnsi="Times New Roman" w:cs="Times New Roman"/>
          <w:sz w:val="24"/>
          <w:szCs w:val="24"/>
        </w:rPr>
        <w:t xml:space="preserve"> which, when considering inflation, was expected to decrease by 2.8 percent in real terms until 2024/2025. Furthermore, the increase in the </w:t>
      </w:r>
      <w:r w:rsidRPr="003A377E">
        <w:rPr>
          <w:rFonts w:ascii="Times New Roman" w:hAnsi="Times New Roman" w:cs="Times New Roman"/>
          <w:bCs/>
          <w:sz w:val="24"/>
          <w:szCs w:val="24"/>
          <w:lang w:val="en-US"/>
        </w:rPr>
        <w:t xml:space="preserve">National School Nutrition Programme (NSNP) </w:t>
      </w:r>
      <w:r w:rsidR="003E3091" w:rsidRPr="003A377E">
        <w:rPr>
          <w:rFonts w:ascii="Times New Roman" w:hAnsi="Times New Roman" w:cs="Times New Roman"/>
          <w:bCs/>
          <w:sz w:val="24"/>
          <w:szCs w:val="24"/>
          <w:lang w:val="en-US"/>
        </w:rPr>
        <w:t>Grant</w:t>
      </w:r>
      <w:r w:rsidRPr="003A377E">
        <w:rPr>
          <w:rFonts w:ascii="Times New Roman" w:hAnsi="Times New Roman" w:cs="Times New Roman"/>
          <w:bCs/>
          <w:sz w:val="24"/>
          <w:szCs w:val="24"/>
          <w:lang w:val="en-US"/>
        </w:rPr>
        <w:t xml:space="preserve"> did </w:t>
      </w:r>
      <w:r w:rsidRPr="003A377E">
        <w:rPr>
          <w:rFonts w:ascii="Times New Roman" w:hAnsi="Times New Roman" w:cs="Times New Roman"/>
          <w:sz w:val="24"/>
          <w:szCs w:val="24"/>
          <w:lang w:val="en-US"/>
        </w:rPr>
        <w:t xml:space="preserve">not take into account the rising cost of nutritious meals, as food price inflation remained higher than ordinary inflation. Section27 proposed that the NSNP </w:t>
      </w:r>
      <w:r w:rsidR="003E3091" w:rsidRPr="003A377E">
        <w:rPr>
          <w:rFonts w:ascii="Times New Roman" w:hAnsi="Times New Roman" w:cs="Times New Roman"/>
          <w:sz w:val="24"/>
          <w:szCs w:val="24"/>
          <w:lang w:val="en-US"/>
        </w:rPr>
        <w:t>Grant</w:t>
      </w:r>
      <w:r w:rsidRPr="003A377E">
        <w:rPr>
          <w:rFonts w:ascii="Times New Roman" w:hAnsi="Times New Roman" w:cs="Times New Roman"/>
          <w:sz w:val="24"/>
          <w:szCs w:val="24"/>
          <w:lang w:val="en-US"/>
        </w:rPr>
        <w:t xml:space="preserve"> be aligned with the food price inflation rate.</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 xml:space="preserve">7.4.3 Health conditional </w:t>
      </w:r>
      <w:r w:rsidR="00113CFE" w:rsidRPr="003A377E">
        <w:rPr>
          <w:rFonts w:ascii="Times New Roman" w:hAnsi="Times New Roman" w:cs="Times New Roman"/>
          <w:b/>
          <w:sz w:val="24"/>
          <w:szCs w:val="24"/>
        </w:rPr>
        <w:t>g</w:t>
      </w:r>
      <w:r w:rsidR="003E3091" w:rsidRPr="003A377E">
        <w:rPr>
          <w:rFonts w:ascii="Times New Roman" w:hAnsi="Times New Roman" w:cs="Times New Roman"/>
          <w:b/>
          <w:sz w:val="24"/>
          <w:szCs w:val="24"/>
        </w:rPr>
        <w:t>rant</w:t>
      </w:r>
      <w:r w:rsidRPr="003A377E">
        <w:rPr>
          <w:rFonts w:ascii="Times New Roman" w:hAnsi="Times New Roman" w:cs="Times New Roman"/>
          <w:b/>
          <w:sz w:val="24"/>
          <w:szCs w:val="24"/>
        </w:rPr>
        <w:t>s</w:t>
      </w:r>
    </w:p>
    <w:p w:rsidR="00794C57" w:rsidRPr="003A377E" w:rsidRDefault="00794C57">
      <w:pPr>
        <w:tabs>
          <w:tab w:val="num" w:pos="720"/>
          <w:tab w:val="num" w:pos="1440"/>
        </w:tabs>
        <w:spacing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Section27 was concerned that the allocation to the District Health Programmes </w:t>
      </w:r>
      <w:r w:rsidR="003E3091" w:rsidRPr="003A377E">
        <w:rPr>
          <w:rFonts w:ascii="Times New Roman" w:hAnsi="Times New Roman" w:cs="Times New Roman"/>
          <w:sz w:val="24"/>
          <w:szCs w:val="24"/>
        </w:rPr>
        <w:t>Grant</w:t>
      </w:r>
      <w:r w:rsidRPr="003A377E">
        <w:rPr>
          <w:rFonts w:ascii="Times New Roman" w:hAnsi="Times New Roman" w:cs="Times New Roman"/>
          <w:sz w:val="24"/>
          <w:szCs w:val="24"/>
        </w:rPr>
        <w:t xml:space="preserve"> (DHPG) was expected to fall by about 4.2 percent on average in real terms each year for the next three years; while provinces faced disrupted access to prevention, care and testing for HIV/AIDS during the pandemic, resulting in a spike in infections, while National Treasury had acknowledged that the target of 5.7 million people living with HIV remaining on treatment by the end of 2022 was unlikely to be achieved. Noting the </w:t>
      </w:r>
      <w:r w:rsidRPr="003A377E">
        <w:rPr>
          <w:rFonts w:ascii="Times New Roman" w:hAnsi="Times New Roman" w:cs="Times New Roman"/>
          <w:sz w:val="24"/>
          <w:szCs w:val="24"/>
          <w:lang w:val="en-US"/>
        </w:rPr>
        <w:t xml:space="preserve">target to vaccinate 70 percent of the population against </w:t>
      </w:r>
      <w:r w:rsidR="003E3091" w:rsidRPr="003A377E">
        <w:rPr>
          <w:rFonts w:ascii="Times New Roman" w:hAnsi="Times New Roman" w:cs="Times New Roman"/>
          <w:sz w:val="24"/>
          <w:szCs w:val="24"/>
          <w:lang w:val="en-US"/>
        </w:rPr>
        <w:t>COVID</w:t>
      </w:r>
      <w:r w:rsidRPr="003A377E">
        <w:rPr>
          <w:rFonts w:ascii="Times New Roman" w:hAnsi="Times New Roman" w:cs="Times New Roman"/>
          <w:sz w:val="24"/>
          <w:szCs w:val="24"/>
          <w:lang w:val="en-US"/>
        </w:rPr>
        <w:t xml:space="preserve">-19 by March 2023 and the R10.1 billion allocated to the vaccine roll-out and R2.3 billion earmarked for purchasing additional vaccines in future, Section27 recommended that vaccine sites be made more accessible through extended opening hours and </w:t>
      </w:r>
      <w:r w:rsidRPr="003A377E">
        <w:rPr>
          <w:rFonts w:ascii="Times New Roman" w:hAnsi="Times New Roman" w:cs="Times New Roman"/>
          <w:sz w:val="24"/>
          <w:szCs w:val="24"/>
          <w:lang w:val="en-US"/>
        </w:rPr>
        <w:lastRenderedPageBreak/>
        <w:t xml:space="preserve">increased mobile units; a financial incentive be considered to offset travel costs and make the process of vaccination easier; and public awareness and branding campaigns about the location of vaccine sites be undertaken. </w:t>
      </w:r>
      <w:r w:rsidRPr="003A377E">
        <w:rPr>
          <w:rFonts w:ascii="Times New Roman" w:hAnsi="Times New Roman" w:cs="Times New Roman"/>
          <w:sz w:val="24"/>
          <w:szCs w:val="24"/>
        </w:rPr>
        <w:t xml:space="preserve">Section27 was further concerned over cuts in the Health Facility Revitalisation </w:t>
      </w:r>
      <w:r w:rsidR="003E3091" w:rsidRPr="003A377E">
        <w:rPr>
          <w:rFonts w:ascii="Times New Roman" w:hAnsi="Times New Roman" w:cs="Times New Roman"/>
          <w:sz w:val="24"/>
          <w:szCs w:val="24"/>
        </w:rPr>
        <w:t>Grant</w:t>
      </w:r>
      <w:r w:rsidRPr="003A377E">
        <w:rPr>
          <w:rFonts w:ascii="Times New Roman" w:hAnsi="Times New Roman" w:cs="Times New Roman"/>
          <w:sz w:val="24"/>
          <w:szCs w:val="24"/>
        </w:rPr>
        <w:t xml:space="preserve"> to all the provinces in 2022/2023, except the Northern Cape and the Western Cape; while increases to these two provinces were not aligned with inflation, resulting in real cuts over the medium term; noting that budget allocations may not meet the infrastructure backlogs in the provinces, which predated the </w:t>
      </w:r>
      <w:r w:rsidR="003E3091" w:rsidRPr="003A377E">
        <w:rPr>
          <w:rFonts w:ascii="Times New Roman" w:hAnsi="Times New Roman" w:cs="Times New Roman"/>
          <w:sz w:val="24"/>
          <w:szCs w:val="24"/>
        </w:rPr>
        <w:t>COVID</w:t>
      </w:r>
      <w:r w:rsidRPr="003A377E">
        <w:rPr>
          <w:rFonts w:ascii="Times New Roman" w:hAnsi="Times New Roman" w:cs="Times New Roman"/>
          <w:sz w:val="24"/>
          <w:szCs w:val="24"/>
        </w:rPr>
        <w:t>-19 pandemic.</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7.5. Budget Justice Coalition</w:t>
      </w:r>
    </w:p>
    <w:p w:rsidR="00794C57" w:rsidRPr="003A377E" w:rsidRDefault="00794C57">
      <w:pPr>
        <w:spacing w:line="360" w:lineRule="auto"/>
        <w:jc w:val="both"/>
        <w:rPr>
          <w:rFonts w:ascii="Times New Roman" w:hAnsi="Times New Roman" w:cs="Times New Roman"/>
          <w:sz w:val="24"/>
          <w:szCs w:val="24"/>
          <w:lang w:val="en"/>
        </w:rPr>
      </w:pPr>
      <w:r w:rsidRPr="003A377E">
        <w:rPr>
          <w:rFonts w:ascii="Times New Roman" w:hAnsi="Times New Roman" w:cs="Times New Roman"/>
          <w:sz w:val="24"/>
          <w:szCs w:val="24"/>
          <w:lang w:val="en"/>
        </w:rPr>
        <w:t xml:space="preserve">The Budget Justice Coalition (BJC) argued that severe real term funding cuts to non-interest expenditure, and specifically to the provincial equitable share and conditional </w:t>
      </w:r>
      <w:r w:rsidR="00860D03" w:rsidRPr="003A377E">
        <w:rPr>
          <w:rFonts w:ascii="Times New Roman" w:hAnsi="Times New Roman" w:cs="Times New Roman"/>
          <w:sz w:val="24"/>
          <w:szCs w:val="24"/>
          <w:lang w:val="en"/>
        </w:rPr>
        <w:t>g</w:t>
      </w:r>
      <w:r w:rsidR="003E3091" w:rsidRPr="003A377E">
        <w:rPr>
          <w:rFonts w:ascii="Times New Roman" w:hAnsi="Times New Roman" w:cs="Times New Roman"/>
          <w:sz w:val="24"/>
          <w:szCs w:val="24"/>
          <w:lang w:val="en"/>
        </w:rPr>
        <w:t>rant</w:t>
      </w:r>
      <w:r w:rsidRPr="003A377E">
        <w:rPr>
          <w:rFonts w:ascii="Times New Roman" w:hAnsi="Times New Roman" w:cs="Times New Roman"/>
          <w:sz w:val="24"/>
          <w:szCs w:val="24"/>
          <w:lang w:val="en"/>
        </w:rPr>
        <w:t xml:space="preserve">s, were not justified, and disproportionately impacted on the most marginalised and poor, thereby increasing inequality. </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7.5.1 Education</w:t>
      </w:r>
    </w:p>
    <w:p w:rsidR="00794C57" w:rsidRPr="003A377E" w:rsidRDefault="00794C57">
      <w:pPr>
        <w:spacing w:line="360" w:lineRule="auto"/>
        <w:jc w:val="both"/>
        <w:rPr>
          <w:rFonts w:ascii="Times New Roman" w:hAnsi="Times New Roman" w:cs="Times New Roman"/>
          <w:b/>
          <w:sz w:val="24"/>
          <w:szCs w:val="24"/>
          <w:lang w:val="en"/>
        </w:rPr>
      </w:pPr>
      <w:r w:rsidRPr="003A377E">
        <w:rPr>
          <w:rFonts w:ascii="Times New Roman" w:hAnsi="Times New Roman" w:cs="Times New Roman"/>
          <w:sz w:val="24"/>
          <w:szCs w:val="24"/>
          <w:lang w:val="en"/>
        </w:rPr>
        <w:t xml:space="preserve">The BJC submitted that the </w:t>
      </w:r>
      <w:r w:rsidR="000F100F" w:rsidRPr="003A377E">
        <w:rPr>
          <w:rFonts w:ascii="Times New Roman" w:hAnsi="Times New Roman" w:cs="Times New Roman"/>
          <w:sz w:val="24"/>
          <w:szCs w:val="24"/>
          <w:lang w:val="en"/>
        </w:rPr>
        <w:t>b</w:t>
      </w:r>
      <w:r w:rsidRPr="003A377E">
        <w:rPr>
          <w:rFonts w:ascii="Times New Roman" w:hAnsi="Times New Roman" w:cs="Times New Roman"/>
          <w:sz w:val="24"/>
          <w:szCs w:val="24"/>
          <w:lang w:val="en"/>
        </w:rPr>
        <w:t xml:space="preserve">udget did not reflect the crisis in the basic education sector, with a lack of consistent inflation-related growth. While the consolidated expenditure in basic education for 2022 increased by almost R20 billion from what had been projected in the 2021 Medium Term Budget Policy Statement and the spending cuts made during the </w:t>
      </w:r>
      <w:r w:rsidR="003E3091" w:rsidRPr="003A377E">
        <w:rPr>
          <w:rFonts w:ascii="Times New Roman" w:hAnsi="Times New Roman" w:cs="Times New Roman"/>
          <w:sz w:val="24"/>
          <w:szCs w:val="24"/>
          <w:lang w:val="en"/>
        </w:rPr>
        <w:t>COVID</w:t>
      </w:r>
      <w:r w:rsidRPr="003A377E">
        <w:rPr>
          <w:rFonts w:ascii="Times New Roman" w:hAnsi="Times New Roman" w:cs="Times New Roman"/>
          <w:sz w:val="24"/>
          <w:szCs w:val="24"/>
          <w:lang w:val="en"/>
        </w:rPr>
        <w:t xml:space="preserve">-19 pandemic were not continued, the annual average funding increase of only 2.0 percent was less than half of what was required to keep up with CPI inflation of 4.5 percent. The Education Infrastructure </w:t>
      </w:r>
      <w:r w:rsidR="003E3091" w:rsidRPr="003A377E">
        <w:rPr>
          <w:rFonts w:ascii="Times New Roman" w:hAnsi="Times New Roman" w:cs="Times New Roman"/>
          <w:sz w:val="24"/>
          <w:szCs w:val="24"/>
          <w:lang w:val="en"/>
        </w:rPr>
        <w:t>Grant</w:t>
      </w:r>
      <w:r w:rsidRPr="003A377E">
        <w:rPr>
          <w:rFonts w:ascii="Times New Roman" w:hAnsi="Times New Roman" w:cs="Times New Roman"/>
          <w:sz w:val="24"/>
          <w:szCs w:val="24"/>
          <w:lang w:val="en"/>
        </w:rPr>
        <w:t xml:space="preserve"> (EIG) and the School Infrastructure Backlogs </w:t>
      </w:r>
      <w:r w:rsidR="003E3091" w:rsidRPr="003A377E">
        <w:rPr>
          <w:rFonts w:ascii="Times New Roman" w:hAnsi="Times New Roman" w:cs="Times New Roman"/>
          <w:sz w:val="24"/>
          <w:szCs w:val="24"/>
          <w:lang w:val="en"/>
        </w:rPr>
        <w:t>Grant</w:t>
      </w:r>
      <w:r w:rsidRPr="003A377E">
        <w:rPr>
          <w:rFonts w:ascii="Times New Roman" w:hAnsi="Times New Roman" w:cs="Times New Roman"/>
          <w:sz w:val="24"/>
          <w:szCs w:val="24"/>
          <w:lang w:val="en"/>
        </w:rPr>
        <w:t xml:space="preserve"> (SIGB) was reduced by R1.7 billion, with an additional R4.4 billion being reprioritised within infrastructure budgets for </w:t>
      </w:r>
      <w:r w:rsidR="003E3091" w:rsidRPr="003A377E">
        <w:rPr>
          <w:rFonts w:ascii="Times New Roman" w:hAnsi="Times New Roman" w:cs="Times New Roman"/>
          <w:sz w:val="24"/>
          <w:szCs w:val="24"/>
          <w:lang w:val="en"/>
        </w:rPr>
        <w:t>COVID</w:t>
      </w:r>
      <w:r w:rsidRPr="003A377E">
        <w:rPr>
          <w:rFonts w:ascii="Times New Roman" w:hAnsi="Times New Roman" w:cs="Times New Roman"/>
          <w:sz w:val="24"/>
          <w:szCs w:val="24"/>
          <w:lang w:val="en"/>
        </w:rPr>
        <w:t>-19 related measures. This had a deep impact on the provision of school infrastructure and the BJC was pleased that these cuts were not continued in 2022/2023 and over the medium term, as allocations to the EIG and SIBG totaled about R47.4 billion over the MTEF.</w:t>
      </w:r>
      <w:r w:rsidRPr="003A377E">
        <w:rPr>
          <w:rFonts w:ascii="Times New Roman" w:hAnsi="Times New Roman" w:cs="Times New Roman"/>
          <w:i/>
          <w:sz w:val="24"/>
          <w:szCs w:val="24"/>
          <w:lang w:val="en"/>
        </w:rPr>
        <w:t xml:space="preserve"> </w:t>
      </w:r>
      <w:r w:rsidRPr="003A377E">
        <w:rPr>
          <w:rFonts w:ascii="Times New Roman" w:hAnsi="Times New Roman" w:cs="Times New Roman"/>
          <w:sz w:val="24"/>
          <w:szCs w:val="24"/>
          <w:lang w:val="en"/>
        </w:rPr>
        <w:t xml:space="preserve">While more than R26 billion had been allocated to the National School Nutrition Programme (NSNP) </w:t>
      </w:r>
      <w:r w:rsidR="003E3091" w:rsidRPr="003A377E">
        <w:rPr>
          <w:rFonts w:ascii="Times New Roman" w:hAnsi="Times New Roman" w:cs="Times New Roman"/>
          <w:sz w:val="24"/>
          <w:szCs w:val="24"/>
          <w:lang w:val="en"/>
        </w:rPr>
        <w:t>Grant</w:t>
      </w:r>
      <w:r w:rsidRPr="003A377E">
        <w:rPr>
          <w:rFonts w:ascii="Times New Roman" w:hAnsi="Times New Roman" w:cs="Times New Roman"/>
          <w:sz w:val="24"/>
          <w:szCs w:val="24"/>
          <w:lang w:val="en"/>
        </w:rPr>
        <w:t xml:space="preserve"> over the next three years, the allocation was just keeping up with inflation and had not been increased to accommodate escalating food needs following the pandemic. </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7.5.2 Health</w:t>
      </w:r>
    </w:p>
    <w:p w:rsidR="00794C57" w:rsidRPr="003A377E" w:rsidRDefault="00794C57">
      <w:pPr>
        <w:spacing w:line="360" w:lineRule="auto"/>
        <w:jc w:val="both"/>
        <w:rPr>
          <w:rFonts w:ascii="Times New Roman" w:hAnsi="Times New Roman" w:cs="Times New Roman"/>
          <w:sz w:val="24"/>
          <w:szCs w:val="24"/>
          <w:lang w:val="en"/>
        </w:rPr>
      </w:pPr>
      <w:r w:rsidRPr="003A377E">
        <w:rPr>
          <w:rFonts w:ascii="Times New Roman" w:hAnsi="Times New Roman" w:cs="Times New Roman"/>
          <w:sz w:val="24"/>
          <w:szCs w:val="24"/>
          <w:lang w:val="en"/>
        </w:rPr>
        <w:t>The BJC submission and recommendation on Health corresponded with that of the Rural Health Advocacy Project as captured under 7.3 above.</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lastRenderedPageBreak/>
        <w:t>7.5.3 Social Development</w:t>
      </w:r>
    </w:p>
    <w:p w:rsidR="00794C57" w:rsidRPr="003A377E" w:rsidRDefault="00794C57" w:rsidP="00E4167D">
      <w:pPr>
        <w:spacing w:line="360" w:lineRule="auto"/>
        <w:jc w:val="both"/>
        <w:rPr>
          <w:rFonts w:ascii="Times New Roman" w:hAnsi="Times New Roman" w:cs="Times New Roman"/>
          <w:sz w:val="24"/>
          <w:szCs w:val="24"/>
          <w:lang w:val="en"/>
        </w:rPr>
      </w:pPr>
      <w:r w:rsidRPr="003A377E">
        <w:rPr>
          <w:rFonts w:ascii="Times New Roman" w:hAnsi="Times New Roman" w:cs="Times New Roman"/>
          <w:sz w:val="24"/>
          <w:szCs w:val="24"/>
          <w:lang w:val="en"/>
        </w:rPr>
        <w:t xml:space="preserve">While noting the extension of the Social Relief of Distress (SRD) </w:t>
      </w:r>
      <w:r w:rsidR="003E3091" w:rsidRPr="003A377E">
        <w:rPr>
          <w:rFonts w:ascii="Times New Roman" w:hAnsi="Times New Roman" w:cs="Times New Roman"/>
          <w:sz w:val="24"/>
          <w:szCs w:val="24"/>
          <w:lang w:val="en"/>
        </w:rPr>
        <w:t>Grant</w:t>
      </w:r>
      <w:r w:rsidRPr="003A377E">
        <w:rPr>
          <w:rFonts w:ascii="Times New Roman" w:hAnsi="Times New Roman" w:cs="Times New Roman"/>
          <w:sz w:val="24"/>
          <w:szCs w:val="24"/>
          <w:lang w:val="en"/>
        </w:rPr>
        <w:t xml:space="preserve"> to March 2023, the BJC urged that funds should be allocated for the </w:t>
      </w:r>
      <w:r w:rsidR="003E3091" w:rsidRPr="003A377E">
        <w:rPr>
          <w:rFonts w:ascii="Times New Roman" w:hAnsi="Times New Roman" w:cs="Times New Roman"/>
          <w:sz w:val="24"/>
          <w:szCs w:val="24"/>
          <w:lang w:val="en"/>
        </w:rPr>
        <w:t>Grant</w:t>
      </w:r>
      <w:r w:rsidRPr="003A377E">
        <w:rPr>
          <w:rFonts w:ascii="Times New Roman" w:hAnsi="Times New Roman" w:cs="Times New Roman"/>
          <w:sz w:val="24"/>
          <w:szCs w:val="24"/>
          <w:lang w:val="en"/>
        </w:rPr>
        <w:t xml:space="preserve"> to be increased to the food poverty line of R624 and for the Department of Social Development to address the administrative challenges of the </w:t>
      </w:r>
      <w:r w:rsidR="00AB0A98" w:rsidRPr="003A377E">
        <w:rPr>
          <w:rFonts w:ascii="Times New Roman" w:hAnsi="Times New Roman" w:cs="Times New Roman"/>
          <w:sz w:val="24"/>
          <w:szCs w:val="24"/>
          <w:lang w:val="en"/>
        </w:rPr>
        <w:t>G</w:t>
      </w:r>
      <w:r w:rsidR="003E3091" w:rsidRPr="003A377E">
        <w:rPr>
          <w:rFonts w:ascii="Times New Roman" w:hAnsi="Times New Roman" w:cs="Times New Roman"/>
          <w:sz w:val="24"/>
          <w:szCs w:val="24"/>
          <w:lang w:val="en"/>
        </w:rPr>
        <w:t>rant</w:t>
      </w:r>
      <w:r w:rsidRPr="003A377E">
        <w:rPr>
          <w:rFonts w:ascii="Times New Roman" w:hAnsi="Times New Roman" w:cs="Times New Roman"/>
          <w:sz w:val="24"/>
          <w:szCs w:val="24"/>
          <w:lang w:val="en"/>
        </w:rPr>
        <w:t xml:space="preserve">. In addition, a permanent Basic Income Support </w:t>
      </w:r>
      <w:r w:rsidR="00A02838" w:rsidRPr="003A377E">
        <w:rPr>
          <w:rFonts w:ascii="Times New Roman" w:hAnsi="Times New Roman" w:cs="Times New Roman"/>
          <w:sz w:val="24"/>
          <w:szCs w:val="24"/>
          <w:lang w:val="en"/>
        </w:rPr>
        <w:t>P</w:t>
      </w:r>
      <w:r w:rsidRPr="003A377E">
        <w:rPr>
          <w:rFonts w:ascii="Times New Roman" w:hAnsi="Times New Roman" w:cs="Times New Roman"/>
          <w:sz w:val="24"/>
          <w:szCs w:val="24"/>
          <w:lang w:val="en"/>
        </w:rPr>
        <w:t xml:space="preserve">rogramme should be implemented for those aged 18 to 59 years with little to no income, before the SRD </w:t>
      </w:r>
      <w:r w:rsidR="003E3091" w:rsidRPr="003A377E">
        <w:rPr>
          <w:rFonts w:ascii="Times New Roman" w:hAnsi="Times New Roman" w:cs="Times New Roman"/>
          <w:sz w:val="24"/>
          <w:szCs w:val="24"/>
          <w:lang w:val="en"/>
        </w:rPr>
        <w:t>Grant</w:t>
      </w:r>
      <w:r w:rsidRPr="003A377E">
        <w:rPr>
          <w:rFonts w:ascii="Times New Roman" w:hAnsi="Times New Roman" w:cs="Times New Roman"/>
          <w:sz w:val="24"/>
          <w:szCs w:val="24"/>
          <w:lang w:val="en"/>
        </w:rPr>
        <w:t xml:space="preserve"> was terminated. The BJC submitted that the online platform to access the SRD </w:t>
      </w:r>
      <w:r w:rsidR="003E3091" w:rsidRPr="003A377E">
        <w:rPr>
          <w:rFonts w:ascii="Times New Roman" w:hAnsi="Times New Roman" w:cs="Times New Roman"/>
          <w:sz w:val="24"/>
          <w:szCs w:val="24"/>
          <w:lang w:val="en"/>
        </w:rPr>
        <w:t>Grant</w:t>
      </w:r>
      <w:r w:rsidRPr="003A377E">
        <w:rPr>
          <w:rFonts w:ascii="Times New Roman" w:hAnsi="Times New Roman" w:cs="Times New Roman"/>
          <w:sz w:val="24"/>
          <w:szCs w:val="24"/>
          <w:lang w:val="en"/>
        </w:rPr>
        <w:t xml:space="preserve"> was exclusionary and would further entrench economic and racial inequality; as there were beneficiaries and recipients who did not have access to digital technology including devices, connectivity or data. According to the BJC, it was crucial that the budget be provided to facilitate a hybrid application system. The BJC was further concerned that only R9.2 billion per year for the next two years had been allocated to the Presidential Employment Stimulus Programme, representing a decline from the R12.9 billion allocated for the first phase. </w:t>
      </w:r>
    </w:p>
    <w:p w:rsidR="00794C57" w:rsidRPr="003A377E" w:rsidRDefault="00794C57">
      <w:pPr>
        <w:spacing w:line="360" w:lineRule="auto"/>
        <w:jc w:val="both"/>
        <w:rPr>
          <w:rFonts w:ascii="Times New Roman" w:hAnsi="Times New Roman" w:cs="Times New Roman"/>
          <w:sz w:val="24"/>
          <w:szCs w:val="24"/>
          <w:lang w:val="en"/>
        </w:rPr>
      </w:pPr>
      <w:r w:rsidRPr="003A377E">
        <w:rPr>
          <w:rFonts w:ascii="Times New Roman" w:hAnsi="Times New Roman" w:cs="Times New Roman"/>
          <w:sz w:val="24"/>
          <w:szCs w:val="24"/>
          <w:lang w:val="en"/>
        </w:rPr>
        <w:t xml:space="preserve">The BJC was concerned over the below-inflation increase in the Child Support </w:t>
      </w:r>
      <w:r w:rsidR="003E3091" w:rsidRPr="003A377E">
        <w:rPr>
          <w:rFonts w:ascii="Times New Roman" w:hAnsi="Times New Roman" w:cs="Times New Roman"/>
          <w:sz w:val="24"/>
          <w:szCs w:val="24"/>
          <w:lang w:val="en"/>
        </w:rPr>
        <w:t>Grant</w:t>
      </w:r>
      <w:r w:rsidRPr="003A377E">
        <w:rPr>
          <w:rFonts w:ascii="Times New Roman" w:hAnsi="Times New Roman" w:cs="Times New Roman"/>
          <w:sz w:val="24"/>
          <w:szCs w:val="24"/>
          <w:lang w:val="en"/>
        </w:rPr>
        <w:t xml:space="preserve"> (CSG), from R460 to R480 per month, indicating that the fact that the CSG was already substantially below the food poverty line of R624 per month, meant that child malnutrition and stunting would persist and even rise, with long term consequences for society and the economy.</w:t>
      </w:r>
    </w:p>
    <w:p w:rsidR="00794C57" w:rsidRPr="003A377E" w:rsidRDefault="00794C57">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7.5.4 Local government</w:t>
      </w:r>
    </w:p>
    <w:p w:rsidR="00794C57" w:rsidRPr="003A377E" w:rsidRDefault="00794C57">
      <w:pPr>
        <w:spacing w:line="360" w:lineRule="auto"/>
        <w:jc w:val="both"/>
        <w:rPr>
          <w:rFonts w:ascii="Times New Roman" w:hAnsi="Times New Roman" w:cs="Times New Roman"/>
          <w:sz w:val="24"/>
          <w:szCs w:val="24"/>
          <w:lang w:val="en"/>
        </w:rPr>
      </w:pPr>
      <w:r w:rsidRPr="003A377E">
        <w:rPr>
          <w:rFonts w:ascii="Times New Roman" w:hAnsi="Times New Roman" w:cs="Times New Roman"/>
          <w:sz w:val="24"/>
          <w:szCs w:val="24"/>
          <w:lang w:val="en"/>
        </w:rPr>
        <w:t xml:space="preserve">The BJC submitted that local government received a relatively low 9 percent of nationally raised revenue, of which 58 percent was in respect of the equitable share (LGES). The biggest component of the LGES was the funding of the package of free basic services (FBS), with an amount of R63.9 billion being allocated to fund FBS for 10.9 million households. This critical part of the overall social wage was intended to ensure that all households could access a minimum amount of basic services, and amounted to R488.42 per month per household. However, over the past five years the number of households that actually received the package of FBS had declined, while funding in the national budget had increased. Currently, fewer than 3 million households received the full package of FBS from their local municipality; representing less than 30 percent of what was funded in the Budget. The BJC reported that approximately 4.3 million South African households lived below the food poverty line; with at least 1.3 million of those not receiving the FBS, despite the funds being made available. The result was that households must divert expenditure from food to pay for electricity and water; impacting negatively on household food security in general, and child nutritional status in </w:t>
      </w:r>
      <w:r w:rsidRPr="003A377E">
        <w:rPr>
          <w:rFonts w:ascii="Times New Roman" w:hAnsi="Times New Roman" w:cs="Times New Roman"/>
          <w:sz w:val="24"/>
          <w:szCs w:val="24"/>
          <w:lang w:val="en"/>
        </w:rPr>
        <w:lastRenderedPageBreak/>
        <w:t>particular. Another 5 million households that lived below the upper-bound poverty line were reportedly not receiving the FBS from their local municipality. The result was that the social support component of the budget was actually much lower than the figures suggested. Despite the requirement in the Bill that municipalities who chose to provide fewer households with FBS than they were funded for through the LGES, should clearly set out in their budget documentation why they had made this choice and how they had consulted with the community during the budget process, no municipality had to date provided this information. The BJC argued that Parliament had an oversight responsibility to ensure that the package of FBS was actually implemented.</w:t>
      </w:r>
    </w:p>
    <w:p w:rsidR="00C40B85" w:rsidRPr="003A377E" w:rsidRDefault="00C40B85" w:rsidP="006B30A6">
      <w:pPr>
        <w:tabs>
          <w:tab w:val="left" w:pos="284"/>
        </w:tabs>
        <w:spacing w:before="120" w:line="360" w:lineRule="auto"/>
        <w:jc w:val="both"/>
        <w:rPr>
          <w:rFonts w:ascii="Times New Roman" w:hAnsi="Times New Roman" w:cs="Times New Roman"/>
          <w:b/>
          <w:sz w:val="24"/>
          <w:szCs w:val="24"/>
        </w:rPr>
      </w:pPr>
    </w:p>
    <w:p w:rsidR="00D05701" w:rsidRPr="003A377E" w:rsidRDefault="00F922CA" w:rsidP="006B30A6">
      <w:pPr>
        <w:tabs>
          <w:tab w:val="left" w:pos="284"/>
        </w:tabs>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8</w:t>
      </w:r>
      <w:r w:rsidR="00D05701" w:rsidRPr="003A377E">
        <w:rPr>
          <w:rFonts w:ascii="Times New Roman" w:hAnsi="Times New Roman" w:cs="Times New Roman"/>
          <w:b/>
          <w:sz w:val="24"/>
          <w:szCs w:val="24"/>
        </w:rPr>
        <w:t>. Provincial mandates</w:t>
      </w:r>
    </w:p>
    <w:p w:rsidR="00D05701" w:rsidRPr="003A377E" w:rsidRDefault="00D05701"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 xml:space="preserve">The Committee met on </w:t>
      </w:r>
      <w:r w:rsidR="000E3AE1" w:rsidRPr="003A377E">
        <w:rPr>
          <w:rFonts w:ascii="Times New Roman" w:hAnsi="Times New Roman" w:cs="Times New Roman"/>
          <w:sz w:val="24"/>
          <w:szCs w:val="24"/>
        </w:rPr>
        <w:t xml:space="preserve">04 </w:t>
      </w:r>
      <w:r w:rsidRPr="003A377E">
        <w:rPr>
          <w:rFonts w:ascii="Times New Roman" w:hAnsi="Times New Roman" w:cs="Times New Roman"/>
          <w:sz w:val="24"/>
          <w:szCs w:val="24"/>
        </w:rPr>
        <w:t xml:space="preserve">and </w:t>
      </w:r>
      <w:r w:rsidR="000E3AE1" w:rsidRPr="003A377E">
        <w:rPr>
          <w:rFonts w:ascii="Times New Roman" w:hAnsi="Times New Roman" w:cs="Times New Roman"/>
          <w:sz w:val="24"/>
          <w:szCs w:val="24"/>
        </w:rPr>
        <w:t xml:space="preserve">11 </w:t>
      </w:r>
      <w:r w:rsidRPr="003A377E">
        <w:rPr>
          <w:rFonts w:ascii="Times New Roman" w:hAnsi="Times New Roman" w:cs="Times New Roman"/>
          <w:sz w:val="24"/>
          <w:szCs w:val="24"/>
        </w:rPr>
        <w:t>May 202</w:t>
      </w:r>
      <w:r w:rsidR="000E3AE1" w:rsidRPr="003A377E">
        <w:rPr>
          <w:rFonts w:ascii="Times New Roman" w:hAnsi="Times New Roman" w:cs="Times New Roman"/>
          <w:sz w:val="24"/>
          <w:szCs w:val="24"/>
        </w:rPr>
        <w:t>2</w:t>
      </w:r>
      <w:r w:rsidRPr="003A377E">
        <w:rPr>
          <w:rFonts w:ascii="Times New Roman" w:hAnsi="Times New Roman" w:cs="Times New Roman"/>
          <w:sz w:val="24"/>
          <w:szCs w:val="24"/>
        </w:rPr>
        <w:t>, respectively, to consider negotiating and final mandates from provinces.</w:t>
      </w:r>
    </w:p>
    <w:p w:rsidR="00D05701" w:rsidRPr="003A377E" w:rsidRDefault="00F922CA" w:rsidP="006B30A6">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8</w:t>
      </w:r>
      <w:r w:rsidR="00D05701" w:rsidRPr="003A377E">
        <w:rPr>
          <w:rFonts w:ascii="Times New Roman" w:hAnsi="Times New Roman" w:cs="Times New Roman"/>
          <w:b/>
          <w:sz w:val="24"/>
          <w:szCs w:val="24"/>
        </w:rPr>
        <w:t>.1.</w:t>
      </w:r>
      <w:r w:rsidR="00D05701" w:rsidRPr="003A377E">
        <w:rPr>
          <w:rFonts w:ascii="Times New Roman" w:hAnsi="Times New Roman" w:cs="Times New Roman"/>
          <w:b/>
          <w:sz w:val="24"/>
          <w:szCs w:val="24"/>
        </w:rPr>
        <w:tab/>
        <w:t xml:space="preserve"> Negotiating mandates</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.1.1. Eastern Cape</w:t>
      </w:r>
      <w:r w:rsidR="00FC5319" w:rsidRPr="003A377E">
        <w:rPr>
          <w:rFonts w:ascii="Times New Roman" w:hAnsi="Times New Roman" w:cs="Times New Roman"/>
          <w:sz w:val="24"/>
          <w:szCs w:val="24"/>
        </w:rPr>
        <w:t xml:space="preserve"> supported the Bill and made comments.</w:t>
      </w:r>
    </w:p>
    <w:p w:rsidR="00FC5319"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.1.2. Free State</w:t>
      </w:r>
      <w:r w:rsidR="00C63E85" w:rsidRPr="003A377E">
        <w:rPr>
          <w:rFonts w:ascii="Times New Roman" w:hAnsi="Times New Roman" w:cs="Times New Roman"/>
          <w:sz w:val="24"/>
          <w:szCs w:val="24"/>
        </w:rPr>
        <w:t xml:space="preserve"> supported the Bill and raised issues</w:t>
      </w:r>
      <w:r w:rsidR="00FC5319" w:rsidRPr="003A377E">
        <w:rPr>
          <w:rFonts w:ascii="Times New Roman" w:hAnsi="Times New Roman" w:cs="Times New Roman"/>
          <w:sz w:val="24"/>
          <w:szCs w:val="24"/>
        </w:rPr>
        <w:t xml:space="preserve"> for consideration</w:t>
      </w:r>
      <w:r w:rsidR="00C63E85" w:rsidRPr="003A377E">
        <w:rPr>
          <w:rFonts w:ascii="Times New Roman" w:hAnsi="Times New Roman" w:cs="Times New Roman"/>
          <w:sz w:val="24"/>
          <w:szCs w:val="24"/>
        </w:rPr>
        <w:t>.</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.1.3. Gauteng</w:t>
      </w:r>
      <w:r w:rsidR="00FC5319" w:rsidRPr="003A377E">
        <w:rPr>
          <w:rFonts w:ascii="Times New Roman" w:hAnsi="Times New Roman" w:cs="Times New Roman"/>
          <w:sz w:val="24"/>
          <w:szCs w:val="24"/>
        </w:rPr>
        <w:t xml:space="preserve"> supported the Bill and made recommendations.</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.1.4. KwaZulu-Natal</w:t>
      </w:r>
      <w:r w:rsidR="00C63E85" w:rsidRPr="003A377E">
        <w:rPr>
          <w:rFonts w:ascii="Times New Roman" w:hAnsi="Times New Roman" w:cs="Times New Roman"/>
          <w:sz w:val="24"/>
          <w:szCs w:val="24"/>
        </w:rPr>
        <w:t xml:space="preserve"> supported the Bill.</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.1.5. Limpopo</w:t>
      </w:r>
      <w:r w:rsidR="00FC5319" w:rsidRPr="003A377E">
        <w:rPr>
          <w:rFonts w:ascii="Times New Roman" w:hAnsi="Times New Roman" w:cs="Times New Roman"/>
          <w:sz w:val="24"/>
          <w:szCs w:val="24"/>
        </w:rPr>
        <w:t xml:space="preserve"> supported the Bill.</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.1.6. Mpumalanga</w:t>
      </w:r>
      <w:r w:rsidR="00FC5319" w:rsidRPr="003A377E">
        <w:rPr>
          <w:rFonts w:ascii="Times New Roman" w:hAnsi="Times New Roman" w:cs="Times New Roman"/>
          <w:sz w:val="24"/>
          <w:szCs w:val="24"/>
        </w:rPr>
        <w:t xml:space="preserve"> supported the Bill and made recommendations.</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.1.7. Northern Cape</w:t>
      </w:r>
      <w:r w:rsidR="00FC5319" w:rsidRPr="003A377E">
        <w:rPr>
          <w:rFonts w:ascii="Times New Roman" w:hAnsi="Times New Roman" w:cs="Times New Roman"/>
          <w:sz w:val="24"/>
          <w:szCs w:val="24"/>
        </w:rPr>
        <w:t xml:space="preserve"> supported the Bill and raised issues for consideration.</w:t>
      </w:r>
    </w:p>
    <w:p w:rsidR="00D05701" w:rsidRPr="003A377E" w:rsidRDefault="00F922CA" w:rsidP="006B30A6">
      <w:pPr>
        <w:tabs>
          <w:tab w:val="left" w:pos="6946"/>
        </w:tabs>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.1.8. North West</w:t>
      </w:r>
      <w:r w:rsidR="00FC5319" w:rsidRPr="003A377E">
        <w:rPr>
          <w:rFonts w:ascii="Times New Roman" w:hAnsi="Times New Roman" w:cs="Times New Roman"/>
          <w:sz w:val="24"/>
          <w:szCs w:val="24"/>
        </w:rPr>
        <w:t xml:space="preserve"> supported the Bill and made recommendations.</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.1.9. Western Cape</w:t>
      </w:r>
      <w:r w:rsidR="00FC5319" w:rsidRPr="003A377E">
        <w:rPr>
          <w:rFonts w:ascii="Times New Roman" w:hAnsi="Times New Roman" w:cs="Times New Roman"/>
          <w:sz w:val="24"/>
          <w:szCs w:val="24"/>
        </w:rPr>
        <w:t xml:space="preserve"> did not support the Bill.</w:t>
      </w:r>
    </w:p>
    <w:p w:rsidR="00C40B85" w:rsidRPr="003A377E" w:rsidRDefault="00C40B85" w:rsidP="006B30A6">
      <w:pPr>
        <w:spacing w:before="120" w:line="360" w:lineRule="auto"/>
        <w:jc w:val="both"/>
        <w:rPr>
          <w:rFonts w:ascii="Times New Roman" w:hAnsi="Times New Roman" w:cs="Times New Roman"/>
          <w:b/>
          <w:sz w:val="24"/>
          <w:szCs w:val="24"/>
        </w:rPr>
      </w:pPr>
    </w:p>
    <w:p w:rsidR="00D05701" w:rsidRPr="003A377E" w:rsidRDefault="00F922CA" w:rsidP="006B30A6">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8</w:t>
      </w:r>
      <w:r w:rsidR="00D05701" w:rsidRPr="003A377E">
        <w:rPr>
          <w:rFonts w:ascii="Times New Roman" w:hAnsi="Times New Roman" w:cs="Times New Roman"/>
          <w:b/>
          <w:sz w:val="24"/>
          <w:szCs w:val="24"/>
        </w:rPr>
        <w:t>.2.</w:t>
      </w:r>
      <w:r w:rsidR="00D05701" w:rsidRPr="003A377E">
        <w:rPr>
          <w:rFonts w:ascii="Times New Roman" w:hAnsi="Times New Roman" w:cs="Times New Roman"/>
          <w:b/>
          <w:sz w:val="24"/>
          <w:szCs w:val="24"/>
        </w:rPr>
        <w:tab/>
        <w:t>Final mandates</w:t>
      </w:r>
    </w:p>
    <w:p w:rsidR="00D05701" w:rsidRPr="003A377E" w:rsidRDefault="00F922CA" w:rsidP="006B30A6">
      <w:pPr>
        <w:spacing w:before="120" w:line="360" w:lineRule="auto"/>
        <w:ind w:left="567" w:hanging="567"/>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.2.1. Eastern Cape</w:t>
      </w:r>
      <w:r w:rsidR="00705964" w:rsidRPr="003A377E">
        <w:rPr>
          <w:rFonts w:ascii="Times New Roman" w:hAnsi="Times New Roman" w:cs="Times New Roman"/>
          <w:sz w:val="24"/>
          <w:szCs w:val="24"/>
        </w:rPr>
        <w:t xml:space="preserve"> supported the Bill.</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.2.2. Free State</w:t>
      </w:r>
      <w:r w:rsidR="00E12DC8" w:rsidRPr="003A377E">
        <w:rPr>
          <w:rFonts w:ascii="Times New Roman" w:hAnsi="Times New Roman" w:cs="Times New Roman"/>
          <w:sz w:val="24"/>
          <w:szCs w:val="24"/>
        </w:rPr>
        <w:t xml:space="preserve"> supported the Bill.</w:t>
      </w:r>
    </w:p>
    <w:p w:rsidR="008543D0" w:rsidRPr="003A377E" w:rsidRDefault="00F922CA" w:rsidP="008543D0">
      <w:pPr>
        <w:spacing w:before="120" w:line="360" w:lineRule="auto"/>
        <w:ind w:left="709" w:hanging="709"/>
        <w:jc w:val="both"/>
        <w:rPr>
          <w:rFonts w:ascii="Times New Roman" w:hAnsi="Times New Roman" w:cs="Times New Roman"/>
          <w:sz w:val="24"/>
          <w:szCs w:val="24"/>
        </w:rPr>
      </w:pPr>
      <w:r w:rsidRPr="003A377E">
        <w:rPr>
          <w:rFonts w:ascii="Times New Roman" w:hAnsi="Times New Roman" w:cs="Times New Roman"/>
          <w:sz w:val="24"/>
          <w:szCs w:val="24"/>
        </w:rPr>
        <w:lastRenderedPageBreak/>
        <w:t>8</w:t>
      </w:r>
      <w:r w:rsidR="00D05701" w:rsidRPr="003A377E">
        <w:rPr>
          <w:rFonts w:ascii="Times New Roman" w:hAnsi="Times New Roman" w:cs="Times New Roman"/>
          <w:sz w:val="24"/>
          <w:szCs w:val="24"/>
        </w:rPr>
        <w:t>.2.3. Gauteng</w:t>
      </w:r>
      <w:r w:rsidR="00E12DC8" w:rsidRPr="003A377E">
        <w:rPr>
          <w:rFonts w:ascii="Times New Roman" w:hAnsi="Times New Roman" w:cs="Times New Roman"/>
          <w:sz w:val="24"/>
          <w:szCs w:val="24"/>
        </w:rPr>
        <w:t xml:space="preserve"> </w:t>
      </w:r>
      <w:r w:rsidR="00AB2A11" w:rsidRPr="003A377E">
        <w:rPr>
          <w:rFonts w:ascii="Times New Roman" w:hAnsi="Times New Roman" w:cs="Times New Roman"/>
          <w:sz w:val="24"/>
          <w:szCs w:val="24"/>
        </w:rPr>
        <w:t xml:space="preserve">submitted a document that </w:t>
      </w:r>
      <w:r w:rsidR="008543D0" w:rsidRPr="003A377E">
        <w:rPr>
          <w:rFonts w:ascii="Times New Roman" w:hAnsi="Times New Roman" w:cs="Times New Roman"/>
          <w:sz w:val="24"/>
          <w:szCs w:val="24"/>
        </w:rPr>
        <w:t xml:space="preserve">did not comply with the Mandating Procedures of </w:t>
      </w:r>
      <w:r w:rsidR="00B65C46" w:rsidRPr="003A377E">
        <w:rPr>
          <w:rFonts w:ascii="Times New Roman" w:hAnsi="Times New Roman" w:cs="Times New Roman"/>
          <w:sz w:val="24"/>
          <w:szCs w:val="24"/>
        </w:rPr>
        <w:t>Provinces Act (No 52 o</w:t>
      </w:r>
      <w:r w:rsidR="008543D0" w:rsidRPr="003A377E">
        <w:rPr>
          <w:rFonts w:ascii="Times New Roman" w:hAnsi="Times New Roman" w:cs="Times New Roman"/>
          <w:sz w:val="24"/>
          <w:szCs w:val="24"/>
        </w:rPr>
        <w:t xml:space="preserve">f 2008), and could therefore not be considered. </w:t>
      </w:r>
    </w:p>
    <w:p w:rsidR="00D05701" w:rsidRPr="003A377E" w:rsidRDefault="00F922CA" w:rsidP="008543D0">
      <w:pPr>
        <w:spacing w:before="120" w:line="360" w:lineRule="auto"/>
        <w:ind w:left="709" w:hanging="709"/>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.2.4. KwaZulu-Natal</w:t>
      </w:r>
      <w:r w:rsidR="00E12DC8" w:rsidRPr="003A377E">
        <w:rPr>
          <w:rFonts w:ascii="Times New Roman" w:hAnsi="Times New Roman" w:cs="Times New Roman"/>
          <w:sz w:val="24"/>
          <w:szCs w:val="24"/>
        </w:rPr>
        <w:t xml:space="preserve"> supported the Bill.</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.2.5. Limpopo</w:t>
      </w:r>
      <w:r w:rsidR="00E12DC8" w:rsidRPr="003A377E">
        <w:rPr>
          <w:rFonts w:ascii="Times New Roman" w:hAnsi="Times New Roman" w:cs="Times New Roman"/>
          <w:sz w:val="24"/>
          <w:szCs w:val="24"/>
        </w:rPr>
        <w:t xml:space="preserve"> supported the Bill.</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 xml:space="preserve">.2.6. Mpumalanga </w:t>
      </w:r>
      <w:r w:rsidR="00E12DC8" w:rsidRPr="003A377E">
        <w:rPr>
          <w:rFonts w:ascii="Times New Roman" w:hAnsi="Times New Roman" w:cs="Times New Roman"/>
          <w:sz w:val="24"/>
          <w:szCs w:val="24"/>
        </w:rPr>
        <w:t>supported the Bill.</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.2.7. Northern Cape</w:t>
      </w:r>
      <w:r w:rsidR="00E12DC8" w:rsidRPr="003A377E">
        <w:rPr>
          <w:rFonts w:ascii="Times New Roman" w:hAnsi="Times New Roman" w:cs="Times New Roman"/>
          <w:sz w:val="24"/>
          <w:szCs w:val="24"/>
        </w:rPr>
        <w:t xml:space="preserve"> supported the Bill.</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0E3AE1" w:rsidRPr="003A377E">
        <w:rPr>
          <w:rFonts w:ascii="Times New Roman" w:hAnsi="Times New Roman" w:cs="Times New Roman"/>
          <w:sz w:val="24"/>
          <w:szCs w:val="24"/>
        </w:rPr>
        <w:t xml:space="preserve">.2.8. North West </w:t>
      </w:r>
      <w:r w:rsidR="00E12DC8" w:rsidRPr="003A377E">
        <w:rPr>
          <w:rFonts w:ascii="Times New Roman" w:hAnsi="Times New Roman" w:cs="Times New Roman"/>
          <w:sz w:val="24"/>
          <w:szCs w:val="24"/>
        </w:rPr>
        <w:t>supported the Bill.</w:t>
      </w:r>
    </w:p>
    <w:p w:rsidR="00D05701" w:rsidRPr="003A377E" w:rsidRDefault="00F922CA" w:rsidP="006B30A6">
      <w:pPr>
        <w:spacing w:before="120" w:line="360" w:lineRule="auto"/>
        <w:jc w:val="both"/>
        <w:rPr>
          <w:rFonts w:ascii="Times New Roman" w:hAnsi="Times New Roman" w:cs="Times New Roman"/>
          <w:sz w:val="24"/>
          <w:szCs w:val="24"/>
        </w:rPr>
      </w:pPr>
      <w:r w:rsidRPr="003A377E">
        <w:rPr>
          <w:rFonts w:ascii="Times New Roman" w:hAnsi="Times New Roman" w:cs="Times New Roman"/>
          <w:sz w:val="24"/>
          <w:szCs w:val="24"/>
        </w:rPr>
        <w:t>8</w:t>
      </w:r>
      <w:r w:rsidR="00D05701" w:rsidRPr="003A377E">
        <w:rPr>
          <w:rFonts w:ascii="Times New Roman" w:hAnsi="Times New Roman" w:cs="Times New Roman"/>
          <w:sz w:val="24"/>
          <w:szCs w:val="24"/>
        </w:rPr>
        <w:t>.2.9. Wester</w:t>
      </w:r>
      <w:r w:rsidR="000E3AE1" w:rsidRPr="003A377E">
        <w:rPr>
          <w:rFonts w:ascii="Times New Roman" w:hAnsi="Times New Roman" w:cs="Times New Roman"/>
          <w:sz w:val="24"/>
          <w:szCs w:val="24"/>
        </w:rPr>
        <w:t>n Cape</w:t>
      </w:r>
      <w:r w:rsidR="00E12DC8" w:rsidRPr="003A377E">
        <w:rPr>
          <w:rFonts w:ascii="Times New Roman" w:hAnsi="Times New Roman" w:cs="Times New Roman"/>
          <w:sz w:val="24"/>
          <w:szCs w:val="24"/>
        </w:rPr>
        <w:t xml:space="preserve"> did not support the Bill.</w:t>
      </w:r>
    </w:p>
    <w:p w:rsidR="00D05701" w:rsidRPr="003A377E" w:rsidRDefault="00D05701" w:rsidP="006B30A6">
      <w:pPr>
        <w:spacing w:before="120" w:line="360" w:lineRule="auto"/>
        <w:jc w:val="both"/>
        <w:rPr>
          <w:rFonts w:ascii="Times New Roman" w:hAnsi="Times New Roman" w:cs="Times New Roman"/>
          <w:sz w:val="24"/>
          <w:szCs w:val="24"/>
        </w:rPr>
      </w:pPr>
    </w:p>
    <w:p w:rsidR="00D05701" w:rsidRPr="003A377E" w:rsidRDefault="00F922CA" w:rsidP="006B30A6">
      <w:pPr>
        <w:spacing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9</w:t>
      </w:r>
      <w:r w:rsidR="00D05701" w:rsidRPr="003A377E">
        <w:rPr>
          <w:rFonts w:ascii="Times New Roman" w:hAnsi="Times New Roman" w:cs="Times New Roman"/>
          <w:b/>
          <w:sz w:val="24"/>
          <w:szCs w:val="24"/>
        </w:rPr>
        <w:t>. Observations and findings</w:t>
      </w:r>
    </w:p>
    <w:p w:rsidR="00A25DA1" w:rsidRPr="003A377E" w:rsidRDefault="00A25DA1" w:rsidP="00123165">
      <w:pPr>
        <w:pStyle w:val="ListParagraph"/>
        <w:numPr>
          <w:ilvl w:val="1"/>
          <w:numId w:val="34"/>
        </w:numPr>
        <w:tabs>
          <w:tab w:val="left" w:pos="7655"/>
        </w:tabs>
        <w:suppressAutoHyphens/>
        <w:autoSpaceDN w:val="0"/>
        <w:spacing w:after="0" w:line="360" w:lineRule="auto"/>
        <w:ind w:left="567" w:hanging="502"/>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 xml:space="preserve">The Committee welcomes the </w:t>
      </w:r>
      <w:r w:rsidR="004E5712" w:rsidRPr="003A377E">
        <w:rPr>
          <w:rFonts w:ascii="Times New Roman" w:eastAsia="Times New Roman" w:hAnsi="Times New Roman" w:cs="Times New Roman"/>
          <w:color w:val="000000"/>
          <w:spacing w:val="6"/>
          <w:sz w:val="24"/>
          <w:szCs w:val="24"/>
          <w:lang w:val="en-GB" w:eastAsia="en-GB"/>
        </w:rPr>
        <w:t>Bill</w:t>
      </w:r>
      <w:r w:rsidR="00AD4E78" w:rsidRPr="003A377E">
        <w:rPr>
          <w:rFonts w:ascii="Times New Roman" w:eastAsia="Times New Roman" w:hAnsi="Times New Roman" w:cs="Times New Roman"/>
          <w:color w:val="000000"/>
          <w:spacing w:val="6"/>
          <w:sz w:val="24"/>
          <w:szCs w:val="24"/>
          <w:lang w:val="en-GB" w:eastAsia="en-GB"/>
        </w:rPr>
        <w:t xml:space="preserve">, </w:t>
      </w:r>
      <w:r w:rsidRPr="003A377E">
        <w:rPr>
          <w:rFonts w:ascii="Times New Roman" w:eastAsia="Times New Roman" w:hAnsi="Times New Roman" w:cs="Times New Roman"/>
          <w:color w:val="000000"/>
          <w:spacing w:val="6"/>
          <w:sz w:val="24"/>
          <w:szCs w:val="24"/>
          <w:lang w:val="en-GB" w:eastAsia="en-GB"/>
        </w:rPr>
        <w:t xml:space="preserve">which allocates 49.7 percent </w:t>
      </w:r>
      <w:r w:rsidR="00AD4E78" w:rsidRPr="003A377E">
        <w:rPr>
          <w:rFonts w:ascii="Times New Roman" w:eastAsia="Times New Roman" w:hAnsi="Times New Roman" w:cs="Times New Roman"/>
          <w:color w:val="000000"/>
          <w:spacing w:val="6"/>
          <w:sz w:val="24"/>
          <w:szCs w:val="24"/>
          <w:lang w:val="en-GB" w:eastAsia="en-GB"/>
        </w:rPr>
        <w:t xml:space="preserve">to the </w:t>
      </w:r>
      <w:r w:rsidRPr="003A377E">
        <w:rPr>
          <w:rFonts w:ascii="Times New Roman" w:eastAsia="Times New Roman" w:hAnsi="Times New Roman" w:cs="Times New Roman"/>
          <w:color w:val="000000"/>
          <w:spacing w:val="6"/>
          <w:sz w:val="24"/>
          <w:szCs w:val="24"/>
          <w:lang w:val="en-GB" w:eastAsia="en-GB"/>
        </w:rPr>
        <w:t>national</w:t>
      </w:r>
      <w:r w:rsidR="00AD4E78" w:rsidRPr="003A377E">
        <w:rPr>
          <w:rFonts w:ascii="Times New Roman" w:eastAsia="Times New Roman" w:hAnsi="Times New Roman" w:cs="Times New Roman"/>
          <w:color w:val="000000"/>
          <w:spacing w:val="6"/>
          <w:sz w:val="24"/>
          <w:szCs w:val="24"/>
          <w:lang w:val="en-GB" w:eastAsia="en-GB"/>
        </w:rPr>
        <w:t xml:space="preserve"> sphere</w:t>
      </w:r>
      <w:r w:rsidRPr="003A377E">
        <w:rPr>
          <w:rFonts w:ascii="Times New Roman" w:eastAsia="Times New Roman" w:hAnsi="Times New Roman" w:cs="Times New Roman"/>
          <w:color w:val="000000"/>
          <w:spacing w:val="6"/>
          <w:sz w:val="24"/>
          <w:szCs w:val="24"/>
          <w:lang w:val="en-GB" w:eastAsia="en-GB"/>
        </w:rPr>
        <w:t xml:space="preserve">, 41.2 percent </w:t>
      </w:r>
      <w:r w:rsidR="00AD4E78" w:rsidRPr="003A377E">
        <w:rPr>
          <w:rFonts w:ascii="Times New Roman" w:eastAsia="Times New Roman" w:hAnsi="Times New Roman" w:cs="Times New Roman"/>
          <w:color w:val="000000"/>
          <w:spacing w:val="6"/>
          <w:sz w:val="24"/>
          <w:szCs w:val="24"/>
          <w:lang w:val="en-GB" w:eastAsia="en-GB"/>
        </w:rPr>
        <w:t>to</w:t>
      </w:r>
      <w:r w:rsidRPr="003A377E">
        <w:rPr>
          <w:rFonts w:ascii="Times New Roman" w:eastAsia="Times New Roman" w:hAnsi="Times New Roman" w:cs="Times New Roman"/>
          <w:color w:val="000000"/>
          <w:spacing w:val="6"/>
          <w:sz w:val="24"/>
          <w:szCs w:val="24"/>
          <w:lang w:val="en-GB" w:eastAsia="en-GB"/>
        </w:rPr>
        <w:t xml:space="preserve"> provinces</w:t>
      </w:r>
      <w:r w:rsidR="00AD4E78" w:rsidRPr="003A377E">
        <w:rPr>
          <w:rFonts w:ascii="Times New Roman" w:eastAsia="Times New Roman" w:hAnsi="Times New Roman" w:cs="Times New Roman"/>
          <w:color w:val="000000"/>
          <w:spacing w:val="6"/>
          <w:sz w:val="24"/>
          <w:szCs w:val="24"/>
          <w:lang w:val="en-GB" w:eastAsia="en-GB"/>
        </w:rPr>
        <w:t>, and</w:t>
      </w:r>
      <w:r w:rsidRPr="003A377E">
        <w:rPr>
          <w:rFonts w:ascii="Times New Roman" w:eastAsia="Times New Roman" w:hAnsi="Times New Roman" w:cs="Times New Roman"/>
          <w:color w:val="000000"/>
          <w:spacing w:val="6"/>
          <w:sz w:val="24"/>
          <w:szCs w:val="24"/>
          <w:lang w:val="en-GB" w:eastAsia="en-GB"/>
        </w:rPr>
        <w:t xml:space="preserve"> 9.1 percent </w:t>
      </w:r>
      <w:r w:rsidR="00AD4E78" w:rsidRPr="003A377E">
        <w:rPr>
          <w:rFonts w:ascii="Times New Roman" w:eastAsia="Times New Roman" w:hAnsi="Times New Roman" w:cs="Times New Roman"/>
          <w:color w:val="000000"/>
          <w:spacing w:val="6"/>
          <w:sz w:val="24"/>
          <w:szCs w:val="24"/>
          <w:lang w:val="en-GB" w:eastAsia="en-GB"/>
        </w:rPr>
        <w:t>to</w:t>
      </w:r>
      <w:r w:rsidRPr="003A377E">
        <w:rPr>
          <w:rFonts w:ascii="Times New Roman" w:eastAsia="Times New Roman" w:hAnsi="Times New Roman" w:cs="Times New Roman"/>
          <w:color w:val="000000"/>
          <w:spacing w:val="6"/>
          <w:sz w:val="24"/>
          <w:szCs w:val="24"/>
          <w:lang w:val="en-GB" w:eastAsia="en-GB"/>
        </w:rPr>
        <w:t xml:space="preserve"> local government. Although the C</w:t>
      </w:r>
      <w:r w:rsidR="007F6995" w:rsidRPr="003A377E">
        <w:rPr>
          <w:rFonts w:ascii="Times New Roman" w:eastAsia="Times New Roman" w:hAnsi="Times New Roman" w:cs="Times New Roman"/>
          <w:color w:val="000000"/>
          <w:spacing w:val="6"/>
          <w:sz w:val="24"/>
          <w:szCs w:val="24"/>
          <w:lang w:val="en-GB" w:eastAsia="en-GB"/>
        </w:rPr>
        <w:t xml:space="preserve">ommittee notes some increases </w:t>
      </w:r>
      <w:r w:rsidR="00AD4E78" w:rsidRPr="003A377E">
        <w:rPr>
          <w:rFonts w:ascii="Times New Roman" w:eastAsia="Times New Roman" w:hAnsi="Times New Roman" w:cs="Times New Roman"/>
          <w:color w:val="000000"/>
          <w:spacing w:val="6"/>
          <w:sz w:val="24"/>
          <w:szCs w:val="24"/>
          <w:lang w:val="en-GB" w:eastAsia="en-GB"/>
        </w:rPr>
        <w:t>to</w:t>
      </w:r>
      <w:r w:rsidRPr="003A377E">
        <w:rPr>
          <w:rFonts w:ascii="Times New Roman" w:eastAsia="Times New Roman" w:hAnsi="Times New Roman" w:cs="Times New Roman"/>
          <w:color w:val="000000"/>
          <w:spacing w:val="6"/>
          <w:sz w:val="24"/>
          <w:szCs w:val="24"/>
          <w:lang w:val="en-GB" w:eastAsia="en-GB"/>
        </w:rPr>
        <w:t xml:space="preserve"> rural provinces and municipalities, it remains concerne</w:t>
      </w:r>
      <w:r w:rsidR="00AD4E78" w:rsidRPr="003A377E">
        <w:rPr>
          <w:rFonts w:ascii="Times New Roman" w:eastAsia="Times New Roman" w:hAnsi="Times New Roman" w:cs="Times New Roman"/>
          <w:color w:val="000000"/>
          <w:spacing w:val="6"/>
          <w:sz w:val="24"/>
          <w:szCs w:val="24"/>
          <w:lang w:val="en-GB" w:eastAsia="en-GB"/>
        </w:rPr>
        <w:t>d that the overall allocation to the</w:t>
      </w:r>
      <w:r w:rsidRPr="003A377E">
        <w:rPr>
          <w:rFonts w:ascii="Times New Roman" w:eastAsia="Times New Roman" w:hAnsi="Times New Roman" w:cs="Times New Roman"/>
          <w:color w:val="000000"/>
          <w:spacing w:val="6"/>
          <w:sz w:val="24"/>
          <w:szCs w:val="24"/>
          <w:lang w:val="en-GB" w:eastAsia="en-GB"/>
        </w:rPr>
        <w:t xml:space="preserve"> local government sphere is still inadequate</w:t>
      </w:r>
      <w:r w:rsidR="00AD4E78" w:rsidRPr="003A377E">
        <w:rPr>
          <w:rFonts w:ascii="Times New Roman" w:eastAsia="Times New Roman" w:hAnsi="Times New Roman" w:cs="Times New Roman"/>
          <w:color w:val="000000"/>
          <w:spacing w:val="6"/>
          <w:sz w:val="24"/>
          <w:szCs w:val="24"/>
          <w:lang w:val="en-GB" w:eastAsia="en-GB"/>
        </w:rPr>
        <w:t>,</w:t>
      </w:r>
      <w:r w:rsidRPr="003A377E">
        <w:rPr>
          <w:rFonts w:ascii="Times New Roman" w:eastAsia="Times New Roman" w:hAnsi="Times New Roman" w:cs="Times New Roman"/>
          <w:color w:val="000000"/>
          <w:spacing w:val="6"/>
          <w:sz w:val="24"/>
          <w:szCs w:val="24"/>
          <w:lang w:val="en-GB" w:eastAsia="en-GB"/>
        </w:rPr>
        <w:t xml:space="preserve"> given that the input costs for p</w:t>
      </w:r>
      <w:r w:rsidR="00A2146A" w:rsidRPr="003A377E">
        <w:rPr>
          <w:rFonts w:ascii="Times New Roman" w:eastAsia="Times New Roman" w:hAnsi="Times New Roman" w:cs="Times New Roman"/>
          <w:color w:val="000000"/>
          <w:spacing w:val="6"/>
          <w:sz w:val="24"/>
          <w:szCs w:val="24"/>
          <w:lang w:val="en-GB" w:eastAsia="en-GB"/>
        </w:rPr>
        <w:t xml:space="preserve">roviding basic services </w:t>
      </w:r>
      <w:r w:rsidR="00AD4E78" w:rsidRPr="003A377E">
        <w:rPr>
          <w:rFonts w:ascii="Times New Roman" w:eastAsia="Times New Roman" w:hAnsi="Times New Roman" w:cs="Times New Roman"/>
          <w:color w:val="000000"/>
          <w:spacing w:val="6"/>
          <w:sz w:val="24"/>
          <w:szCs w:val="24"/>
          <w:lang w:val="en-GB" w:eastAsia="en-GB"/>
        </w:rPr>
        <w:t xml:space="preserve">continue to </w:t>
      </w:r>
      <w:r w:rsidR="001B72A4" w:rsidRPr="003A377E">
        <w:rPr>
          <w:rFonts w:ascii="Times New Roman" w:eastAsia="Times New Roman" w:hAnsi="Times New Roman" w:cs="Times New Roman"/>
          <w:color w:val="000000"/>
          <w:spacing w:val="6"/>
          <w:sz w:val="24"/>
          <w:szCs w:val="24"/>
          <w:lang w:val="en-GB" w:eastAsia="en-GB"/>
        </w:rPr>
        <w:t>ris</w:t>
      </w:r>
      <w:r w:rsidR="00AD4E78" w:rsidRPr="003A377E">
        <w:rPr>
          <w:rFonts w:ascii="Times New Roman" w:eastAsia="Times New Roman" w:hAnsi="Times New Roman" w:cs="Times New Roman"/>
          <w:color w:val="000000"/>
          <w:spacing w:val="6"/>
          <w:sz w:val="24"/>
          <w:szCs w:val="24"/>
          <w:lang w:val="en-GB" w:eastAsia="en-GB"/>
        </w:rPr>
        <w:t>e</w:t>
      </w:r>
      <w:r w:rsidR="00A2146A" w:rsidRPr="003A377E">
        <w:rPr>
          <w:rFonts w:ascii="Times New Roman" w:eastAsia="Times New Roman" w:hAnsi="Times New Roman" w:cs="Times New Roman"/>
          <w:color w:val="000000"/>
          <w:spacing w:val="6"/>
          <w:sz w:val="24"/>
          <w:szCs w:val="24"/>
          <w:lang w:val="en-GB" w:eastAsia="en-GB"/>
        </w:rPr>
        <w:t>. This is further worsened by</w:t>
      </w:r>
      <w:r w:rsidR="001B72A4" w:rsidRPr="003A377E">
        <w:rPr>
          <w:rFonts w:ascii="Times New Roman" w:eastAsia="Times New Roman" w:hAnsi="Times New Roman" w:cs="Times New Roman"/>
          <w:color w:val="000000"/>
          <w:spacing w:val="6"/>
          <w:sz w:val="24"/>
          <w:szCs w:val="24"/>
          <w:lang w:val="en-GB" w:eastAsia="en-GB"/>
        </w:rPr>
        <w:t xml:space="preserve"> </w:t>
      </w:r>
      <w:r w:rsidR="009130F0" w:rsidRPr="003A377E">
        <w:rPr>
          <w:rFonts w:ascii="Times New Roman" w:eastAsia="Times New Roman" w:hAnsi="Times New Roman" w:cs="Times New Roman"/>
          <w:color w:val="000000"/>
          <w:spacing w:val="6"/>
          <w:sz w:val="24"/>
          <w:szCs w:val="24"/>
          <w:lang w:val="en-GB" w:eastAsia="en-GB"/>
        </w:rPr>
        <w:t xml:space="preserve">municipal </w:t>
      </w:r>
      <w:r w:rsidRPr="003A377E">
        <w:rPr>
          <w:rFonts w:ascii="Times New Roman" w:eastAsia="Times New Roman" w:hAnsi="Times New Roman" w:cs="Times New Roman"/>
          <w:color w:val="000000"/>
          <w:spacing w:val="6"/>
          <w:sz w:val="24"/>
          <w:szCs w:val="24"/>
          <w:lang w:val="en-GB" w:eastAsia="en-GB"/>
        </w:rPr>
        <w:t xml:space="preserve">revenue constraints caused by COVID-19, the increasing number of municipalities facing financial distress </w:t>
      </w:r>
      <w:r w:rsidR="00C748A0" w:rsidRPr="003A377E">
        <w:rPr>
          <w:rFonts w:ascii="Times New Roman" w:eastAsia="Times New Roman" w:hAnsi="Times New Roman" w:cs="Times New Roman"/>
          <w:color w:val="000000"/>
          <w:spacing w:val="6"/>
          <w:sz w:val="24"/>
          <w:szCs w:val="24"/>
          <w:lang w:val="en-GB" w:eastAsia="en-GB"/>
        </w:rPr>
        <w:t>(68 percent of 278 municipalities)</w:t>
      </w:r>
      <w:r w:rsidR="00C63E85" w:rsidRPr="003A377E">
        <w:rPr>
          <w:rFonts w:ascii="Times New Roman" w:eastAsia="Times New Roman" w:hAnsi="Times New Roman" w:cs="Times New Roman"/>
          <w:color w:val="000000"/>
          <w:spacing w:val="6"/>
          <w:sz w:val="24"/>
          <w:szCs w:val="24"/>
          <w:lang w:val="en-GB" w:eastAsia="en-GB"/>
        </w:rPr>
        <w:t>,</w:t>
      </w:r>
      <w:r w:rsidR="00C748A0" w:rsidRPr="003A377E">
        <w:rPr>
          <w:rFonts w:ascii="Times New Roman" w:eastAsia="Times New Roman" w:hAnsi="Times New Roman" w:cs="Times New Roman"/>
          <w:color w:val="000000"/>
          <w:spacing w:val="6"/>
          <w:sz w:val="24"/>
          <w:szCs w:val="24"/>
          <w:lang w:val="en-GB" w:eastAsia="en-GB"/>
        </w:rPr>
        <w:t xml:space="preserve"> </w:t>
      </w:r>
      <w:r w:rsidRPr="003A377E">
        <w:rPr>
          <w:rFonts w:ascii="Times New Roman" w:eastAsia="Times New Roman" w:hAnsi="Times New Roman" w:cs="Times New Roman"/>
          <w:color w:val="000000"/>
          <w:spacing w:val="6"/>
          <w:sz w:val="24"/>
          <w:szCs w:val="24"/>
          <w:lang w:val="en-GB" w:eastAsia="en-GB"/>
        </w:rPr>
        <w:t xml:space="preserve">and </w:t>
      </w:r>
      <w:r w:rsidR="00AD4E78" w:rsidRPr="003A377E">
        <w:rPr>
          <w:rFonts w:ascii="Times New Roman" w:eastAsia="Times New Roman" w:hAnsi="Times New Roman" w:cs="Times New Roman"/>
          <w:color w:val="000000"/>
          <w:spacing w:val="6"/>
          <w:sz w:val="24"/>
          <w:szCs w:val="24"/>
          <w:lang w:val="en-GB" w:eastAsia="en-GB"/>
        </w:rPr>
        <w:t xml:space="preserve">the </w:t>
      </w:r>
      <w:r w:rsidRPr="003A377E">
        <w:rPr>
          <w:rFonts w:ascii="Times New Roman" w:eastAsia="Times New Roman" w:hAnsi="Times New Roman" w:cs="Times New Roman"/>
          <w:color w:val="000000"/>
          <w:spacing w:val="6"/>
          <w:sz w:val="24"/>
          <w:szCs w:val="24"/>
          <w:lang w:val="en-GB" w:eastAsia="en-GB"/>
        </w:rPr>
        <w:t>adoption of unfunded mandates.</w:t>
      </w:r>
    </w:p>
    <w:p w:rsidR="00A25DA1" w:rsidRPr="003A377E" w:rsidRDefault="00A25DA1">
      <w:pPr>
        <w:tabs>
          <w:tab w:val="left" w:pos="7655"/>
        </w:tabs>
        <w:suppressAutoHyphens/>
        <w:autoSpaceDN w:val="0"/>
        <w:spacing w:after="0" w:line="360" w:lineRule="auto"/>
        <w:ind w:left="780"/>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 xml:space="preserve">  </w:t>
      </w:r>
    </w:p>
    <w:p w:rsidR="00A25DA1" w:rsidRPr="003A377E" w:rsidRDefault="00A25DA1" w:rsidP="00123165">
      <w:pPr>
        <w:pStyle w:val="ListParagraph"/>
        <w:numPr>
          <w:ilvl w:val="1"/>
          <w:numId w:val="34"/>
        </w:numPr>
        <w:tabs>
          <w:tab w:val="left" w:pos="7655"/>
        </w:tabs>
        <w:suppressAutoHyphens/>
        <w:autoSpaceDN w:val="0"/>
        <w:spacing w:after="0" w:line="360" w:lineRule="auto"/>
        <w:ind w:left="567" w:hanging="502"/>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The</w:t>
      </w:r>
      <w:r w:rsidR="00A3117F" w:rsidRPr="003A377E">
        <w:rPr>
          <w:rFonts w:ascii="Times New Roman" w:eastAsia="Times New Roman" w:hAnsi="Times New Roman" w:cs="Times New Roman"/>
          <w:color w:val="000000"/>
          <w:spacing w:val="6"/>
          <w:sz w:val="24"/>
          <w:szCs w:val="24"/>
          <w:lang w:val="en-GB" w:eastAsia="en-GB"/>
        </w:rPr>
        <w:t xml:space="preserve"> Committee notes the </w:t>
      </w:r>
      <w:r w:rsidRPr="003A377E">
        <w:rPr>
          <w:rFonts w:ascii="Times New Roman" w:eastAsia="Times New Roman" w:hAnsi="Times New Roman" w:cs="Times New Roman"/>
          <w:color w:val="000000"/>
          <w:spacing w:val="6"/>
          <w:sz w:val="24"/>
          <w:szCs w:val="24"/>
          <w:lang w:val="en-GB" w:eastAsia="en-GB"/>
        </w:rPr>
        <w:t>proposed spending plans</w:t>
      </w:r>
      <w:r w:rsidR="00A3117F" w:rsidRPr="003A377E">
        <w:rPr>
          <w:rFonts w:ascii="Times New Roman" w:eastAsia="Times New Roman" w:hAnsi="Times New Roman" w:cs="Times New Roman"/>
          <w:color w:val="000000"/>
          <w:spacing w:val="6"/>
          <w:sz w:val="24"/>
          <w:szCs w:val="24"/>
          <w:lang w:val="en-GB" w:eastAsia="en-GB"/>
        </w:rPr>
        <w:t>, which</w:t>
      </w:r>
      <w:r w:rsidRPr="003A377E">
        <w:rPr>
          <w:rFonts w:ascii="Times New Roman" w:eastAsia="Times New Roman" w:hAnsi="Times New Roman" w:cs="Times New Roman"/>
          <w:color w:val="000000"/>
          <w:spacing w:val="6"/>
          <w:sz w:val="24"/>
          <w:szCs w:val="24"/>
          <w:lang w:val="en-GB" w:eastAsia="en-GB"/>
        </w:rPr>
        <w:t xml:space="preserve"> include an allocation of R3.33 trillion</w:t>
      </w:r>
      <w:r w:rsidR="00AD4E78" w:rsidRPr="003A377E">
        <w:rPr>
          <w:rFonts w:ascii="Times New Roman" w:eastAsia="Times New Roman" w:hAnsi="Times New Roman" w:cs="Times New Roman"/>
          <w:color w:val="000000"/>
          <w:spacing w:val="6"/>
          <w:sz w:val="24"/>
          <w:szCs w:val="24"/>
          <w:lang w:val="en-GB" w:eastAsia="en-GB"/>
        </w:rPr>
        <w:t>,</w:t>
      </w:r>
      <w:r w:rsidRPr="003A377E">
        <w:rPr>
          <w:rFonts w:ascii="Times New Roman" w:eastAsia="Times New Roman" w:hAnsi="Times New Roman" w:cs="Times New Roman"/>
          <w:color w:val="000000"/>
          <w:spacing w:val="6"/>
          <w:sz w:val="24"/>
          <w:szCs w:val="24"/>
          <w:lang w:val="en-GB" w:eastAsia="en-GB"/>
        </w:rPr>
        <w:t xml:space="preserve"> or 59.4 percent of total non-interest spending</w:t>
      </w:r>
      <w:r w:rsidR="00AD4E78" w:rsidRPr="003A377E">
        <w:rPr>
          <w:rFonts w:ascii="Times New Roman" w:eastAsia="Times New Roman" w:hAnsi="Times New Roman" w:cs="Times New Roman"/>
          <w:color w:val="000000"/>
          <w:spacing w:val="6"/>
          <w:sz w:val="24"/>
          <w:szCs w:val="24"/>
          <w:lang w:val="en-GB" w:eastAsia="en-GB"/>
        </w:rPr>
        <w:t>,</w:t>
      </w:r>
      <w:r w:rsidRPr="003A377E">
        <w:rPr>
          <w:rFonts w:ascii="Times New Roman" w:eastAsia="Times New Roman" w:hAnsi="Times New Roman" w:cs="Times New Roman"/>
          <w:color w:val="000000"/>
          <w:spacing w:val="6"/>
          <w:sz w:val="24"/>
          <w:szCs w:val="24"/>
          <w:lang w:val="en-GB" w:eastAsia="en-GB"/>
        </w:rPr>
        <w:t xml:space="preserve"> for </w:t>
      </w:r>
      <w:r w:rsidR="00AD4E78" w:rsidRPr="003A377E">
        <w:rPr>
          <w:rFonts w:ascii="Times New Roman" w:eastAsia="Times New Roman" w:hAnsi="Times New Roman" w:cs="Times New Roman"/>
          <w:color w:val="000000"/>
          <w:spacing w:val="6"/>
          <w:sz w:val="24"/>
          <w:szCs w:val="24"/>
          <w:lang w:val="en-GB" w:eastAsia="en-GB"/>
        </w:rPr>
        <w:t xml:space="preserve">the </w:t>
      </w:r>
      <w:r w:rsidRPr="003A377E">
        <w:rPr>
          <w:rFonts w:ascii="Times New Roman" w:eastAsia="Times New Roman" w:hAnsi="Times New Roman" w:cs="Times New Roman"/>
          <w:color w:val="000000"/>
          <w:spacing w:val="6"/>
          <w:sz w:val="24"/>
          <w:szCs w:val="24"/>
          <w:lang w:val="en-GB" w:eastAsia="en-GB"/>
        </w:rPr>
        <w:t>social wage. It further n</w:t>
      </w:r>
      <w:r w:rsidR="00AD4E78" w:rsidRPr="003A377E">
        <w:rPr>
          <w:rFonts w:ascii="Times New Roman" w:eastAsia="Times New Roman" w:hAnsi="Times New Roman" w:cs="Times New Roman"/>
          <w:color w:val="000000"/>
          <w:spacing w:val="6"/>
          <w:sz w:val="24"/>
          <w:szCs w:val="24"/>
          <w:lang w:val="en-GB" w:eastAsia="en-GB"/>
        </w:rPr>
        <w:t>otes that the main budget non-</w:t>
      </w:r>
      <w:r w:rsidRPr="003A377E">
        <w:rPr>
          <w:rFonts w:ascii="Times New Roman" w:eastAsia="Times New Roman" w:hAnsi="Times New Roman" w:cs="Times New Roman"/>
          <w:color w:val="000000"/>
          <w:spacing w:val="6"/>
          <w:sz w:val="24"/>
          <w:szCs w:val="24"/>
          <w:lang w:val="en-GB" w:eastAsia="en-GB"/>
        </w:rPr>
        <w:t xml:space="preserve">interest spending has </w:t>
      </w:r>
      <w:r w:rsidR="00A3117F" w:rsidRPr="003A377E">
        <w:rPr>
          <w:rFonts w:ascii="Times New Roman" w:eastAsia="Times New Roman" w:hAnsi="Times New Roman" w:cs="Times New Roman"/>
          <w:color w:val="000000"/>
          <w:spacing w:val="6"/>
          <w:sz w:val="24"/>
          <w:szCs w:val="24"/>
          <w:lang w:val="en-GB" w:eastAsia="en-GB"/>
        </w:rPr>
        <w:t>a</w:t>
      </w:r>
      <w:r w:rsidRPr="003A377E">
        <w:rPr>
          <w:rFonts w:ascii="Times New Roman" w:eastAsia="Times New Roman" w:hAnsi="Times New Roman" w:cs="Times New Roman"/>
          <w:color w:val="000000"/>
          <w:spacing w:val="6"/>
          <w:sz w:val="24"/>
          <w:szCs w:val="24"/>
          <w:lang w:val="en-GB" w:eastAsia="en-GB"/>
        </w:rPr>
        <w:t xml:space="preserve"> net </w:t>
      </w:r>
      <w:r w:rsidR="00A3117F" w:rsidRPr="003A377E">
        <w:rPr>
          <w:rFonts w:ascii="Times New Roman" w:eastAsia="Times New Roman" w:hAnsi="Times New Roman" w:cs="Times New Roman"/>
          <w:color w:val="000000"/>
          <w:spacing w:val="6"/>
          <w:sz w:val="24"/>
          <w:szCs w:val="24"/>
          <w:lang w:val="en-GB" w:eastAsia="en-GB"/>
        </w:rPr>
        <w:t xml:space="preserve">increase of </w:t>
      </w:r>
      <w:r w:rsidR="00863ED5" w:rsidRPr="003A377E">
        <w:rPr>
          <w:rFonts w:ascii="Times New Roman" w:eastAsia="Times New Roman" w:hAnsi="Times New Roman" w:cs="Times New Roman"/>
          <w:color w:val="000000"/>
          <w:spacing w:val="6"/>
          <w:sz w:val="24"/>
          <w:szCs w:val="24"/>
          <w:lang w:val="en-GB" w:eastAsia="en-GB"/>
        </w:rPr>
        <w:t xml:space="preserve">R282.3 billion over the 2022 </w:t>
      </w:r>
      <w:r w:rsidRPr="003A377E">
        <w:rPr>
          <w:rFonts w:ascii="Times New Roman" w:eastAsia="Times New Roman" w:hAnsi="Times New Roman" w:cs="Times New Roman"/>
          <w:color w:val="000000"/>
          <w:spacing w:val="6"/>
          <w:sz w:val="24"/>
          <w:szCs w:val="24"/>
          <w:lang w:val="en-GB" w:eastAsia="en-GB"/>
        </w:rPr>
        <w:t>MTEF period comp</w:t>
      </w:r>
      <w:r w:rsidR="00720977" w:rsidRPr="003A377E">
        <w:rPr>
          <w:rFonts w:ascii="Times New Roman" w:eastAsia="Times New Roman" w:hAnsi="Times New Roman" w:cs="Times New Roman"/>
          <w:color w:val="000000"/>
          <w:spacing w:val="6"/>
          <w:sz w:val="24"/>
          <w:szCs w:val="24"/>
          <w:lang w:val="en-GB" w:eastAsia="en-GB"/>
        </w:rPr>
        <w:t>ared to the 2021 Budget</w:t>
      </w:r>
      <w:r w:rsidR="00AD4E78" w:rsidRPr="003A377E">
        <w:rPr>
          <w:rFonts w:ascii="Times New Roman" w:eastAsia="Times New Roman" w:hAnsi="Times New Roman" w:cs="Times New Roman"/>
          <w:color w:val="000000"/>
          <w:spacing w:val="6"/>
          <w:sz w:val="24"/>
          <w:szCs w:val="24"/>
          <w:lang w:val="en-GB" w:eastAsia="en-GB"/>
        </w:rPr>
        <w:t>, which</w:t>
      </w:r>
      <w:r w:rsidRPr="003A377E">
        <w:rPr>
          <w:rFonts w:ascii="Times New Roman" w:eastAsia="Times New Roman" w:hAnsi="Times New Roman" w:cs="Times New Roman"/>
          <w:color w:val="000000"/>
          <w:spacing w:val="6"/>
          <w:sz w:val="24"/>
          <w:szCs w:val="24"/>
          <w:lang w:val="en-GB" w:eastAsia="en-GB"/>
        </w:rPr>
        <w:t xml:space="preserve"> </w:t>
      </w:r>
      <w:r w:rsidR="00AD4E78" w:rsidRPr="003A377E">
        <w:rPr>
          <w:rFonts w:ascii="Times New Roman" w:eastAsia="Times New Roman" w:hAnsi="Times New Roman" w:cs="Times New Roman"/>
          <w:color w:val="000000"/>
          <w:spacing w:val="6"/>
          <w:sz w:val="24"/>
          <w:szCs w:val="24"/>
          <w:lang w:val="en-GB" w:eastAsia="en-GB"/>
        </w:rPr>
        <w:t xml:space="preserve">is </w:t>
      </w:r>
      <w:r w:rsidRPr="003A377E">
        <w:rPr>
          <w:rFonts w:ascii="Times New Roman" w:eastAsia="Times New Roman" w:hAnsi="Times New Roman" w:cs="Times New Roman"/>
          <w:color w:val="000000"/>
          <w:spacing w:val="6"/>
          <w:sz w:val="24"/>
          <w:szCs w:val="24"/>
          <w:lang w:val="en-GB" w:eastAsia="en-GB"/>
        </w:rPr>
        <w:t>supported by higher than anticipated revenue collections.</w:t>
      </w:r>
    </w:p>
    <w:p w:rsidR="00A25DA1" w:rsidRPr="003A377E" w:rsidRDefault="00A25DA1" w:rsidP="006B30A6">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eastAsia="en-GB"/>
        </w:rPr>
      </w:pPr>
    </w:p>
    <w:p w:rsidR="00A25DA1" w:rsidRPr="003A377E" w:rsidRDefault="00A25DA1" w:rsidP="00123165">
      <w:pPr>
        <w:numPr>
          <w:ilvl w:val="1"/>
          <w:numId w:val="34"/>
        </w:numPr>
        <w:tabs>
          <w:tab w:val="left" w:pos="7655"/>
        </w:tabs>
        <w:suppressAutoHyphens/>
        <w:autoSpaceDN w:val="0"/>
        <w:spacing w:after="0" w:line="360" w:lineRule="auto"/>
        <w:ind w:left="567" w:hanging="502"/>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 xml:space="preserve">The Committee notes the engagements </w:t>
      </w:r>
      <w:r w:rsidR="00451B2C" w:rsidRPr="003A377E">
        <w:rPr>
          <w:rFonts w:ascii="Times New Roman" w:eastAsia="Times New Roman" w:hAnsi="Times New Roman" w:cs="Times New Roman"/>
          <w:color w:val="000000"/>
          <w:spacing w:val="6"/>
          <w:sz w:val="24"/>
          <w:szCs w:val="24"/>
          <w:lang w:val="en-GB" w:eastAsia="en-GB"/>
        </w:rPr>
        <w:t xml:space="preserve">taking place </w:t>
      </w:r>
      <w:r w:rsidRPr="003A377E">
        <w:rPr>
          <w:rFonts w:ascii="Times New Roman" w:eastAsia="Times New Roman" w:hAnsi="Times New Roman" w:cs="Times New Roman"/>
          <w:color w:val="000000"/>
          <w:spacing w:val="6"/>
          <w:sz w:val="24"/>
          <w:szCs w:val="24"/>
          <w:lang w:val="en-GB" w:eastAsia="en-GB"/>
        </w:rPr>
        <w:t xml:space="preserve">between Salga and </w:t>
      </w:r>
      <w:r w:rsidR="00C90915" w:rsidRPr="003A377E">
        <w:rPr>
          <w:rFonts w:ascii="Times New Roman" w:eastAsia="Times New Roman" w:hAnsi="Times New Roman" w:cs="Times New Roman"/>
          <w:color w:val="000000"/>
          <w:spacing w:val="6"/>
          <w:sz w:val="24"/>
          <w:szCs w:val="24"/>
          <w:lang w:val="en-GB" w:eastAsia="en-GB"/>
        </w:rPr>
        <w:t xml:space="preserve">the </w:t>
      </w:r>
      <w:r w:rsidRPr="003A377E">
        <w:rPr>
          <w:rFonts w:ascii="Times New Roman" w:eastAsia="Times New Roman" w:hAnsi="Times New Roman" w:cs="Times New Roman"/>
          <w:color w:val="000000"/>
          <w:spacing w:val="6"/>
          <w:sz w:val="24"/>
          <w:szCs w:val="24"/>
          <w:lang w:val="en-GB" w:eastAsia="en-GB"/>
        </w:rPr>
        <w:t>Executive to resolve the issue</w:t>
      </w:r>
      <w:r w:rsidR="00E615EC" w:rsidRPr="003A377E">
        <w:rPr>
          <w:rFonts w:ascii="Times New Roman" w:eastAsia="Times New Roman" w:hAnsi="Times New Roman" w:cs="Times New Roman"/>
          <w:color w:val="000000"/>
          <w:spacing w:val="6"/>
          <w:sz w:val="24"/>
          <w:szCs w:val="24"/>
          <w:lang w:val="en-GB" w:eastAsia="en-GB"/>
        </w:rPr>
        <w:t>s</w:t>
      </w:r>
      <w:r w:rsidRPr="003A377E">
        <w:rPr>
          <w:rFonts w:ascii="Times New Roman" w:eastAsia="Times New Roman" w:hAnsi="Times New Roman" w:cs="Times New Roman"/>
          <w:color w:val="000000"/>
          <w:spacing w:val="6"/>
          <w:sz w:val="24"/>
          <w:szCs w:val="24"/>
          <w:lang w:val="en-GB" w:eastAsia="en-GB"/>
        </w:rPr>
        <w:t xml:space="preserve"> o</w:t>
      </w:r>
      <w:r w:rsidR="007279B5" w:rsidRPr="003A377E">
        <w:rPr>
          <w:rFonts w:ascii="Times New Roman" w:eastAsia="Times New Roman" w:hAnsi="Times New Roman" w:cs="Times New Roman"/>
          <w:color w:val="000000"/>
          <w:spacing w:val="6"/>
          <w:sz w:val="24"/>
          <w:szCs w:val="24"/>
          <w:lang w:val="en-GB" w:eastAsia="en-GB"/>
        </w:rPr>
        <w:t>f municipal</w:t>
      </w:r>
      <w:r w:rsidR="00C90915" w:rsidRPr="003A377E">
        <w:rPr>
          <w:rFonts w:ascii="Times New Roman" w:eastAsia="Times New Roman" w:hAnsi="Times New Roman" w:cs="Times New Roman"/>
          <w:color w:val="000000"/>
          <w:spacing w:val="6"/>
          <w:sz w:val="24"/>
          <w:szCs w:val="24"/>
          <w:lang w:val="en-GB" w:eastAsia="en-GB"/>
        </w:rPr>
        <w:t xml:space="preserve"> debt to</w:t>
      </w:r>
      <w:r w:rsidR="007279B5" w:rsidRPr="003A377E">
        <w:rPr>
          <w:rFonts w:ascii="Times New Roman" w:eastAsia="Times New Roman" w:hAnsi="Times New Roman" w:cs="Times New Roman"/>
          <w:color w:val="000000"/>
          <w:spacing w:val="6"/>
          <w:sz w:val="24"/>
          <w:szCs w:val="24"/>
          <w:lang w:val="en-GB" w:eastAsia="en-GB"/>
        </w:rPr>
        <w:t xml:space="preserve"> Eskom</w:t>
      </w:r>
      <w:r w:rsidR="00C90915" w:rsidRPr="003A377E">
        <w:rPr>
          <w:rFonts w:ascii="Times New Roman" w:eastAsia="Times New Roman" w:hAnsi="Times New Roman" w:cs="Times New Roman"/>
          <w:color w:val="000000"/>
          <w:spacing w:val="6"/>
          <w:sz w:val="24"/>
          <w:szCs w:val="24"/>
          <w:lang w:val="en-GB" w:eastAsia="en-GB"/>
        </w:rPr>
        <w:t xml:space="preserve"> and g</w:t>
      </w:r>
      <w:r w:rsidRPr="003A377E">
        <w:rPr>
          <w:rFonts w:ascii="Times New Roman" w:eastAsia="Times New Roman" w:hAnsi="Times New Roman" w:cs="Times New Roman"/>
          <w:color w:val="000000"/>
          <w:spacing w:val="6"/>
          <w:sz w:val="24"/>
          <w:szCs w:val="24"/>
          <w:lang w:val="en-GB" w:eastAsia="en-GB"/>
        </w:rPr>
        <w:t>overnment departments</w:t>
      </w:r>
      <w:r w:rsidR="00C90915" w:rsidRPr="003A377E">
        <w:rPr>
          <w:rFonts w:ascii="Times New Roman" w:eastAsia="Times New Roman" w:hAnsi="Times New Roman" w:cs="Times New Roman"/>
          <w:color w:val="000000"/>
          <w:spacing w:val="6"/>
          <w:sz w:val="24"/>
          <w:szCs w:val="24"/>
          <w:lang w:val="en-GB" w:eastAsia="en-GB"/>
        </w:rPr>
        <w:t>’ debt owed to mu</w:t>
      </w:r>
      <w:r w:rsidRPr="003A377E">
        <w:rPr>
          <w:rFonts w:ascii="Times New Roman" w:eastAsia="Times New Roman" w:hAnsi="Times New Roman" w:cs="Times New Roman"/>
          <w:color w:val="000000"/>
          <w:spacing w:val="6"/>
          <w:sz w:val="24"/>
          <w:szCs w:val="24"/>
          <w:lang w:val="en-GB" w:eastAsia="en-GB"/>
        </w:rPr>
        <w:t>nicipalities</w:t>
      </w:r>
      <w:r w:rsidR="00083B92" w:rsidRPr="003A377E">
        <w:rPr>
          <w:rFonts w:ascii="Times New Roman" w:eastAsia="Times New Roman" w:hAnsi="Times New Roman" w:cs="Times New Roman"/>
          <w:color w:val="000000"/>
          <w:spacing w:val="6"/>
          <w:sz w:val="24"/>
          <w:szCs w:val="24"/>
          <w:lang w:val="en-GB" w:eastAsia="en-GB"/>
        </w:rPr>
        <w:t>. The Committee</w:t>
      </w:r>
      <w:r w:rsidR="0009382B" w:rsidRPr="003A377E">
        <w:rPr>
          <w:rFonts w:ascii="Times New Roman" w:eastAsia="Times New Roman" w:hAnsi="Times New Roman" w:cs="Times New Roman"/>
          <w:color w:val="000000"/>
          <w:spacing w:val="6"/>
          <w:sz w:val="24"/>
          <w:szCs w:val="24"/>
          <w:lang w:val="en-GB" w:eastAsia="en-GB"/>
        </w:rPr>
        <w:t xml:space="preserve"> is concerned with the s</w:t>
      </w:r>
      <w:r w:rsidR="00DE58D1" w:rsidRPr="003A377E">
        <w:rPr>
          <w:rFonts w:ascii="Times New Roman" w:eastAsia="Times New Roman" w:hAnsi="Times New Roman" w:cs="Times New Roman"/>
          <w:color w:val="000000"/>
          <w:spacing w:val="6"/>
          <w:sz w:val="24"/>
          <w:szCs w:val="24"/>
          <w:lang w:val="en-GB" w:eastAsia="en-GB"/>
        </w:rPr>
        <w:t>low p</w:t>
      </w:r>
      <w:r w:rsidR="00E615EC" w:rsidRPr="003A377E">
        <w:rPr>
          <w:rFonts w:ascii="Times New Roman" w:eastAsia="Times New Roman" w:hAnsi="Times New Roman" w:cs="Times New Roman"/>
          <w:color w:val="000000"/>
          <w:spacing w:val="6"/>
          <w:sz w:val="24"/>
          <w:szCs w:val="24"/>
          <w:lang w:val="en-GB" w:eastAsia="en-GB"/>
        </w:rPr>
        <w:t>rogress in resolving the</w:t>
      </w:r>
      <w:r w:rsidR="00AE18D2" w:rsidRPr="003A377E">
        <w:rPr>
          <w:rFonts w:ascii="Times New Roman" w:eastAsia="Times New Roman" w:hAnsi="Times New Roman" w:cs="Times New Roman"/>
          <w:color w:val="000000"/>
          <w:spacing w:val="6"/>
          <w:sz w:val="24"/>
          <w:szCs w:val="24"/>
          <w:lang w:val="en-GB" w:eastAsia="en-GB"/>
        </w:rPr>
        <w:t>s</w:t>
      </w:r>
      <w:r w:rsidR="00E615EC" w:rsidRPr="003A377E">
        <w:rPr>
          <w:rFonts w:ascii="Times New Roman" w:eastAsia="Times New Roman" w:hAnsi="Times New Roman" w:cs="Times New Roman"/>
          <w:color w:val="000000"/>
          <w:spacing w:val="6"/>
          <w:sz w:val="24"/>
          <w:szCs w:val="24"/>
          <w:lang w:val="en-GB" w:eastAsia="en-GB"/>
        </w:rPr>
        <w:t>e</w:t>
      </w:r>
      <w:r w:rsidR="00AE18D2" w:rsidRPr="003A377E">
        <w:rPr>
          <w:rFonts w:ascii="Times New Roman" w:eastAsia="Times New Roman" w:hAnsi="Times New Roman" w:cs="Times New Roman"/>
          <w:color w:val="000000"/>
          <w:spacing w:val="6"/>
          <w:sz w:val="24"/>
          <w:szCs w:val="24"/>
          <w:lang w:val="en-GB" w:eastAsia="en-GB"/>
        </w:rPr>
        <w:t xml:space="preserve"> matter</w:t>
      </w:r>
      <w:r w:rsidR="00E615EC" w:rsidRPr="003A377E">
        <w:rPr>
          <w:rFonts w:ascii="Times New Roman" w:eastAsia="Times New Roman" w:hAnsi="Times New Roman" w:cs="Times New Roman"/>
          <w:color w:val="000000"/>
          <w:spacing w:val="6"/>
          <w:sz w:val="24"/>
          <w:szCs w:val="24"/>
          <w:lang w:val="en-GB" w:eastAsia="en-GB"/>
        </w:rPr>
        <w:t>s</w:t>
      </w:r>
      <w:r w:rsidR="00B21C64" w:rsidRPr="003A377E">
        <w:rPr>
          <w:rFonts w:ascii="Times New Roman" w:eastAsia="Times New Roman" w:hAnsi="Times New Roman" w:cs="Times New Roman"/>
          <w:color w:val="000000"/>
          <w:spacing w:val="6"/>
          <w:sz w:val="24"/>
          <w:szCs w:val="24"/>
          <w:lang w:val="en-GB" w:eastAsia="en-GB"/>
        </w:rPr>
        <w:t xml:space="preserve">, as </w:t>
      </w:r>
      <w:r w:rsidR="00E615EC" w:rsidRPr="003A377E">
        <w:rPr>
          <w:rFonts w:ascii="Times New Roman" w:eastAsia="Times New Roman" w:hAnsi="Times New Roman" w:cs="Times New Roman"/>
          <w:color w:val="000000"/>
          <w:spacing w:val="6"/>
          <w:sz w:val="24"/>
          <w:szCs w:val="24"/>
          <w:lang w:val="en-GB" w:eastAsia="en-GB"/>
        </w:rPr>
        <w:t>their n</w:t>
      </w:r>
      <w:r w:rsidR="000119A0" w:rsidRPr="003A377E">
        <w:rPr>
          <w:rFonts w:ascii="Times New Roman" w:eastAsia="Times New Roman" w:hAnsi="Times New Roman" w:cs="Times New Roman"/>
          <w:color w:val="000000"/>
          <w:spacing w:val="6"/>
          <w:sz w:val="24"/>
          <w:szCs w:val="24"/>
          <w:lang w:val="en-GB" w:eastAsia="en-GB"/>
        </w:rPr>
        <w:t xml:space="preserve">egative </w:t>
      </w:r>
      <w:r w:rsidRPr="003A377E">
        <w:rPr>
          <w:rFonts w:ascii="Times New Roman" w:eastAsia="Times New Roman" w:hAnsi="Times New Roman" w:cs="Times New Roman"/>
          <w:color w:val="000000"/>
          <w:spacing w:val="6"/>
          <w:sz w:val="24"/>
          <w:szCs w:val="24"/>
          <w:lang w:val="en-GB" w:eastAsia="en-GB"/>
        </w:rPr>
        <w:t>impact on Eskom and mun</w:t>
      </w:r>
      <w:r w:rsidR="0055644C" w:rsidRPr="003A377E">
        <w:rPr>
          <w:rFonts w:ascii="Times New Roman" w:eastAsia="Times New Roman" w:hAnsi="Times New Roman" w:cs="Times New Roman"/>
          <w:color w:val="000000"/>
          <w:spacing w:val="6"/>
          <w:sz w:val="24"/>
          <w:szCs w:val="24"/>
          <w:lang w:val="en-GB" w:eastAsia="en-GB"/>
        </w:rPr>
        <w:t>icipal finances</w:t>
      </w:r>
      <w:r w:rsidRPr="003A377E">
        <w:rPr>
          <w:rFonts w:ascii="Times New Roman" w:eastAsia="Times New Roman" w:hAnsi="Times New Roman" w:cs="Times New Roman"/>
          <w:color w:val="000000"/>
          <w:spacing w:val="6"/>
          <w:sz w:val="24"/>
          <w:szCs w:val="24"/>
          <w:lang w:val="en-GB" w:eastAsia="en-GB"/>
        </w:rPr>
        <w:t xml:space="preserve"> is bound to affect service delivery.   </w:t>
      </w:r>
    </w:p>
    <w:p w:rsidR="00A25DA1" w:rsidRPr="003A377E" w:rsidRDefault="00A25DA1">
      <w:pPr>
        <w:tabs>
          <w:tab w:val="left" w:pos="7655"/>
        </w:tabs>
        <w:suppressAutoHyphens/>
        <w:autoSpaceDN w:val="0"/>
        <w:spacing w:after="0" w:line="360" w:lineRule="auto"/>
        <w:ind w:left="780"/>
        <w:jc w:val="both"/>
        <w:textAlignment w:val="baseline"/>
        <w:rPr>
          <w:rFonts w:ascii="Times New Roman" w:eastAsia="Times New Roman" w:hAnsi="Times New Roman" w:cs="Times New Roman"/>
          <w:color w:val="000000"/>
          <w:spacing w:val="6"/>
          <w:sz w:val="24"/>
          <w:szCs w:val="24"/>
          <w:lang w:val="en-GB" w:eastAsia="en-GB"/>
        </w:rPr>
      </w:pPr>
    </w:p>
    <w:p w:rsidR="00A25DA1" w:rsidRPr="003A377E" w:rsidRDefault="00A25DA1" w:rsidP="00123165">
      <w:pPr>
        <w:numPr>
          <w:ilvl w:val="1"/>
          <w:numId w:val="34"/>
        </w:numPr>
        <w:tabs>
          <w:tab w:val="left" w:pos="7655"/>
        </w:tabs>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 xml:space="preserve">The Committee notes Salga’s continuous efforts to empower municipalities through skills development workshops </w:t>
      </w:r>
      <w:r w:rsidR="009F4384" w:rsidRPr="003A377E">
        <w:rPr>
          <w:rFonts w:ascii="Times New Roman" w:eastAsia="Times New Roman" w:hAnsi="Times New Roman" w:cs="Times New Roman"/>
          <w:color w:val="000000"/>
          <w:spacing w:val="6"/>
          <w:sz w:val="24"/>
          <w:szCs w:val="24"/>
          <w:lang w:val="en-GB" w:eastAsia="en-GB"/>
        </w:rPr>
        <w:t xml:space="preserve">and other capacity building initiatives </w:t>
      </w:r>
      <w:r w:rsidR="00324F37" w:rsidRPr="003A377E">
        <w:rPr>
          <w:rFonts w:ascii="Times New Roman" w:eastAsia="Times New Roman" w:hAnsi="Times New Roman" w:cs="Times New Roman"/>
          <w:color w:val="000000"/>
          <w:spacing w:val="6"/>
          <w:sz w:val="24"/>
          <w:szCs w:val="24"/>
          <w:lang w:val="en-GB" w:eastAsia="en-GB"/>
        </w:rPr>
        <w:t>to ensure that funds a</w:t>
      </w:r>
      <w:r w:rsidRPr="003A377E">
        <w:rPr>
          <w:rFonts w:ascii="Times New Roman" w:eastAsia="Times New Roman" w:hAnsi="Times New Roman" w:cs="Times New Roman"/>
          <w:color w:val="000000"/>
          <w:spacing w:val="6"/>
          <w:sz w:val="24"/>
          <w:szCs w:val="24"/>
          <w:lang w:val="en-GB" w:eastAsia="en-GB"/>
        </w:rPr>
        <w:t>re spent eff</w:t>
      </w:r>
      <w:r w:rsidR="00F67531" w:rsidRPr="003A377E">
        <w:rPr>
          <w:rFonts w:ascii="Times New Roman" w:eastAsia="Times New Roman" w:hAnsi="Times New Roman" w:cs="Times New Roman"/>
          <w:color w:val="000000"/>
          <w:spacing w:val="6"/>
          <w:sz w:val="24"/>
          <w:szCs w:val="24"/>
          <w:lang w:val="en-GB" w:eastAsia="en-GB"/>
        </w:rPr>
        <w:t>ectively</w:t>
      </w:r>
      <w:r w:rsidR="00974FAB" w:rsidRPr="003A377E">
        <w:rPr>
          <w:rFonts w:ascii="Times New Roman" w:eastAsia="Times New Roman" w:hAnsi="Times New Roman" w:cs="Times New Roman"/>
          <w:color w:val="000000"/>
          <w:spacing w:val="6"/>
          <w:sz w:val="24"/>
          <w:szCs w:val="24"/>
          <w:lang w:val="en-GB" w:eastAsia="en-GB"/>
        </w:rPr>
        <w:t xml:space="preserve"> and</w:t>
      </w:r>
      <w:r w:rsidR="00F67531" w:rsidRPr="003A377E">
        <w:rPr>
          <w:rFonts w:ascii="Times New Roman" w:eastAsia="Times New Roman" w:hAnsi="Times New Roman" w:cs="Times New Roman"/>
          <w:color w:val="000000"/>
          <w:spacing w:val="6"/>
          <w:sz w:val="24"/>
          <w:szCs w:val="24"/>
          <w:lang w:val="en-GB" w:eastAsia="en-GB"/>
        </w:rPr>
        <w:t xml:space="preserve"> to address </w:t>
      </w:r>
      <w:r w:rsidRPr="003A377E">
        <w:rPr>
          <w:rFonts w:ascii="Times New Roman" w:eastAsia="Times New Roman" w:hAnsi="Times New Roman" w:cs="Times New Roman"/>
          <w:color w:val="000000"/>
          <w:spacing w:val="6"/>
          <w:sz w:val="24"/>
          <w:szCs w:val="24"/>
          <w:lang w:val="en-GB" w:eastAsia="en-GB"/>
        </w:rPr>
        <w:t xml:space="preserve">spending </w:t>
      </w:r>
      <w:r w:rsidR="00682364" w:rsidRPr="003A377E">
        <w:rPr>
          <w:rFonts w:ascii="Times New Roman" w:eastAsia="Times New Roman" w:hAnsi="Times New Roman" w:cs="Times New Roman"/>
          <w:color w:val="000000"/>
          <w:spacing w:val="6"/>
          <w:sz w:val="24"/>
          <w:szCs w:val="24"/>
          <w:lang w:val="en-GB" w:eastAsia="en-GB"/>
        </w:rPr>
        <w:t>challenges</w:t>
      </w:r>
      <w:r w:rsidR="00F67531" w:rsidRPr="003A377E">
        <w:rPr>
          <w:rFonts w:ascii="Times New Roman" w:eastAsia="Times New Roman" w:hAnsi="Times New Roman" w:cs="Times New Roman"/>
          <w:color w:val="000000"/>
          <w:spacing w:val="6"/>
          <w:sz w:val="24"/>
          <w:szCs w:val="24"/>
          <w:lang w:val="en-GB" w:eastAsia="en-GB"/>
        </w:rPr>
        <w:t xml:space="preserve"> </w:t>
      </w:r>
      <w:r w:rsidR="001C2A76" w:rsidRPr="003A377E">
        <w:rPr>
          <w:rFonts w:ascii="Times New Roman" w:eastAsia="Times New Roman" w:hAnsi="Times New Roman" w:cs="Times New Roman"/>
          <w:color w:val="000000"/>
          <w:spacing w:val="6"/>
          <w:sz w:val="24"/>
          <w:szCs w:val="24"/>
          <w:lang w:val="en-GB" w:eastAsia="en-GB"/>
        </w:rPr>
        <w:t>on infrastructure grants in</w:t>
      </w:r>
      <w:r w:rsidRPr="003A377E">
        <w:rPr>
          <w:rFonts w:ascii="Times New Roman" w:eastAsia="Times New Roman" w:hAnsi="Times New Roman" w:cs="Times New Roman"/>
          <w:color w:val="000000"/>
          <w:spacing w:val="6"/>
          <w:sz w:val="24"/>
          <w:szCs w:val="24"/>
          <w:lang w:val="en-GB" w:eastAsia="en-GB"/>
        </w:rPr>
        <w:t xml:space="preserve"> some</w:t>
      </w:r>
      <w:r w:rsidR="00F87FCE" w:rsidRPr="003A377E">
        <w:rPr>
          <w:rFonts w:ascii="Times New Roman" w:eastAsia="Times New Roman" w:hAnsi="Times New Roman" w:cs="Times New Roman"/>
          <w:color w:val="000000"/>
          <w:spacing w:val="6"/>
          <w:sz w:val="24"/>
          <w:szCs w:val="24"/>
          <w:lang w:val="en-GB" w:eastAsia="en-GB"/>
        </w:rPr>
        <w:t xml:space="preserve"> municipalities and</w:t>
      </w:r>
      <w:r w:rsidRPr="003A377E">
        <w:rPr>
          <w:rFonts w:ascii="Times New Roman" w:eastAsia="Times New Roman" w:hAnsi="Times New Roman" w:cs="Times New Roman"/>
          <w:color w:val="000000"/>
          <w:spacing w:val="6"/>
          <w:sz w:val="24"/>
          <w:szCs w:val="24"/>
          <w:lang w:val="en-GB" w:eastAsia="en-GB"/>
        </w:rPr>
        <w:t xml:space="preserve"> non</w:t>
      </w:r>
      <w:r w:rsidR="0054402E" w:rsidRPr="003A377E">
        <w:rPr>
          <w:rFonts w:ascii="Times New Roman" w:eastAsia="Times New Roman" w:hAnsi="Times New Roman" w:cs="Times New Roman"/>
          <w:color w:val="000000"/>
          <w:spacing w:val="6"/>
          <w:sz w:val="24"/>
          <w:szCs w:val="24"/>
          <w:lang w:val="en-GB" w:eastAsia="en-GB"/>
        </w:rPr>
        <w:t>-</w:t>
      </w:r>
      <w:r w:rsidRPr="003A377E">
        <w:rPr>
          <w:rFonts w:ascii="Times New Roman" w:eastAsia="Times New Roman" w:hAnsi="Times New Roman" w:cs="Times New Roman"/>
          <w:color w:val="000000"/>
          <w:spacing w:val="6"/>
          <w:sz w:val="24"/>
          <w:szCs w:val="24"/>
          <w:lang w:val="en-GB" w:eastAsia="en-GB"/>
        </w:rPr>
        <w:t>compliance with certain condi</w:t>
      </w:r>
      <w:r w:rsidR="000E6BC7" w:rsidRPr="003A377E">
        <w:rPr>
          <w:rFonts w:ascii="Times New Roman" w:eastAsia="Times New Roman" w:hAnsi="Times New Roman" w:cs="Times New Roman"/>
          <w:color w:val="000000"/>
          <w:spacing w:val="6"/>
          <w:sz w:val="24"/>
          <w:szCs w:val="24"/>
          <w:lang w:val="en-GB" w:eastAsia="en-GB"/>
        </w:rPr>
        <w:t>tio</w:t>
      </w:r>
      <w:r w:rsidR="00F87FCE" w:rsidRPr="003A377E">
        <w:rPr>
          <w:rFonts w:ascii="Times New Roman" w:eastAsia="Times New Roman" w:hAnsi="Times New Roman" w:cs="Times New Roman"/>
          <w:color w:val="000000"/>
          <w:spacing w:val="6"/>
          <w:sz w:val="24"/>
          <w:szCs w:val="24"/>
          <w:lang w:val="en-GB" w:eastAsia="en-GB"/>
        </w:rPr>
        <w:t>nal grant frameworks, such as</w:t>
      </w:r>
      <w:r w:rsidRPr="003A377E">
        <w:rPr>
          <w:rFonts w:ascii="Times New Roman" w:eastAsia="Times New Roman" w:hAnsi="Times New Roman" w:cs="Times New Roman"/>
          <w:color w:val="000000"/>
          <w:spacing w:val="6"/>
          <w:sz w:val="24"/>
          <w:szCs w:val="24"/>
          <w:lang w:val="en-GB" w:eastAsia="en-GB"/>
        </w:rPr>
        <w:t xml:space="preserve"> </w:t>
      </w:r>
      <w:r w:rsidR="0026115B" w:rsidRPr="003A377E">
        <w:rPr>
          <w:rFonts w:ascii="Times New Roman" w:eastAsia="Times New Roman" w:hAnsi="Times New Roman" w:cs="Times New Roman"/>
          <w:color w:val="000000"/>
          <w:spacing w:val="6"/>
          <w:sz w:val="24"/>
          <w:szCs w:val="24"/>
          <w:lang w:val="en-GB" w:eastAsia="en-GB"/>
        </w:rPr>
        <w:t>100 percent expenditure being</w:t>
      </w:r>
      <w:r w:rsidRPr="003A377E">
        <w:rPr>
          <w:rFonts w:ascii="Times New Roman" w:eastAsia="Times New Roman" w:hAnsi="Times New Roman" w:cs="Times New Roman"/>
          <w:color w:val="000000"/>
          <w:spacing w:val="6"/>
          <w:sz w:val="24"/>
          <w:szCs w:val="24"/>
          <w:lang w:val="en-GB" w:eastAsia="en-GB"/>
        </w:rPr>
        <w:t xml:space="preserve"> reported without appro</w:t>
      </w:r>
      <w:r w:rsidR="00B271E6" w:rsidRPr="003A377E">
        <w:rPr>
          <w:rFonts w:ascii="Times New Roman" w:eastAsia="Times New Roman" w:hAnsi="Times New Roman" w:cs="Times New Roman"/>
          <w:color w:val="000000"/>
          <w:spacing w:val="6"/>
          <w:sz w:val="24"/>
          <w:szCs w:val="24"/>
          <w:lang w:val="en-GB" w:eastAsia="en-GB"/>
        </w:rPr>
        <w:t xml:space="preserve">ved operational plans </w:t>
      </w:r>
      <w:r w:rsidR="00C63E85" w:rsidRPr="003A377E">
        <w:rPr>
          <w:rFonts w:ascii="Times New Roman" w:eastAsia="Times New Roman" w:hAnsi="Times New Roman" w:cs="Times New Roman"/>
          <w:color w:val="000000"/>
          <w:spacing w:val="6"/>
          <w:sz w:val="24"/>
          <w:szCs w:val="24"/>
          <w:lang w:val="en-GB" w:eastAsia="en-GB"/>
        </w:rPr>
        <w:t xml:space="preserve">being </w:t>
      </w:r>
      <w:r w:rsidR="00B271E6" w:rsidRPr="003A377E">
        <w:rPr>
          <w:rFonts w:ascii="Times New Roman" w:eastAsia="Times New Roman" w:hAnsi="Times New Roman" w:cs="Times New Roman"/>
          <w:color w:val="000000"/>
          <w:spacing w:val="6"/>
          <w:sz w:val="24"/>
          <w:szCs w:val="24"/>
          <w:lang w:val="en-GB" w:eastAsia="en-GB"/>
        </w:rPr>
        <w:t>in place</w:t>
      </w:r>
      <w:r w:rsidRPr="003A377E">
        <w:rPr>
          <w:rFonts w:ascii="Times New Roman" w:eastAsia="Times New Roman" w:hAnsi="Times New Roman" w:cs="Times New Roman"/>
          <w:color w:val="000000"/>
          <w:spacing w:val="6"/>
          <w:sz w:val="24"/>
          <w:szCs w:val="24"/>
          <w:lang w:val="en-GB" w:eastAsia="en-GB"/>
        </w:rPr>
        <w:t>.</w:t>
      </w:r>
      <w:r w:rsidR="00B271E6" w:rsidRPr="003A377E">
        <w:rPr>
          <w:rFonts w:ascii="Times New Roman" w:eastAsia="Times New Roman" w:hAnsi="Times New Roman" w:cs="Times New Roman"/>
          <w:color w:val="000000"/>
          <w:spacing w:val="6"/>
          <w:sz w:val="24"/>
          <w:szCs w:val="24"/>
          <w:lang w:val="en-GB" w:eastAsia="en-GB"/>
        </w:rPr>
        <w:t xml:space="preserve"> </w:t>
      </w:r>
      <w:r w:rsidRPr="003A377E">
        <w:rPr>
          <w:rFonts w:ascii="Times New Roman" w:eastAsia="Times New Roman" w:hAnsi="Times New Roman" w:cs="Times New Roman"/>
          <w:color w:val="000000"/>
          <w:spacing w:val="6"/>
          <w:sz w:val="24"/>
          <w:szCs w:val="24"/>
          <w:lang w:val="en-GB" w:eastAsia="en-GB"/>
        </w:rPr>
        <w:t xml:space="preserve">  </w:t>
      </w:r>
    </w:p>
    <w:p w:rsidR="00A25DA1" w:rsidRPr="003A377E" w:rsidRDefault="00A25DA1">
      <w:pPr>
        <w:tabs>
          <w:tab w:val="left" w:pos="7655"/>
        </w:tabs>
        <w:suppressAutoHyphens/>
        <w:autoSpaceDN w:val="0"/>
        <w:spacing w:after="0" w:line="360" w:lineRule="auto"/>
        <w:ind w:left="780"/>
        <w:jc w:val="both"/>
        <w:textAlignment w:val="baseline"/>
        <w:rPr>
          <w:rFonts w:ascii="Times New Roman" w:eastAsia="Times New Roman" w:hAnsi="Times New Roman" w:cs="Times New Roman"/>
          <w:color w:val="000000"/>
          <w:spacing w:val="6"/>
          <w:sz w:val="24"/>
          <w:szCs w:val="24"/>
          <w:lang w:eastAsia="en-GB"/>
        </w:rPr>
      </w:pPr>
    </w:p>
    <w:p w:rsidR="00A25DA1" w:rsidRPr="003A377E" w:rsidRDefault="00A25DA1" w:rsidP="00123165">
      <w:pPr>
        <w:numPr>
          <w:ilvl w:val="1"/>
          <w:numId w:val="34"/>
        </w:numPr>
        <w:tabs>
          <w:tab w:val="left" w:pos="7655"/>
        </w:tabs>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The Committee notes Salga’s relationship with tr</w:t>
      </w:r>
      <w:r w:rsidR="00C33A19" w:rsidRPr="003A377E">
        <w:rPr>
          <w:rFonts w:ascii="Times New Roman" w:eastAsia="Times New Roman" w:hAnsi="Times New Roman" w:cs="Times New Roman"/>
          <w:color w:val="000000"/>
          <w:spacing w:val="6"/>
          <w:sz w:val="24"/>
          <w:szCs w:val="24"/>
          <w:lang w:val="en-GB" w:eastAsia="en-GB"/>
        </w:rPr>
        <w:t>aditional leadership structures and</w:t>
      </w:r>
      <w:r w:rsidRPr="003A377E">
        <w:rPr>
          <w:rFonts w:ascii="Times New Roman" w:eastAsia="Times New Roman" w:hAnsi="Times New Roman" w:cs="Times New Roman"/>
          <w:color w:val="000000"/>
          <w:spacing w:val="6"/>
          <w:sz w:val="24"/>
          <w:szCs w:val="24"/>
          <w:lang w:val="en-GB" w:eastAsia="en-GB"/>
        </w:rPr>
        <w:t xml:space="preserve"> the fact that chairpers</w:t>
      </w:r>
      <w:r w:rsidR="00974FAB" w:rsidRPr="003A377E">
        <w:rPr>
          <w:rFonts w:ascii="Times New Roman" w:eastAsia="Times New Roman" w:hAnsi="Times New Roman" w:cs="Times New Roman"/>
          <w:color w:val="000000"/>
          <w:spacing w:val="6"/>
          <w:sz w:val="24"/>
          <w:szCs w:val="24"/>
          <w:lang w:val="en-GB" w:eastAsia="en-GB"/>
        </w:rPr>
        <w:t>ons of traditional houses form</w:t>
      </w:r>
      <w:r w:rsidRPr="003A377E">
        <w:rPr>
          <w:rFonts w:ascii="Times New Roman" w:eastAsia="Times New Roman" w:hAnsi="Times New Roman" w:cs="Times New Roman"/>
          <w:color w:val="000000"/>
          <w:spacing w:val="6"/>
          <w:sz w:val="24"/>
          <w:szCs w:val="24"/>
          <w:lang w:val="en-GB" w:eastAsia="en-GB"/>
        </w:rPr>
        <w:t xml:space="preserve"> part of Salga’s Provincial Executive Committees </w:t>
      </w:r>
      <w:r w:rsidR="00974FAB" w:rsidRPr="003A377E">
        <w:rPr>
          <w:rFonts w:ascii="Times New Roman" w:eastAsia="Times New Roman" w:hAnsi="Times New Roman" w:cs="Times New Roman"/>
          <w:color w:val="000000"/>
          <w:spacing w:val="6"/>
          <w:sz w:val="24"/>
          <w:szCs w:val="24"/>
          <w:lang w:val="en-GB" w:eastAsia="en-GB"/>
        </w:rPr>
        <w:t>(PECs) and si</w:t>
      </w:r>
      <w:r w:rsidR="00C33A19" w:rsidRPr="003A377E">
        <w:rPr>
          <w:rFonts w:ascii="Times New Roman" w:eastAsia="Times New Roman" w:hAnsi="Times New Roman" w:cs="Times New Roman"/>
          <w:color w:val="000000"/>
          <w:spacing w:val="6"/>
          <w:sz w:val="24"/>
          <w:szCs w:val="24"/>
          <w:lang w:val="en-GB" w:eastAsia="en-GB"/>
        </w:rPr>
        <w:t>t</w:t>
      </w:r>
      <w:r w:rsidRPr="003A377E">
        <w:rPr>
          <w:rFonts w:ascii="Times New Roman" w:eastAsia="Times New Roman" w:hAnsi="Times New Roman" w:cs="Times New Roman"/>
          <w:color w:val="000000"/>
          <w:spacing w:val="6"/>
          <w:sz w:val="24"/>
          <w:szCs w:val="24"/>
          <w:lang w:val="en-GB" w:eastAsia="en-GB"/>
        </w:rPr>
        <w:t xml:space="preserve"> in </w:t>
      </w:r>
      <w:r w:rsidR="00C33A19" w:rsidRPr="003A377E">
        <w:rPr>
          <w:rFonts w:ascii="Times New Roman" w:eastAsia="Times New Roman" w:hAnsi="Times New Roman" w:cs="Times New Roman"/>
          <w:color w:val="000000"/>
          <w:spacing w:val="6"/>
          <w:sz w:val="24"/>
          <w:szCs w:val="24"/>
          <w:lang w:val="en-GB" w:eastAsia="en-GB"/>
        </w:rPr>
        <w:t xml:space="preserve">municipal </w:t>
      </w:r>
      <w:r w:rsidRPr="003A377E">
        <w:rPr>
          <w:rFonts w:ascii="Times New Roman" w:eastAsia="Times New Roman" w:hAnsi="Times New Roman" w:cs="Times New Roman"/>
          <w:color w:val="000000"/>
          <w:spacing w:val="6"/>
          <w:sz w:val="24"/>
          <w:szCs w:val="24"/>
          <w:lang w:val="en-GB" w:eastAsia="en-GB"/>
        </w:rPr>
        <w:t xml:space="preserve">councils of several municipalities, particularly </w:t>
      </w:r>
      <w:r w:rsidR="00C33A19" w:rsidRPr="003A377E">
        <w:rPr>
          <w:rFonts w:ascii="Times New Roman" w:eastAsia="Times New Roman" w:hAnsi="Times New Roman" w:cs="Times New Roman"/>
          <w:color w:val="000000"/>
          <w:spacing w:val="6"/>
          <w:sz w:val="24"/>
          <w:szCs w:val="24"/>
          <w:lang w:val="en-GB" w:eastAsia="en-GB"/>
        </w:rPr>
        <w:t xml:space="preserve">in the </w:t>
      </w:r>
      <w:r w:rsidRPr="003A377E">
        <w:rPr>
          <w:rFonts w:ascii="Times New Roman" w:eastAsia="Times New Roman" w:hAnsi="Times New Roman" w:cs="Times New Roman"/>
          <w:color w:val="000000"/>
          <w:spacing w:val="6"/>
          <w:sz w:val="24"/>
          <w:szCs w:val="24"/>
          <w:lang w:val="en-GB" w:eastAsia="en-GB"/>
        </w:rPr>
        <w:t>district municipalitie</w:t>
      </w:r>
      <w:r w:rsidR="00C33A19" w:rsidRPr="003A377E">
        <w:rPr>
          <w:rFonts w:ascii="Times New Roman" w:eastAsia="Times New Roman" w:hAnsi="Times New Roman" w:cs="Times New Roman"/>
          <w:color w:val="000000"/>
          <w:spacing w:val="6"/>
          <w:sz w:val="24"/>
          <w:szCs w:val="24"/>
          <w:lang w:val="en-GB" w:eastAsia="en-GB"/>
        </w:rPr>
        <w:t>s</w:t>
      </w:r>
      <w:r w:rsidR="00974FAB" w:rsidRPr="003A377E">
        <w:rPr>
          <w:rFonts w:ascii="Times New Roman" w:eastAsia="Times New Roman" w:hAnsi="Times New Roman" w:cs="Times New Roman"/>
          <w:color w:val="000000"/>
          <w:spacing w:val="6"/>
          <w:sz w:val="24"/>
          <w:szCs w:val="24"/>
          <w:lang w:val="en-GB" w:eastAsia="en-GB"/>
        </w:rPr>
        <w:t>,</w:t>
      </w:r>
      <w:r w:rsidR="00C33A19" w:rsidRPr="003A377E">
        <w:rPr>
          <w:rFonts w:ascii="Times New Roman" w:eastAsia="Times New Roman" w:hAnsi="Times New Roman" w:cs="Times New Roman"/>
          <w:color w:val="000000"/>
          <w:spacing w:val="6"/>
          <w:sz w:val="24"/>
          <w:szCs w:val="24"/>
          <w:lang w:val="en-GB" w:eastAsia="en-GB"/>
        </w:rPr>
        <w:t xml:space="preserve"> with full participation</w:t>
      </w:r>
      <w:r w:rsidRPr="003A377E">
        <w:rPr>
          <w:rFonts w:ascii="Times New Roman" w:eastAsia="Times New Roman" w:hAnsi="Times New Roman" w:cs="Times New Roman"/>
          <w:color w:val="000000"/>
          <w:spacing w:val="6"/>
          <w:sz w:val="24"/>
          <w:szCs w:val="24"/>
          <w:lang w:val="en-GB" w:eastAsia="en-GB"/>
        </w:rPr>
        <w:t>. The Commi</w:t>
      </w:r>
      <w:r w:rsidR="00974FAB" w:rsidRPr="003A377E">
        <w:rPr>
          <w:rFonts w:ascii="Times New Roman" w:eastAsia="Times New Roman" w:hAnsi="Times New Roman" w:cs="Times New Roman"/>
          <w:color w:val="000000"/>
          <w:spacing w:val="6"/>
          <w:sz w:val="24"/>
          <w:szCs w:val="24"/>
          <w:lang w:val="en-GB" w:eastAsia="en-GB"/>
        </w:rPr>
        <w:t>ttee further notes</w:t>
      </w:r>
      <w:r w:rsidR="00C33A19" w:rsidRPr="003A377E">
        <w:rPr>
          <w:rFonts w:ascii="Times New Roman" w:eastAsia="Times New Roman" w:hAnsi="Times New Roman" w:cs="Times New Roman"/>
          <w:color w:val="000000"/>
          <w:spacing w:val="6"/>
          <w:sz w:val="24"/>
          <w:szCs w:val="24"/>
          <w:lang w:val="en-GB" w:eastAsia="en-GB"/>
        </w:rPr>
        <w:t xml:space="preserve"> that Salga i</w:t>
      </w:r>
      <w:r w:rsidRPr="003A377E">
        <w:rPr>
          <w:rFonts w:ascii="Times New Roman" w:eastAsia="Times New Roman" w:hAnsi="Times New Roman" w:cs="Times New Roman"/>
          <w:color w:val="000000"/>
          <w:spacing w:val="6"/>
          <w:sz w:val="24"/>
          <w:szCs w:val="24"/>
          <w:lang w:val="en-GB" w:eastAsia="en-GB"/>
        </w:rPr>
        <w:t>s not involved in the budgetary</w:t>
      </w:r>
      <w:r w:rsidR="00C33A19" w:rsidRPr="003A377E">
        <w:rPr>
          <w:rFonts w:ascii="Times New Roman" w:eastAsia="Times New Roman" w:hAnsi="Times New Roman" w:cs="Times New Roman"/>
          <w:color w:val="000000"/>
          <w:spacing w:val="6"/>
          <w:sz w:val="24"/>
          <w:szCs w:val="24"/>
          <w:lang w:val="en-GB" w:eastAsia="en-GB"/>
        </w:rPr>
        <w:t xml:space="preserve"> process </w:t>
      </w:r>
      <w:r w:rsidRPr="003A377E">
        <w:rPr>
          <w:rFonts w:ascii="Times New Roman" w:eastAsia="Times New Roman" w:hAnsi="Times New Roman" w:cs="Times New Roman"/>
          <w:color w:val="000000"/>
          <w:spacing w:val="6"/>
          <w:sz w:val="24"/>
          <w:szCs w:val="24"/>
          <w:lang w:val="en-GB" w:eastAsia="en-GB"/>
        </w:rPr>
        <w:t>of t</w:t>
      </w:r>
      <w:r w:rsidR="005739D7" w:rsidRPr="003A377E">
        <w:rPr>
          <w:rFonts w:ascii="Times New Roman" w:eastAsia="Times New Roman" w:hAnsi="Times New Roman" w:cs="Times New Roman"/>
          <w:color w:val="000000"/>
          <w:spacing w:val="6"/>
          <w:sz w:val="24"/>
          <w:szCs w:val="24"/>
          <w:lang w:val="en-GB" w:eastAsia="en-GB"/>
        </w:rPr>
        <w:t xml:space="preserve">raditional councils, but </w:t>
      </w:r>
      <w:r w:rsidR="00C33A19" w:rsidRPr="003A377E">
        <w:rPr>
          <w:rFonts w:ascii="Times New Roman" w:eastAsia="Times New Roman" w:hAnsi="Times New Roman" w:cs="Times New Roman"/>
          <w:color w:val="000000"/>
          <w:spacing w:val="6"/>
          <w:sz w:val="24"/>
          <w:szCs w:val="24"/>
          <w:lang w:val="en-GB" w:eastAsia="en-GB"/>
        </w:rPr>
        <w:t>does</w:t>
      </w:r>
      <w:r w:rsidRPr="003A377E">
        <w:rPr>
          <w:rFonts w:ascii="Times New Roman" w:eastAsia="Times New Roman" w:hAnsi="Times New Roman" w:cs="Times New Roman"/>
          <w:color w:val="000000"/>
          <w:spacing w:val="6"/>
          <w:sz w:val="24"/>
          <w:szCs w:val="24"/>
          <w:lang w:val="en-GB" w:eastAsia="en-GB"/>
        </w:rPr>
        <w:t xml:space="preserve"> assist with fundraising for traditional activities and other</w:t>
      </w:r>
      <w:r w:rsidR="00D46D52" w:rsidRPr="003A377E">
        <w:rPr>
          <w:rFonts w:ascii="Times New Roman" w:eastAsia="Times New Roman" w:hAnsi="Times New Roman" w:cs="Times New Roman"/>
          <w:color w:val="000000"/>
          <w:spacing w:val="6"/>
          <w:sz w:val="24"/>
          <w:szCs w:val="24"/>
          <w:lang w:val="en-GB" w:eastAsia="en-GB"/>
        </w:rPr>
        <w:t xml:space="preserve"> in-kind initiatives</w:t>
      </w:r>
      <w:r w:rsidRPr="003A377E">
        <w:rPr>
          <w:rFonts w:ascii="Times New Roman" w:eastAsia="Times New Roman" w:hAnsi="Times New Roman" w:cs="Times New Roman"/>
          <w:color w:val="000000"/>
          <w:spacing w:val="6"/>
          <w:sz w:val="24"/>
          <w:szCs w:val="24"/>
          <w:lang w:val="en-GB" w:eastAsia="en-GB"/>
        </w:rPr>
        <w:t>.</w:t>
      </w:r>
      <w:r w:rsidR="00D46D52" w:rsidRPr="003A377E">
        <w:rPr>
          <w:rFonts w:ascii="Times New Roman" w:eastAsia="Times New Roman" w:hAnsi="Times New Roman" w:cs="Times New Roman"/>
          <w:color w:val="000000"/>
          <w:spacing w:val="6"/>
          <w:sz w:val="24"/>
          <w:szCs w:val="24"/>
          <w:lang w:val="en-GB" w:eastAsia="en-GB"/>
        </w:rPr>
        <w:t xml:space="preserve"> </w:t>
      </w:r>
    </w:p>
    <w:p w:rsidR="00A25DA1" w:rsidRPr="003A377E" w:rsidRDefault="00A25DA1">
      <w:pPr>
        <w:tabs>
          <w:tab w:val="left" w:pos="7655"/>
        </w:tabs>
        <w:suppressAutoHyphens/>
        <w:autoSpaceDN w:val="0"/>
        <w:spacing w:after="0" w:line="360" w:lineRule="auto"/>
        <w:ind w:left="780"/>
        <w:jc w:val="both"/>
        <w:textAlignment w:val="baseline"/>
        <w:rPr>
          <w:rFonts w:ascii="Times New Roman" w:eastAsia="Times New Roman" w:hAnsi="Times New Roman" w:cs="Times New Roman"/>
          <w:color w:val="000000"/>
          <w:spacing w:val="6"/>
          <w:sz w:val="24"/>
          <w:szCs w:val="24"/>
          <w:lang w:eastAsia="en-GB"/>
        </w:rPr>
      </w:pPr>
    </w:p>
    <w:p w:rsidR="00A25DA1" w:rsidRPr="003A377E" w:rsidRDefault="000878FE" w:rsidP="00123165">
      <w:pPr>
        <w:pStyle w:val="ListParagraph"/>
        <w:numPr>
          <w:ilvl w:val="1"/>
          <w:numId w:val="34"/>
        </w:numPr>
        <w:tabs>
          <w:tab w:val="left" w:pos="7655"/>
        </w:tabs>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The Committee believes that the user pay</w:t>
      </w:r>
      <w:r w:rsidR="00E615EC" w:rsidRPr="003A377E">
        <w:rPr>
          <w:rFonts w:ascii="Times New Roman" w:eastAsia="Times New Roman" w:hAnsi="Times New Roman" w:cs="Times New Roman"/>
          <w:color w:val="000000"/>
          <w:spacing w:val="6"/>
          <w:sz w:val="24"/>
          <w:szCs w:val="24"/>
          <w:lang w:val="en-GB" w:eastAsia="en-GB"/>
        </w:rPr>
        <w:t>s</w:t>
      </w:r>
      <w:r w:rsidRPr="003A377E">
        <w:rPr>
          <w:rFonts w:ascii="Times New Roman" w:eastAsia="Times New Roman" w:hAnsi="Times New Roman" w:cs="Times New Roman"/>
          <w:color w:val="000000"/>
          <w:spacing w:val="6"/>
          <w:sz w:val="24"/>
          <w:szCs w:val="24"/>
          <w:lang w:val="en-GB" w:eastAsia="en-GB"/>
        </w:rPr>
        <w:t xml:space="preserve"> principle i</w:t>
      </w:r>
      <w:r w:rsidR="00A25DA1" w:rsidRPr="003A377E">
        <w:rPr>
          <w:rFonts w:ascii="Times New Roman" w:eastAsia="Times New Roman" w:hAnsi="Times New Roman" w:cs="Times New Roman"/>
          <w:color w:val="000000"/>
          <w:spacing w:val="6"/>
          <w:sz w:val="24"/>
          <w:szCs w:val="24"/>
          <w:lang w:val="en-GB" w:eastAsia="en-GB"/>
        </w:rPr>
        <w:t xml:space="preserve">s a </w:t>
      </w:r>
      <w:r w:rsidR="00D42E50" w:rsidRPr="003A377E">
        <w:rPr>
          <w:rFonts w:ascii="Times New Roman" w:eastAsia="Times New Roman" w:hAnsi="Times New Roman" w:cs="Times New Roman"/>
          <w:color w:val="000000"/>
          <w:spacing w:val="6"/>
          <w:sz w:val="24"/>
          <w:szCs w:val="24"/>
          <w:lang w:val="en-GB" w:eastAsia="en-GB"/>
        </w:rPr>
        <w:t xml:space="preserve">critical </w:t>
      </w:r>
      <w:r w:rsidR="00A25DA1" w:rsidRPr="003A377E">
        <w:rPr>
          <w:rFonts w:ascii="Times New Roman" w:eastAsia="Times New Roman" w:hAnsi="Times New Roman" w:cs="Times New Roman"/>
          <w:color w:val="000000"/>
          <w:spacing w:val="6"/>
          <w:sz w:val="24"/>
          <w:szCs w:val="24"/>
          <w:lang w:val="en-GB" w:eastAsia="en-GB"/>
        </w:rPr>
        <w:t>mechanism to assist municipalities an</w:t>
      </w:r>
      <w:r w:rsidR="00A95592" w:rsidRPr="003A377E">
        <w:rPr>
          <w:rFonts w:ascii="Times New Roman" w:eastAsia="Times New Roman" w:hAnsi="Times New Roman" w:cs="Times New Roman"/>
          <w:color w:val="000000"/>
          <w:spacing w:val="6"/>
          <w:sz w:val="24"/>
          <w:szCs w:val="24"/>
          <w:lang w:val="en-GB" w:eastAsia="en-GB"/>
        </w:rPr>
        <w:t xml:space="preserve">d </w:t>
      </w:r>
      <w:r w:rsidRPr="003A377E">
        <w:rPr>
          <w:rFonts w:ascii="Times New Roman" w:eastAsia="Times New Roman" w:hAnsi="Times New Roman" w:cs="Times New Roman"/>
          <w:color w:val="000000"/>
          <w:spacing w:val="6"/>
          <w:sz w:val="24"/>
          <w:szCs w:val="24"/>
          <w:lang w:val="en-GB" w:eastAsia="en-GB"/>
        </w:rPr>
        <w:t>other public entities to generate</w:t>
      </w:r>
      <w:r w:rsidR="004D14CB" w:rsidRPr="003A377E">
        <w:rPr>
          <w:rFonts w:ascii="Times New Roman" w:eastAsia="Times New Roman" w:hAnsi="Times New Roman" w:cs="Times New Roman"/>
          <w:color w:val="000000"/>
          <w:spacing w:val="6"/>
          <w:sz w:val="24"/>
          <w:szCs w:val="24"/>
          <w:lang w:val="en-GB" w:eastAsia="en-GB"/>
        </w:rPr>
        <w:t xml:space="preserve"> revenues to</w:t>
      </w:r>
      <w:r w:rsidR="00A25DA1" w:rsidRPr="003A377E">
        <w:rPr>
          <w:rFonts w:ascii="Times New Roman" w:eastAsia="Times New Roman" w:hAnsi="Times New Roman" w:cs="Times New Roman"/>
          <w:color w:val="000000"/>
          <w:spacing w:val="6"/>
          <w:sz w:val="24"/>
          <w:szCs w:val="24"/>
          <w:lang w:val="en-GB" w:eastAsia="en-GB"/>
        </w:rPr>
        <w:t xml:space="preserve"> be self-sufficient </w:t>
      </w:r>
      <w:r w:rsidRPr="003A377E">
        <w:rPr>
          <w:rFonts w:ascii="Times New Roman" w:eastAsia="Times New Roman" w:hAnsi="Times New Roman" w:cs="Times New Roman"/>
          <w:color w:val="000000"/>
          <w:spacing w:val="6"/>
          <w:sz w:val="24"/>
          <w:szCs w:val="24"/>
          <w:lang w:val="en-GB" w:eastAsia="en-GB"/>
        </w:rPr>
        <w:t xml:space="preserve">and </w:t>
      </w:r>
      <w:r w:rsidR="00A25DA1" w:rsidRPr="003A377E">
        <w:rPr>
          <w:rFonts w:ascii="Times New Roman" w:eastAsia="Times New Roman" w:hAnsi="Times New Roman" w:cs="Times New Roman"/>
          <w:color w:val="000000"/>
          <w:spacing w:val="6"/>
          <w:sz w:val="24"/>
          <w:szCs w:val="24"/>
          <w:lang w:val="en-GB" w:eastAsia="en-GB"/>
        </w:rPr>
        <w:t xml:space="preserve">therefore, it remains concerned about the fact that </w:t>
      </w:r>
      <w:r w:rsidR="00E615EC" w:rsidRPr="003A377E">
        <w:rPr>
          <w:rFonts w:ascii="Times New Roman" w:eastAsia="Times New Roman" w:hAnsi="Times New Roman" w:cs="Times New Roman"/>
          <w:color w:val="000000"/>
          <w:spacing w:val="6"/>
          <w:sz w:val="24"/>
          <w:szCs w:val="24"/>
          <w:lang w:val="en-GB" w:eastAsia="en-GB"/>
        </w:rPr>
        <w:t xml:space="preserve">the </w:t>
      </w:r>
      <w:r w:rsidR="00A25DA1" w:rsidRPr="003A377E">
        <w:rPr>
          <w:rFonts w:ascii="Times New Roman" w:eastAsia="Times New Roman" w:hAnsi="Times New Roman" w:cs="Times New Roman"/>
          <w:color w:val="000000"/>
          <w:spacing w:val="6"/>
          <w:sz w:val="24"/>
          <w:szCs w:val="24"/>
          <w:lang w:val="en-GB" w:eastAsia="en-GB"/>
        </w:rPr>
        <w:t>local government equitable share (LGES), which is meant to fund free basic services for the poor (indigent), is in fact subsidising the delivery of services across t</w:t>
      </w:r>
      <w:r w:rsidR="0088548E" w:rsidRPr="003A377E">
        <w:rPr>
          <w:rFonts w:ascii="Times New Roman" w:eastAsia="Times New Roman" w:hAnsi="Times New Roman" w:cs="Times New Roman"/>
          <w:color w:val="000000"/>
          <w:spacing w:val="6"/>
          <w:sz w:val="24"/>
          <w:szCs w:val="24"/>
          <w:lang w:val="en-GB" w:eastAsia="en-GB"/>
        </w:rPr>
        <w:t>he board, includin</w:t>
      </w:r>
      <w:r w:rsidR="00A634D6" w:rsidRPr="003A377E">
        <w:rPr>
          <w:rFonts w:ascii="Times New Roman" w:eastAsia="Times New Roman" w:hAnsi="Times New Roman" w:cs="Times New Roman"/>
          <w:color w:val="000000"/>
          <w:spacing w:val="6"/>
          <w:sz w:val="24"/>
          <w:szCs w:val="24"/>
          <w:lang w:val="en-GB" w:eastAsia="en-GB"/>
        </w:rPr>
        <w:t>g to those who</w:t>
      </w:r>
      <w:r w:rsidR="00A25DA1" w:rsidRPr="003A377E">
        <w:rPr>
          <w:rFonts w:ascii="Times New Roman" w:eastAsia="Times New Roman" w:hAnsi="Times New Roman" w:cs="Times New Roman"/>
          <w:color w:val="000000"/>
          <w:spacing w:val="6"/>
          <w:sz w:val="24"/>
          <w:szCs w:val="24"/>
          <w:lang w:val="en-GB" w:eastAsia="en-GB"/>
        </w:rPr>
        <w:t xml:space="preserve"> can afford to pay.</w:t>
      </w:r>
      <w:r w:rsidR="00E66EF5" w:rsidRPr="003A377E">
        <w:rPr>
          <w:rFonts w:ascii="Times New Roman" w:eastAsia="Times New Roman" w:hAnsi="Times New Roman" w:cs="Times New Roman"/>
          <w:color w:val="000000"/>
          <w:spacing w:val="6"/>
          <w:sz w:val="24"/>
          <w:szCs w:val="24"/>
          <w:lang w:val="en-GB" w:eastAsia="en-GB"/>
        </w:rPr>
        <w:t xml:space="preserve"> </w:t>
      </w:r>
      <w:r w:rsidR="0020044D" w:rsidRPr="003A377E">
        <w:rPr>
          <w:rFonts w:ascii="Times New Roman" w:eastAsia="Times New Roman" w:hAnsi="Times New Roman" w:cs="Times New Roman"/>
          <w:color w:val="000000"/>
          <w:spacing w:val="6"/>
          <w:sz w:val="24"/>
          <w:szCs w:val="24"/>
          <w:lang w:val="en-GB" w:eastAsia="en-GB"/>
        </w:rPr>
        <w:t>This further defeats the objectives</w:t>
      </w:r>
      <w:r w:rsidR="00E66EF5" w:rsidRPr="003A377E">
        <w:rPr>
          <w:rFonts w:ascii="Times New Roman" w:eastAsia="Times New Roman" w:hAnsi="Times New Roman" w:cs="Times New Roman"/>
          <w:color w:val="000000"/>
          <w:spacing w:val="6"/>
          <w:sz w:val="24"/>
          <w:szCs w:val="24"/>
          <w:lang w:val="en-GB" w:eastAsia="en-GB"/>
        </w:rPr>
        <w:t xml:space="preserve"> of </w:t>
      </w:r>
      <w:r w:rsidR="00E615EC" w:rsidRPr="003A377E">
        <w:rPr>
          <w:rFonts w:ascii="Times New Roman" w:eastAsia="Times New Roman" w:hAnsi="Times New Roman" w:cs="Times New Roman"/>
          <w:color w:val="000000"/>
          <w:spacing w:val="6"/>
          <w:sz w:val="24"/>
          <w:szCs w:val="24"/>
          <w:lang w:val="en-GB" w:eastAsia="en-GB"/>
        </w:rPr>
        <w:t xml:space="preserve">the </w:t>
      </w:r>
      <w:r w:rsidR="00C63E85" w:rsidRPr="003A377E">
        <w:rPr>
          <w:rFonts w:ascii="Times New Roman" w:eastAsia="Times New Roman" w:hAnsi="Times New Roman" w:cs="Times New Roman"/>
          <w:color w:val="000000"/>
          <w:spacing w:val="6"/>
          <w:sz w:val="24"/>
          <w:szCs w:val="24"/>
          <w:lang w:val="en-GB" w:eastAsia="en-GB"/>
        </w:rPr>
        <w:t>cross-</w:t>
      </w:r>
      <w:r w:rsidR="00E66EF5" w:rsidRPr="003A377E">
        <w:rPr>
          <w:rFonts w:ascii="Times New Roman" w:eastAsia="Times New Roman" w:hAnsi="Times New Roman" w:cs="Times New Roman"/>
          <w:color w:val="000000"/>
          <w:spacing w:val="6"/>
          <w:sz w:val="24"/>
          <w:szCs w:val="24"/>
          <w:lang w:val="en-GB" w:eastAsia="en-GB"/>
        </w:rPr>
        <w:t>subsidisation principle</w:t>
      </w:r>
      <w:r w:rsidR="006D51B4" w:rsidRPr="003A377E">
        <w:rPr>
          <w:rFonts w:ascii="Times New Roman" w:eastAsia="Times New Roman" w:hAnsi="Times New Roman" w:cs="Times New Roman"/>
          <w:color w:val="000000"/>
          <w:spacing w:val="6"/>
          <w:sz w:val="24"/>
          <w:szCs w:val="24"/>
          <w:lang w:val="en-GB" w:eastAsia="en-GB"/>
        </w:rPr>
        <w:t>, which aims</w:t>
      </w:r>
      <w:r w:rsidR="00D32489" w:rsidRPr="003A377E">
        <w:rPr>
          <w:rFonts w:ascii="Times New Roman" w:eastAsia="Times New Roman" w:hAnsi="Times New Roman" w:cs="Times New Roman"/>
          <w:color w:val="000000"/>
          <w:spacing w:val="6"/>
          <w:sz w:val="24"/>
          <w:szCs w:val="24"/>
          <w:lang w:val="en-GB" w:eastAsia="en-GB"/>
        </w:rPr>
        <w:t xml:space="preserve"> to </w:t>
      </w:r>
      <w:r w:rsidR="0020044D" w:rsidRPr="003A377E">
        <w:rPr>
          <w:rFonts w:ascii="Times New Roman" w:eastAsia="Times New Roman" w:hAnsi="Times New Roman" w:cs="Times New Roman"/>
          <w:color w:val="000000"/>
          <w:spacing w:val="6"/>
          <w:sz w:val="24"/>
          <w:szCs w:val="24"/>
          <w:lang w:val="en-GB" w:eastAsia="en-GB"/>
        </w:rPr>
        <w:t>assist</w:t>
      </w:r>
      <w:r w:rsidR="00D32489" w:rsidRPr="003A377E">
        <w:rPr>
          <w:rFonts w:ascii="Times New Roman" w:eastAsia="Times New Roman" w:hAnsi="Times New Roman" w:cs="Times New Roman"/>
          <w:color w:val="000000"/>
          <w:spacing w:val="6"/>
          <w:sz w:val="24"/>
          <w:szCs w:val="24"/>
          <w:lang w:val="en-GB" w:eastAsia="en-GB"/>
        </w:rPr>
        <w:t xml:space="preserve"> the </w:t>
      </w:r>
      <w:r w:rsidR="0020044D" w:rsidRPr="003A377E">
        <w:rPr>
          <w:rFonts w:ascii="Times New Roman" w:eastAsia="Times New Roman" w:hAnsi="Times New Roman" w:cs="Times New Roman"/>
          <w:color w:val="000000"/>
          <w:spacing w:val="6"/>
          <w:sz w:val="24"/>
          <w:szCs w:val="24"/>
          <w:lang w:val="en-GB" w:eastAsia="en-GB"/>
        </w:rPr>
        <w:t>most vulnerable and</w:t>
      </w:r>
      <w:r w:rsidR="00E1120D" w:rsidRPr="003A377E">
        <w:rPr>
          <w:rFonts w:ascii="Times New Roman" w:eastAsia="Times New Roman" w:hAnsi="Times New Roman" w:cs="Times New Roman"/>
          <w:color w:val="000000"/>
          <w:spacing w:val="6"/>
          <w:sz w:val="24"/>
          <w:szCs w:val="24"/>
          <w:lang w:val="en-GB" w:eastAsia="en-GB"/>
        </w:rPr>
        <w:t xml:space="preserve"> needy</w:t>
      </w:r>
      <w:r w:rsidR="00D32489" w:rsidRPr="003A377E">
        <w:rPr>
          <w:rFonts w:ascii="Times New Roman" w:eastAsia="Times New Roman" w:hAnsi="Times New Roman" w:cs="Times New Roman"/>
          <w:color w:val="000000"/>
          <w:spacing w:val="6"/>
          <w:sz w:val="24"/>
          <w:szCs w:val="24"/>
          <w:lang w:val="en-GB" w:eastAsia="en-GB"/>
        </w:rPr>
        <w:t xml:space="preserve"> communities</w:t>
      </w:r>
      <w:r w:rsidR="00E66EF5" w:rsidRPr="003A377E">
        <w:rPr>
          <w:rFonts w:ascii="Times New Roman" w:eastAsia="Times New Roman" w:hAnsi="Times New Roman" w:cs="Times New Roman"/>
          <w:color w:val="000000"/>
          <w:spacing w:val="6"/>
          <w:sz w:val="24"/>
          <w:szCs w:val="24"/>
          <w:lang w:val="en-GB" w:eastAsia="en-GB"/>
        </w:rPr>
        <w:t>.</w:t>
      </w:r>
      <w:r w:rsidR="00D32489" w:rsidRPr="003A377E">
        <w:rPr>
          <w:rFonts w:ascii="Times New Roman" w:eastAsia="Times New Roman" w:hAnsi="Times New Roman" w:cs="Times New Roman"/>
          <w:color w:val="000000"/>
          <w:spacing w:val="6"/>
          <w:sz w:val="24"/>
          <w:szCs w:val="24"/>
          <w:lang w:val="en-GB" w:eastAsia="en-GB"/>
        </w:rPr>
        <w:t xml:space="preserve"> </w:t>
      </w:r>
      <w:r w:rsidR="00E66EF5" w:rsidRPr="003A377E">
        <w:rPr>
          <w:rFonts w:ascii="Times New Roman" w:eastAsia="Times New Roman" w:hAnsi="Times New Roman" w:cs="Times New Roman"/>
          <w:color w:val="000000"/>
          <w:spacing w:val="6"/>
          <w:sz w:val="24"/>
          <w:szCs w:val="24"/>
          <w:lang w:val="en-GB" w:eastAsia="en-GB"/>
        </w:rPr>
        <w:t xml:space="preserve"> </w:t>
      </w:r>
    </w:p>
    <w:p w:rsidR="00A25DA1" w:rsidRPr="003A377E" w:rsidRDefault="00A25DA1" w:rsidP="006B30A6">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eastAsia="en-GB"/>
        </w:rPr>
      </w:pPr>
    </w:p>
    <w:p w:rsidR="00A25DA1" w:rsidRPr="003A377E" w:rsidRDefault="00A25DA1"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r w:rsidRPr="003A377E">
        <w:rPr>
          <w:rFonts w:ascii="Times New Roman" w:eastAsia="Times New Roman" w:hAnsi="Times New Roman" w:cs="Times New Roman"/>
          <w:color w:val="000000"/>
          <w:spacing w:val="6"/>
          <w:sz w:val="24"/>
          <w:szCs w:val="24"/>
          <w:lang w:eastAsia="en-GB"/>
        </w:rPr>
        <w:t>Whilst the Committee notes Salga’s undertaking to continue</w:t>
      </w:r>
      <w:r w:rsidRPr="003A377E">
        <w:rPr>
          <w:rFonts w:ascii="Times New Roman" w:eastAsia="Times New Roman" w:hAnsi="Times New Roman" w:cs="Times New Roman"/>
          <w:color w:val="000000"/>
          <w:spacing w:val="6"/>
          <w:sz w:val="24"/>
          <w:szCs w:val="24"/>
          <w:lang w:val="en-GB" w:eastAsia="en-GB"/>
        </w:rPr>
        <w:t xml:space="preserve"> implementing its National Exe</w:t>
      </w:r>
      <w:r w:rsidR="0017579E" w:rsidRPr="003A377E">
        <w:rPr>
          <w:rFonts w:ascii="Times New Roman" w:eastAsia="Times New Roman" w:hAnsi="Times New Roman" w:cs="Times New Roman"/>
          <w:color w:val="000000"/>
          <w:spacing w:val="6"/>
          <w:sz w:val="24"/>
          <w:szCs w:val="24"/>
          <w:lang w:val="en-GB" w:eastAsia="en-GB"/>
        </w:rPr>
        <w:t>cutive Council (NEC) resolution</w:t>
      </w:r>
      <w:r w:rsidRPr="003A377E">
        <w:rPr>
          <w:rFonts w:ascii="Times New Roman" w:eastAsia="Times New Roman" w:hAnsi="Times New Roman" w:cs="Times New Roman"/>
          <w:color w:val="000000"/>
          <w:spacing w:val="6"/>
          <w:sz w:val="24"/>
          <w:szCs w:val="24"/>
          <w:lang w:val="en-GB" w:eastAsia="en-GB"/>
        </w:rPr>
        <w:t xml:space="preserve"> relating to accountability and consequence management for wrongdoing at municipalities, it</w:t>
      </w:r>
      <w:r w:rsidRPr="003A377E">
        <w:rPr>
          <w:rFonts w:ascii="Times New Roman" w:eastAsia="Times New Roman" w:hAnsi="Times New Roman" w:cs="Times New Roman"/>
          <w:color w:val="000000"/>
          <w:spacing w:val="6"/>
          <w:sz w:val="24"/>
          <w:szCs w:val="24"/>
          <w:lang w:eastAsia="en-GB"/>
        </w:rPr>
        <w:t xml:space="preserve"> remains concerned that Salga does not have legislative powers to sanction individual councillors </w:t>
      </w:r>
      <w:r w:rsidR="0017579E" w:rsidRPr="003A377E">
        <w:rPr>
          <w:rFonts w:ascii="Times New Roman" w:eastAsia="Times New Roman" w:hAnsi="Times New Roman" w:cs="Times New Roman"/>
          <w:color w:val="000000"/>
          <w:spacing w:val="6"/>
          <w:sz w:val="24"/>
          <w:szCs w:val="24"/>
          <w:lang w:eastAsia="en-GB"/>
        </w:rPr>
        <w:t>to fast-track</w:t>
      </w:r>
      <w:r w:rsidR="00335B57" w:rsidRPr="003A377E">
        <w:rPr>
          <w:rFonts w:ascii="Times New Roman" w:eastAsia="Times New Roman" w:hAnsi="Times New Roman" w:cs="Times New Roman"/>
          <w:color w:val="000000"/>
          <w:spacing w:val="6"/>
          <w:sz w:val="24"/>
          <w:szCs w:val="24"/>
          <w:lang w:eastAsia="en-GB"/>
        </w:rPr>
        <w:t xml:space="preserve"> such intervention</w:t>
      </w:r>
      <w:r w:rsidR="00E615EC" w:rsidRPr="003A377E">
        <w:rPr>
          <w:rFonts w:ascii="Times New Roman" w:eastAsia="Times New Roman" w:hAnsi="Times New Roman" w:cs="Times New Roman"/>
          <w:color w:val="000000"/>
          <w:spacing w:val="6"/>
          <w:sz w:val="24"/>
          <w:szCs w:val="24"/>
          <w:lang w:eastAsia="en-GB"/>
        </w:rPr>
        <w:t>s</w:t>
      </w:r>
      <w:r w:rsidR="0017579E" w:rsidRPr="003A377E">
        <w:rPr>
          <w:rFonts w:ascii="Times New Roman" w:eastAsia="Times New Roman" w:hAnsi="Times New Roman" w:cs="Times New Roman"/>
          <w:color w:val="000000"/>
          <w:spacing w:val="6"/>
          <w:sz w:val="24"/>
          <w:szCs w:val="24"/>
          <w:lang w:eastAsia="en-GB"/>
        </w:rPr>
        <w:t xml:space="preserve">, </w:t>
      </w:r>
      <w:r w:rsidR="001205CC" w:rsidRPr="003A377E">
        <w:rPr>
          <w:rFonts w:ascii="Times New Roman" w:eastAsia="Times New Roman" w:hAnsi="Times New Roman" w:cs="Times New Roman"/>
          <w:color w:val="000000"/>
          <w:spacing w:val="6"/>
          <w:sz w:val="24"/>
          <w:szCs w:val="24"/>
          <w:lang w:eastAsia="en-GB"/>
        </w:rPr>
        <w:t>since its</w:t>
      </w:r>
      <w:r w:rsidRPr="003A377E">
        <w:rPr>
          <w:rFonts w:ascii="Times New Roman" w:eastAsia="Times New Roman" w:hAnsi="Times New Roman" w:cs="Times New Roman"/>
          <w:color w:val="000000"/>
          <w:spacing w:val="6"/>
          <w:sz w:val="24"/>
          <w:szCs w:val="24"/>
          <w:lang w:eastAsia="en-GB"/>
        </w:rPr>
        <w:t xml:space="preserve"> mandate </w:t>
      </w:r>
      <w:r w:rsidR="001205CC" w:rsidRPr="003A377E">
        <w:rPr>
          <w:rFonts w:ascii="Times New Roman" w:eastAsia="Times New Roman" w:hAnsi="Times New Roman" w:cs="Times New Roman"/>
          <w:color w:val="000000"/>
          <w:spacing w:val="6"/>
          <w:sz w:val="24"/>
          <w:szCs w:val="24"/>
          <w:lang w:eastAsia="en-GB"/>
        </w:rPr>
        <w:t xml:space="preserve">only </w:t>
      </w:r>
      <w:r w:rsidR="00E615EC" w:rsidRPr="003A377E">
        <w:rPr>
          <w:rFonts w:ascii="Times New Roman" w:eastAsia="Times New Roman" w:hAnsi="Times New Roman" w:cs="Times New Roman"/>
          <w:color w:val="000000"/>
          <w:spacing w:val="6"/>
          <w:sz w:val="24"/>
          <w:szCs w:val="24"/>
          <w:lang w:eastAsia="en-GB"/>
        </w:rPr>
        <w:t>includes</w:t>
      </w:r>
      <w:r w:rsidRPr="003A377E">
        <w:rPr>
          <w:rFonts w:ascii="Times New Roman" w:eastAsia="Times New Roman" w:hAnsi="Times New Roman" w:cs="Times New Roman"/>
          <w:color w:val="000000"/>
          <w:spacing w:val="6"/>
          <w:sz w:val="24"/>
          <w:szCs w:val="24"/>
          <w:lang w:eastAsia="en-GB"/>
        </w:rPr>
        <w:t xml:space="preserve"> lobbying; advocacy; and capacity building for its members. </w:t>
      </w:r>
    </w:p>
    <w:p w:rsidR="00A25DA1" w:rsidRPr="003A377E" w:rsidRDefault="00A25DA1">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eastAsia="en-GB"/>
        </w:rPr>
      </w:pPr>
    </w:p>
    <w:p w:rsidR="00A25DA1" w:rsidRPr="003A377E" w:rsidRDefault="00A25DA1"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r w:rsidRPr="003A377E">
        <w:rPr>
          <w:rFonts w:ascii="Times New Roman" w:eastAsia="Times New Roman" w:hAnsi="Times New Roman" w:cs="Times New Roman"/>
          <w:color w:val="000000"/>
          <w:spacing w:val="6"/>
          <w:sz w:val="24"/>
          <w:szCs w:val="24"/>
          <w:lang w:val="en-GB" w:eastAsia="en-GB"/>
        </w:rPr>
        <w:t xml:space="preserve">The Committee remains concerned about the increasing trend where direct conditional grants are </w:t>
      </w:r>
      <w:r w:rsidR="00E615EC" w:rsidRPr="003A377E">
        <w:rPr>
          <w:rFonts w:ascii="Times New Roman" w:eastAsia="Times New Roman" w:hAnsi="Times New Roman" w:cs="Times New Roman"/>
          <w:color w:val="000000"/>
          <w:spacing w:val="6"/>
          <w:sz w:val="24"/>
          <w:szCs w:val="24"/>
          <w:lang w:val="en-GB" w:eastAsia="en-GB"/>
        </w:rPr>
        <w:t>convert</w:t>
      </w:r>
      <w:r w:rsidR="00DB2935" w:rsidRPr="003A377E">
        <w:rPr>
          <w:rFonts w:ascii="Times New Roman" w:eastAsia="Times New Roman" w:hAnsi="Times New Roman" w:cs="Times New Roman"/>
          <w:color w:val="000000"/>
          <w:spacing w:val="6"/>
          <w:sz w:val="24"/>
          <w:szCs w:val="24"/>
          <w:lang w:val="en-GB" w:eastAsia="en-GB"/>
        </w:rPr>
        <w:t xml:space="preserve">ed into indirect </w:t>
      </w:r>
      <w:r w:rsidRPr="003A377E">
        <w:rPr>
          <w:rFonts w:ascii="Times New Roman" w:eastAsia="Times New Roman" w:hAnsi="Times New Roman" w:cs="Times New Roman"/>
          <w:color w:val="000000"/>
          <w:spacing w:val="6"/>
          <w:sz w:val="24"/>
          <w:szCs w:val="24"/>
          <w:lang w:val="en-GB" w:eastAsia="en-GB"/>
        </w:rPr>
        <w:t>grant</w:t>
      </w:r>
      <w:r w:rsidR="00E615EC" w:rsidRPr="003A377E">
        <w:rPr>
          <w:rFonts w:ascii="Times New Roman" w:eastAsia="Times New Roman" w:hAnsi="Times New Roman" w:cs="Times New Roman"/>
          <w:color w:val="000000"/>
          <w:spacing w:val="6"/>
          <w:sz w:val="24"/>
          <w:szCs w:val="24"/>
          <w:lang w:val="en-GB" w:eastAsia="en-GB"/>
        </w:rPr>
        <w:t>s</w:t>
      </w:r>
      <w:r w:rsidRPr="003A377E">
        <w:rPr>
          <w:rFonts w:ascii="Times New Roman" w:eastAsia="Times New Roman" w:hAnsi="Times New Roman" w:cs="Times New Roman"/>
          <w:color w:val="000000"/>
          <w:spacing w:val="6"/>
          <w:sz w:val="24"/>
          <w:szCs w:val="24"/>
          <w:lang w:val="en-GB" w:eastAsia="en-GB"/>
        </w:rPr>
        <w:t xml:space="preserve"> for both the provincial and local </w:t>
      </w:r>
      <w:r w:rsidRPr="003A377E">
        <w:rPr>
          <w:rFonts w:ascii="Times New Roman" w:eastAsia="Times New Roman" w:hAnsi="Times New Roman" w:cs="Times New Roman"/>
          <w:color w:val="000000"/>
          <w:spacing w:val="6"/>
          <w:sz w:val="24"/>
          <w:szCs w:val="24"/>
          <w:lang w:val="en-GB" w:eastAsia="en-GB"/>
        </w:rPr>
        <w:lastRenderedPageBreak/>
        <w:t>government spheres, so that their allocations seem to have incr</w:t>
      </w:r>
      <w:r w:rsidR="00E615EC" w:rsidRPr="003A377E">
        <w:rPr>
          <w:rFonts w:ascii="Times New Roman" w:eastAsia="Times New Roman" w:hAnsi="Times New Roman" w:cs="Times New Roman"/>
          <w:color w:val="000000"/>
          <w:spacing w:val="6"/>
          <w:sz w:val="24"/>
          <w:szCs w:val="24"/>
          <w:lang w:val="en-GB" w:eastAsia="en-GB"/>
        </w:rPr>
        <w:t xml:space="preserve">eased, while the funds remain </w:t>
      </w:r>
      <w:r w:rsidRPr="003A377E">
        <w:rPr>
          <w:rFonts w:ascii="Times New Roman" w:eastAsia="Times New Roman" w:hAnsi="Times New Roman" w:cs="Times New Roman"/>
          <w:color w:val="000000"/>
          <w:spacing w:val="6"/>
          <w:sz w:val="24"/>
          <w:szCs w:val="24"/>
          <w:lang w:val="en-GB" w:eastAsia="en-GB"/>
        </w:rPr>
        <w:t>with the national departments. The Committee is of the view tha</w:t>
      </w:r>
      <w:r w:rsidR="00E615EC" w:rsidRPr="003A377E">
        <w:rPr>
          <w:rFonts w:ascii="Times New Roman" w:eastAsia="Times New Roman" w:hAnsi="Times New Roman" w:cs="Times New Roman"/>
          <w:color w:val="000000"/>
          <w:spacing w:val="6"/>
          <w:sz w:val="24"/>
          <w:szCs w:val="24"/>
          <w:lang w:val="en-GB" w:eastAsia="en-GB"/>
        </w:rPr>
        <w:t>t</w:t>
      </w:r>
      <w:r w:rsidRPr="003A377E">
        <w:rPr>
          <w:rFonts w:ascii="Times New Roman" w:eastAsia="Times New Roman" w:hAnsi="Times New Roman" w:cs="Times New Roman"/>
          <w:color w:val="000000"/>
          <w:spacing w:val="6"/>
          <w:sz w:val="24"/>
          <w:szCs w:val="24"/>
          <w:lang w:val="en-GB" w:eastAsia="en-GB"/>
        </w:rPr>
        <w:t xml:space="preserve"> national departments should only intervene </w:t>
      </w:r>
      <w:r w:rsidR="00120358" w:rsidRPr="003A377E">
        <w:rPr>
          <w:rFonts w:ascii="Times New Roman" w:eastAsia="Times New Roman" w:hAnsi="Times New Roman" w:cs="Times New Roman"/>
          <w:color w:val="000000"/>
          <w:spacing w:val="6"/>
          <w:sz w:val="24"/>
          <w:szCs w:val="24"/>
          <w:lang w:val="en-GB" w:eastAsia="en-GB"/>
        </w:rPr>
        <w:t>where</w:t>
      </w:r>
      <w:r w:rsidR="00C63E85" w:rsidRPr="003A377E">
        <w:rPr>
          <w:rFonts w:ascii="Times New Roman" w:eastAsia="Times New Roman" w:hAnsi="Times New Roman" w:cs="Times New Roman"/>
          <w:color w:val="000000"/>
          <w:spacing w:val="6"/>
          <w:sz w:val="24"/>
          <w:szCs w:val="24"/>
          <w:lang w:val="en-GB" w:eastAsia="en-GB"/>
        </w:rPr>
        <w:t xml:space="preserve"> absolutely</w:t>
      </w:r>
      <w:r w:rsidR="00120358" w:rsidRPr="003A377E">
        <w:rPr>
          <w:rFonts w:ascii="Times New Roman" w:eastAsia="Times New Roman" w:hAnsi="Times New Roman" w:cs="Times New Roman"/>
          <w:color w:val="000000"/>
          <w:spacing w:val="6"/>
          <w:sz w:val="24"/>
          <w:szCs w:val="24"/>
          <w:lang w:val="en-GB" w:eastAsia="en-GB"/>
        </w:rPr>
        <w:t xml:space="preserve"> necessary</w:t>
      </w:r>
      <w:r w:rsidR="00C63E85" w:rsidRPr="003A377E">
        <w:rPr>
          <w:rFonts w:ascii="Times New Roman" w:eastAsia="Times New Roman" w:hAnsi="Times New Roman" w:cs="Times New Roman"/>
          <w:color w:val="000000"/>
          <w:spacing w:val="6"/>
          <w:sz w:val="24"/>
          <w:szCs w:val="24"/>
          <w:lang w:val="en-GB" w:eastAsia="en-GB"/>
        </w:rPr>
        <w:t>,</w:t>
      </w:r>
      <w:r w:rsidR="00120358" w:rsidRPr="003A377E">
        <w:rPr>
          <w:rFonts w:ascii="Times New Roman" w:eastAsia="Times New Roman" w:hAnsi="Times New Roman" w:cs="Times New Roman"/>
          <w:color w:val="000000"/>
          <w:spacing w:val="6"/>
          <w:sz w:val="24"/>
          <w:szCs w:val="24"/>
          <w:lang w:val="en-GB" w:eastAsia="en-GB"/>
        </w:rPr>
        <w:t xml:space="preserve"> not</w:t>
      </w:r>
      <w:r w:rsidRPr="003A377E">
        <w:rPr>
          <w:rFonts w:ascii="Times New Roman" w:eastAsia="Times New Roman" w:hAnsi="Times New Roman" w:cs="Times New Roman"/>
          <w:color w:val="000000"/>
          <w:spacing w:val="6"/>
          <w:sz w:val="24"/>
          <w:szCs w:val="24"/>
          <w:lang w:val="en-GB" w:eastAsia="en-GB"/>
        </w:rPr>
        <w:t>withstanding t</w:t>
      </w:r>
      <w:r w:rsidR="00120358" w:rsidRPr="003A377E">
        <w:rPr>
          <w:rFonts w:ascii="Times New Roman" w:eastAsia="Times New Roman" w:hAnsi="Times New Roman" w:cs="Times New Roman"/>
          <w:color w:val="000000"/>
          <w:spacing w:val="6"/>
          <w:sz w:val="24"/>
          <w:szCs w:val="24"/>
          <w:lang w:val="en-GB" w:eastAsia="en-GB"/>
        </w:rPr>
        <w:t xml:space="preserve">he fact that some </w:t>
      </w:r>
      <w:r w:rsidR="00E615EC" w:rsidRPr="003A377E">
        <w:rPr>
          <w:rFonts w:ascii="Times New Roman" w:eastAsia="Times New Roman" w:hAnsi="Times New Roman" w:cs="Times New Roman"/>
          <w:color w:val="000000"/>
          <w:spacing w:val="6"/>
          <w:sz w:val="24"/>
          <w:szCs w:val="24"/>
          <w:lang w:val="en-GB" w:eastAsia="en-GB"/>
        </w:rPr>
        <w:t xml:space="preserve">departments </w:t>
      </w:r>
      <w:r w:rsidR="00120358" w:rsidRPr="003A377E">
        <w:rPr>
          <w:rFonts w:ascii="Times New Roman" w:eastAsia="Times New Roman" w:hAnsi="Times New Roman" w:cs="Times New Roman"/>
          <w:color w:val="000000"/>
          <w:spacing w:val="6"/>
          <w:sz w:val="24"/>
          <w:szCs w:val="24"/>
          <w:lang w:val="en-GB" w:eastAsia="en-GB"/>
        </w:rPr>
        <w:t xml:space="preserve">might also </w:t>
      </w:r>
      <w:r w:rsidRPr="003A377E">
        <w:rPr>
          <w:rFonts w:ascii="Times New Roman" w:eastAsia="Times New Roman" w:hAnsi="Times New Roman" w:cs="Times New Roman"/>
          <w:color w:val="000000"/>
          <w:spacing w:val="6"/>
          <w:sz w:val="24"/>
          <w:szCs w:val="24"/>
          <w:lang w:val="en-GB" w:eastAsia="en-GB"/>
        </w:rPr>
        <w:t xml:space="preserve">have their </w:t>
      </w:r>
      <w:r w:rsidR="00120358" w:rsidRPr="003A377E">
        <w:rPr>
          <w:rFonts w:ascii="Times New Roman" w:eastAsia="Times New Roman" w:hAnsi="Times New Roman" w:cs="Times New Roman"/>
          <w:color w:val="000000"/>
          <w:spacing w:val="6"/>
          <w:sz w:val="24"/>
          <w:szCs w:val="24"/>
          <w:lang w:val="en-GB" w:eastAsia="en-GB"/>
        </w:rPr>
        <w:t xml:space="preserve">own </w:t>
      </w:r>
      <w:r w:rsidRPr="003A377E">
        <w:rPr>
          <w:rFonts w:ascii="Times New Roman" w:eastAsia="Times New Roman" w:hAnsi="Times New Roman" w:cs="Times New Roman"/>
          <w:color w:val="000000"/>
          <w:spacing w:val="6"/>
          <w:sz w:val="24"/>
          <w:szCs w:val="24"/>
          <w:lang w:val="en-GB" w:eastAsia="en-GB"/>
        </w:rPr>
        <w:t xml:space="preserve">capacity challenges, which may continue to impact on indirect grant spending. </w:t>
      </w:r>
    </w:p>
    <w:p w:rsidR="00A25DA1" w:rsidRPr="003A377E" w:rsidRDefault="00A25DA1">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eastAsia="en-GB"/>
        </w:rPr>
      </w:pPr>
    </w:p>
    <w:p w:rsidR="00A25DA1" w:rsidRPr="003A377E" w:rsidRDefault="00A25DA1" w:rsidP="00123165">
      <w:pPr>
        <w:numPr>
          <w:ilvl w:val="1"/>
          <w:numId w:val="34"/>
        </w:numPr>
        <w:tabs>
          <w:tab w:val="left" w:pos="6398"/>
        </w:tabs>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 xml:space="preserve">The Committee </w:t>
      </w:r>
      <w:r w:rsidR="00E615EC" w:rsidRPr="003A377E">
        <w:rPr>
          <w:rFonts w:ascii="Times New Roman" w:eastAsia="Times New Roman" w:hAnsi="Times New Roman" w:cs="Times New Roman"/>
          <w:color w:val="000000"/>
          <w:spacing w:val="6"/>
          <w:sz w:val="24"/>
          <w:szCs w:val="24"/>
          <w:lang w:val="en-GB" w:eastAsia="en-GB"/>
        </w:rPr>
        <w:t>shares the</w:t>
      </w:r>
      <w:r w:rsidRPr="003A377E">
        <w:rPr>
          <w:rFonts w:ascii="Times New Roman" w:eastAsia="Times New Roman" w:hAnsi="Times New Roman" w:cs="Times New Roman"/>
          <w:color w:val="000000"/>
          <w:spacing w:val="6"/>
          <w:sz w:val="24"/>
          <w:szCs w:val="24"/>
          <w:lang w:val="en-GB" w:eastAsia="en-GB"/>
        </w:rPr>
        <w:t xml:space="preserve"> Financial and Fiscal Commission’s (FFC</w:t>
      </w:r>
      <w:r w:rsidR="00E615EC" w:rsidRPr="003A377E">
        <w:rPr>
          <w:rFonts w:ascii="Times New Roman" w:eastAsia="Times New Roman" w:hAnsi="Times New Roman" w:cs="Times New Roman"/>
          <w:color w:val="000000"/>
          <w:spacing w:val="6"/>
          <w:sz w:val="24"/>
          <w:szCs w:val="24"/>
          <w:lang w:val="en-GB" w:eastAsia="en-GB"/>
        </w:rPr>
        <w:t>’s</w:t>
      </w:r>
      <w:r w:rsidRPr="003A377E">
        <w:rPr>
          <w:rFonts w:ascii="Times New Roman" w:eastAsia="Times New Roman" w:hAnsi="Times New Roman" w:cs="Times New Roman"/>
          <w:color w:val="000000"/>
          <w:spacing w:val="6"/>
          <w:sz w:val="24"/>
          <w:szCs w:val="24"/>
          <w:lang w:val="en-GB" w:eastAsia="en-GB"/>
        </w:rPr>
        <w:t>) concern over the fact that infrastructure grant allocations, specifically for local government, decline over the medium term</w:t>
      </w:r>
      <w:r w:rsidR="006A6DA2" w:rsidRPr="003A377E">
        <w:rPr>
          <w:rFonts w:ascii="Times New Roman" w:eastAsia="Times New Roman" w:hAnsi="Times New Roman" w:cs="Times New Roman"/>
          <w:color w:val="000000"/>
          <w:spacing w:val="6"/>
          <w:sz w:val="24"/>
          <w:szCs w:val="24"/>
          <w:lang w:val="en-GB" w:eastAsia="en-GB"/>
        </w:rPr>
        <w:t xml:space="preserve"> period</w:t>
      </w:r>
      <w:r w:rsidRPr="003A377E">
        <w:rPr>
          <w:rFonts w:ascii="Times New Roman" w:eastAsia="Times New Roman" w:hAnsi="Times New Roman" w:cs="Times New Roman"/>
          <w:color w:val="000000"/>
          <w:spacing w:val="6"/>
          <w:sz w:val="24"/>
          <w:szCs w:val="24"/>
          <w:lang w:val="en-GB" w:eastAsia="en-GB"/>
        </w:rPr>
        <w:t xml:space="preserve">; </w:t>
      </w:r>
      <w:r w:rsidR="00E615EC" w:rsidRPr="003A377E">
        <w:rPr>
          <w:rFonts w:ascii="Times New Roman" w:eastAsia="Times New Roman" w:hAnsi="Times New Roman" w:cs="Times New Roman"/>
          <w:color w:val="000000"/>
          <w:spacing w:val="6"/>
          <w:sz w:val="24"/>
          <w:szCs w:val="24"/>
          <w:lang w:val="en-GB" w:eastAsia="en-GB"/>
        </w:rPr>
        <w:t xml:space="preserve">especially </w:t>
      </w:r>
      <w:r w:rsidRPr="003A377E">
        <w:rPr>
          <w:rFonts w:ascii="Times New Roman" w:eastAsia="Times New Roman" w:hAnsi="Times New Roman" w:cs="Times New Roman"/>
          <w:color w:val="000000"/>
          <w:spacing w:val="6"/>
          <w:sz w:val="24"/>
          <w:szCs w:val="24"/>
          <w:lang w:val="en-GB" w:eastAsia="en-GB"/>
        </w:rPr>
        <w:t xml:space="preserve">in light of the need for an infrastructure-led economic recovery. </w:t>
      </w:r>
    </w:p>
    <w:p w:rsidR="00A25DA1" w:rsidRPr="003A377E" w:rsidRDefault="00A25DA1" w:rsidP="00123165">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p>
    <w:p w:rsidR="00A25DA1" w:rsidRPr="003A377E" w:rsidRDefault="00037FBD"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The Committee</w:t>
      </w:r>
      <w:r w:rsidR="00A25DA1" w:rsidRPr="003A377E">
        <w:rPr>
          <w:rFonts w:ascii="Times New Roman" w:eastAsia="Times New Roman" w:hAnsi="Times New Roman" w:cs="Times New Roman"/>
          <w:color w:val="000000"/>
          <w:spacing w:val="6"/>
          <w:sz w:val="24"/>
          <w:szCs w:val="24"/>
          <w:lang w:val="en-GB" w:eastAsia="en-GB"/>
        </w:rPr>
        <w:t xml:space="preserve"> </w:t>
      </w:r>
      <w:r w:rsidR="000901E9" w:rsidRPr="003A377E">
        <w:rPr>
          <w:rFonts w:ascii="Times New Roman" w:eastAsia="Times New Roman" w:hAnsi="Times New Roman" w:cs="Times New Roman"/>
          <w:color w:val="000000"/>
          <w:spacing w:val="6"/>
          <w:sz w:val="24"/>
          <w:szCs w:val="24"/>
          <w:lang w:val="en-GB" w:eastAsia="en-GB"/>
        </w:rPr>
        <w:t>shares</w:t>
      </w:r>
      <w:r w:rsidR="00A25DA1" w:rsidRPr="003A377E">
        <w:rPr>
          <w:rFonts w:ascii="Times New Roman" w:eastAsia="Times New Roman" w:hAnsi="Times New Roman" w:cs="Times New Roman"/>
          <w:color w:val="000000"/>
          <w:spacing w:val="6"/>
          <w:sz w:val="24"/>
          <w:szCs w:val="24"/>
          <w:lang w:val="en-GB" w:eastAsia="en-GB"/>
        </w:rPr>
        <w:t xml:space="preserve"> COSAT</w:t>
      </w:r>
      <w:r w:rsidR="000901E9" w:rsidRPr="003A377E">
        <w:rPr>
          <w:rFonts w:ascii="Times New Roman" w:eastAsia="Times New Roman" w:hAnsi="Times New Roman" w:cs="Times New Roman"/>
          <w:color w:val="000000"/>
          <w:spacing w:val="6"/>
          <w:sz w:val="24"/>
          <w:szCs w:val="24"/>
          <w:lang w:val="en-GB" w:eastAsia="en-GB"/>
        </w:rPr>
        <w:t>U’s concern</w:t>
      </w:r>
      <w:r w:rsidR="00C63E85" w:rsidRPr="003A377E">
        <w:rPr>
          <w:rFonts w:ascii="Times New Roman" w:eastAsia="Times New Roman" w:hAnsi="Times New Roman" w:cs="Times New Roman"/>
          <w:color w:val="000000"/>
          <w:spacing w:val="6"/>
          <w:sz w:val="24"/>
          <w:szCs w:val="24"/>
          <w:lang w:val="en-GB" w:eastAsia="en-GB"/>
        </w:rPr>
        <w:t>s</w:t>
      </w:r>
      <w:r w:rsidR="000901E9" w:rsidRPr="003A377E">
        <w:rPr>
          <w:rFonts w:ascii="Times New Roman" w:eastAsia="Times New Roman" w:hAnsi="Times New Roman" w:cs="Times New Roman"/>
          <w:color w:val="000000"/>
          <w:spacing w:val="6"/>
          <w:sz w:val="24"/>
          <w:szCs w:val="24"/>
          <w:lang w:val="en-GB" w:eastAsia="en-GB"/>
        </w:rPr>
        <w:t xml:space="preserve"> regarding the</w:t>
      </w:r>
      <w:r w:rsidR="00A25DA1" w:rsidRPr="003A377E">
        <w:rPr>
          <w:rFonts w:ascii="Times New Roman" w:eastAsia="Times New Roman" w:hAnsi="Times New Roman" w:cs="Times New Roman"/>
          <w:color w:val="000000"/>
          <w:spacing w:val="6"/>
          <w:sz w:val="24"/>
          <w:szCs w:val="24"/>
          <w:lang w:val="en-GB" w:eastAsia="en-GB"/>
        </w:rPr>
        <w:t xml:space="preserve"> reduction over the medium term </w:t>
      </w:r>
      <w:r w:rsidR="000901E9" w:rsidRPr="003A377E">
        <w:rPr>
          <w:rFonts w:ascii="Times New Roman" w:eastAsia="Times New Roman" w:hAnsi="Times New Roman" w:cs="Times New Roman"/>
          <w:color w:val="000000"/>
          <w:spacing w:val="6"/>
          <w:sz w:val="24"/>
          <w:szCs w:val="24"/>
          <w:lang w:val="en-GB" w:eastAsia="en-GB"/>
        </w:rPr>
        <w:t xml:space="preserve">in the allocation </w:t>
      </w:r>
      <w:r w:rsidR="00A25DA1" w:rsidRPr="003A377E">
        <w:rPr>
          <w:rFonts w:ascii="Times New Roman" w:eastAsia="Times New Roman" w:hAnsi="Times New Roman" w:cs="Times New Roman"/>
          <w:color w:val="000000"/>
          <w:spacing w:val="6"/>
          <w:sz w:val="24"/>
          <w:szCs w:val="24"/>
          <w:lang w:val="en-GB" w:eastAsia="en-GB"/>
        </w:rPr>
        <w:t>for the Land Reform Programm</w:t>
      </w:r>
      <w:r w:rsidR="000901E9" w:rsidRPr="003A377E">
        <w:rPr>
          <w:rFonts w:ascii="Times New Roman" w:eastAsia="Times New Roman" w:hAnsi="Times New Roman" w:cs="Times New Roman"/>
          <w:color w:val="000000"/>
          <w:spacing w:val="6"/>
          <w:sz w:val="24"/>
          <w:szCs w:val="24"/>
          <w:lang w:val="en-GB" w:eastAsia="en-GB"/>
        </w:rPr>
        <w:t>e; the below-inflation increase</w:t>
      </w:r>
      <w:r w:rsidR="00A25DA1" w:rsidRPr="003A377E">
        <w:rPr>
          <w:rFonts w:ascii="Times New Roman" w:eastAsia="Times New Roman" w:hAnsi="Times New Roman" w:cs="Times New Roman"/>
          <w:color w:val="000000"/>
          <w:spacing w:val="6"/>
          <w:sz w:val="24"/>
          <w:szCs w:val="24"/>
          <w:lang w:val="en-GB" w:eastAsia="en-GB"/>
        </w:rPr>
        <w:t xml:space="preserve"> in the Foster Care Grant; and the </w:t>
      </w:r>
      <w:r w:rsidR="00AD72F1" w:rsidRPr="003A377E">
        <w:rPr>
          <w:rFonts w:ascii="Times New Roman" w:eastAsia="Times New Roman" w:hAnsi="Times New Roman" w:cs="Times New Roman"/>
          <w:color w:val="000000"/>
          <w:spacing w:val="6"/>
          <w:sz w:val="24"/>
          <w:szCs w:val="24"/>
          <w:lang w:val="en-GB" w:eastAsia="en-GB"/>
        </w:rPr>
        <w:t xml:space="preserve">fact that some </w:t>
      </w:r>
      <w:r w:rsidR="00A25DA1" w:rsidRPr="003A377E">
        <w:rPr>
          <w:rFonts w:ascii="Times New Roman" w:eastAsia="Times New Roman" w:hAnsi="Times New Roman" w:cs="Times New Roman"/>
          <w:color w:val="000000"/>
          <w:spacing w:val="6"/>
          <w:sz w:val="24"/>
          <w:szCs w:val="24"/>
          <w:lang w:val="en-GB" w:eastAsia="en-GB"/>
        </w:rPr>
        <w:t xml:space="preserve">funds </w:t>
      </w:r>
      <w:r w:rsidR="00AD72F1" w:rsidRPr="003A377E">
        <w:rPr>
          <w:rFonts w:ascii="Times New Roman" w:eastAsia="Times New Roman" w:hAnsi="Times New Roman" w:cs="Times New Roman"/>
          <w:color w:val="000000"/>
          <w:spacing w:val="6"/>
          <w:sz w:val="24"/>
          <w:szCs w:val="24"/>
          <w:lang w:val="en-GB" w:eastAsia="en-GB"/>
        </w:rPr>
        <w:t xml:space="preserve">are </w:t>
      </w:r>
      <w:r w:rsidR="00A25DA1" w:rsidRPr="003A377E">
        <w:rPr>
          <w:rFonts w:ascii="Times New Roman" w:eastAsia="Times New Roman" w:hAnsi="Times New Roman" w:cs="Times New Roman"/>
          <w:color w:val="000000"/>
          <w:spacing w:val="6"/>
          <w:sz w:val="24"/>
          <w:szCs w:val="24"/>
          <w:lang w:val="en-GB" w:eastAsia="en-GB"/>
        </w:rPr>
        <w:t xml:space="preserve">lost </w:t>
      </w:r>
      <w:r w:rsidR="00DB15D5" w:rsidRPr="003A377E">
        <w:rPr>
          <w:rFonts w:ascii="Times New Roman" w:eastAsia="Times New Roman" w:hAnsi="Times New Roman" w:cs="Times New Roman"/>
          <w:color w:val="000000"/>
          <w:spacing w:val="6"/>
          <w:sz w:val="24"/>
          <w:szCs w:val="24"/>
          <w:lang w:val="en-GB" w:eastAsia="en-GB"/>
        </w:rPr>
        <w:t xml:space="preserve">due </w:t>
      </w:r>
      <w:r w:rsidR="00A25DA1" w:rsidRPr="003A377E">
        <w:rPr>
          <w:rFonts w:ascii="Times New Roman" w:eastAsia="Times New Roman" w:hAnsi="Times New Roman" w:cs="Times New Roman"/>
          <w:color w:val="000000"/>
          <w:spacing w:val="6"/>
          <w:sz w:val="24"/>
          <w:szCs w:val="24"/>
          <w:lang w:val="en-GB" w:eastAsia="en-GB"/>
        </w:rPr>
        <w:t>to corrupt</w:t>
      </w:r>
      <w:r w:rsidR="000901E9" w:rsidRPr="003A377E">
        <w:rPr>
          <w:rFonts w:ascii="Times New Roman" w:eastAsia="Times New Roman" w:hAnsi="Times New Roman" w:cs="Times New Roman"/>
          <w:color w:val="000000"/>
          <w:spacing w:val="6"/>
          <w:sz w:val="24"/>
          <w:szCs w:val="24"/>
          <w:lang w:val="en-GB" w:eastAsia="en-GB"/>
        </w:rPr>
        <w:t>ion and</w:t>
      </w:r>
      <w:r w:rsidR="00A25DA1" w:rsidRPr="003A377E">
        <w:rPr>
          <w:rFonts w:ascii="Times New Roman" w:eastAsia="Times New Roman" w:hAnsi="Times New Roman" w:cs="Times New Roman"/>
          <w:color w:val="000000"/>
          <w:spacing w:val="6"/>
          <w:sz w:val="24"/>
          <w:szCs w:val="24"/>
          <w:lang w:val="en-GB" w:eastAsia="en-GB"/>
        </w:rPr>
        <w:t xml:space="preserve"> wasteful and fruitless expenditure.</w:t>
      </w:r>
    </w:p>
    <w:p w:rsidR="00A25DA1" w:rsidRPr="003A377E" w:rsidRDefault="00A25DA1" w:rsidP="006B30A6">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eastAsia="en-GB"/>
        </w:rPr>
      </w:pPr>
    </w:p>
    <w:p w:rsidR="00A25DA1" w:rsidRPr="003A377E" w:rsidRDefault="00A25DA1"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Whilst t</w:t>
      </w:r>
      <w:r w:rsidR="00EA57F6" w:rsidRPr="003A377E">
        <w:rPr>
          <w:rFonts w:ascii="Times New Roman" w:eastAsia="Times New Roman" w:hAnsi="Times New Roman" w:cs="Times New Roman"/>
          <w:color w:val="000000"/>
          <w:spacing w:val="6"/>
          <w:sz w:val="24"/>
          <w:szCs w:val="24"/>
          <w:lang w:val="en-GB" w:eastAsia="en-GB"/>
        </w:rPr>
        <w:t xml:space="preserve">he Committee notes the </w:t>
      </w:r>
      <w:r w:rsidRPr="003A377E">
        <w:rPr>
          <w:rFonts w:ascii="Times New Roman" w:eastAsia="Times New Roman" w:hAnsi="Times New Roman" w:cs="Times New Roman"/>
          <w:color w:val="000000"/>
          <w:spacing w:val="6"/>
          <w:sz w:val="24"/>
          <w:szCs w:val="24"/>
          <w:lang w:val="en-GB" w:eastAsia="en-GB"/>
        </w:rPr>
        <w:t>propos</w:t>
      </w:r>
      <w:r w:rsidR="000901E9" w:rsidRPr="003A377E">
        <w:rPr>
          <w:rFonts w:ascii="Times New Roman" w:eastAsia="Times New Roman" w:hAnsi="Times New Roman" w:cs="Times New Roman"/>
          <w:color w:val="000000"/>
          <w:spacing w:val="6"/>
          <w:sz w:val="24"/>
          <w:szCs w:val="24"/>
          <w:lang w:val="en-GB" w:eastAsia="en-GB"/>
        </w:rPr>
        <w:t>al</w:t>
      </w:r>
      <w:r w:rsidRPr="003A377E">
        <w:rPr>
          <w:rFonts w:ascii="Times New Roman" w:eastAsia="Times New Roman" w:hAnsi="Times New Roman" w:cs="Times New Roman"/>
          <w:color w:val="000000"/>
          <w:spacing w:val="6"/>
          <w:sz w:val="24"/>
          <w:szCs w:val="24"/>
          <w:lang w:val="en-GB" w:eastAsia="en-GB"/>
        </w:rPr>
        <w:t xml:space="preserve"> by </w:t>
      </w:r>
      <w:r w:rsidR="000901E9" w:rsidRPr="003A377E">
        <w:rPr>
          <w:rFonts w:ascii="Times New Roman" w:eastAsia="Times New Roman" w:hAnsi="Times New Roman" w:cs="Times New Roman"/>
          <w:color w:val="000000"/>
          <w:spacing w:val="6"/>
          <w:sz w:val="24"/>
          <w:szCs w:val="24"/>
          <w:lang w:val="en-GB" w:eastAsia="en-GB"/>
        </w:rPr>
        <w:t xml:space="preserve">the </w:t>
      </w:r>
      <w:r w:rsidRPr="003A377E">
        <w:rPr>
          <w:rFonts w:ascii="Times New Roman" w:eastAsia="Times New Roman" w:hAnsi="Times New Roman" w:cs="Times New Roman"/>
          <w:color w:val="000000"/>
          <w:spacing w:val="6"/>
          <w:sz w:val="24"/>
          <w:szCs w:val="24"/>
          <w:lang w:val="en-GB" w:eastAsia="en-GB"/>
        </w:rPr>
        <w:t>Rural Health Advocacy Project</w:t>
      </w:r>
      <w:r w:rsidR="005D5886" w:rsidRPr="003A377E">
        <w:rPr>
          <w:rFonts w:ascii="Times New Roman" w:eastAsia="Times New Roman" w:hAnsi="Times New Roman" w:cs="Times New Roman"/>
          <w:color w:val="000000"/>
          <w:spacing w:val="6"/>
          <w:sz w:val="24"/>
          <w:szCs w:val="24"/>
          <w:lang w:val="en-GB" w:eastAsia="en-GB"/>
        </w:rPr>
        <w:t xml:space="preserve"> (RHAP)</w:t>
      </w:r>
      <w:r w:rsidR="000901E9" w:rsidRPr="003A377E">
        <w:rPr>
          <w:rFonts w:ascii="Times New Roman" w:eastAsia="Times New Roman" w:hAnsi="Times New Roman" w:cs="Times New Roman"/>
          <w:color w:val="000000"/>
          <w:spacing w:val="6"/>
          <w:sz w:val="24"/>
          <w:szCs w:val="24"/>
          <w:lang w:val="en-GB" w:eastAsia="en-GB"/>
        </w:rPr>
        <w:t xml:space="preserve"> that a joint committee be established to </w:t>
      </w:r>
      <w:r w:rsidR="000901E9" w:rsidRPr="003A377E">
        <w:rPr>
          <w:rFonts w:ascii="Times New Roman" w:eastAsia="Times New Roman" w:hAnsi="Times New Roman" w:cs="Times New Roman"/>
          <w:color w:val="000000"/>
          <w:spacing w:val="6"/>
          <w:sz w:val="24"/>
          <w:szCs w:val="24"/>
          <w:lang w:eastAsia="en-GB"/>
        </w:rPr>
        <w:t>review and interrogate provincial health departments’ budgetary decisions</w:t>
      </w:r>
      <w:r w:rsidRPr="003A377E">
        <w:rPr>
          <w:rFonts w:ascii="Times New Roman" w:eastAsia="Times New Roman" w:hAnsi="Times New Roman" w:cs="Times New Roman"/>
          <w:color w:val="000000"/>
          <w:spacing w:val="6"/>
          <w:sz w:val="24"/>
          <w:szCs w:val="24"/>
          <w:lang w:val="en-GB" w:eastAsia="en-GB"/>
        </w:rPr>
        <w:t>, it remains concerned about the legal standing and terms of references for</w:t>
      </w:r>
      <w:r w:rsidRPr="003A377E">
        <w:rPr>
          <w:rFonts w:ascii="Times New Roman" w:eastAsia="Times New Roman" w:hAnsi="Times New Roman" w:cs="Times New Roman"/>
          <w:color w:val="000000"/>
          <w:spacing w:val="6"/>
          <w:sz w:val="24"/>
          <w:szCs w:val="24"/>
          <w:lang w:val="en-US" w:eastAsia="en-GB"/>
        </w:rPr>
        <w:t xml:space="preserve"> such</w:t>
      </w:r>
      <w:r w:rsidR="000901E9" w:rsidRPr="003A377E">
        <w:rPr>
          <w:rFonts w:ascii="Times New Roman" w:eastAsia="Times New Roman" w:hAnsi="Times New Roman" w:cs="Times New Roman"/>
          <w:color w:val="000000"/>
          <w:spacing w:val="6"/>
          <w:sz w:val="24"/>
          <w:szCs w:val="24"/>
          <w:lang w:val="en-US" w:eastAsia="en-GB"/>
        </w:rPr>
        <w:t xml:space="preserve"> a</w:t>
      </w:r>
      <w:r w:rsidRPr="003A377E">
        <w:rPr>
          <w:rFonts w:ascii="Times New Roman" w:eastAsia="Times New Roman" w:hAnsi="Times New Roman" w:cs="Times New Roman"/>
          <w:color w:val="000000"/>
          <w:spacing w:val="6"/>
          <w:sz w:val="24"/>
          <w:szCs w:val="24"/>
          <w:lang w:val="en-US" w:eastAsia="en-GB"/>
        </w:rPr>
        <w:t xml:space="preserve"> committee as well as the possible duplication of</w:t>
      </w:r>
      <w:r w:rsidR="00DB6002" w:rsidRPr="003A377E">
        <w:rPr>
          <w:rFonts w:ascii="Times New Roman" w:eastAsia="Times New Roman" w:hAnsi="Times New Roman" w:cs="Times New Roman"/>
          <w:color w:val="000000"/>
          <w:spacing w:val="6"/>
          <w:sz w:val="24"/>
          <w:szCs w:val="24"/>
          <w:lang w:val="en-US" w:eastAsia="en-GB"/>
        </w:rPr>
        <w:t xml:space="preserve"> </w:t>
      </w:r>
      <w:r w:rsidRPr="003A377E">
        <w:rPr>
          <w:rFonts w:ascii="Times New Roman" w:eastAsia="Times New Roman" w:hAnsi="Times New Roman" w:cs="Times New Roman"/>
          <w:color w:val="000000"/>
          <w:spacing w:val="6"/>
          <w:sz w:val="24"/>
          <w:szCs w:val="24"/>
          <w:lang w:val="en-US" w:eastAsia="en-GB"/>
        </w:rPr>
        <w:t xml:space="preserve">roles </w:t>
      </w:r>
      <w:r w:rsidR="002C2BBE" w:rsidRPr="003A377E">
        <w:rPr>
          <w:rFonts w:ascii="Times New Roman" w:eastAsia="Times New Roman" w:hAnsi="Times New Roman" w:cs="Times New Roman"/>
          <w:color w:val="000000"/>
          <w:spacing w:val="6"/>
          <w:sz w:val="24"/>
          <w:szCs w:val="24"/>
          <w:lang w:val="en-US" w:eastAsia="en-GB"/>
        </w:rPr>
        <w:t xml:space="preserve">and responsibilities </w:t>
      </w:r>
      <w:r w:rsidR="000D020E" w:rsidRPr="003A377E">
        <w:rPr>
          <w:rFonts w:ascii="Times New Roman" w:eastAsia="Times New Roman" w:hAnsi="Times New Roman" w:cs="Times New Roman"/>
          <w:color w:val="000000"/>
          <w:spacing w:val="6"/>
          <w:sz w:val="24"/>
          <w:szCs w:val="24"/>
          <w:lang w:val="en-US" w:eastAsia="en-GB"/>
        </w:rPr>
        <w:t>already performed</w:t>
      </w:r>
      <w:r w:rsidRPr="003A377E">
        <w:rPr>
          <w:rFonts w:ascii="Times New Roman" w:eastAsia="Times New Roman" w:hAnsi="Times New Roman" w:cs="Times New Roman"/>
          <w:color w:val="000000"/>
          <w:spacing w:val="6"/>
          <w:sz w:val="24"/>
          <w:szCs w:val="24"/>
          <w:lang w:val="en-US" w:eastAsia="en-GB"/>
        </w:rPr>
        <w:t xml:space="preserve"> by parliamentary oversight com</w:t>
      </w:r>
      <w:r w:rsidR="0055224D" w:rsidRPr="003A377E">
        <w:rPr>
          <w:rFonts w:ascii="Times New Roman" w:eastAsia="Times New Roman" w:hAnsi="Times New Roman" w:cs="Times New Roman"/>
          <w:color w:val="000000"/>
          <w:spacing w:val="6"/>
          <w:sz w:val="24"/>
          <w:szCs w:val="24"/>
          <w:lang w:val="en-US" w:eastAsia="en-GB"/>
        </w:rPr>
        <w:t>mittees in the health sector</w:t>
      </w:r>
      <w:r w:rsidR="000901E9" w:rsidRPr="003A377E">
        <w:rPr>
          <w:rFonts w:ascii="Times New Roman" w:eastAsia="Times New Roman" w:hAnsi="Times New Roman" w:cs="Times New Roman"/>
          <w:color w:val="000000"/>
          <w:spacing w:val="6"/>
          <w:sz w:val="24"/>
          <w:szCs w:val="24"/>
          <w:lang w:val="en-US" w:eastAsia="en-GB"/>
        </w:rPr>
        <w:t>,</w:t>
      </w:r>
      <w:r w:rsidR="00B03AD0" w:rsidRPr="003A377E">
        <w:rPr>
          <w:rFonts w:ascii="Times New Roman" w:eastAsia="Times New Roman" w:hAnsi="Times New Roman" w:cs="Times New Roman"/>
          <w:color w:val="000000"/>
          <w:spacing w:val="6"/>
          <w:sz w:val="24"/>
          <w:szCs w:val="24"/>
          <w:lang w:val="en-US" w:eastAsia="en-GB"/>
        </w:rPr>
        <w:t xml:space="preserve"> both</w:t>
      </w:r>
      <w:r w:rsidR="0055224D" w:rsidRPr="003A377E">
        <w:rPr>
          <w:rFonts w:ascii="Times New Roman" w:eastAsia="Times New Roman" w:hAnsi="Times New Roman" w:cs="Times New Roman"/>
          <w:color w:val="000000"/>
          <w:spacing w:val="6"/>
          <w:sz w:val="24"/>
          <w:szCs w:val="24"/>
          <w:lang w:val="en-US" w:eastAsia="en-GB"/>
        </w:rPr>
        <w:t xml:space="preserve"> in</w:t>
      </w:r>
      <w:r w:rsidRPr="003A377E">
        <w:rPr>
          <w:rFonts w:ascii="Times New Roman" w:eastAsia="Times New Roman" w:hAnsi="Times New Roman" w:cs="Times New Roman"/>
          <w:color w:val="000000"/>
          <w:spacing w:val="6"/>
          <w:sz w:val="24"/>
          <w:szCs w:val="24"/>
          <w:lang w:val="en-US" w:eastAsia="en-GB"/>
        </w:rPr>
        <w:t xml:space="preserve"> </w:t>
      </w:r>
      <w:r w:rsidR="00173DB4" w:rsidRPr="003A377E">
        <w:rPr>
          <w:rFonts w:ascii="Times New Roman" w:eastAsia="Times New Roman" w:hAnsi="Times New Roman" w:cs="Times New Roman"/>
          <w:color w:val="000000"/>
          <w:spacing w:val="6"/>
          <w:sz w:val="24"/>
          <w:szCs w:val="24"/>
          <w:lang w:val="en-US" w:eastAsia="en-GB"/>
        </w:rPr>
        <w:t xml:space="preserve">the </w:t>
      </w:r>
      <w:r w:rsidRPr="003A377E">
        <w:rPr>
          <w:rFonts w:ascii="Times New Roman" w:eastAsia="Times New Roman" w:hAnsi="Times New Roman" w:cs="Times New Roman"/>
          <w:color w:val="000000"/>
          <w:spacing w:val="6"/>
          <w:sz w:val="24"/>
          <w:szCs w:val="24"/>
          <w:lang w:val="en-US" w:eastAsia="en-GB"/>
        </w:rPr>
        <w:t>national</w:t>
      </w:r>
      <w:r w:rsidR="000901E9" w:rsidRPr="003A377E">
        <w:rPr>
          <w:rFonts w:ascii="Times New Roman" w:eastAsia="Times New Roman" w:hAnsi="Times New Roman" w:cs="Times New Roman"/>
          <w:color w:val="000000"/>
          <w:spacing w:val="6"/>
          <w:sz w:val="24"/>
          <w:szCs w:val="24"/>
          <w:lang w:val="en-US" w:eastAsia="en-GB"/>
        </w:rPr>
        <w:t xml:space="preserve"> and provincial</w:t>
      </w:r>
      <w:r w:rsidRPr="003A377E">
        <w:rPr>
          <w:rFonts w:ascii="Times New Roman" w:eastAsia="Times New Roman" w:hAnsi="Times New Roman" w:cs="Times New Roman"/>
          <w:color w:val="000000"/>
          <w:spacing w:val="6"/>
          <w:sz w:val="24"/>
          <w:szCs w:val="24"/>
          <w:lang w:val="en-US" w:eastAsia="en-GB"/>
        </w:rPr>
        <w:t xml:space="preserve"> legislature</w:t>
      </w:r>
      <w:r w:rsidR="000901E9" w:rsidRPr="003A377E">
        <w:rPr>
          <w:rFonts w:ascii="Times New Roman" w:eastAsia="Times New Roman" w:hAnsi="Times New Roman" w:cs="Times New Roman"/>
          <w:color w:val="000000"/>
          <w:spacing w:val="6"/>
          <w:sz w:val="24"/>
          <w:szCs w:val="24"/>
          <w:lang w:val="en-US" w:eastAsia="en-GB"/>
        </w:rPr>
        <w:t>s</w:t>
      </w:r>
      <w:r w:rsidRPr="003A377E">
        <w:rPr>
          <w:rFonts w:ascii="Times New Roman" w:eastAsia="Times New Roman" w:hAnsi="Times New Roman" w:cs="Times New Roman"/>
          <w:color w:val="000000"/>
          <w:spacing w:val="6"/>
          <w:sz w:val="24"/>
          <w:szCs w:val="24"/>
          <w:lang w:val="en-US" w:eastAsia="en-GB"/>
        </w:rPr>
        <w:t xml:space="preserve">.  </w:t>
      </w:r>
    </w:p>
    <w:p w:rsidR="00A25DA1" w:rsidRPr="003A377E" w:rsidRDefault="00A25DA1" w:rsidP="006B30A6">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val="en-US" w:eastAsia="en-GB"/>
        </w:rPr>
      </w:pPr>
    </w:p>
    <w:p w:rsidR="00C40B85" w:rsidRPr="003A377E" w:rsidRDefault="00A25DA1"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 xml:space="preserve">Whilst the Committee welcomes the R21.1 billion earmarked largely to support </w:t>
      </w:r>
      <w:r w:rsidR="000901E9" w:rsidRPr="003A377E">
        <w:rPr>
          <w:rFonts w:ascii="Times New Roman" w:eastAsia="Times New Roman" w:hAnsi="Times New Roman" w:cs="Times New Roman"/>
          <w:color w:val="000000"/>
          <w:spacing w:val="6"/>
          <w:sz w:val="24"/>
          <w:szCs w:val="24"/>
          <w:lang w:val="en-GB" w:eastAsia="en-GB"/>
        </w:rPr>
        <w:t xml:space="preserve">the </w:t>
      </w:r>
      <w:r w:rsidRPr="003A377E">
        <w:rPr>
          <w:rFonts w:ascii="Times New Roman" w:eastAsia="Times New Roman" w:hAnsi="Times New Roman" w:cs="Times New Roman"/>
          <w:color w:val="000000"/>
          <w:spacing w:val="6"/>
          <w:sz w:val="24"/>
          <w:szCs w:val="24"/>
          <w:lang w:val="en-GB" w:eastAsia="en-GB"/>
        </w:rPr>
        <w:t>ongoing resp</w:t>
      </w:r>
      <w:r w:rsidR="00125D3F" w:rsidRPr="003A377E">
        <w:rPr>
          <w:rFonts w:ascii="Times New Roman" w:eastAsia="Times New Roman" w:hAnsi="Times New Roman" w:cs="Times New Roman"/>
          <w:color w:val="000000"/>
          <w:spacing w:val="6"/>
          <w:sz w:val="24"/>
          <w:szCs w:val="24"/>
          <w:lang w:val="en-GB" w:eastAsia="en-GB"/>
        </w:rPr>
        <w:t xml:space="preserve">onse to the COVID-19 pandemic </w:t>
      </w:r>
      <w:r w:rsidRPr="003A377E">
        <w:rPr>
          <w:rFonts w:ascii="Times New Roman" w:eastAsia="Times New Roman" w:hAnsi="Times New Roman" w:cs="Times New Roman"/>
          <w:color w:val="000000"/>
          <w:spacing w:val="6"/>
          <w:sz w:val="24"/>
          <w:szCs w:val="24"/>
          <w:lang w:val="en-GB" w:eastAsia="en-GB"/>
        </w:rPr>
        <w:t>as well as the appointment of medical interns and community service doctors</w:t>
      </w:r>
      <w:r w:rsidR="000901E9" w:rsidRPr="003A377E">
        <w:rPr>
          <w:rFonts w:ascii="Times New Roman" w:eastAsia="Times New Roman" w:hAnsi="Times New Roman" w:cs="Times New Roman"/>
          <w:color w:val="000000"/>
          <w:spacing w:val="6"/>
          <w:sz w:val="24"/>
          <w:szCs w:val="24"/>
          <w:lang w:val="en-GB" w:eastAsia="en-GB"/>
        </w:rPr>
        <w:t>, i</w:t>
      </w:r>
      <w:r w:rsidRPr="003A377E">
        <w:rPr>
          <w:rFonts w:ascii="Times New Roman" w:eastAsia="Times New Roman" w:hAnsi="Times New Roman" w:cs="Times New Roman"/>
          <w:color w:val="000000"/>
          <w:spacing w:val="6"/>
          <w:sz w:val="24"/>
          <w:szCs w:val="24"/>
          <w:lang w:val="en-GB" w:eastAsia="en-GB"/>
        </w:rPr>
        <w:t xml:space="preserve">t remains concerned about some departments, particularly </w:t>
      </w:r>
      <w:r w:rsidR="000901E9" w:rsidRPr="003A377E">
        <w:rPr>
          <w:rFonts w:ascii="Times New Roman" w:eastAsia="Times New Roman" w:hAnsi="Times New Roman" w:cs="Times New Roman"/>
          <w:color w:val="000000"/>
          <w:spacing w:val="6"/>
          <w:sz w:val="24"/>
          <w:szCs w:val="24"/>
          <w:lang w:val="en-GB" w:eastAsia="en-GB"/>
        </w:rPr>
        <w:t xml:space="preserve">the Department of </w:t>
      </w:r>
      <w:r w:rsidRPr="003A377E">
        <w:rPr>
          <w:rFonts w:ascii="Times New Roman" w:eastAsia="Times New Roman" w:hAnsi="Times New Roman" w:cs="Times New Roman"/>
          <w:color w:val="000000"/>
          <w:spacing w:val="6"/>
          <w:sz w:val="24"/>
          <w:szCs w:val="24"/>
          <w:lang w:val="en-GB" w:eastAsia="en-GB"/>
        </w:rPr>
        <w:t xml:space="preserve">Health, which will be surrendering back to the National Revenue Fund </w:t>
      </w:r>
      <w:r w:rsidR="00475076" w:rsidRPr="003A377E">
        <w:rPr>
          <w:rFonts w:ascii="Times New Roman" w:eastAsia="Times New Roman" w:hAnsi="Times New Roman" w:cs="Times New Roman"/>
          <w:color w:val="000000"/>
          <w:spacing w:val="6"/>
          <w:sz w:val="24"/>
          <w:szCs w:val="24"/>
          <w:lang w:val="en-GB" w:eastAsia="en-GB"/>
        </w:rPr>
        <w:t xml:space="preserve">(NRF) </w:t>
      </w:r>
      <w:r w:rsidR="000901E9" w:rsidRPr="003A377E">
        <w:rPr>
          <w:rFonts w:ascii="Times New Roman" w:eastAsia="Times New Roman" w:hAnsi="Times New Roman" w:cs="Times New Roman"/>
          <w:color w:val="000000"/>
          <w:spacing w:val="6"/>
          <w:sz w:val="24"/>
          <w:szCs w:val="24"/>
          <w:lang w:val="en-GB" w:eastAsia="en-GB"/>
        </w:rPr>
        <w:t xml:space="preserve">allocations </w:t>
      </w:r>
      <w:r w:rsidRPr="003A377E">
        <w:rPr>
          <w:rFonts w:ascii="Times New Roman" w:eastAsia="Times New Roman" w:hAnsi="Times New Roman" w:cs="Times New Roman"/>
          <w:color w:val="000000"/>
          <w:spacing w:val="6"/>
          <w:sz w:val="24"/>
          <w:szCs w:val="24"/>
          <w:lang w:val="en-GB" w:eastAsia="en-GB"/>
        </w:rPr>
        <w:t>it received for the Presidential Employment Initiative, when South Af</w:t>
      </w:r>
      <w:r w:rsidR="000901E9" w:rsidRPr="003A377E">
        <w:rPr>
          <w:rFonts w:ascii="Times New Roman" w:eastAsia="Times New Roman" w:hAnsi="Times New Roman" w:cs="Times New Roman"/>
          <w:color w:val="000000"/>
          <w:spacing w:val="6"/>
          <w:sz w:val="24"/>
          <w:szCs w:val="24"/>
          <w:lang w:val="en-GB" w:eastAsia="en-GB"/>
        </w:rPr>
        <w:t xml:space="preserve">rica </w:t>
      </w:r>
      <w:r w:rsidR="003A3240" w:rsidRPr="003A377E">
        <w:rPr>
          <w:rFonts w:ascii="Times New Roman" w:eastAsia="Times New Roman" w:hAnsi="Times New Roman" w:cs="Times New Roman"/>
          <w:color w:val="000000"/>
          <w:spacing w:val="6"/>
          <w:sz w:val="24"/>
          <w:szCs w:val="24"/>
          <w:lang w:val="en-GB" w:eastAsia="en-GB"/>
        </w:rPr>
        <w:t xml:space="preserve">reportedly </w:t>
      </w:r>
      <w:r w:rsidR="000901E9" w:rsidRPr="003A377E">
        <w:rPr>
          <w:rFonts w:ascii="Times New Roman" w:eastAsia="Times New Roman" w:hAnsi="Times New Roman" w:cs="Times New Roman"/>
          <w:color w:val="000000"/>
          <w:spacing w:val="6"/>
          <w:sz w:val="24"/>
          <w:szCs w:val="24"/>
          <w:lang w:val="en-GB" w:eastAsia="en-GB"/>
        </w:rPr>
        <w:t xml:space="preserve">reached record </w:t>
      </w:r>
      <w:r w:rsidRPr="003A377E">
        <w:rPr>
          <w:rFonts w:ascii="Times New Roman" w:eastAsia="Times New Roman" w:hAnsi="Times New Roman" w:cs="Times New Roman"/>
          <w:color w:val="000000"/>
          <w:spacing w:val="6"/>
          <w:sz w:val="24"/>
          <w:szCs w:val="24"/>
          <w:lang w:val="en-GB" w:eastAsia="en-GB"/>
        </w:rPr>
        <w:t xml:space="preserve">unemployment </w:t>
      </w:r>
      <w:r w:rsidR="000901E9" w:rsidRPr="003A377E">
        <w:rPr>
          <w:rFonts w:ascii="Times New Roman" w:eastAsia="Times New Roman" w:hAnsi="Times New Roman" w:cs="Times New Roman"/>
          <w:color w:val="000000"/>
          <w:spacing w:val="6"/>
          <w:sz w:val="24"/>
          <w:szCs w:val="24"/>
          <w:lang w:val="en-GB" w:eastAsia="en-GB"/>
        </w:rPr>
        <w:t xml:space="preserve">levels </w:t>
      </w:r>
      <w:r w:rsidRPr="003A377E">
        <w:rPr>
          <w:rFonts w:ascii="Times New Roman" w:eastAsia="Times New Roman" w:hAnsi="Times New Roman" w:cs="Times New Roman"/>
          <w:color w:val="000000"/>
          <w:spacing w:val="6"/>
          <w:sz w:val="24"/>
          <w:szCs w:val="24"/>
          <w:lang w:val="en-GB" w:eastAsia="en-GB"/>
        </w:rPr>
        <w:t>in the third quarter of 2021.</w:t>
      </w:r>
    </w:p>
    <w:p w:rsidR="00C40B85" w:rsidRPr="003A377E" w:rsidRDefault="00C40B85" w:rsidP="006B30A6">
      <w:pPr>
        <w:pStyle w:val="ListParagraph"/>
        <w:rPr>
          <w:rFonts w:ascii="Times New Roman" w:eastAsia="Times New Roman" w:hAnsi="Times New Roman" w:cs="Times New Roman"/>
          <w:color w:val="000000"/>
          <w:spacing w:val="6"/>
          <w:sz w:val="24"/>
          <w:szCs w:val="24"/>
          <w:lang w:eastAsia="en-GB"/>
        </w:rPr>
      </w:pPr>
    </w:p>
    <w:p w:rsidR="00A25DA1" w:rsidRPr="003A377E" w:rsidRDefault="00A25DA1"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lastRenderedPageBreak/>
        <w:t>The Committee welcomes the R32.6 billion earmarked</w:t>
      </w:r>
      <w:r w:rsidR="00595D82" w:rsidRPr="003A377E">
        <w:rPr>
          <w:rFonts w:ascii="Times New Roman" w:eastAsia="Times New Roman" w:hAnsi="Times New Roman" w:cs="Times New Roman"/>
          <w:color w:val="000000"/>
          <w:spacing w:val="6"/>
          <w:sz w:val="24"/>
          <w:szCs w:val="24"/>
          <w:lang w:eastAsia="en-GB"/>
        </w:rPr>
        <w:t xml:space="preserve"> over the medium term</w:t>
      </w:r>
      <w:r w:rsidRPr="003A377E">
        <w:rPr>
          <w:rFonts w:ascii="Times New Roman" w:eastAsia="Times New Roman" w:hAnsi="Times New Roman" w:cs="Times New Roman"/>
          <w:color w:val="000000"/>
          <w:spacing w:val="6"/>
          <w:sz w:val="24"/>
          <w:szCs w:val="24"/>
          <w:lang w:eastAsia="en-GB"/>
        </w:rPr>
        <w:t xml:space="preserve"> for the Department of Higher Education and Training to fund any shortfall in </w:t>
      </w:r>
      <w:r w:rsidR="00C03E50" w:rsidRPr="003A377E">
        <w:rPr>
          <w:rFonts w:ascii="Times New Roman" w:eastAsia="Times New Roman" w:hAnsi="Times New Roman" w:cs="Times New Roman"/>
          <w:color w:val="000000"/>
          <w:spacing w:val="6"/>
          <w:sz w:val="24"/>
          <w:szCs w:val="24"/>
          <w:lang w:eastAsia="en-GB"/>
        </w:rPr>
        <w:t xml:space="preserve">funding for student bursaries. Noting </w:t>
      </w:r>
      <w:r w:rsidRPr="003A377E">
        <w:rPr>
          <w:rFonts w:ascii="Times New Roman" w:eastAsia="Times New Roman" w:hAnsi="Times New Roman" w:cs="Times New Roman"/>
          <w:color w:val="000000"/>
          <w:spacing w:val="6"/>
          <w:sz w:val="24"/>
          <w:szCs w:val="24"/>
          <w:lang w:eastAsia="en-GB"/>
        </w:rPr>
        <w:t>the levels of reported under</w:t>
      </w:r>
      <w:r w:rsidR="00595D82" w:rsidRPr="003A377E">
        <w:rPr>
          <w:rFonts w:ascii="Times New Roman" w:eastAsia="Times New Roman" w:hAnsi="Times New Roman" w:cs="Times New Roman"/>
          <w:color w:val="000000"/>
          <w:spacing w:val="6"/>
          <w:sz w:val="24"/>
          <w:szCs w:val="24"/>
          <w:lang w:eastAsia="en-GB"/>
        </w:rPr>
        <w:t>-</w:t>
      </w:r>
      <w:r w:rsidRPr="003A377E">
        <w:rPr>
          <w:rFonts w:ascii="Times New Roman" w:eastAsia="Times New Roman" w:hAnsi="Times New Roman" w:cs="Times New Roman"/>
          <w:color w:val="000000"/>
          <w:spacing w:val="6"/>
          <w:sz w:val="24"/>
          <w:szCs w:val="24"/>
          <w:lang w:eastAsia="en-GB"/>
        </w:rPr>
        <w:t>expenditure in some conditional grants</w:t>
      </w:r>
      <w:r w:rsidR="00595D82" w:rsidRPr="003A377E">
        <w:rPr>
          <w:rFonts w:ascii="Times New Roman" w:eastAsia="Times New Roman" w:hAnsi="Times New Roman" w:cs="Times New Roman"/>
          <w:color w:val="000000"/>
          <w:spacing w:val="6"/>
          <w:sz w:val="24"/>
          <w:szCs w:val="24"/>
          <w:lang w:eastAsia="en-GB"/>
        </w:rPr>
        <w:t>,</w:t>
      </w:r>
      <w:r w:rsidRPr="003A377E">
        <w:rPr>
          <w:rFonts w:ascii="Times New Roman" w:eastAsia="Times New Roman" w:hAnsi="Times New Roman" w:cs="Times New Roman"/>
          <w:color w:val="000000"/>
          <w:spacing w:val="6"/>
          <w:sz w:val="24"/>
          <w:szCs w:val="24"/>
          <w:lang w:eastAsia="en-GB"/>
        </w:rPr>
        <w:t xml:space="preserve"> including</w:t>
      </w:r>
      <w:r w:rsidR="00595D82" w:rsidRPr="003A377E">
        <w:rPr>
          <w:rFonts w:ascii="Times New Roman" w:eastAsia="Times New Roman" w:hAnsi="Times New Roman" w:cs="Times New Roman"/>
          <w:color w:val="000000"/>
          <w:spacing w:val="6"/>
          <w:sz w:val="24"/>
          <w:szCs w:val="24"/>
          <w:lang w:eastAsia="en-GB"/>
        </w:rPr>
        <w:t xml:space="preserve"> the</w:t>
      </w:r>
      <w:r w:rsidRPr="003A377E">
        <w:rPr>
          <w:rFonts w:ascii="Times New Roman" w:eastAsia="Times New Roman" w:hAnsi="Times New Roman" w:cs="Times New Roman"/>
          <w:color w:val="000000"/>
          <w:spacing w:val="6"/>
          <w:sz w:val="24"/>
          <w:szCs w:val="24"/>
          <w:lang w:eastAsia="en-GB"/>
        </w:rPr>
        <w:t xml:space="preserve"> School Infrastructure Backlog</w:t>
      </w:r>
      <w:r w:rsidR="00595D82" w:rsidRPr="003A377E">
        <w:rPr>
          <w:rFonts w:ascii="Times New Roman" w:eastAsia="Times New Roman" w:hAnsi="Times New Roman" w:cs="Times New Roman"/>
          <w:color w:val="000000"/>
          <w:spacing w:val="6"/>
          <w:sz w:val="24"/>
          <w:szCs w:val="24"/>
          <w:lang w:eastAsia="en-GB"/>
        </w:rPr>
        <w:t>s</w:t>
      </w:r>
      <w:r w:rsidRPr="003A377E">
        <w:rPr>
          <w:rFonts w:ascii="Times New Roman" w:eastAsia="Times New Roman" w:hAnsi="Times New Roman" w:cs="Times New Roman"/>
          <w:color w:val="000000"/>
          <w:spacing w:val="6"/>
          <w:sz w:val="24"/>
          <w:szCs w:val="24"/>
          <w:lang w:eastAsia="en-GB"/>
        </w:rPr>
        <w:t xml:space="preserve"> Grant, the Committee </w:t>
      </w:r>
      <w:r w:rsidR="00C03E50" w:rsidRPr="003A377E">
        <w:rPr>
          <w:rFonts w:ascii="Times New Roman" w:eastAsia="Times New Roman" w:hAnsi="Times New Roman" w:cs="Times New Roman"/>
          <w:color w:val="000000"/>
          <w:spacing w:val="6"/>
          <w:sz w:val="24"/>
          <w:szCs w:val="24"/>
          <w:lang w:eastAsia="en-GB"/>
        </w:rPr>
        <w:t>i</w:t>
      </w:r>
      <w:r w:rsidRPr="003A377E">
        <w:rPr>
          <w:rFonts w:ascii="Times New Roman" w:eastAsia="Times New Roman" w:hAnsi="Times New Roman" w:cs="Times New Roman"/>
          <w:color w:val="000000"/>
          <w:spacing w:val="6"/>
          <w:sz w:val="24"/>
          <w:szCs w:val="24"/>
          <w:lang w:eastAsia="en-GB"/>
        </w:rPr>
        <w:t xml:space="preserve">s concerned about the </w:t>
      </w:r>
      <w:r w:rsidRPr="003A377E">
        <w:rPr>
          <w:rFonts w:ascii="Times New Roman" w:eastAsia="Times New Roman" w:hAnsi="Times New Roman" w:cs="Times New Roman"/>
          <w:color w:val="000000"/>
          <w:spacing w:val="6"/>
          <w:sz w:val="24"/>
          <w:szCs w:val="24"/>
          <w:lang w:val="en-GB" w:eastAsia="en-GB"/>
        </w:rPr>
        <w:t>incorporation of this Grant into the Educatio</w:t>
      </w:r>
      <w:r w:rsidR="00E70070" w:rsidRPr="003A377E">
        <w:rPr>
          <w:rFonts w:ascii="Times New Roman" w:eastAsia="Times New Roman" w:hAnsi="Times New Roman" w:cs="Times New Roman"/>
          <w:color w:val="000000"/>
          <w:spacing w:val="6"/>
          <w:sz w:val="24"/>
          <w:szCs w:val="24"/>
          <w:lang w:val="en-GB" w:eastAsia="en-GB"/>
        </w:rPr>
        <w:t>n Infrastructure Grant</w:t>
      </w:r>
      <w:r w:rsidRPr="003A377E">
        <w:rPr>
          <w:rFonts w:ascii="Times New Roman" w:eastAsia="Times New Roman" w:hAnsi="Times New Roman" w:cs="Times New Roman"/>
          <w:color w:val="000000"/>
          <w:spacing w:val="6"/>
          <w:sz w:val="24"/>
          <w:szCs w:val="24"/>
          <w:lang w:val="en-GB" w:eastAsia="en-GB"/>
        </w:rPr>
        <w:t>. The Committee is of the view that this could potent</w:t>
      </w:r>
      <w:r w:rsidR="00D173E7" w:rsidRPr="003A377E">
        <w:rPr>
          <w:rFonts w:ascii="Times New Roman" w:eastAsia="Times New Roman" w:hAnsi="Times New Roman" w:cs="Times New Roman"/>
          <w:color w:val="000000"/>
          <w:spacing w:val="6"/>
          <w:sz w:val="24"/>
          <w:szCs w:val="24"/>
          <w:lang w:val="en-GB" w:eastAsia="en-GB"/>
        </w:rPr>
        <w:t xml:space="preserve">ially remove the focus from school infrastructure </w:t>
      </w:r>
      <w:r w:rsidRPr="003A377E">
        <w:rPr>
          <w:rFonts w:ascii="Times New Roman" w:eastAsia="Times New Roman" w:hAnsi="Times New Roman" w:cs="Times New Roman"/>
          <w:color w:val="000000"/>
          <w:spacing w:val="6"/>
          <w:sz w:val="24"/>
          <w:szCs w:val="24"/>
          <w:lang w:val="en-GB" w:eastAsia="en-GB"/>
        </w:rPr>
        <w:t>backlogs</w:t>
      </w:r>
      <w:r w:rsidR="00595D82" w:rsidRPr="003A377E">
        <w:rPr>
          <w:rFonts w:ascii="Times New Roman" w:eastAsia="Times New Roman" w:hAnsi="Times New Roman" w:cs="Times New Roman"/>
          <w:color w:val="000000"/>
          <w:spacing w:val="6"/>
          <w:sz w:val="24"/>
          <w:szCs w:val="24"/>
          <w:lang w:val="en-GB" w:eastAsia="en-GB"/>
        </w:rPr>
        <w:t>,</w:t>
      </w:r>
      <w:r w:rsidR="00045F0A" w:rsidRPr="003A377E">
        <w:rPr>
          <w:rFonts w:ascii="Times New Roman" w:eastAsia="Times New Roman" w:hAnsi="Times New Roman" w:cs="Times New Roman"/>
          <w:color w:val="000000"/>
          <w:spacing w:val="6"/>
          <w:sz w:val="24"/>
          <w:szCs w:val="24"/>
          <w:lang w:val="en-GB" w:eastAsia="en-GB"/>
        </w:rPr>
        <w:t xml:space="preserve"> including </w:t>
      </w:r>
      <w:r w:rsidRPr="003A377E">
        <w:rPr>
          <w:rFonts w:ascii="Times New Roman" w:eastAsia="Times New Roman" w:hAnsi="Times New Roman" w:cs="Times New Roman"/>
          <w:color w:val="000000"/>
          <w:spacing w:val="6"/>
          <w:sz w:val="24"/>
          <w:szCs w:val="24"/>
          <w:lang w:val="en-GB" w:eastAsia="en-GB"/>
        </w:rPr>
        <w:t xml:space="preserve">the eradication of </w:t>
      </w:r>
      <w:r w:rsidRPr="003A377E">
        <w:rPr>
          <w:rFonts w:ascii="Times New Roman" w:eastAsia="Times New Roman" w:hAnsi="Times New Roman" w:cs="Times New Roman"/>
          <w:color w:val="000000"/>
          <w:spacing w:val="6"/>
          <w:sz w:val="24"/>
          <w:szCs w:val="24"/>
          <w:lang w:eastAsia="en-GB"/>
        </w:rPr>
        <w:t>pit latrines and inappropriate struct</w:t>
      </w:r>
      <w:r w:rsidR="0034582B" w:rsidRPr="003A377E">
        <w:rPr>
          <w:rFonts w:ascii="Times New Roman" w:eastAsia="Times New Roman" w:hAnsi="Times New Roman" w:cs="Times New Roman"/>
          <w:color w:val="000000"/>
          <w:spacing w:val="6"/>
          <w:sz w:val="24"/>
          <w:szCs w:val="24"/>
          <w:lang w:eastAsia="en-GB"/>
        </w:rPr>
        <w:t xml:space="preserve">ures. </w:t>
      </w:r>
    </w:p>
    <w:p w:rsidR="00C40B85" w:rsidRPr="003A377E" w:rsidRDefault="00C40B85" w:rsidP="006B30A6">
      <w:pPr>
        <w:pStyle w:val="ListParagraph"/>
        <w:rPr>
          <w:rFonts w:ascii="Times New Roman" w:eastAsia="Times New Roman" w:hAnsi="Times New Roman" w:cs="Times New Roman"/>
          <w:color w:val="000000"/>
          <w:spacing w:val="6"/>
          <w:sz w:val="24"/>
          <w:szCs w:val="24"/>
          <w:lang w:eastAsia="en-GB"/>
        </w:rPr>
      </w:pPr>
    </w:p>
    <w:p w:rsidR="00A25DA1" w:rsidRPr="003A377E" w:rsidRDefault="005A4C8B"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 xml:space="preserve">The Committee </w:t>
      </w:r>
      <w:r w:rsidR="00A25DA1" w:rsidRPr="003A377E">
        <w:rPr>
          <w:rFonts w:ascii="Times New Roman" w:eastAsia="Times New Roman" w:hAnsi="Times New Roman" w:cs="Times New Roman"/>
          <w:color w:val="000000"/>
          <w:spacing w:val="6"/>
          <w:sz w:val="24"/>
          <w:szCs w:val="24"/>
          <w:lang w:eastAsia="en-GB"/>
        </w:rPr>
        <w:t>welcomes the fact that social exp</w:t>
      </w:r>
      <w:r w:rsidR="00C03E50" w:rsidRPr="003A377E">
        <w:rPr>
          <w:rFonts w:ascii="Times New Roman" w:eastAsia="Times New Roman" w:hAnsi="Times New Roman" w:cs="Times New Roman"/>
          <w:color w:val="000000"/>
          <w:spacing w:val="6"/>
          <w:sz w:val="24"/>
          <w:szCs w:val="24"/>
          <w:lang w:eastAsia="en-GB"/>
        </w:rPr>
        <w:t>enditure i</w:t>
      </w:r>
      <w:r w:rsidR="00186F1B" w:rsidRPr="003A377E">
        <w:rPr>
          <w:rFonts w:ascii="Times New Roman" w:eastAsia="Times New Roman" w:hAnsi="Times New Roman" w:cs="Times New Roman"/>
          <w:color w:val="000000"/>
          <w:spacing w:val="6"/>
          <w:sz w:val="24"/>
          <w:szCs w:val="24"/>
          <w:lang w:eastAsia="en-GB"/>
        </w:rPr>
        <w:t>s maintained in the 2022 B</w:t>
      </w:r>
      <w:r w:rsidR="00A25DA1" w:rsidRPr="003A377E">
        <w:rPr>
          <w:rFonts w:ascii="Times New Roman" w:eastAsia="Times New Roman" w:hAnsi="Times New Roman" w:cs="Times New Roman"/>
          <w:color w:val="000000"/>
          <w:spacing w:val="6"/>
          <w:sz w:val="24"/>
          <w:szCs w:val="24"/>
          <w:lang w:eastAsia="en-GB"/>
        </w:rPr>
        <w:t>udget, as well as the extension of the Social Relief of Distress (SRD) Grant until March 2023</w:t>
      </w:r>
      <w:r w:rsidR="00C03E50" w:rsidRPr="003A377E">
        <w:rPr>
          <w:rFonts w:ascii="Times New Roman" w:eastAsia="Times New Roman" w:hAnsi="Times New Roman" w:cs="Times New Roman"/>
          <w:color w:val="000000"/>
          <w:spacing w:val="6"/>
          <w:sz w:val="24"/>
          <w:szCs w:val="24"/>
          <w:lang w:eastAsia="en-GB"/>
        </w:rPr>
        <w:t xml:space="preserve">; and further </w:t>
      </w:r>
      <w:r w:rsidR="00ED6C44" w:rsidRPr="003A377E">
        <w:rPr>
          <w:rFonts w:ascii="Times New Roman" w:eastAsia="Times New Roman" w:hAnsi="Times New Roman" w:cs="Times New Roman"/>
          <w:color w:val="000000"/>
          <w:spacing w:val="6"/>
          <w:sz w:val="24"/>
          <w:szCs w:val="24"/>
          <w:lang w:eastAsia="en-GB"/>
        </w:rPr>
        <w:t>noted</w:t>
      </w:r>
      <w:r w:rsidR="00C03E50" w:rsidRPr="003A377E">
        <w:rPr>
          <w:rFonts w:ascii="Times New Roman" w:eastAsia="Times New Roman" w:hAnsi="Times New Roman" w:cs="Times New Roman"/>
          <w:color w:val="000000"/>
          <w:spacing w:val="6"/>
          <w:sz w:val="24"/>
          <w:szCs w:val="24"/>
          <w:lang w:eastAsia="en-GB"/>
        </w:rPr>
        <w:t xml:space="preserve"> that a</w:t>
      </w:r>
      <w:r w:rsidR="00A25DA1" w:rsidRPr="003A377E">
        <w:rPr>
          <w:rFonts w:ascii="Times New Roman" w:eastAsia="Times New Roman" w:hAnsi="Times New Roman" w:cs="Times New Roman"/>
          <w:color w:val="000000"/>
          <w:spacing w:val="6"/>
          <w:sz w:val="24"/>
          <w:szCs w:val="24"/>
          <w:lang w:eastAsia="en-GB"/>
        </w:rPr>
        <w:t xml:space="preserve"> process of reviewing th</w:t>
      </w:r>
      <w:r w:rsidR="00333CDC" w:rsidRPr="003A377E">
        <w:rPr>
          <w:rFonts w:ascii="Times New Roman" w:eastAsia="Times New Roman" w:hAnsi="Times New Roman" w:cs="Times New Roman"/>
          <w:color w:val="000000"/>
          <w:spacing w:val="6"/>
          <w:sz w:val="24"/>
          <w:szCs w:val="24"/>
          <w:lang w:eastAsia="en-GB"/>
        </w:rPr>
        <w:t>e entire social grant system is</w:t>
      </w:r>
      <w:r w:rsidR="00B00FCC" w:rsidRPr="003A377E">
        <w:rPr>
          <w:rFonts w:ascii="Times New Roman" w:eastAsia="Times New Roman" w:hAnsi="Times New Roman" w:cs="Times New Roman"/>
          <w:color w:val="000000"/>
          <w:spacing w:val="6"/>
          <w:sz w:val="24"/>
          <w:szCs w:val="24"/>
          <w:lang w:eastAsia="en-GB"/>
        </w:rPr>
        <w:t xml:space="preserve"> </w:t>
      </w:r>
      <w:r w:rsidR="00A25DA1" w:rsidRPr="003A377E">
        <w:rPr>
          <w:rFonts w:ascii="Times New Roman" w:eastAsia="Times New Roman" w:hAnsi="Times New Roman" w:cs="Times New Roman"/>
          <w:color w:val="000000"/>
          <w:spacing w:val="6"/>
          <w:sz w:val="24"/>
          <w:szCs w:val="24"/>
          <w:lang w:eastAsia="en-GB"/>
        </w:rPr>
        <w:t xml:space="preserve">underway.  </w:t>
      </w:r>
    </w:p>
    <w:p w:rsidR="00A25DA1" w:rsidRPr="003A377E" w:rsidRDefault="00A25DA1" w:rsidP="006B30A6">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val="en-GB" w:eastAsia="en-GB"/>
        </w:rPr>
      </w:pPr>
    </w:p>
    <w:p w:rsidR="00A25DA1" w:rsidRPr="003A377E" w:rsidRDefault="00A25DA1"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 xml:space="preserve">The Committee notes the R3.7 billion baseline </w:t>
      </w:r>
      <w:r w:rsidR="00E40448" w:rsidRPr="003A377E">
        <w:rPr>
          <w:rFonts w:ascii="Times New Roman" w:eastAsia="Times New Roman" w:hAnsi="Times New Roman" w:cs="Times New Roman"/>
          <w:color w:val="000000"/>
          <w:spacing w:val="6"/>
          <w:sz w:val="24"/>
          <w:szCs w:val="24"/>
          <w:lang w:val="en-GB" w:eastAsia="en-GB"/>
        </w:rPr>
        <w:t xml:space="preserve">allocated to provinces for the Early Childhood Development </w:t>
      </w:r>
      <w:r w:rsidR="00C03E50" w:rsidRPr="003A377E">
        <w:rPr>
          <w:rFonts w:ascii="Times New Roman" w:eastAsia="Times New Roman" w:hAnsi="Times New Roman" w:cs="Times New Roman"/>
          <w:color w:val="000000"/>
          <w:spacing w:val="6"/>
          <w:sz w:val="24"/>
          <w:szCs w:val="24"/>
          <w:lang w:val="en-GB" w:eastAsia="en-GB"/>
        </w:rPr>
        <w:t xml:space="preserve">(ECD) </w:t>
      </w:r>
      <w:r w:rsidR="00E40448" w:rsidRPr="003A377E">
        <w:rPr>
          <w:rFonts w:ascii="Times New Roman" w:eastAsia="Times New Roman" w:hAnsi="Times New Roman" w:cs="Times New Roman"/>
          <w:color w:val="000000"/>
          <w:spacing w:val="6"/>
          <w:sz w:val="24"/>
          <w:szCs w:val="24"/>
          <w:lang w:val="en-GB" w:eastAsia="en-GB"/>
        </w:rPr>
        <w:t>P</w:t>
      </w:r>
      <w:r w:rsidRPr="003A377E">
        <w:rPr>
          <w:rFonts w:ascii="Times New Roman" w:eastAsia="Times New Roman" w:hAnsi="Times New Roman" w:cs="Times New Roman"/>
          <w:color w:val="000000"/>
          <w:spacing w:val="6"/>
          <w:sz w:val="24"/>
          <w:szCs w:val="24"/>
          <w:lang w:val="en-GB" w:eastAsia="en-GB"/>
        </w:rPr>
        <w:t>rogramme including the function shift from Social Development to Basic Educati</w:t>
      </w:r>
      <w:r w:rsidR="00C805CB" w:rsidRPr="003A377E">
        <w:rPr>
          <w:rFonts w:ascii="Times New Roman" w:eastAsia="Times New Roman" w:hAnsi="Times New Roman" w:cs="Times New Roman"/>
          <w:color w:val="000000"/>
          <w:spacing w:val="6"/>
          <w:sz w:val="24"/>
          <w:szCs w:val="24"/>
          <w:lang w:val="en-GB" w:eastAsia="en-GB"/>
        </w:rPr>
        <w:t>on as a step</w:t>
      </w:r>
      <w:r w:rsidR="00C03E50" w:rsidRPr="003A377E">
        <w:rPr>
          <w:rFonts w:ascii="Times New Roman" w:eastAsia="Times New Roman" w:hAnsi="Times New Roman" w:cs="Times New Roman"/>
          <w:color w:val="000000"/>
          <w:spacing w:val="6"/>
          <w:sz w:val="24"/>
          <w:szCs w:val="24"/>
          <w:lang w:val="en-GB" w:eastAsia="en-GB"/>
        </w:rPr>
        <w:t xml:space="preserve"> in</w:t>
      </w:r>
      <w:r w:rsidR="00C805CB" w:rsidRPr="003A377E">
        <w:rPr>
          <w:rFonts w:ascii="Times New Roman" w:eastAsia="Times New Roman" w:hAnsi="Times New Roman" w:cs="Times New Roman"/>
          <w:color w:val="000000"/>
          <w:spacing w:val="6"/>
          <w:sz w:val="24"/>
          <w:szCs w:val="24"/>
          <w:lang w:val="en-GB" w:eastAsia="en-GB"/>
        </w:rPr>
        <w:t xml:space="preserve"> the right</w:t>
      </w:r>
      <w:r w:rsidRPr="003A377E">
        <w:rPr>
          <w:rFonts w:ascii="Times New Roman" w:eastAsia="Times New Roman" w:hAnsi="Times New Roman" w:cs="Times New Roman"/>
          <w:color w:val="000000"/>
          <w:spacing w:val="6"/>
          <w:sz w:val="24"/>
          <w:szCs w:val="24"/>
          <w:lang w:val="en-GB" w:eastAsia="en-GB"/>
        </w:rPr>
        <w:t xml:space="preserve"> direction. The Committee is of the view that</w:t>
      </w:r>
      <w:r w:rsidR="001918B3" w:rsidRPr="003A377E">
        <w:rPr>
          <w:rFonts w:ascii="Times New Roman" w:eastAsia="Times New Roman" w:hAnsi="Times New Roman" w:cs="Times New Roman"/>
          <w:color w:val="000000"/>
          <w:spacing w:val="6"/>
          <w:sz w:val="24"/>
          <w:szCs w:val="24"/>
          <w:lang w:val="en-GB" w:eastAsia="en-GB"/>
        </w:rPr>
        <w:t>,</w:t>
      </w:r>
      <w:r w:rsidRPr="003A377E">
        <w:rPr>
          <w:rFonts w:ascii="Times New Roman" w:eastAsia="Times New Roman" w:hAnsi="Times New Roman" w:cs="Times New Roman"/>
          <w:color w:val="000000"/>
          <w:spacing w:val="6"/>
          <w:sz w:val="24"/>
          <w:szCs w:val="24"/>
          <w:lang w:val="en-GB" w:eastAsia="en-GB"/>
        </w:rPr>
        <w:t xml:space="preserve"> for government to improve</w:t>
      </w:r>
      <w:r w:rsidRPr="003A377E">
        <w:rPr>
          <w:rFonts w:ascii="Times New Roman" w:eastAsia="Times New Roman" w:hAnsi="Times New Roman" w:cs="Times New Roman"/>
          <w:color w:val="000000"/>
          <w:spacing w:val="6"/>
          <w:sz w:val="24"/>
          <w:szCs w:val="24"/>
          <w:lang w:eastAsia="en-GB"/>
        </w:rPr>
        <w:t xml:space="preserve"> </w:t>
      </w:r>
      <w:r w:rsidR="001918B3" w:rsidRPr="003A377E">
        <w:rPr>
          <w:rFonts w:ascii="Times New Roman" w:eastAsia="Times New Roman" w:hAnsi="Times New Roman" w:cs="Times New Roman"/>
          <w:color w:val="000000"/>
          <w:spacing w:val="6"/>
          <w:sz w:val="24"/>
          <w:szCs w:val="24"/>
          <w:lang w:eastAsia="en-GB"/>
        </w:rPr>
        <w:t xml:space="preserve">the </w:t>
      </w:r>
      <w:r w:rsidRPr="003A377E">
        <w:rPr>
          <w:rFonts w:ascii="Times New Roman" w:eastAsia="Times New Roman" w:hAnsi="Times New Roman" w:cs="Times New Roman"/>
          <w:color w:val="000000"/>
          <w:spacing w:val="6"/>
          <w:sz w:val="24"/>
          <w:szCs w:val="24"/>
          <w:lang w:eastAsia="en-GB"/>
        </w:rPr>
        <w:t>quality of education</w:t>
      </w:r>
      <w:r w:rsidR="001918B3" w:rsidRPr="003A377E">
        <w:rPr>
          <w:rFonts w:ascii="Times New Roman" w:eastAsia="Times New Roman" w:hAnsi="Times New Roman" w:cs="Times New Roman"/>
          <w:color w:val="000000"/>
          <w:spacing w:val="6"/>
          <w:sz w:val="24"/>
          <w:szCs w:val="24"/>
          <w:lang w:eastAsia="en-GB"/>
        </w:rPr>
        <w:t>,</w:t>
      </w:r>
      <w:r w:rsidRPr="003A377E">
        <w:rPr>
          <w:rFonts w:ascii="Times New Roman" w:eastAsia="Times New Roman" w:hAnsi="Times New Roman" w:cs="Times New Roman"/>
          <w:color w:val="000000"/>
          <w:spacing w:val="6"/>
          <w:sz w:val="24"/>
          <w:szCs w:val="24"/>
          <w:lang w:eastAsia="en-GB"/>
        </w:rPr>
        <w:t xml:space="preserve"> more investment</w:t>
      </w:r>
      <w:r w:rsidR="00C03E50" w:rsidRPr="003A377E">
        <w:rPr>
          <w:rFonts w:ascii="Times New Roman" w:eastAsia="Times New Roman" w:hAnsi="Times New Roman" w:cs="Times New Roman"/>
          <w:color w:val="000000"/>
          <w:spacing w:val="6"/>
          <w:sz w:val="24"/>
          <w:szCs w:val="24"/>
          <w:lang w:eastAsia="en-GB"/>
        </w:rPr>
        <w:t xml:space="preserve"> is required at the level of</w:t>
      </w:r>
      <w:r w:rsidR="001918B3" w:rsidRPr="003A377E">
        <w:rPr>
          <w:rFonts w:ascii="Times New Roman" w:eastAsia="Times New Roman" w:hAnsi="Times New Roman" w:cs="Times New Roman"/>
          <w:color w:val="000000"/>
          <w:spacing w:val="6"/>
          <w:sz w:val="24"/>
          <w:szCs w:val="24"/>
          <w:lang w:eastAsia="en-GB"/>
        </w:rPr>
        <w:t xml:space="preserve"> ECD as this will</w:t>
      </w:r>
      <w:r w:rsidRPr="003A377E">
        <w:rPr>
          <w:rFonts w:ascii="Times New Roman" w:eastAsia="Times New Roman" w:hAnsi="Times New Roman" w:cs="Times New Roman"/>
          <w:color w:val="000000"/>
          <w:spacing w:val="6"/>
          <w:sz w:val="24"/>
          <w:szCs w:val="24"/>
          <w:lang w:eastAsia="en-GB"/>
        </w:rPr>
        <w:t xml:space="preserve"> yield numerous positive spill-overs such as increased success in the later schooling years. </w:t>
      </w:r>
    </w:p>
    <w:p w:rsidR="00A25DA1" w:rsidRPr="003A377E" w:rsidRDefault="00A25DA1" w:rsidP="006B30A6">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val="en-GB" w:eastAsia="en-GB"/>
        </w:rPr>
      </w:pPr>
    </w:p>
    <w:p w:rsidR="00A25DA1" w:rsidRPr="003A377E" w:rsidRDefault="00A25DA1"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Whilst the Committee welcomes the additional R7.4 billion earmarked to hire additional personnel in security cluster departments to intensify the fig</w:t>
      </w:r>
      <w:r w:rsidR="00925D4B" w:rsidRPr="003A377E">
        <w:rPr>
          <w:rFonts w:ascii="Times New Roman" w:eastAsia="Times New Roman" w:hAnsi="Times New Roman" w:cs="Times New Roman"/>
          <w:color w:val="000000"/>
          <w:spacing w:val="6"/>
          <w:sz w:val="24"/>
          <w:szCs w:val="24"/>
          <w:lang w:val="en-GB" w:eastAsia="en-GB"/>
        </w:rPr>
        <w:t>ht against crime and corruption, i</w:t>
      </w:r>
      <w:r w:rsidRPr="003A377E">
        <w:rPr>
          <w:rFonts w:ascii="Times New Roman" w:eastAsia="Times New Roman" w:hAnsi="Times New Roman" w:cs="Times New Roman"/>
          <w:color w:val="000000"/>
          <w:spacing w:val="6"/>
          <w:sz w:val="24"/>
          <w:szCs w:val="24"/>
          <w:lang w:val="en-GB" w:eastAsia="en-GB"/>
        </w:rPr>
        <w:t>t remains concerned about the fact that the increasing debt servicing cost</w:t>
      </w:r>
      <w:r w:rsidR="00925D4B" w:rsidRPr="003A377E">
        <w:rPr>
          <w:rFonts w:ascii="Times New Roman" w:eastAsia="Times New Roman" w:hAnsi="Times New Roman" w:cs="Times New Roman"/>
          <w:color w:val="000000"/>
          <w:spacing w:val="6"/>
          <w:sz w:val="24"/>
          <w:szCs w:val="24"/>
          <w:lang w:val="en-GB" w:eastAsia="en-GB"/>
        </w:rPr>
        <w:t xml:space="preserve"> is</w:t>
      </w:r>
      <w:r w:rsidRPr="003A377E">
        <w:rPr>
          <w:rFonts w:ascii="Times New Roman" w:eastAsia="Times New Roman" w:hAnsi="Times New Roman" w:cs="Times New Roman"/>
          <w:color w:val="000000"/>
          <w:spacing w:val="6"/>
          <w:sz w:val="24"/>
          <w:szCs w:val="24"/>
          <w:lang w:val="en-GB" w:eastAsia="en-GB"/>
        </w:rPr>
        <w:t xml:space="preserve"> crowding out many other spending functions</w:t>
      </w:r>
      <w:r w:rsidR="00925D4B" w:rsidRPr="003A377E">
        <w:rPr>
          <w:rFonts w:ascii="Times New Roman" w:eastAsia="Times New Roman" w:hAnsi="Times New Roman" w:cs="Times New Roman"/>
          <w:color w:val="000000"/>
          <w:spacing w:val="6"/>
          <w:sz w:val="24"/>
          <w:szCs w:val="24"/>
          <w:lang w:val="en-GB" w:eastAsia="en-GB"/>
        </w:rPr>
        <w:t>,</w:t>
      </w:r>
      <w:r w:rsidRPr="003A377E">
        <w:rPr>
          <w:rFonts w:ascii="Times New Roman" w:eastAsia="Times New Roman" w:hAnsi="Times New Roman" w:cs="Times New Roman"/>
          <w:color w:val="000000"/>
          <w:spacing w:val="6"/>
          <w:sz w:val="24"/>
          <w:szCs w:val="24"/>
          <w:lang w:val="en-GB" w:eastAsia="en-GB"/>
        </w:rPr>
        <w:t xml:space="preserve"> including the South </w:t>
      </w:r>
      <w:r w:rsidR="00925D4B" w:rsidRPr="003A377E">
        <w:rPr>
          <w:rFonts w:ascii="Times New Roman" w:eastAsia="Times New Roman" w:hAnsi="Times New Roman" w:cs="Times New Roman"/>
          <w:color w:val="000000"/>
          <w:spacing w:val="6"/>
          <w:sz w:val="24"/>
          <w:szCs w:val="24"/>
          <w:lang w:val="en-GB" w:eastAsia="en-GB"/>
        </w:rPr>
        <w:t>African National Defence Force (SANDF)</w:t>
      </w:r>
      <w:r w:rsidR="00BE312A" w:rsidRPr="003A377E">
        <w:rPr>
          <w:rFonts w:ascii="Times New Roman" w:eastAsia="Times New Roman" w:hAnsi="Times New Roman" w:cs="Times New Roman"/>
          <w:color w:val="000000"/>
          <w:spacing w:val="6"/>
          <w:sz w:val="24"/>
          <w:szCs w:val="24"/>
          <w:lang w:val="en-GB" w:eastAsia="en-GB"/>
        </w:rPr>
        <w:t xml:space="preserve"> b</w:t>
      </w:r>
      <w:r w:rsidRPr="003A377E">
        <w:rPr>
          <w:rFonts w:ascii="Times New Roman" w:eastAsia="Times New Roman" w:hAnsi="Times New Roman" w:cs="Times New Roman"/>
          <w:color w:val="000000"/>
          <w:spacing w:val="6"/>
          <w:sz w:val="24"/>
          <w:szCs w:val="24"/>
          <w:lang w:val="en-GB" w:eastAsia="en-GB"/>
        </w:rPr>
        <w:t>udget</w:t>
      </w:r>
      <w:r w:rsidR="00925D4B" w:rsidRPr="003A377E">
        <w:rPr>
          <w:rFonts w:ascii="Times New Roman" w:eastAsia="Times New Roman" w:hAnsi="Times New Roman" w:cs="Times New Roman"/>
          <w:color w:val="000000"/>
          <w:spacing w:val="6"/>
          <w:sz w:val="24"/>
          <w:szCs w:val="24"/>
          <w:lang w:val="en-GB" w:eastAsia="en-GB"/>
        </w:rPr>
        <w:t>. At the same time</w:t>
      </w:r>
      <w:r w:rsidRPr="003A377E">
        <w:rPr>
          <w:rFonts w:ascii="Times New Roman" w:eastAsia="Times New Roman" w:hAnsi="Times New Roman" w:cs="Times New Roman"/>
          <w:color w:val="000000"/>
          <w:spacing w:val="6"/>
          <w:sz w:val="24"/>
          <w:szCs w:val="24"/>
          <w:lang w:val="en-GB" w:eastAsia="en-GB"/>
        </w:rPr>
        <w:t>, there has been increasing relian</w:t>
      </w:r>
      <w:r w:rsidR="00E15F89" w:rsidRPr="003A377E">
        <w:rPr>
          <w:rFonts w:ascii="Times New Roman" w:eastAsia="Times New Roman" w:hAnsi="Times New Roman" w:cs="Times New Roman"/>
          <w:color w:val="000000"/>
          <w:spacing w:val="6"/>
          <w:sz w:val="24"/>
          <w:szCs w:val="24"/>
          <w:lang w:val="en-GB" w:eastAsia="en-GB"/>
        </w:rPr>
        <w:t xml:space="preserve">ce on the </w:t>
      </w:r>
      <w:r w:rsidR="00925D4B" w:rsidRPr="003A377E">
        <w:rPr>
          <w:rFonts w:ascii="Times New Roman" w:eastAsia="Times New Roman" w:hAnsi="Times New Roman" w:cs="Times New Roman"/>
          <w:color w:val="000000"/>
          <w:spacing w:val="6"/>
          <w:sz w:val="24"/>
          <w:szCs w:val="24"/>
          <w:lang w:val="en-GB" w:eastAsia="en-GB"/>
        </w:rPr>
        <w:t>SANDF</w:t>
      </w:r>
      <w:r w:rsidRPr="003A377E">
        <w:rPr>
          <w:rFonts w:ascii="Times New Roman" w:eastAsia="Times New Roman" w:hAnsi="Times New Roman" w:cs="Times New Roman"/>
          <w:color w:val="000000"/>
          <w:spacing w:val="6"/>
          <w:sz w:val="24"/>
          <w:szCs w:val="24"/>
          <w:lang w:val="en-GB" w:eastAsia="en-GB"/>
        </w:rPr>
        <w:t>, due to international, regional and domestic conflicts</w:t>
      </w:r>
      <w:r w:rsidR="00925D4B" w:rsidRPr="003A377E">
        <w:rPr>
          <w:rFonts w:ascii="Times New Roman" w:eastAsia="Times New Roman" w:hAnsi="Times New Roman" w:cs="Times New Roman"/>
          <w:color w:val="000000"/>
          <w:spacing w:val="6"/>
          <w:sz w:val="24"/>
          <w:szCs w:val="24"/>
          <w:lang w:val="en-GB" w:eastAsia="en-GB"/>
        </w:rPr>
        <w:t>. I</w:t>
      </w:r>
      <w:r w:rsidRPr="003A377E">
        <w:rPr>
          <w:rFonts w:ascii="Times New Roman" w:eastAsia="Times New Roman" w:hAnsi="Times New Roman" w:cs="Times New Roman"/>
          <w:color w:val="000000"/>
          <w:spacing w:val="6"/>
          <w:sz w:val="24"/>
          <w:szCs w:val="24"/>
          <w:lang w:val="en-GB" w:eastAsia="en-GB"/>
        </w:rPr>
        <w:t xml:space="preserve">nsufficient funding </w:t>
      </w:r>
      <w:r w:rsidR="008F40C5" w:rsidRPr="003A377E">
        <w:rPr>
          <w:rFonts w:ascii="Times New Roman" w:eastAsia="Times New Roman" w:hAnsi="Times New Roman" w:cs="Times New Roman"/>
          <w:color w:val="000000"/>
          <w:spacing w:val="6"/>
          <w:sz w:val="24"/>
          <w:szCs w:val="24"/>
          <w:lang w:val="en-GB" w:eastAsia="en-GB"/>
        </w:rPr>
        <w:t xml:space="preserve">for the cluster </w:t>
      </w:r>
      <w:r w:rsidRPr="003A377E">
        <w:rPr>
          <w:rFonts w:ascii="Times New Roman" w:eastAsia="Times New Roman" w:hAnsi="Times New Roman" w:cs="Times New Roman"/>
          <w:color w:val="000000"/>
          <w:spacing w:val="6"/>
          <w:sz w:val="24"/>
          <w:szCs w:val="24"/>
          <w:lang w:val="en-GB" w:eastAsia="en-GB"/>
        </w:rPr>
        <w:t>c</w:t>
      </w:r>
      <w:r w:rsidR="00261B9D" w:rsidRPr="003A377E">
        <w:rPr>
          <w:rFonts w:ascii="Times New Roman" w:eastAsia="Times New Roman" w:hAnsi="Times New Roman" w:cs="Times New Roman"/>
          <w:color w:val="000000"/>
          <w:spacing w:val="6"/>
          <w:sz w:val="24"/>
          <w:szCs w:val="24"/>
          <w:lang w:val="en-GB" w:eastAsia="en-GB"/>
        </w:rPr>
        <w:t>ontinues to undermine</w:t>
      </w:r>
      <w:r w:rsidRPr="003A377E">
        <w:rPr>
          <w:rFonts w:ascii="Times New Roman" w:eastAsia="Times New Roman" w:hAnsi="Times New Roman" w:cs="Times New Roman"/>
          <w:color w:val="000000"/>
          <w:spacing w:val="6"/>
          <w:sz w:val="24"/>
          <w:szCs w:val="24"/>
          <w:lang w:val="en-GB" w:eastAsia="en-GB"/>
        </w:rPr>
        <w:t xml:space="preserve"> the maintenance of important assets including vehicles</w:t>
      </w:r>
      <w:r w:rsidR="00925D4B" w:rsidRPr="003A377E">
        <w:rPr>
          <w:rFonts w:ascii="Times New Roman" w:eastAsia="Times New Roman" w:hAnsi="Times New Roman" w:cs="Times New Roman"/>
          <w:color w:val="000000"/>
          <w:spacing w:val="6"/>
          <w:sz w:val="24"/>
          <w:szCs w:val="24"/>
          <w:lang w:val="en-GB" w:eastAsia="en-GB"/>
        </w:rPr>
        <w:t xml:space="preserve"> and</w:t>
      </w:r>
      <w:r w:rsidR="00743CF9" w:rsidRPr="003A377E">
        <w:rPr>
          <w:rFonts w:ascii="Times New Roman" w:eastAsia="Times New Roman" w:hAnsi="Times New Roman" w:cs="Times New Roman"/>
          <w:color w:val="000000"/>
          <w:spacing w:val="6"/>
          <w:sz w:val="24"/>
          <w:szCs w:val="24"/>
          <w:lang w:val="en-GB" w:eastAsia="en-GB"/>
        </w:rPr>
        <w:t xml:space="preserve"> buildings</w:t>
      </w:r>
      <w:r w:rsidRPr="003A377E">
        <w:rPr>
          <w:rFonts w:ascii="Times New Roman" w:eastAsia="Times New Roman" w:hAnsi="Times New Roman" w:cs="Times New Roman"/>
          <w:color w:val="000000"/>
          <w:spacing w:val="6"/>
          <w:sz w:val="24"/>
          <w:szCs w:val="24"/>
          <w:lang w:val="en-GB" w:eastAsia="en-GB"/>
        </w:rPr>
        <w:t>.</w:t>
      </w:r>
      <w:r w:rsidR="00743CF9" w:rsidRPr="003A377E">
        <w:rPr>
          <w:rFonts w:ascii="Times New Roman" w:eastAsia="Times New Roman" w:hAnsi="Times New Roman" w:cs="Times New Roman"/>
          <w:color w:val="000000"/>
          <w:spacing w:val="6"/>
          <w:sz w:val="24"/>
          <w:szCs w:val="24"/>
          <w:lang w:val="en-GB" w:eastAsia="en-GB"/>
        </w:rPr>
        <w:t xml:space="preserve"> </w:t>
      </w:r>
      <w:r w:rsidRPr="003A377E">
        <w:rPr>
          <w:rFonts w:ascii="Times New Roman" w:eastAsia="Times New Roman" w:hAnsi="Times New Roman" w:cs="Times New Roman"/>
          <w:color w:val="000000"/>
          <w:spacing w:val="6"/>
          <w:sz w:val="24"/>
          <w:szCs w:val="24"/>
          <w:lang w:val="en-GB" w:eastAsia="en-GB"/>
        </w:rPr>
        <w:t xml:space="preserve">  </w:t>
      </w:r>
    </w:p>
    <w:p w:rsidR="00A25DA1" w:rsidRPr="003A377E" w:rsidRDefault="00A25DA1" w:rsidP="006B30A6">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eastAsia="en-GB"/>
        </w:rPr>
      </w:pPr>
    </w:p>
    <w:p w:rsidR="00A25DA1" w:rsidRPr="003A377E" w:rsidRDefault="00A25DA1"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Whilst the Committee notes the R20.5 billion earmarked for cost implications of the 2021 public service wage agreement</w:t>
      </w:r>
      <w:r w:rsidR="00925D4B" w:rsidRPr="003A377E">
        <w:rPr>
          <w:rFonts w:ascii="Times New Roman" w:eastAsia="Times New Roman" w:hAnsi="Times New Roman" w:cs="Times New Roman"/>
          <w:color w:val="000000"/>
          <w:spacing w:val="6"/>
          <w:sz w:val="24"/>
          <w:szCs w:val="24"/>
          <w:lang w:eastAsia="en-GB"/>
        </w:rPr>
        <w:t>,</w:t>
      </w:r>
      <w:r w:rsidRPr="003A377E">
        <w:rPr>
          <w:rFonts w:ascii="Times New Roman" w:eastAsia="Times New Roman" w:hAnsi="Times New Roman" w:cs="Times New Roman"/>
          <w:color w:val="000000"/>
          <w:spacing w:val="6"/>
          <w:sz w:val="24"/>
          <w:szCs w:val="24"/>
          <w:lang w:eastAsia="en-GB"/>
        </w:rPr>
        <w:t xml:space="preserve"> with no further provision made over the medium term for increased compensation</w:t>
      </w:r>
      <w:r w:rsidR="006554D9" w:rsidRPr="003A377E">
        <w:rPr>
          <w:rFonts w:ascii="Times New Roman" w:eastAsia="Times New Roman" w:hAnsi="Times New Roman" w:cs="Times New Roman"/>
          <w:color w:val="000000"/>
          <w:spacing w:val="6"/>
          <w:sz w:val="24"/>
          <w:szCs w:val="24"/>
          <w:lang w:eastAsia="en-GB"/>
        </w:rPr>
        <w:t xml:space="preserve"> above this level, it</w:t>
      </w:r>
      <w:r w:rsidRPr="003A377E">
        <w:rPr>
          <w:rFonts w:ascii="Times New Roman" w:eastAsia="Times New Roman" w:hAnsi="Times New Roman" w:cs="Times New Roman"/>
          <w:color w:val="000000"/>
          <w:spacing w:val="6"/>
          <w:sz w:val="24"/>
          <w:szCs w:val="24"/>
          <w:lang w:eastAsia="en-GB"/>
        </w:rPr>
        <w:t xml:space="preserve"> remains concerned </w:t>
      </w:r>
      <w:r w:rsidRPr="003A377E">
        <w:rPr>
          <w:rFonts w:ascii="Times New Roman" w:eastAsia="Times New Roman" w:hAnsi="Times New Roman" w:cs="Times New Roman"/>
          <w:color w:val="000000"/>
          <w:spacing w:val="6"/>
          <w:sz w:val="24"/>
          <w:szCs w:val="24"/>
          <w:lang w:eastAsia="en-GB"/>
        </w:rPr>
        <w:lastRenderedPageBreak/>
        <w:t>about the</w:t>
      </w:r>
      <w:r w:rsidR="00172A69" w:rsidRPr="003A377E">
        <w:rPr>
          <w:rFonts w:ascii="Times New Roman" w:eastAsia="Times New Roman" w:hAnsi="Times New Roman" w:cs="Times New Roman"/>
          <w:color w:val="000000"/>
          <w:spacing w:val="6"/>
          <w:sz w:val="24"/>
          <w:szCs w:val="24"/>
          <w:lang w:eastAsia="en-GB"/>
        </w:rPr>
        <w:t xml:space="preserve"> higher</w:t>
      </w:r>
      <w:r w:rsidRPr="003A377E">
        <w:rPr>
          <w:rFonts w:ascii="Times New Roman" w:eastAsia="Times New Roman" w:hAnsi="Times New Roman" w:cs="Times New Roman"/>
          <w:color w:val="000000"/>
          <w:spacing w:val="6"/>
          <w:sz w:val="24"/>
          <w:szCs w:val="24"/>
          <w:lang w:eastAsia="en-GB"/>
        </w:rPr>
        <w:t xml:space="preserve"> public sector wage bill as a percentage of spending and Gross Domestic </w:t>
      </w:r>
      <w:r w:rsidR="006271E4" w:rsidRPr="003A377E">
        <w:rPr>
          <w:rFonts w:ascii="Times New Roman" w:eastAsia="Times New Roman" w:hAnsi="Times New Roman" w:cs="Times New Roman"/>
          <w:color w:val="000000"/>
          <w:spacing w:val="6"/>
          <w:sz w:val="24"/>
          <w:szCs w:val="24"/>
          <w:lang w:eastAsia="en-GB"/>
        </w:rPr>
        <w:t>Product (GDP). The Committee further</w:t>
      </w:r>
      <w:r w:rsidRPr="003A377E">
        <w:rPr>
          <w:rFonts w:ascii="Times New Roman" w:eastAsia="Times New Roman" w:hAnsi="Times New Roman" w:cs="Times New Roman"/>
          <w:color w:val="000000"/>
          <w:spacing w:val="6"/>
          <w:sz w:val="24"/>
          <w:szCs w:val="24"/>
          <w:lang w:eastAsia="en-GB"/>
        </w:rPr>
        <w:t xml:space="preserve"> notes that the National Treasury was still in the process of engaging with the labour unions at the end of March 2022 to identif</w:t>
      </w:r>
      <w:r w:rsidR="00E55FCA" w:rsidRPr="003A377E">
        <w:rPr>
          <w:rFonts w:ascii="Times New Roman" w:eastAsia="Times New Roman" w:hAnsi="Times New Roman" w:cs="Times New Roman"/>
          <w:color w:val="000000"/>
          <w:spacing w:val="6"/>
          <w:sz w:val="24"/>
          <w:szCs w:val="24"/>
          <w:lang w:eastAsia="en-GB"/>
        </w:rPr>
        <w:t xml:space="preserve">y challenges and come up with </w:t>
      </w:r>
      <w:r w:rsidRPr="003A377E">
        <w:rPr>
          <w:rFonts w:ascii="Times New Roman" w:eastAsia="Times New Roman" w:hAnsi="Times New Roman" w:cs="Times New Roman"/>
          <w:color w:val="000000"/>
          <w:spacing w:val="6"/>
          <w:sz w:val="24"/>
          <w:szCs w:val="24"/>
          <w:lang w:eastAsia="en-GB"/>
        </w:rPr>
        <w:t xml:space="preserve">solutions with regards to this matter.  </w:t>
      </w:r>
    </w:p>
    <w:p w:rsidR="00A25DA1" w:rsidRPr="003A377E" w:rsidRDefault="00A25DA1" w:rsidP="006B30A6">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eastAsia="en-GB"/>
        </w:rPr>
      </w:pPr>
    </w:p>
    <w:p w:rsidR="00A25DA1" w:rsidRPr="003A377E" w:rsidRDefault="00A25DA1"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The Committee remains concerned about the lack of interventi</w:t>
      </w:r>
      <w:r w:rsidR="002C157D" w:rsidRPr="003A377E">
        <w:rPr>
          <w:rFonts w:ascii="Times New Roman" w:eastAsia="Times New Roman" w:hAnsi="Times New Roman" w:cs="Times New Roman"/>
          <w:color w:val="000000"/>
          <w:spacing w:val="6"/>
          <w:sz w:val="24"/>
          <w:szCs w:val="24"/>
          <w:lang w:eastAsia="en-GB"/>
        </w:rPr>
        <w:t xml:space="preserve">ons or action taken against </w:t>
      </w:r>
      <w:r w:rsidRPr="003A377E">
        <w:rPr>
          <w:rFonts w:ascii="Times New Roman" w:eastAsia="Times New Roman" w:hAnsi="Times New Roman" w:cs="Times New Roman"/>
          <w:color w:val="000000"/>
          <w:spacing w:val="6"/>
          <w:sz w:val="24"/>
          <w:szCs w:val="24"/>
          <w:lang w:eastAsia="en-GB"/>
        </w:rPr>
        <w:t xml:space="preserve">government </w:t>
      </w:r>
      <w:r w:rsidR="003F708D" w:rsidRPr="003A377E">
        <w:rPr>
          <w:rFonts w:ascii="Times New Roman" w:eastAsia="Times New Roman" w:hAnsi="Times New Roman" w:cs="Times New Roman"/>
          <w:color w:val="000000"/>
          <w:spacing w:val="6"/>
          <w:sz w:val="24"/>
          <w:szCs w:val="24"/>
          <w:lang w:eastAsia="en-GB"/>
        </w:rPr>
        <w:t xml:space="preserve">officials or </w:t>
      </w:r>
      <w:r w:rsidR="00925D4B" w:rsidRPr="003A377E">
        <w:rPr>
          <w:rFonts w:ascii="Times New Roman" w:eastAsia="Times New Roman" w:hAnsi="Times New Roman" w:cs="Times New Roman"/>
          <w:color w:val="000000"/>
          <w:spacing w:val="6"/>
          <w:sz w:val="24"/>
          <w:szCs w:val="24"/>
          <w:lang w:eastAsia="en-GB"/>
        </w:rPr>
        <w:t>departments who</w:t>
      </w:r>
      <w:r w:rsidRPr="003A377E">
        <w:rPr>
          <w:rFonts w:ascii="Times New Roman" w:eastAsia="Times New Roman" w:hAnsi="Times New Roman" w:cs="Times New Roman"/>
          <w:color w:val="000000"/>
          <w:spacing w:val="6"/>
          <w:sz w:val="24"/>
          <w:szCs w:val="24"/>
          <w:lang w:eastAsia="en-GB"/>
        </w:rPr>
        <w:t xml:space="preserve"> continue to undermine financial management </w:t>
      </w:r>
      <w:r w:rsidR="00C63E85" w:rsidRPr="003A377E">
        <w:rPr>
          <w:rFonts w:ascii="Times New Roman" w:eastAsia="Times New Roman" w:hAnsi="Times New Roman" w:cs="Times New Roman"/>
          <w:color w:val="000000"/>
          <w:spacing w:val="6"/>
          <w:sz w:val="24"/>
          <w:szCs w:val="24"/>
          <w:lang w:eastAsia="en-GB"/>
        </w:rPr>
        <w:t xml:space="preserve">regulations by not paying </w:t>
      </w:r>
      <w:r w:rsidRPr="003A377E">
        <w:rPr>
          <w:rFonts w:ascii="Times New Roman" w:eastAsia="Times New Roman" w:hAnsi="Times New Roman" w:cs="Times New Roman"/>
          <w:color w:val="000000"/>
          <w:spacing w:val="6"/>
          <w:sz w:val="24"/>
          <w:szCs w:val="24"/>
          <w:lang w:eastAsia="en-GB"/>
        </w:rPr>
        <w:t>service providers within 30 days</w:t>
      </w:r>
      <w:r w:rsidR="00925D4B" w:rsidRPr="003A377E">
        <w:rPr>
          <w:rFonts w:ascii="Times New Roman" w:eastAsia="Times New Roman" w:hAnsi="Times New Roman" w:cs="Times New Roman"/>
          <w:color w:val="000000"/>
          <w:spacing w:val="6"/>
          <w:sz w:val="24"/>
          <w:szCs w:val="24"/>
          <w:lang w:eastAsia="en-GB"/>
        </w:rPr>
        <w:t>,</w:t>
      </w:r>
      <w:r w:rsidRPr="003A377E">
        <w:rPr>
          <w:rFonts w:ascii="Times New Roman" w:eastAsia="Times New Roman" w:hAnsi="Times New Roman" w:cs="Times New Roman"/>
          <w:color w:val="000000"/>
          <w:spacing w:val="6"/>
          <w:sz w:val="24"/>
          <w:szCs w:val="24"/>
          <w:lang w:eastAsia="en-GB"/>
        </w:rPr>
        <w:t xml:space="preserve"> as required by Section 38 of the Public Finance Management Act of 1999. The Committee is of the view that </w:t>
      </w:r>
      <w:r w:rsidR="00C63E85" w:rsidRPr="003A377E">
        <w:rPr>
          <w:rFonts w:ascii="Times New Roman" w:eastAsia="Times New Roman" w:hAnsi="Times New Roman" w:cs="Times New Roman"/>
          <w:color w:val="000000"/>
          <w:spacing w:val="6"/>
          <w:sz w:val="24"/>
          <w:szCs w:val="24"/>
          <w:lang w:eastAsia="en-GB"/>
        </w:rPr>
        <w:t xml:space="preserve">not paying </w:t>
      </w:r>
      <w:r w:rsidRPr="003A377E">
        <w:rPr>
          <w:rFonts w:ascii="Times New Roman" w:eastAsia="Times New Roman" w:hAnsi="Times New Roman" w:cs="Times New Roman"/>
          <w:color w:val="000000"/>
          <w:spacing w:val="6"/>
          <w:sz w:val="24"/>
          <w:szCs w:val="24"/>
          <w:lang w:eastAsia="en-GB"/>
        </w:rPr>
        <w:t>ser</w:t>
      </w:r>
      <w:r w:rsidR="00925D4B" w:rsidRPr="003A377E">
        <w:rPr>
          <w:rFonts w:ascii="Times New Roman" w:eastAsia="Times New Roman" w:hAnsi="Times New Roman" w:cs="Times New Roman"/>
          <w:color w:val="000000"/>
          <w:spacing w:val="6"/>
          <w:sz w:val="24"/>
          <w:szCs w:val="24"/>
          <w:lang w:eastAsia="en-GB"/>
        </w:rPr>
        <w:t>vice providers on time does not</w:t>
      </w:r>
      <w:r w:rsidR="0052160A" w:rsidRPr="003A377E">
        <w:rPr>
          <w:rFonts w:ascii="Times New Roman" w:eastAsia="Times New Roman" w:hAnsi="Times New Roman" w:cs="Times New Roman"/>
          <w:color w:val="000000"/>
          <w:spacing w:val="6"/>
          <w:sz w:val="24"/>
          <w:szCs w:val="24"/>
          <w:lang w:eastAsia="en-GB"/>
        </w:rPr>
        <w:t xml:space="preserve"> </w:t>
      </w:r>
      <w:r w:rsidRPr="003A377E">
        <w:rPr>
          <w:rFonts w:ascii="Times New Roman" w:eastAsia="Times New Roman" w:hAnsi="Times New Roman" w:cs="Times New Roman"/>
          <w:color w:val="000000"/>
          <w:spacing w:val="6"/>
          <w:sz w:val="24"/>
          <w:szCs w:val="24"/>
          <w:lang w:eastAsia="en-GB"/>
        </w:rPr>
        <w:t>assist government to implement its economic recovery plan</w:t>
      </w:r>
      <w:r w:rsidR="00925D4B" w:rsidRPr="003A377E">
        <w:rPr>
          <w:rFonts w:ascii="Times New Roman" w:eastAsia="Times New Roman" w:hAnsi="Times New Roman" w:cs="Times New Roman"/>
          <w:color w:val="000000"/>
          <w:spacing w:val="6"/>
          <w:sz w:val="24"/>
          <w:szCs w:val="24"/>
          <w:lang w:eastAsia="en-GB"/>
        </w:rPr>
        <w:t>, as announced by the President,</w:t>
      </w:r>
      <w:r w:rsidRPr="003A377E">
        <w:rPr>
          <w:rFonts w:ascii="Times New Roman" w:eastAsia="Times New Roman" w:hAnsi="Times New Roman" w:cs="Times New Roman"/>
          <w:color w:val="000000"/>
          <w:spacing w:val="6"/>
          <w:sz w:val="24"/>
          <w:szCs w:val="24"/>
          <w:lang w:eastAsia="en-GB"/>
        </w:rPr>
        <w:t xml:space="preserve"> successfully.</w:t>
      </w:r>
      <w:r w:rsidR="00336411" w:rsidRPr="003A377E">
        <w:rPr>
          <w:rFonts w:ascii="Times New Roman" w:eastAsia="Times New Roman" w:hAnsi="Times New Roman" w:cs="Times New Roman"/>
          <w:color w:val="000000"/>
          <w:spacing w:val="6"/>
          <w:sz w:val="24"/>
          <w:szCs w:val="24"/>
          <w:lang w:eastAsia="en-GB"/>
        </w:rPr>
        <w:t xml:space="preserve"> </w:t>
      </w:r>
      <w:r w:rsidRPr="003A377E">
        <w:rPr>
          <w:rFonts w:ascii="Times New Roman" w:eastAsia="Times New Roman" w:hAnsi="Times New Roman" w:cs="Times New Roman"/>
          <w:color w:val="000000"/>
          <w:spacing w:val="6"/>
          <w:sz w:val="24"/>
          <w:szCs w:val="24"/>
          <w:lang w:eastAsia="en-GB"/>
        </w:rPr>
        <w:t xml:space="preserve"> </w:t>
      </w:r>
    </w:p>
    <w:p w:rsidR="00A25DA1" w:rsidRPr="003A377E" w:rsidRDefault="00A25DA1" w:rsidP="006B30A6">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eastAsia="en-GB"/>
        </w:rPr>
      </w:pPr>
    </w:p>
    <w:p w:rsidR="00A25DA1" w:rsidRPr="003A377E" w:rsidRDefault="00C40B85"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Whilst</w:t>
      </w:r>
      <w:r w:rsidR="00A25DA1" w:rsidRPr="003A377E">
        <w:rPr>
          <w:rFonts w:ascii="Times New Roman" w:eastAsia="Times New Roman" w:hAnsi="Times New Roman" w:cs="Times New Roman"/>
          <w:color w:val="000000"/>
          <w:spacing w:val="6"/>
          <w:sz w:val="24"/>
          <w:szCs w:val="24"/>
          <w:lang w:eastAsia="en-GB"/>
        </w:rPr>
        <w:t xml:space="preserve"> acknowledging the challenges relating to the Public Procurement Bill, the Committee remains </w:t>
      </w:r>
      <w:r w:rsidR="005913D2" w:rsidRPr="003A377E">
        <w:rPr>
          <w:rFonts w:ascii="Times New Roman" w:eastAsia="Times New Roman" w:hAnsi="Times New Roman" w:cs="Times New Roman"/>
          <w:color w:val="000000"/>
          <w:spacing w:val="6"/>
          <w:sz w:val="24"/>
          <w:szCs w:val="24"/>
          <w:lang w:eastAsia="en-GB"/>
        </w:rPr>
        <w:t>concerned about the slow pace</w:t>
      </w:r>
      <w:r w:rsidR="00925D4B" w:rsidRPr="003A377E">
        <w:rPr>
          <w:rFonts w:ascii="Times New Roman" w:eastAsia="Times New Roman" w:hAnsi="Times New Roman" w:cs="Times New Roman"/>
          <w:color w:val="000000"/>
          <w:spacing w:val="6"/>
          <w:sz w:val="24"/>
          <w:szCs w:val="24"/>
          <w:lang w:eastAsia="en-GB"/>
        </w:rPr>
        <w:t xml:space="preserve"> of</w:t>
      </w:r>
      <w:r w:rsidR="00A25DA1" w:rsidRPr="003A377E">
        <w:rPr>
          <w:rFonts w:ascii="Times New Roman" w:eastAsia="Times New Roman" w:hAnsi="Times New Roman" w:cs="Times New Roman"/>
          <w:color w:val="000000"/>
          <w:spacing w:val="6"/>
          <w:sz w:val="24"/>
          <w:szCs w:val="24"/>
          <w:lang w:eastAsia="en-GB"/>
        </w:rPr>
        <w:t xml:space="preserve"> resolving</w:t>
      </w:r>
      <w:r w:rsidR="006D4FE6" w:rsidRPr="003A377E">
        <w:rPr>
          <w:rFonts w:ascii="Times New Roman" w:eastAsia="Times New Roman" w:hAnsi="Times New Roman" w:cs="Times New Roman"/>
          <w:color w:val="000000"/>
          <w:spacing w:val="6"/>
          <w:sz w:val="24"/>
          <w:szCs w:val="24"/>
          <w:lang w:eastAsia="en-GB"/>
        </w:rPr>
        <w:t xml:space="preserve"> matters related to this important</w:t>
      </w:r>
      <w:r w:rsidR="00A25DA1" w:rsidRPr="003A377E">
        <w:rPr>
          <w:rFonts w:ascii="Times New Roman" w:eastAsia="Times New Roman" w:hAnsi="Times New Roman" w:cs="Times New Roman"/>
          <w:color w:val="000000"/>
          <w:spacing w:val="6"/>
          <w:sz w:val="24"/>
          <w:szCs w:val="24"/>
          <w:lang w:eastAsia="en-GB"/>
        </w:rPr>
        <w:t xml:space="preserve"> </w:t>
      </w:r>
      <w:r w:rsidR="006D4FE6" w:rsidRPr="003A377E">
        <w:rPr>
          <w:rFonts w:ascii="Times New Roman" w:eastAsia="Times New Roman" w:hAnsi="Times New Roman" w:cs="Times New Roman"/>
          <w:color w:val="000000"/>
          <w:spacing w:val="6"/>
          <w:sz w:val="24"/>
          <w:szCs w:val="24"/>
          <w:lang w:eastAsia="en-GB"/>
        </w:rPr>
        <w:t>piece of legislation</w:t>
      </w:r>
      <w:r w:rsidR="00724D9E" w:rsidRPr="003A377E">
        <w:rPr>
          <w:rFonts w:ascii="Times New Roman" w:eastAsia="Times New Roman" w:hAnsi="Times New Roman" w:cs="Times New Roman"/>
          <w:color w:val="000000"/>
          <w:spacing w:val="6"/>
          <w:sz w:val="24"/>
          <w:szCs w:val="24"/>
          <w:lang w:eastAsia="en-GB"/>
        </w:rPr>
        <w:t xml:space="preserve"> to</w:t>
      </w:r>
      <w:r w:rsidR="00A25DA1" w:rsidRPr="003A377E">
        <w:rPr>
          <w:rFonts w:ascii="Times New Roman" w:eastAsia="Times New Roman" w:hAnsi="Times New Roman" w:cs="Times New Roman"/>
          <w:color w:val="000000"/>
          <w:spacing w:val="6"/>
          <w:sz w:val="24"/>
          <w:szCs w:val="24"/>
          <w:lang w:eastAsia="en-GB"/>
        </w:rPr>
        <w:t xml:space="preserve"> ensure it</w:t>
      </w:r>
      <w:r w:rsidR="00AF194B" w:rsidRPr="003A377E">
        <w:rPr>
          <w:rFonts w:ascii="Times New Roman" w:eastAsia="Times New Roman" w:hAnsi="Times New Roman" w:cs="Times New Roman"/>
          <w:color w:val="000000"/>
          <w:spacing w:val="6"/>
          <w:sz w:val="24"/>
          <w:szCs w:val="24"/>
          <w:lang w:eastAsia="en-GB"/>
        </w:rPr>
        <w:t xml:space="preserve"> is </w:t>
      </w:r>
      <w:r w:rsidR="00724D9E" w:rsidRPr="003A377E">
        <w:rPr>
          <w:rFonts w:ascii="Times New Roman" w:eastAsia="Times New Roman" w:hAnsi="Times New Roman" w:cs="Times New Roman"/>
          <w:color w:val="000000"/>
          <w:spacing w:val="6"/>
          <w:sz w:val="24"/>
          <w:szCs w:val="24"/>
          <w:lang w:eastAsia="en-GB"/>
        </w:rPr>
        <w:t>tabled in Parliament</w:t>
      </w:r>
      <w:r w:rsidR="00E914CE" w:rsidRPr="003A377E">
        <w:rPr>
          <w:rFonts w:ascii="Times New Roman" w:eastAsia="Times New Roman" w:hAnsi="Times New Roman" w:cs="Times New Roman"/>
          <w:color w:val="000000"/>
          <w:spacing w:val="6"/>
          <w:sz w:val="24"/>
          <w:szCs w:val="24"/>
          <w:lang w:eastAsia="en-GB"/>
        </w:rPr>
        <w:t xml:space="preserve"> </w:t>
      </w:r>
      <w:r w:rsidR="00AF194B" w:rsidRPr="003A377E">
        <w:rPr>
          <w:rFonts w:ascii="Times New Roman" w:eastAsia="Times New Roman" w:hAnsi="Times New Roman" w:cs="Times New Roman"/>
          <w:color w:val="000000"/>
          <w:spacing w:val="6"/>
          <w:sz w:val="24"/>
          <w:szCs w:val="24"/>
          <w:lang w:eastAsia="en-GB"/>
        </w:rPr>
        <w:t>soonest</w:t>
      </w:r>
      <w:r w:rsidR="00724D9E" w:rsidRPr="003A377E">
        <w:rPr>
          <w:rFonts w:ascii="Times New Roman" w:eastAsia="Times New Roman" w:hAnsi="Times New Roman" w:cs="Times New Roman"/>
          <w:color w:val="000000"/>
          <w:spacing w:val="6"/>
          <w:sz w:val="24"/>
          <w:szCs w:val="24"/>
          <w:lang w:eastAsia="en-GB"/>
        </w:rPr>
        <w:t>. T</w:t>
      </w:r>
      <w:r w:rsidR="00C8398B" w:rsidRPr="003A377E">
        <w:rPr>
          <w:rFonts w:ascii="Times New Roman" w:eastAsia="Times New Roman" w:hAnsi="Times New Roman" w:cs="Times New Roman"/>
          <w:color w:val="000000"/>
          <w:spacing w:val="6"/>
          <w:sz w:val="24"/>
          <w:szCs w:val="24"/>
          <w:lang w:eastAsia="en-GB"/>
        </w:rPr>
        <w:t>he Committee is of the view that the</w:t>
      </w:r>
      <w:r w:rsidR="00724D9E" w:rsidRPr="003A377E">
        <w:rPr>
          <w:rFonts w:ascii="Times New Roman" w:eastAsia="Times New Roman" w:hAnsi="Times New Roman" w:cs="Times New Roman"/>
          <w:color w:val="000000"/>
          <w:spacing w:val="6"/>
          <w:sz w:val="24"/>
          <w:szCs w:val="24"/>
          <w:lang w:eastAsia="en-GB"/>
        </w:rPr>
        <w:t xml:space="preserve"> B</w:t>
      </w:r>
      <w:r w:rsidR="00C8398B" w:rsidRPr="003A377E">
        <w:rPr>
          <w:rFonts w:ascii="Times New Roman" w:eastAsia="Times New Roman" w:hAnsi="Times New Roman" w:cs="Times New Roman"/>
          <w:color w:val="000000"/>
          <w:spacing w:val="6"/>
          <w:sz w:val="24"/>
          <w:szCs w:val="24"/>
          <w:lang w:eastAsia="en-GB"/>
        </w:rPr>
        <w:t>ill could</w:t>
      </w:r>
      <w:r w:rsidR="00724D9E" w:rsidRPr="003A377E">
        <w:rPr>
          <w:rFonts w:ascii="Times New Roman" w:eastAsia="Times New Roman" w:hAnsi="Times New Roman" w:cs="Times New Roman"/>
          <w:color w:val="000000"/>
          <w:spacing w:val="6"/>
          <w:sz w:val="24"/>
          <w:szCs w:val="24"/>
          <w:lang w:eastAsia="en-GB"/>
        </w:rPr>
        <w:t xml:space="preserve"> help to further </w:t>
      </w:r>
      <w:r w:rsidR="000402B6" w:rsidRPr="003A377E">
        <w:rPr>
          <w:rFonts w:ascii="Times New Roman" w:eastAsia="Times New Roman" w:hAnsi="Times New Roman" w:cs="Times New Roman"/>
          <w:color w:val="000000"/>
          <w:spacing w:val="6"/>
          <w:sz w:val="24"/>
          <w:szCs w:val="24"/>
          <w:lang w:eastAsia="en-GB"/>
        </w:rPr>
        <w:t>streamline public procurement processes</w:t>
      </w:r>
      <w:r w:rsidR="00F97DC0" w:rsidRPr="003A377E">
        <w:rPr>
          <w:rFonts w:ascii="Times New Roman" w:eastAsia="Times New Roman" w:hAnsi="Times New Roman" w:cs="Times New Roman"/>
          <w:color w:val="000000"/>
          <w:spacing w:val="6"/>
          <w:sz w:val="24"/>
          <w:szCs w:val="24"/>
          <w:lang w:eastAsia="en-GB"/>
        </w:rPr>
        <w:t xml:space="preserve"> and</w:t>
      </w:r>
      <w:r w:rsidR="00F66D6A" w:rsidRPr="003A377E">
        <w:rPr>
          <w:rFonts w:ascii="Times New Roman" w:eastAsia="Times New Roman" w:hAnsi="Times New Roman" w:cs="Times New Roman"/>
          <w:color w:val="000000"/>
          <w:spacing w:val="6"/>
          <w:sz w:val="24"/>
          <w:szCs w:val="24"/>
          <w:lang w:eastAsia="en-GB"/>
        </w:rPr>
        <w:t xml:space="preserve"> achieve </w:t>
      </w:r>
      <w:r w:rsidR="005B4430" w:rsidRPr="003A377E">
        <w:rPr>
          <w:rFonts w:ascii="Times New Roman" w:eastAsia="Times New Roman" w:hAnsi="Times New Roman" w:cs="Times New Roman"/>
          <w:color w:val="000000"/>
          <w:spacing w:val="6"/>
          <w:sz w:val="24"/>
          <w:szCs w:val="24"/>
          <w:lang w:eastAsia="en-GB"/>
        </w:rPr>
        <w:t xml:space="preserve">much needed </w:t>
      </w:r>
      <w:r w:rsidR="009D3176" w:rsidRPr="003A377E">
        <w:rPr>
          <w:rFonts w:ascii="Times New Roman" w:eastAsia="Times New Roman" w:hAnsi="Times New Roman" w:cs="Times New Roman"/>
          <w:color w:val="000000"/>
          <w:spacing w:val="6"/>
          <w:sz w:val="24"/>
          <w:szCs w:val="24"/>
          <w:lang w:eastAsia="en-GB"/>
        </w:rPr>
        <w:t xml:space="preserve">economic </w:t>
      </w:r>
      <w:r w:rsidR="00E914CE" w:rsidRPr="003A377E">
        <w:rPr>
          <w:rFonts w:ascii="Times New Roman" w:eastAsia="Times New Roman" w:hAnsi="Times New Roman" w:cs="Times New Roman"/>
          <w:color w:val="000000"/>
          <w:spacing w:val="6"/>
          <w:sz w:val="24"/>
          <w:szCs w:val="24"/>
          <w:lang w:eastAsia="en-GB"/>
        </w:rPr>
        <w:t xml:space="preserve">empowerment </w:t>
      </w:r>
      <w:r w:rsidR="00F66D6A" w:rsidRPr="003A377E">
        <w:rPr>
          <w:rFonts w:ascii="Times New Roman" w:eastAsia="Times New Roman" w:hAnsi="Times New Roman" w:cs="Times New Roman"/>
          <w:color w:val="000000"/>
          <w:spacing w:val="6"/>
          <w:sz w:val="24"/>
          <w:szCs w:val="24"/>
          <w:lang w:eastAsia="en-GB"/>
        </w:rPr>
        <w:t>for previously disadvantaged groups</w:t>
      </w:r>
      <w:r w:rsidR="00F97DC0" w:rsidRPr="003A377E">
        <w:rPr>
          <w:rFonts w:ascii="Times New Roman" w:eastAsia="Times New Roman" w:hAnsi="Times New Roman" w:cs="Times New Roman"/>
          <w:color w:val="000000"/>
          <w:spacing w:val="6"/>
          <w:sz w:val="24"/>
          <w:szCs w:val="24"/>
          <w:lang w:eastAsia="en-GB"/>
        </w:rPr>
        <w:t>, including wom</w:t>
      </w:r>
      <w:r w:rsidR="00925D4B" w:rsidRPr="003A377E">
        <w:rPr>
          <w:rFonts w:ascii="Times New Roman" w:eastAsia="Times New Roman" w:hAnsi="Times New Roman" w:cs="Times New Roman"/>
          <w:color w:val="000000"/>
          <w:spacing w:val="6"/>
          <w:sz w:val="24"/>
          <w:szCs w:val="24"/>
          <w:lang w:eastAsia="en-GB"/>
        </w:rPr>
        <w:t>e</w:t>
      </w:r>
      <w:r w:rsidR="00F97DC0" w:rsidRPr="003A377E">
        <w:rPr>
          <w:rFonts w:ascii="Times New Roman" w:eastAsia="Times New Roman" w:hAnsi="Times New Roman" w:cs="Times New Roman"/>
          <w:color w:val="000000"/>
          <w:spacing w:val="6"/>
          <w:sz w:val="24"/>
          <w:szCs w:val="24"/>
          <w:lang w:eastAsia="en-GB"/>
        </w:rPr>
        <w:t>n, youth and people with disabilities</w:t>
      </w:r>
      <w:r w:rsidR="00A25DA1" w:rsidRPr="003A377E">
        <w:rPr>
          <w:rFonts w:ascii="Times New Roman" w:eastAsia="Times New Roman" w:hAnsi="Times New Roman" w:cs="Times New Roman"/>
          <w:color w:val="000000"/>
          <w:spacing w:val="6"/>
          <w:sz w:val="24"/>
          <w:szCs w:val="24"/>
          <w:lang w:eastAsia="en-GB"/>
        </w:rPr>
        <w:t>.</w:t>
      </w:r>
      <w:r w:rsidR="00F97DC0" w:rsidRPr="003A377E">
        <w:rPr>
          <w:rFonts w:ascii="Times New Roman" w:eastAsia="Times New Roman" w:hAnsi="Times New Roman" w:cs="Times New Roman"/>
          <w:color w:val="000000"/>
          <w:spacing w:val="6"/>
          <w:sz w:val="24"/>
          <w:szCs w:val="24"/>
          <w:lang w:eastAsia="en-GB"/>
        </w:rPr>
        <w:t xml:space="preserve">  </w:t>
      </w:r>
      <w:r w:rsidR="00F66D6A" w:rsidRPr="003A377E">
        <w:rPr>
          <w:rFonts w:ascii="Times New Roman" w:eastAsia="Times New Roman" w:hAnsi="Times New Roman" w:cs="Times New Roman"/>
          <w:color w:val="000000"/>
          <w:spacing w:val="6"/>
          <w:sz w:val="24"/>
          <w:szCs w:val="24"/>
          <w:lang w:eastAsia="en-GB"/>
        </w:rPr>
        <w:t xml:space="preserve"> </w:t>
      </w:r>
      <w:r w:rsidR="004C6450" w:rsidRPr="003A377E">
        <w:rPr>
          <w:rFonts w:ascii="Times New Roman" w:eastAsia="Times New Roman" w:hAnsi="Times New Roman" w:cs="Times New Roman"/>
          <w:color w:val="000000"/>
          <w:spacing w:val="6"/>
          <w:sz w:val="24"/>
          <w:szCs w:val="24"/>
          <w:lang w:eastAsia="en-GB"/>
        </w:rPr>
        <w:t xml:space="preserve"> </w:t>
      </w:r>
      <w:r w:rsidR="00A25DA1" w:rsidRPr="003A377E">
        <w:rPr>
          <w:rFonts w:ascii="Times New Roman" w:eastAsia="Times New Roman" w:hAnsi="Times New Roman" w:cs="Times New Roman"/>
          <w:color w:val="000000"/>
          <w:spacing w:val="6"/>
          <w:sz w:val="24"/>
          <w:szCs w:val="24"/>
          <w:lang w:eastAsia="en-GB"/>
        </w:rPr>
        <w:t xml:space="preserve"> </w:t>
      </w:r>
    </w:p>
    <w:p w:rsidR="009361ED" w:rsidRPr="003A377E" w:rsidRDefault="009361ED" w:rsidP="006B30A6">
      <w:pPr>
        <w:pStyle w:val="ListParagraph"/>
        <w:spacing w:line="360" w:lineRule="auto"/>
        <w:jc w:val="both"/>
        <w:rPr>
          <w:rFonts w:ascii="Times New Roman" w:eastAsia="Times New Roman" w:hAnsi="Times New Roman" w:cs="Times New Roman"/>
          <w:color w:val="000000"/>
          <w:spacing w:val="6"/>
          <w:sz w:val="24"/>
          <w:szCs w:val="24"/>
          <w:lang w:val="en-GB" w:eastAsia="en-GB"/>
        </w:rPr>
      </w:pPr>
    </w:p>
    <w:p w:rsidR="009361ED" w:rsidRPr="003A377E" w:rsidRDefault="009361ED"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The Committee agrees with Sect</w:t>
      </w:r>
      <w:r w:rsidR="00925D4B" w:rsidRPr="003A377E">
        <w:rPr>
          <w:rFonts w:ascii="Times New Roman" w:eastAsia="Times New Roman" w:hAnsi="Times New Roman" w:cs="Times New Roman"/>
          <w:color w:val="000000"/>
          <w:spacing w:val="6"/>
          <w:sz w:val="24"/>
          <w:szCs w:val="24"/>
          <w:lang w:eastAsia="en-GB"/>
        </w:rPr>
        <w:t>ion27 that conditional grants a</w:t>
      </w:r>
      <w:r w:rsidRPr="003A377E">
        <w:rPr>
          <w:rFonts w:ascii="Times New Roman" w:eastAsia="Times New Roman" w:hAnsi="Times New Roman" w:cs="Times New Roman"/>
          <w:color w:val="000000"/>
          <w:spacing w:val="6"/>
          <w:sz w:val="24"/>
          <w:szCs w:val="24"/>
          <w:lang w:eastAsia="en-GB"/>
        </w:rPr>
        <w:t>re not allocated in a ge</w:t>
      </w:r>
      <w:r w:rsidR="004021B3" w:rsidRPr="003A377E">
        <w:rPr>
          <w:rFonts w:ascii="Times New Roman" w:eastAsia="Times New Roman" w:hAnsi="Times New Roman" w:cs="Times New Roman"/>
          <w:color w:val="000000"/>
          <w:spacing w:val="6"/>
          <w:sz w:val="24"/>
          <w:szCs w:val="24"/>
          <w:lang w:eastAsia="en-GB"/>
        </w:rPr>
        <w:t>nder-responsive manner, despite</w:t>
      </w:r>
      <w:r w:rsidR="00207183" w:rsidRPr="003A377E">
        <w:rPr>
          <w:rFonts w:ascii="Times New Roman" w:eastAsia="Times New Roman" w:hAnsi="Times New Roman" w:cs="Times New Roman"/>
          <w:color w:val="000000"/>
          <w:spacing w:val="6"/>
          <w:sz w:val="24"/>
          <w:szCs w:val="24"/>
          <w:lang w:eastAsia="en-GB"/>
        </w:rPr>
        <w:t xml:space="preserve"> </w:t>
      </w:r>
      <w:r w:rsidR="00925D4B" w:rsidRPr="003A377E">
        <w:rPr>
          <w:rFonts w:ascii="Times New Roman" w:eastAsia="Times New Roman" w:hAnsi="Times New Roman" w:cs="Times New Roman"/>
          <w:color w:val="000000"/>
          <w:spacing w:val="6"/>
          <w:sz w:val="24"/>
          <w:szCs w:val="24"/>
          <w:lang w:eastAsia="en-GB"/>
        </w:rPr>
        <w:t xml:space="preserve">an </w:t>
      </w:r>
      <w:r w:rsidR="00207183" w:rsidRPr="003A377E">
        <w:rPr>
          <w:rFonts w:ascii="Times New Roman" w:eastAsia="Times New Roman" w:hAnsi="Times New Roman" w:cs="Times New Roman"/>
          <w:color w:val="000000"/>
          <w:spacing w:val="6"/>
          <w:sz w:val="24"/>
          <w:szCs w:val="24"/>
          <w:lang w:eastAsia="en-GB"/>
        </w:rPr>
        <w:t>FFC recommendation that</w:t>
      </w:r>
      <w:r w:rsidR="00CC16D0" w:rsidRPr="003A377E">
        <w:rPr>
          <w:rFonts w:ascii="Times New Roman" w:eastAsia="Times New Roman" w:hAnsi="Times New Roman" w:cs="Times New Roman"/>
          <w:color w:val="000000"/>
          <w:spacing w:val="6"/>
          <w:sz w:val="24"/>
          <w:szCs w:val="24"/>
          <w:lang w:eastAsia="en-GB"/>
        </w:rPr>
        <w:t xml:space="preserve"> </w:t>
      </w:r>
      <w:r w:rsidR="00207183" w:rsidRPr="003A377E">
        <w:rPr>
          <w:rFonts w:ascii="Times New Roman" w:eastAsia="Times New Roman" w:hAnsi="Times New Roman" w:cs="Times New Roman"/>
          <w:color w:val="000000"/>
          <w:spacing w:val="6"/>
          <w:sz w:val="24"/>
          <w:szCs w:val="24"/>
          <w:lang w:eastAsia="en-GB"/>
        </w:rPr>
        <w:t>b</w:t>
      </w:r>
      <w:r w:rsidRPr="003A377E">
        <w:rPr>
          <w:rFonts w:ascii="Times New Roman" w:eastAsia="Times New Roman" w:hAnsi="Times New Roman" w:cs="Times New Roman"/>
          <w:color w:val="000000"/>
          <w:spacing w:val="6"/>
          <w:sz w:val="24"/>
          <w:szCs w:val="24"/>
          <w:lang w:eastAsia="en-GB"/>
        </w:rPr>
        <w:t>udget</w:t>
      </w:r>
      <w:r w:rsidR="00CC16D0" w:rsidRPr="003A377E">
        <w:rPr>
          <w:rFonts w:ascii="Times New Roman" w:eastAsia="Times New Roman" w:hAnsi="Times New Roman" w:cs="Times New Roman"/>
          <w:color w:val="000000"/>
          <w:spacing w:val="6"/>
          <w:sz w:val="24"/>
          <w:szCs w:val="24"/>
          <w:lang w:eastAsia="en-GB"/>
        </w:rPr>
        <w:t>s</w:t>
      </w:r>
      <w:r w:rsidRPr="003A377E">
        <w:rPr>
          <w:rFonts w:ascii="Times New Roman" w:eastAsia="Times New Roman" w:hAnsi="Times New Roman" w:cs="Times New Roman"/>
          <w:color w:val="000000"/>
          <w:spacing w:val="6"/>
          <w:sz w:val="24"/>
          <w:szCs w:val="24"/>
          <w:lang w:eastAsia="en-GB"/>
        </w:rPr>
        <w:t xml:space="preserve"> should address gender inequality through gender budgeting in</w:t>
      </w:r>
      <w:r w:rsidR="00CF6D90" w:rsidRPr="003A377E">
        <w:rPr>
          <w:rFonts w:ascii="Times New Roman" w:eastAsia="Times New Roman" w:hAnsi="Times New Roman" w:cs="Times New Roman"/>
          <w:color w:val="000000"/>
          <w:spacing w:val="6"/>
          <w:sz w:val="24"/>
          <w:szCs w:val="24"/>
          <w:lang w:eastAsia="en-GB"/>
        </w:rPr>
        <w:t xml:space="preserve"> the public sector. </w:t>
      </w:r>
      <w:r w:rsidR="006B3DEC" w:rsidRPr="003A377E">
        <w:rPr>
          <w:rFonts w:ascii="Times New Roman" w:eastAsia="Times New Roman" w:hAnsi="Times New Roman" w:cs="Times New Roman"/>
          <w:color w:val="000000"/>
          <w:spacing w:val="6"/>
          <w:sz w:val="24"/>
          <w:szCs w:val="24"/>
          <w:lang w:eastAsia="en-GB"/>
        </w:rPr>
        <w:t xml:space="preserve">It also </w:t>
      </w:r>
      <w:r w:rsidR="00925D4B" w:rsidRPr="003A377E">
        <w:rPr>
          <w:rFonts w:ascii="Times New Roman" w:eastAsia="Times New Roman" w:hAnsi="Times New Roman" w:cs="Times New Roman"/>
          <w:color w:val="000000"/>
          <w:spacing w:val="6"/>
          <w:sz w:val="24"/>
          <w:szCs w:val="24"/>
          <w:lang w:eastAsia="en-GB"/>
        </w:rPr>
        <w:t xml:space="preserve">notes </w:t>
      </w:r>
      <w:r w:rsidR="006B3DEC" w:rsidRPr="003A377E">
        <w:rPr>
          <w:rFonts w:ascii="Times New Roman" w:eastAsia="Times New Roman" w:hAnsi="Times New Roman" w:cs="Times New Roman"/>
          <w:color w:val="000000"/>
          <w:spacing w:val="6"/>
          <w:sz w:val="24"/>
          <w:szCs w:val="24"/>
          <w:lang w:eastAsia="en-GB"/>
        </w:rPr>
        <w:t>the</w:t>
      </w:r>
      <w:r w:rsidR="00EE0E36" w:rsidRPr="003A377E">
        <w:rPr>
          <w:rFonts w:ascii="Times New Roman" w:eastAsia="Times New Roman" w:hAnsi="Times New Roman" w:cs="Times New Roman"/>
          <w:color w:val="000000"/>
          <w:spacing w:val="6"/>
          <w:sz w:val="24"/>
          <w:szCs w:val="24"/>
          <w:lang w:eastAsia="en-GB"/>
        </w:rPr>
        <w:t xml:space="preserve"> observation</w:t>
      </w:r>
      <w:r w:rsidR="00CF6D90" w:rsidRPr="003A377E">
        <w:rPr>
          <w:rFonts w:ascii="Times New Roman" w:eastAsia="Times New Roman" w:hAnsi="Times New Roman" w:cs="Times New Roman"/>
          <w:color w:val="000000"/>
          <w:spacing w:val="6"/>
          <w:sz w:val="24"/>
          <w:szCs w:val="24"/>
          <w:lang w:eastAsia="en-GB"/>
        </w:rPr>
        <w:t xml:space="preserve"> that</w:t>
      </w:r>
      <w:r w:rsidRPr="003A377E">
        <w:rPr>
          <w:rFonts w:ascii="Times New Roman" w:eastAsia="Times New Roman" w:hAnsi="Times New Roman" w:cs="Times New Roman"/>
          <w:color w:val="000000"/>
          <w:spacing w:val="6"/>
          <w:sz w:val="24"/>
          <w:szCs w:val="24"/>
          <w:lang w:eastAsia="en-GB"/>
        </w:rPr>
        <w:t xml:space="preserve"> funding for the Department of Women, Children </w:t>
      </w:r>
      <w:r w:rsidR="00925D4B" w:rsidRPr="003A377E">
        <w:rPr>
          <w:rFonts w:ascii="Times New Roman" w:eastAsia="Times New Roman" w:hAnsi="Times New Roman" w:cs="Times New Roman"/>
          <w:color w:val="000000"/>
          <w:spacing w:val="6"/>
          <w:sz w:val="24"/>
          <w:szCs w:val="24"/>
          <w:lang w:eastAsia="en-GB"/>
        </w:rPr>
        <w:t>and People with Disabilities has</w:t>
      </w:r>
      <w:r w:rsidRPr="003A377E">
        <w:rPr>
          <w:rFonts w:ascii="Times New Roman" w:eastAsia="Times New Roman" w:hAnsi="Times New Roman" w:cs="Times New Roman"/>
          <w:color w:val="000000"/>
          <w:spacing w:val="6"/>
          <w:sz w:val="24"/>
          <w:szCs w:val="24"/>
          <w:lang w:eastAsia="en-GB"/>
        </w:rPr>
        <w:t xml:space="preserve"> been reduced by an annual average of 11.9 percent over the MTEF.</w:t>
      </w:r>
      <w:r w:rsidR="005156DD" w:rsidRPr="003A377E">
        <w:rPr>
          <w:rFonts w:ascii="Times New Roman" w:eastAsia="Times New Roman" w:hAnsi="Times New Roman" w:cs="Times New Roman"/>
          <w:color w:val="000000"/>
          <w:spacing w:val="6"/>
          <w:sz w:val="24"/>
          <w:szCs w:val="24"/>
          <w:lang w:eastAsia="en-GB"/>
        </w:rPr>
        <w:t xml:space="preserve"> </w:t>
      </w:r>
    </w:p>
    <w:p w:rsidR="00E4167D" w:rsidRPr="003A377E" w:rsidRDefault="00E4167D" w:rsidP="006B30A6">
      <w:pPr>
        <w:pStyle w:val="ListParagraph"/>
        <w:rPr>
          <w:rFonts w:ascii="Times New Roman" w:eastAsia="Times New Roman" w:hAnsi="Times New Roman" w:cs="Times New Roman"/>
          <w:color w:val="000000"/>
          <w:spacing w:val="6"/>
          <w:sz w:val="24"/>
          <w:szCs w:val="24"/>
          <w:lang w:val="en-GB" w:eastAsia="en-GB"/>
        </w:rPr>
      </w:pPr>
    </w:p>
    <w:p w:rsidR="00E4167D" w:rsidRPr="003A377E" w:rsidRDefault="00E4167D"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hAnsi="Times New Roman" w:cs="Times New Roman"/>
          <w:sz w:val="24"/>
          <w:szCs w:val="24"/>
          <w:lang w:val="en"/>
        </w:rPr>
        <w:t xml:space="preserve">The Committee notes the recommendation by </w:t>
      </w:r>
      <w:r w:rsidR="00925D4B" w:rsidRPr="003A377E">
        <w:rPr>
          <w:rFonts w:ascii="Times New Roman" w:hAnsi="Times New Roman" w:cs="Times New Roman"/>
          <w:sz w:val="24"/>
          <w:szCs w:val="24"/>
          <w:lang w:val="en"/>
        </w:rPr>
        <w:t xml:space="preserve">the </w:t>
      </w:r>
      <w:r w:rsidRPr="003A377E">
        <w:rPr>
          <w:rFonts w:ascii="Times New Roman" w:hAnsi="Times New Roman" w:cs="Times New Roman"/>
          <w:sz w:val="24"/>
          <w:szCs w:val="24"/>
          <w:lang w:val="en"/>
        </w:rPr>
        <w:t>Budget Justice Coalition</w:t>
      </w:r>
      <w:r w:rsidR="00264B3D" w:rsidRPr="003A377E">
        <w:rPr>
          <w:rFonts w:ascii="Times New Roman" w:hAnsi="Times New Roman" w:cs="Times New Roman"/>
          <w:sz w:val="24"/>
          <w:szCs w:val="24"/>
          <w:lang w:val="en"/>
        </w:rPr>
        <w:t xml:space="preserve"> (BJC)</w:t>
      </w:r>
      <w:r w:rsidRPr="003A377E">
        <w:rPr>
          <w:rFonts w:ascii="Times New Roman" w:hAnsi="Times New Roman" w:cs="Times New Roman"/>
          <w:sz w:val="24"/>
          <w:szCs w:val="24"/>
          <w:lang w:val="en"/>
        </w:rPr>
        <w:t xml:space="preserve"> that the </w:t>
      </w:r>
      <w:r w:rsidR="00925D4B" w:rsidRPr="003A377E">
        <w:rPr>
          <w:rFonts w:ascii="Times New Roman" w:hAnsi="Times New Roman" w:cs="Times New Roman"/>
          <w:sz w:val="24"/>
          <w:szCs w:val="24"/>
          <w:lang w:val="en"/>
        </w:rPr>
        <w:t>Social Relief of Distress (</w:t>
      </w:r>
      <w:r w:rsidRPr="003A377E">
        <w:rPr>
          <w:rFonts w:ascii="Times New Roman" w:hAnsi="Times New Roman" w:cs="Times New Roman"/>
          <w:sz w:val="24"/>
          <w:szCs w:val="24"/>
          <w:lang w:val="en"/>
        </w:rPr>
        <w:t>SRD</w:t>
      </w:r>
      <w:r w:rsidR="00925D4B" w:rsidRPr="003A377E">
        <w:rPr>
          <w:rFonts w:ascii="Times New Roman" w:hAnsi="Times New Roman" w:cs="Times New Roman"/>
          <w:sz w:val="24"/>
          <w:szCs w:val="24"/>
          <w:lang w:val="en"/>
        </w:rPr>
        <w:t>)</w:t>
      </w:r>
      <w:r w:rsidRPr="003A377E">
        <w:rPr>
          <w:rFonts w:ascii="Times New Roman" w:hAnsi="Times New Roman" w:cs="Times New Roman"/>
          <w:sz w:val="24"/>
          <w:szCs w:val="24"/>
          <w:lang w:val="en"/>
        </w:rPr>
        <w:t xml:space="preserve"> Grant be increased to the f</w:t>
      </w:r>
      <w:r w:rsidR="004212A2" w:rsidRPr="003A377E">
        <w:rPr>
          <w:rFonts w:ascii="Times New Roman" w:hAnsi="Times New Roman" w:cs="Times New Roman"/>
          <w:sz w:val="24"/>
          <w:szCs w:val="24"/>
          <w:lang w:val="en"/>
        </w:rPr>
        <w:t>ood poverty line of R624 and that</w:t>
      </w:r>
      <w:r w:rsidRPr="003A377E">
        <w:rPr>
          <w:rFonts w:ascii="Times New Roman" w:hAnsi="Times New Roman" w:cs="Times New Roman"/>
          <w:sz w:val="24"/>
          <w:szCs w:val="24"/>
          <w:lang w:val="en"/>
        </w:rPr>
        <w:t xml:space="preserve"> the Dep</w:t>
      </w:r>
      <w:r w:rsidR="004212A2" w:rsidRPr="003A377E">
        <w:rPr>
          <w:rFonts w:ascii="Times New Roman" w:hAnsi="Times New Roman" w:cs="Times New Roman"/>
          <w:sz w:val="24"/>
          <w:szCs w:val="24"/>
          <w:lang w:val="en"/>
        </w:rPr>
        <w:t>artment of Social Development</w:t>
      </w:r>
      <w:r w:rsidRPr="003A377E">
        <w:rPr>
          <w:rFonts w:ascii="Times New Roman" w:hAnsi="Times New Roman" w:cs="Times New Roman"/>
          <w:sz w:val="24"/>
          <w:szCs w:val="24"/>
          <w:lang w:val="en"/>
        </w:rPr>
        <w:t xml:space="preserve"> address the administrative challenges of the Grant. </w:t>
      </w:r>
    </w:p>
    <w:p w:rsidR="00A25DA1" w:rsidRPr="003A377E" w:rsidRDefault="00A25DA1" w:rsidP="006B30A6">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eastAsia="en-GB"/>
        </w:rPr>
      </w:pPr>
    </w:p>
    <w:p w:rsidR="002A6A89" w:rsidRPr="003A377E" w:rsidRDefault="00A25DA1"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lastRenderedPageBreak/>
        <w:t>While welcoming the R15 billion allocation fo</w:t>
      </w:r>
      <w:r w:rsidR="00413C67" w:rsidRPr="003A377E">
        <w:rPr>
          <w:rFonts w:ascii="Times New Roman" w:eastAsia="Times New Roman" w:hAnsi="Times New Roman" w:cs="Times New Roman"/>
          <w:color w:val="000000"/>
          <w:spacing w:val="6"/>
          <w:sz w:val="24"/>
          <w:szCs w:val="24"/>
          <w:lang w:eastAsia="en-GB"/>
        </w:rPr>
        <w:t xml:space="preserve">r </w:t>
      </w:r>
      <w:r w:rsidR="009F3773" w:rsidRPr="003A377E">
        <w:rPr>
          <w:rFonts w:ascii="Times New Roman" w:eastAsia="Times New Roman" w:hAnsi="Times New Roman" w:cs="Times New Roman"/>
          <w:color w:val="000000"/>
          <w:spacing w:val="6"/>
          <w:sz w:val="24"/>
          <w:szCs w:val="24"/>
          <w:lang w:eastAsia="en-GB"/>
        </w:rPr>
        <w:t xml:space="preserve">loan guarantees for </w:t>
      </w:r>
      <w:r w:rsidR="00413C67" w:rsidRPr="003A377E">
        <w:rPr>
          <w:rFonts w:ascii="Times New Roman" w:eastAsia="Times New Roman" w:hAnsi="Times New Roman" w:cs="Times New Roman"/>
          <w:color w:val="000000"/>
          <w:spacing w:val="6"/>
          <w:sz w:val="24"/>
          <w:szCs w:val="24"/>
          <w:lang w:eastAsia="en-GB"/>
        </w:rPr>
        <w:t>small business</w:t>
      </w:r>
      <w:r w:rsidR="009F3773" w:rsidRPr="003A377E">
        <w:rPr>
          <w:rFonts w:ascii="Times New Roman" w:eastAsia="Times New Roman" w:hAnsi="Times New Roman" w:cs="Times New Roman"/>
          <w:color w:val="000000"/>
          <w:spacing w:val="6"/>
          <w:sz w:val="24"/>
          <w:szCs w:val="24"/>
          <w:lang w:eastAsia="en-GB"/>
        </w:rPr>
        <w:t>es</w:t>
      </w:r>
      <w:r w:rsidR="00413C67" w:rsidRPr="003A377E">
        <w:rPr>
          <w:rFonts w:ascii="Times New Roman" w:eastAsia="Times New Roman" w:hAnsi="Times New Roman" w:cs="Times New Roman"/>
          <w:color w:val="000000"/>
          <w:spacing w:val="6"/>
          <w:sz w:val="24"/>
          <w:szCs w:val="24"/>
          <w:lang w:eastAsia="en-GB"/>
        </w:rPr>
        <w:t xml:space="preserve"> </w:t>
      </w:r>
      <w:r w:rsidR="00C63E85" w:rsidRPr="003A377E">
        <w:rPr>
          <w:rFonts w:ascii="Times New Roman" w:eastAsia="Times New Roman" w:hAnsi="Times New Roman" w:cs="Times New Roman"/>
          <w:color w:val="000000"/>
          <w:spacing w:val="6"/>
          <w:sz w:val="24"/>
          <w:szCs w:val="24"/>
          <w:lang w:eastAsia="en-GB"/>
        </w:rPr>
        <w:t>to bounce back</w:t>
      </w:r>
      <w:r w:rsidR="009F3773" w:rsidRPr="003A377E">
        <w:rPr>
          <w:rFonts w:ascii="Times New Roman" w:eastAsia="Times New Roman" w:hAnsi="Times New Roman" w:cs="Times New Roman"/>
          <w:color w:val="000000"/>
          <w:spacing w:val="6"/>
          <w:sz w:val="24"/>
          <w:szCs w:val="24"/>
          <w:lang w:eastAsia="en-GB"/>
        </w:rPr>
        <w:t>,</w:t>
      </w:r>
      <w:r w:rsidRPr="003A377E">
        <w:rPr>
          <w:rFonts w:ascii="Times New Roman" w:eastAsia="Times New Roman" w:hAnsi="Times New Roman" w:cs="Times New Roman"/>
          <w:color w:val="000000"/>
          <w:spacing w:val="6"/>
          <w:sz w:val="24"/>
          <w:szCs w:val="24"/>
          <w:lang w:eastAsia="en-GB"/>
        </w:rPr>
        <w:t xml:space="preserve"> the Committee remains concerned over the accessibility of these funds, in light of the serious challenges previously experienced by business</w:t>
      </w:r>
      <w:r w:rsidR="004212A2" w:rsidRPr="003A377E">
        <w:rPr>
          <w:rFonts w:ascii="Times New Roman" w:eastAsia="Times New Roman" w:hAnsi="Times New Roman" w:cs="Times New Roman"/>
          <w:color w:val="000000"/>
          <w:spacing w:val="6"/>
          <w:sz w:val="24"/>
          <w:szCs w:val="24"/>
          <w:lang w:eastAsia="en-GB"/>
        </w:rPr>
        <w:t>es</w:t>
      </w:r>
      <w:r w:rsidRPr="003A377E">
        <w:rPr>
          <w:rFonts w:ascii="Times New Roman" w:eastAsia="Times New Roman" w:hAnsi="Times New Roman" w:cs="Times New Roman"/>
          <w:color w:val="000000"/>
          <w:spacing w:val="6"/>
          <w:sz w:val="24"/>
          <w:szCs w:val="24"/>
          <w:lang w:eastAsia="en-GB"/>
        </w:rPr>
        <w:t xml:space="preserve"> who needed loans; and </w:t>
      </w:r>
      <w:r w:rsidR="004212A2" w:rsidRPr="003A377E">
        <w:rPr>
          <w:rFonts w:ascii="Times New Roman" w:eastAsia="Times New Roman" w:hAnsi="Times New Roman" w:cs="Times New Roman"/>
          <w:color w:val="000000"/>
          <w:spacing w:val="6"/>
          <w:sz w:val="24"/>
          <w:szCs w:val="24"/>
          <w:lang w:eastAsia="en-GB"/>
        </w:rPr>
        <w:t xml:space="preserve">over </w:t>
      </w:r>
      <w:r w:rsidRPr="003A377E">
        <w:rPr>
          <w:rFonts w:ascii="Times New Roman" w:eastAsia="Times New Roman" w:hAnsi="Times New Roman" w:cs="Times New Roman"/>
          <w:color w:val="000000"/>
          <w:spacing w:val="6"/>
          <w:sz w:val="24"/>
          <w:szCs w:val="24"/>
          <w:lang w:eastAsia="en-GB"/>
        </w:rPr>
        <w:t>whether government ha</w:t>
      </w:r>
      <w:r w:rsidR="004212A2" w:rsidRPr="003A377E">
        <w:rPr>
          <w:rFonts w:ascii="Times New Roman" w:eastAsia="Times New Roman" w:hAnsi="Times New Roman" w:cs="Times New Roman"/>
          <w:color w:val="000000"/>
          <w:spacing w:val="6"/>
          <w:sz w:val="24"/>
          <w:szCs w:val="24"/>
          <w:lang w:eastAsia="en-GB"/>
        </w:rPr>
        <w:t>s</w:t>
      </w:r>
      <w:r w:rsidRPr="003A377E">
        <w:rPr>
          <w:rFonts w:ascii="Times New Roman" w:eastAsia="Times New Roman" w:hAnsi="Times New Roman" w:cs="Times New Roman"/>
          <w:color w:val="000000"/>
          <w:spacing w:val="6"/>
          <w:sz w:val="24"/>
          <w:szCs w:val="24"/>
          <w:lang w:eastAsia="en-GB"/>
        </w:rPr>
        <w:t xml:space="preserve"> taken enough strides to ensure</w:t>
      </w:r>
      <w:r w:rsidR="00B85DD6" w:rsidRPr="003A377E">
        <w:rPr>
          <w:rFonts w:ascii="Times New Roman" w:eastAsia="Times New Roman" w:hAnsi="Times New Roman" w:cs="Times New Roman"/>
          <w:color w:val="000000"/>
          <w:spacing w:val="6"/>
          <w:sz w:val="24"/>
          <w:szCs w:val="24"/>
          <w:lang w:eastAsia="en-GB"/>
        </w:rPr>
        <w:t xml:space="preserve"> that</w:t>
      </w:r>
      <w:r w:rsidRPr="003A377E">
        <w:rPr>
          <w:rFonts w:ascii="Times New Roman" w:eastAsia="Times New Roman" w:hAnsi="Times New Roman" w:cs="Times New Roman"/>
          <w:color w:val="000000"/>
          <w:spacing w:val="6"/>
          <w:sz w:val="24"/>
          <w:szCs w:val="24"/>
          <w:lang w:eastAsia="en-GB"/>
        </w:rPr>
        <w:t xml:space="preserve"> better</w:t>
      </w:r>
      <w:r w:rsidR="004212A2" w:rsidRPr="003A377E">
        <w:rPr>
          <w:rFonts w:ascii="Times New Roman" w:eastAsia="Times New Roman" w:hAnsi="Times New Roman" w:cs="Times New Roman"/>
          <w:color w:val="000000"/>
          <w:spacing w:val="6"/>
          <w:sz w:val="24"/>
          <w:szCs w:val="24"/>
          <w:lang w:eastAsia="en-GB"/>
        </w:rPr>
        <w:t xml:space="preserve"> criteria are</w:t>
      </w:r>
      <w:r w:rsidR="00365106" w:rsidRPr="003A377E">
        <w:rPr>
          <w:rFonts w:ascii="Times New Roman" w:eastAsia="Times New Roman" w:hAnsi="Times New Roman" w:cs="Times New Roman"/>
          <w:color w:val="000000"/>
          <w:spacing w:val="6"/>
          <w:sz w:val="24"/>
          <w:szCs w:val="24"/>
          <w:lang w:eastAsia="en-GB"/>
        </w:rPr>
        <w:t xml:space="preserve"> used to improve take-up of the</w:t>
      </w:r>
      <w:r w:rsidRPr="003A377E">
        <w:rPr>
          <w:rFonts w:ascii="Times New Roman" w:eastAsia="Times New Roman" w:hAnsi="Times New Roman" w:cs="Times New Roman"/>
          <w:color w:val="000000"/>
          <w:spacing w:val="6"/>
          <w:sz w:val="24"/>
          <w:szCs w:val="24"/>
          <w:lang w:eastAsia="en-GB"/>
        </w:rPr>
        <w:t xml:space="preserve"> scheme. The Committee </w:t>
      </w:r>
      <w:r w:rsidR="004212A2" w:rsidRPr="003A377E">
        <w:rPr>
          <w:rFonts w:ascii="Times New Roman" w:eastAsia="Times New Roman" w:hAnsi="Times New Roman" w:cs="Times New Roman"/>
          <w:color w:val="000000"/>
          <w:spacing w:val="6"/>
          <w:sz w:val="24"/>
          <w:szCs w:val="24"/>
          <w:lang w:eastAsia="en-GB"/>
        </w:rPr>
        <w:t>further welcomes</w:t>
      </w:r>
      <w:r w:rsidRPr="003A377E">
        <w:rPr>
          <w:rFonts w:ascii="Times New Roman" w:eastAsia="Times New Roman" w:hAnsi="Times New Roman" w:cs="Times New Roman"/>
          <w:color w:val="000000"/>
          <w:spacing w:val="6"/>
          <w:sz w:val="24"/>
          <w:szCs w:val="24"/>
          <w:lang w:eastAsia="en-GB"/>
        </w:rPr>
        <w:t xml:space="preserve"> the involvement of development finance institutions (DFIs) in the impleme</w:t>
      </w:r>
      <w:r w:rsidR="004212A2" w:rsidRPr="003A377E">
        <w:rPr>
          <w:rFonts w:ascii="Times New Roman" w:eastAsia="Times New Roman" w:hAnsi="Times New Roman" w:cs="Times New Roman"/>
          <w:color w:val="000000"/>
          <w:spacing w:val="6"/>
          <w:sz w:val="24"/>
          <w:szCs w:val="24"/>
          <w:lang w:eastAsia="en-GB"/>
        </w:rPr>
        <w:t>ntation</w:t>
      </w:r>
      <w:r w:rsidR="00BE78C5" w:rsidRPr="003A377E">
        <w:rPr>
          <w:rFonts w:ascii="Times New Roman" w:eastAsia="Times New Roman" w:hAnsi="Times New Roman" w:cs="Times New Roman"/>
          <w:color w:val="000000"/>
          <w:spacing w:val="6"/>
          <w:sz w:val="24"/>
          <w:szCs w:val="24"/>
          <w:lang w:eastAsia="en-GB"/>
        </w:rPr>
        <w:t>,</w:t>
      </w:r>
      <w:r w:rsidR="004212A2" w:rsidRPr="003A377E">
        <w:rPr>
          <w:rFonts w:ascii="Times New Roman" w:eastAsia="Times New Roman" w:hAnsi="Times New Roman" w:cs="Times New Roman"/>
          <w:color w:val="000000"/>
          <w:spacing w:val="6"/>
          <w:sz w:val="24"/>
          <w:szCs w:val="24"/>
          <w:lang w:eastAsia="en-GB"/>
        </w:rPr>
        <w:t xml:space="preserve"> given that the scheme i</w:t>
      </w:r>
      <w:r w:rsidRPr="003A377E">
        <w:rPr>
          <w:rFonts w:ascii="Times New Roman" w:eastAsia="Times New Roman" w:hAnsi="Times New Roman" w:cs="Times New Roman"/>
          <w:color w:val="000000"/>
          <w:spacing w:val="6"/>
          <w:sz w:val="24"/>
          <w:szCs w:val="24"/>
          <w:lang w:eastAsia="en-GB"/>
        </w:rPr>
        <w:t>s still experimental in nature.</w:t>
      </w:r>
    </w:p>
    <w:p w:rsidR="002A6A89" w:rsidRPr="003A377E" w:rsidRDefault="002A6A89" w:rsidP="002A6A89">
      <w:pPr>
        <w:pStyle w:val="ListParagraph"/>
        <w:rPr>
          <w:rFonts w:ascii="Times New Roman" w:eastAsia="Times New Roman" w:hAnsi="Times New Roman" w:cs="Times New Roman"/>
          <w:color w:val="000000"/>
          <w:spacing w:val="6"/>
          <w:sz w:val="24"/>
          <w:szCs w:val="24"/>
          <w:lang w:eastAsia="en-GB"/>
        </w:rPr>
      </w:pPr>
    </w:p>
    <w:p w:rsidR="00A25DA1" w:rsidRPr="003A377E" w:rsidRDefault="002A6A89" w:rsidP="00123165">
      <w:pPr>
        <w:numPr>
          <w:ilvl w:val="1"/>
          <w:numId w:val="34"/>
        </w:num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 xml:space="preserve">The Committee notes, from the </w:t>
      </w:r>
      <w:r w:rsidR="004E52E4" w:rsidRPr="003A377E">
        <w:rPr>
          <w:rFonts w:ascii="Times New Roman" w:eastAsia="Times New Roman" w:hAnsi="Times New Roman" w:cs="Times New Roman"/>
          <w:color w:val="000000"/>
          <w:spacing w:val="6"/>
          <w:sz w:val="24"/>
          <w:szCs w:val="24"/>
          <w:lang w:eastAsia="en-GB"/>
        </w:rPr>
        <w:t>issues raised by provinces in the n</w:t>
      </w:r>
      <w:r w:rsidRPr="003A377E">
        <w:rPr>
          <w:rFonts w:ascii="Times New Roman" w:eastAsia="Times New Roman" w:hAnsi="Times New Roman" w:cs="Times New Roman"/>
          <w:color w:val="000000"/>
          <w:spacing w:val="6"/>
          <w:sz w:val="24"/>
          <w:szCs w:val="24"/>
          <w:lang w:eastAsia="en-GB"/>
        </w:rPr>
        <w:t xml:space="preserve">egotiating </w:t>
      </w:r>
      <w:r w:rsidR="004E52E4" w:rsidRPr="003A377E">
        <w:rPr>
          <w:rFonts w:ascii="Times New Roman" w:eastAsia="Times New Roman" w:hAnsi="Times New Roman" w:cs="Times New Roman"/>
          <w:color w:val="000000"/>
          <w:spacing w:val="6"/>
          <w:sz w:val="24"/>
          <w:szCs w:val="24"/>
          <w:lang w:eastAsia="en-GB"/>
        </w:rPr>
        <w:t>m</w:t>
      </w:r>
      <w:r w:rsidRPr="003A377E">
        <w:rPr>
          <w:rFonts w:ascii="Times New Roman" w:eastAsia="Times New Roman" w:hAnsi="Times New Roman" w:cs="Times New Roman"/>
          <w:color w:val="000000"/>
          <w:spacing w:val="6"/>
          <w:sz w:val="24"/>
          <w:szCs w:val="24"/>
          <w:lang w:eastAsia="en-GB"/>
        </w:rPr>
        <w:t xml:space="preserve">andates, that </w:t>
      </w:r>
      <w:r w:rsidR="004E52E4" w:rsidRPr="003A377E">
        <w:rPr>
          <w:rFonts w:ascii="Times New Roman" w:eastAsia="Times New Roman" w:hAnsi="Times New Roman" w:cs="Times New Roman"/>
          <w:color w:val="000000"/>
          <w:spacing w:val="6"/>
          <w:sz w:val="24"/>
          <w:szCs w:val="24"/>
          <w:lang w:val="en-GB" w:eastAsia="en-GB"/>
        </w:rPr>
        <w:t>information does not seem to be flowing from Members of the Executive,</w:t>
      </w:r>
      <w:r w:rsidR="004E52E4" w:rsidRPr="003A377E">
        <w:rPr>
          <w:rFonts w:ascii="Times New Roman" w:eastAsia="Times New Roman" w:hAnsi="Times New Roman" w:cs="Times New Roman"/>
          <w:color w:val="000000"/>
          <w:spacing w:val="6"/>
          <w:sz w:val="24"/>
          <w:szCs w:val="24"/>
          <w:lang w:eastAsia="en-GB"/>
        </w:rPr>
        <w:t xml:space="preserve"> who </w:t>
      </w:r>
      <w:r w:rsidR="007548FF" w:rsidRPr="003A377E">
        <w:rPr>
          <w:rFonts w:ascii="Times New Roman" w:eastAsia="Times New Roman" w:hAnsi="Times New Roman" w:cs="Times New Roman"/>
          <w:color w:val="000000"/>
          <w:spacing w:val="6"/>
          <w:sz w:val="24"/>
          <w:szCs w:val="24"/>
          <w:lang w:eastAsia="en-GB"/>
        </w:rPr>
        <w:t>engage</w:t>
      </w:r>
      <w:r w:rsidR="004E52E4" w:rsidRPr="003A377E">
        <w:rPr>
          <w:rFonts w:ascii="Times New Roman" w:eastAsia="Times New Roman" w:hAnsi="Times New Roman" w:cs="Times New Roman"/>
          <w:color w:val="000000"/>
          <w:spacing w:val="6"/>
          <w:sz w:val="24"/>
          <w:szCs w:val="24"/>
          <w:lang w:eastAsia="en-GB"/>
        </w:rPr>
        <w:t xml:space="preserve"> with National Treasury at the Budget Council and Budget Forum meetings, </w:t>
      </w:r>
      <w:r w:rsidR="004E52E4" w:rsidRPr="003A377E">
        <w:rPr>
          <w:rFonts w:ascii="Times New Roman" w:eastAsia="Times New Roman" w:hAnsi="Times New Roman" w:cs="Times New Roman"/>
          <w:color w:val="000000"/>
          <w:spacing w:val="6"/>
          <w:sz w:val="24"/>
          <w:szCs w:val="24"/>
          <w:lang w:val="en-GB" w:eastAsia="en-GB"/>
        </w:rPr>
        <w:t>to the oversight committees of</w:t>
      </w:r>
      <w:r w:rsidR="007548FF" w:rsidRPr="003A377E">
        <w:rPr>
          <w:rFonts w:ascii="Times New Roman" w:eastAsia="Times New Roman" w:hAnsi="Times New Roman" w:cs="Times New Roman"/>
          <w:color w:val="000000"/>
          <w:spacing w:val="6"/>
          <w:sz w:val="24"/>
          <w:szCs w:val="24"/>
          <w:lang w:val="en-GB" w:eastAsia="en-GB"/>
        </w:rPr>
        <w:t xml:space="preserve"> provincial</w:t>
      </w:r>
      <w:r w:rsidR="004E52E4" w:rsidRPr="003A377E">
        <w:rPr>
          <w:rFonts w:ascii="Times New Roman" w:eastAsia="Times New Roman" w:hAnsi="Times New Roman" w:cs="Times New Roman"/>
          <w:color w:val="000000"/>
          <w:spacing w:val="6"/>
          <w:sz w:val="24"/>
          <w:szCs w:val="24"/>
          <w:lang w:val="en-GB" w:eastAsia="en-GB"/>
        </w:rPr>
        <w:t xml:space="preserve"> legislatures</w:t>
      </w:r>
      <w:r w:rsidRPr="003A377E">
        <w:rPr>
          <w:rFonts w:ascii="Times New Roman" w:eastAsia="Times New Roman" w:hAnsi="Times New Roman" w:cs="Times New Roman"/>
          <w:color w:val="000000"/>
          <w:spacing w:val="6"/>
          <w:sz w:val="24"/>
          <w:szCs w:val="24"/>
          <w:lang w:eastAsia="en-GB"/>
        </w:rPr>
        <w:t xml:space="preserve">.  </w:t>
      </w:r>
      <w:r w:rsidR="00A25DA1" w:rsidRPr="003A377E">
        <w:rPr>
          <w:rFonts w:ascii="Times New Roman" w:eastAsia="Times New Roman" w:hAnsi="Times New Roman" w:cs="Times New Roman"/>
          <w:color w:val="000000"/>
          <w:spacing w:val="6"/>
          <w:sz w:val="24"/>
          <w:szCs w:val="24"/>
          <w:lang w:eastAsia="en-GB"/>
        </w:rPr>
        <w:t xml:space="preserve">  </w:t>
      </w:r>
    </w:p>
    <w:p w:rsidR="00065A12" w:rsidRPr="003A377E" w:rsidRDefault="00065A12" w:rsidP="006B30A6">
      <w:pPr>
        <w:pStyle w:val="ListParagraph"/>
        <w:rPr>
          <w:rFonts w:ascii="Times New Roman" w:eastAsia="Times New Roman" w:hAnsi="Times New Roman" w:cs="Times New Roman"/>
          <w:color w:val="000000"/>
          <w:spacing w:val="6"/>
          <w:sz w:val="24"/>
          <w:szCs w:val="24"/>
          <w:lang w:val="en-GB" w:eastAsia="en-GB"/>
        </w:rPr>
      </w:pPr>
    </w:p>
    <w:p w:rsidR="00065A12" w:rsidRPr="003A377E" w:rsidRDefault="00065A12" w:rsidP="006B30A6">
      <w:pPr>
        <w:suppressAutoHyphens/>
        <w:autoSpaceDN w:val="0"/>
        <w:spacing w:after="0" w:line="360" w:lineRule="auto"/>
        <w:ind w:left="502"/>
        <w:jc w:val="both"/>
        <w:textAlignment w:val="baseline"/>
        <w:rPr>
          <w:rFonts w:ascii="Times New Roman" w:eastAsia="Times New Roman" w:hAnsi="Times New Roman" w:cs="Times New Roman"/>
          <w:color w:val="000000"/>
          <w:spacing w:val="6"/>
          <w:sz w:val="24"/>
          <w:szCs w:val="24"/>
          <w:lang w:val="en-GB" w:eastAsia="en-GB"/>
        </w:rPr>
      </w:pPr>
    </w:p>
    <w:p w:rsidR="00A25DA1" w:rsidRPr="003A377E" w:rsidRDefault="00F922CA">
      <w:pPr>
        <w:spacing w:before="120" w:line="360" w:lineRule="auto"/>
        <w:jc w:val="both"/>
        <w:rPr>
          <w:rFonts w:ascii="Times New Roman" w:hAnsi="Times New Roman" w:cs="Times New Roman"/>
          <w:b/>
          <w:sz w:val="24"/>
          <w:szCs w:val="24"/>
        </w:rPr>
      </w:pPr>
      <w:r w:rsidRPr="003A377E">
        <w:rPr>
          <w:rFonts w:ascii="Times New Roman" w:hAnsi="Times New Roman" w:cs="Times New Roman"/>
          <w:b/>
          <w:sz w:val="24"/>
          <w:szCs w:val="24"/>
        </w:rPr>
        <w:t>10</w:t>
      </w:r>
      <w:r w:rsidR="00D05701" w:rsidRPr="003A377E">
        <w:rPr>
          <w:rFonts w:ascii="Times New Roman" w:hAnsi="Times New Roman" w:cs="Times New Roman"/>
          <w:b/>
          <w:sz w:val="24"/>
          <w:szCs w:val="24"/>
        </w:rPr>
        <w:t>. Recommendations</w:t>
      </w:r>
    </w:p>
    <w:p w:rsidR="005076FB" w:rsidRPr="003A377E" w:rsidRDefault="002E6364" w:rsidP="00A6438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 xml:space="preserve">The </w:t>
      </w:r>
      <w:r w:rsidR="00A25DA1" w:rsidRPr="003A377E">
        <w:rPr>
          <w:rFonts w:ascii="Times New Roman" w:eastAsia="Times New Roman" w:hAnsi="Times New Roman" w:cs="Times New Roman"/>
          <w:color w:val="000000"/>
          <w:spacing w:val="6"/>
          <w:sz w:val="24"/>
          <w:szCs w:val="24"/>
          <w:lang w:val="en-GB" w:eastAsia="en-GB"/>
        </w:rPr>
        <w:t>National Treasury</w:t>
      </w:r>
      <w:r w:rsidR="00DC0679" w:rsidRPr="003A377E">
        <w:rPr>
          <w:rFonts w:ascii="Times New Roman" w:eastAsia="Times New Roman" w:hAnsi="Times New Roman" w:cs="Times New Roman"/>
          <w:color w:val="000000"/>
          <w:spacing w:val="6"/>
          <w:sz w:val="24"/>
          <w:szCs w:val="24"/>
          <w:lang w:val="en-GB" w:eastAsia="en-GB"/>
        </w:rPr>
        <w:t>,</w:t>
      </w:r>
      <w:r w:rsidR="00A25DA1" w:rsidRPr="003A377E">
        <w:rPr>
          <w:rFonts w:ascii="Times New Roman" w:eastAsia="Times New Roman" w:hAnsi="Times New Roman" w:cs="Times New Roman"/>
          <w:color w:val="000000"/>
          <w:spacing w:val="6"/>
          <w:sz w:val="24"/>
          <w:szCs w:val="24"/>
          <w:lang w:val="en-GB" w:eastAsia="en-GB"/>
        </w:rPr>
        <w:t xml:space="preserve"> together with </w:t>
      </w:r>
      <w:r w:rsidR="008764CF" w:rsidRPr="003A377E">
        <w:rPr>
          <w:rFonts w:ascii="Times New Roman" w:eastAsia="Times New Roman" w:hAnsi="Times New Roman" w:cs="Times New Roman"/>
          <w:color w:val="000000"/>
          <w:spacing w:val="6"/>
          <w:sz w:val="24"/>
          <w:szCs w:val="24"/>
          <w:lang w:val="en-GB" w:eastAsia="en-GB"/>
        </w:rPr>
        <w:t xml:space="preserve">the </w:t>
      </w:r>
      <w:r w:rsidR="00A25DA1" w:rsidRPr="003A377E">
        <w:rPr>
          <w:rFonts w:ascii="Times New Roman" w:eastAsia="Times New Roman" w:hAnsi="Times New Roman" w:cs="Times New Roman"/>
          <w:color w:val="000000"/>
          <w:spacing w:val="6"/>
          <w:sz w:val="24"/>
          <w:szCs w:val="24"/>
          <w:lang w:val="en-GB" w:eastAsia="en-GB"/>
        </w:rPr>
        <w:t>Department of Cooperative Governance and Traditional Affairs</w:t>
      </w:r>
      <w:r w:rsidR="00DC0679" w:rsidRPr="003A377E">
        <w:rPr>
          <w:rFonts w:ascii="Times New Roman" w:eastAsia="Times New Roman" w:hAnsi="Times New Roman" w:cs="Times New Roman"/>
          <w:color w:val="000000"/>
          <w:spacing w:val="6"/>
          <w:sz w:val="24"/>
          <w:szCs w:val="24"/>
          <w:lang w:val="en-GB" w:eastAsia="en-GB"/>
        </w:rPr>
        <w:t xml:space="preserve"> and p</w:t>
      </w:r>
      <w:r w:rsidR="00A25DA1" w:rsidRPr="003A377E">
        <w:rPr>
          <w:rFonts w:ascii="Times New Roman" w:eastAsia="Times New Roman" w:hAnsi="Times New Roman" w:cs="Times New Roman"/>
          <w:color w:val="000000"/>
          <w:spacing w:val="6"/>
          <w:sz w:val="24"/>
          <w:szCs w:val="24"/>
          <w:lang w:val="en-GB" w:eastAsia="en-GB"/>
        </w:rPr>
        <w:t>rov</w:t>
      </w:r>
      <w:r w:rsidR="009D07BF" w:rsidRPr="003A377E">
        <w:rPr>
          <w:rFonts w:ascii="Times New Roman" w:eastAsia="Times New Roman" w:hAnsi="Times New Roman" w:cs="Times New Roman"/>
          <w:color w:val="000000"/>
          <w:spacing w:val="6"/>
          <w:sz w:val="24"/>
          <w:szCs w:val="24"/>
          <w:lang w:val="en-GB" w:eastAsia="en-GB"/>
        </w:rPr>
        <w:t>incial treasuries and</w:t>
      </w:r>
      <w:r w:rsidR="00A25DA1" w:rsidRPr="003A377E">
        <w:rPr>
          <w:rFonts w:ascii="Times New Roman" w:eastAsia="Times New Roman" w:hAnsi="Times New Roman" w:cs="Times New Roman"/>
          <w:color w:val="000000"/>
          <w:spacing w:val="6"/>
          <w:sz w:val="24"/>
          <w:szCs w:val="24"/>
          <w:lang w:val="en-GB" w:eastAsia="en-GB"/>
        </w:rPr>
        <w:t xml:space="preserve"> cooperative governance departments</w:t>
      </w:r>
      <w:r w:rsidR="00DC0679" w:rsidRPr="003A377E">
        <w:rPr>
          <w:rFonts w:ascii="Times New Roman" w:eastAsia="Times New Roman" w:hAnsi="Times New Roman" w:cs="Times New Roman"/>
          <w:color w:val="000000"/>
          <w:spacing w:val="6"/>
          <w:sz w:val="24"/>
          <w:szCs w:val="24"/>
          <w:lang w:val="en-GB" w:eastAsia="en-GB"/>
        </w:rPr>
        <w:t>, should</w:t>
      </w:r>
      <w:r w:rsidR="00A25DA1" w:rsidRPr="003A377E">
        <w:rPr>
          <w:rFonts w:ascii="Times New Roman" w:eastAsia="Times New Roman" w:hAnsi="Times New Roman" w:cs="Times New Roman"/>
          <w:color w:val="000000"/>
          <w:spacing w:val="6"/>
          <w:sz w:val="24"/>
          <w:szCs w:val="24"/>
          <w:lang w:val="en-GB" w:eastAsia="en-GB"/>
        </w:rPr>
        <w:t xml:space="preserve"> ensure that any increased allocation to </w:t>
      </w:r>
      <w:r w:rsidR="009D07BF" w:rsidRPr="003A377E">
        <w:rPr>
          <w:rFonts w:ascii="Times New Roman" w:eastAsia="Times New Roman" w:hAnsi="Times New Roman" w:cs="Times New Roman"/>
          <w:color w:val="000000"/>
          <w:spacing w:val="6"/>
          <w:sz w:val="24"/>
          <w:szCs w:val="24"/>
          <w:lang w:val="en-GB" w:eastAsia="en-GB"/>
        </w:rPr>
        <w:t xml:space="preserve">the </w:t>
      </w:r>
      <w:r w:rsidR="00A25DA1" w:rsidRPr="003A377E">
        <w:rPr>
          <w:rFonts w:ascii="Times New Roman" w:eastAsia="Times New Roman" w:hAnsi="Times New Roman" w:cs="Times New Roman"/>
          <w:color w:val="000000"/>
          <w:spacing w:val="6"/>
          <w:sz w:val="24"/>
          <w:szCs w:val="24"/>
          <w:lang w:val="en-GB" w:eastAsia="en-GB"/>
        </w:rPr>
        <w:t xml:space="preserve">provincial and local government </w:t>
      </w:r>
      <w:r w:rsidR="00792493" w:rsidRPr="003A377E">
        <w:rPr>
          <w:rFonts w:ascii="Times New Roman" w:eastAsia="Times New Roman" w:hAnsi="Times New Roman" w:cs="Times New Roman"/>
          <w:color w:val="000000"/>
          <w:spacing w:val="6"/>
          <w:sz w:val="24"/>
          <w:szCs w:val="24"/>
          <w:lang w:val="en-GB" w:eastAsia="en-GB"/>
        </w:rPr>
        <w:t>spheres</w:t>
      </w:r>
      <w:r w:rsidR="00DC0679" w:rsidRPr="003A377E">
        <w:rPr>
          <w:rFonts w:ascii="Times New Roman" w:eastAsia="Times New Roman" w:hAnsi="Times New Roman" w:cs="Times New Roman"/>
          <w:color w:val="000000"/>
          <w:spacing w:val="6"/>
          <w:sz w:val="24"/>
          <w:szCs w:val="24"/>
          <w:lang w:val="en-GB" w:eastAsia="en-GB"/>
        </w:rPr>
        <w:t>,</w:t>
      </w:r>
      <w:r w:rsidR="00792493" w:rsidRPr="003A377E">
        <w:rPr>
          <w:rFonts w:ascii="Times New Roman" w:eastAsia="Times New Roman" w:hAnsi="Times New Roman" w:cs="Times New Roman"/>
          <w:color w:val="000000"/>
          <w:spacing w:val="6"/>
          <w:sz w:val="24"/>
          <w:szCs w:val="24"/>
          <w:lang w:val="en-GB" w:eastAsia="en-GB"/>
        </w:rPr>
        <w:t xml:space="preserve"> </w:t>
      </w:r>
      <w:r w:rsidR="009D07BF" w:rsidRPr="003A377E">
        <w:rPr>
          <w:rFonts w:ascii="Times New Roman" w:eastAsia="Times New Roman" w:hAnsi="Times New Roman" w:cs="Times New Roman"/>
          <w:color w:val="000000"/>
          <w:spacing w:val="6"/>
          <w:sz w:val="24"/>
          <w:szCs w:val="24"/>
          <w:lang w:val="en-GB" w:eastAsia="en-GB"/>
        </w:rPr>
        <w:t>as well as</w:t>
      </w:r>
      <w:r w:rsidR="00792493" w:rsidRPr="003A377E">
        <w:rPr>
          <w:rFonts w:ascii="Times New Roman" w:eastAsia="Times New Roman" w:hAnsi="Times New Roman" w:cs="Times New Roman"/>
          <w:color w:val="000000"/>
          <w:spacing w:val="6"/>
          <w:sz w:val="24"/>
          <w:szCs w:val="24"/>
          <w:lang w:val="en-GB" w:eastAsia="en-GB"/>
        </w:rPr>
        <w:t xml:space="preserve"> some national departments</w:t>
      </w:r>
      <w:r w:rsidR="00DC0679" w:rsidRPr="003A377E">
        <w:rPr>
          <w:rFonts w:ascii="Times New Roman" w:eastAsia="Times New Roman" w:hAnsi="Times New Roman" w:cs="Times New Roman"/>
          <w:color w:val="000000"/>
          <w:spacing w:val="6"/>
          <w:sz w:val="24"/>
          <w:szCs w:val="24"/>
          <w:lang w:val="en-GB" w:eastAsia="en-GB"/>
        </w:rPr>
        <w:t>,</w:t>
      </w:r>
      <w:r w:rsidR="00A25DA1" w:rsidRPr="003A377E">
        <w:rPr>
          <w:rFonts w:ascii="Times New Roman" w:eastAsia="Times New Roman" w:hAnsi="Times New Roman" w:cs="Times New Roman"/>
          <w:color w:val="000000"/>
          <w:spacing w:val="6"/>
          <w:sz w:val="24"/>
          <w:szCs w:val="24"/>
          <w:lang w:val="en-GB" w:eastAsia="en-GB"/>
        </w:rPr>
        <w:t xml:space="preserve"> is accompanied by </w:t>
      </w:r>
      <w:r w:rsidR="00792493" w:rsidRPr="003A377E">
        <w:rPr>
          <w:rFonts w:ascii="Times New Roman" w:eastAsia="Times New Roman" w:hAnsi="Times New Roman" w:cs="Times New Roman"/>
          <w:color w:val="000000"/>
          <w:spacing w:val="6"/>
          <w:sz w:val="24"/>
          <w:szCs w:val="24"/>
          <w:lang w:val="en-GB" w:eastAsia="en-GB"/>
        </w:rPr>
        <w:t xml:space="preserve">the </w:t>
      </w:r>
      <w:r w:rsidR="00A25DA1" w:rsidRPr="003A377E">
        <w:rPr>
          <w:rFonts w:ascii="Times New Roman" w:eastAsia="Times New Roman" w:hAnsi="Times New Roman" w:cs="Times New Roman"/>
          <w:color w:val="000000"/>
          <w:spacing w:val="6"/>
          <w:sz w:val="24"/>
          <w:szCs w:val="24"/>
          <w:lang w:val="en-GB" w:eastAsia="en-GB"/>
        </w:rPr>
        <w:t>requ</w:t>
      </w:r>
      <w:r w:rsidR="00792493" w:rsidRPr="003A377E">
        <w:rPr>
          <w:rFonts w:ascii="Times New Roman" w:eastAsia="Times New Roman" w:hAnsi="Times New Roman" w:cs="Times New Roman"/>
          <w:color w:val="000000"/>
          <w:spacing w:val="6"/>
          <w:sz w:val="24"/>
          <w:szCs w:val="24"/>
          <w:lang w:val="en-GB" w:eastAsia="en-GB"/>
        </w:rPr>
        <w:t>isite capacity and</w:t>
      </w:r>
      <w:r w:rsidR="00A25DA1" w:rsidRPr="003A377E">
        <w:rPr>
          <w:rFonts w:ascii="Times New Roman" w:eastAsia="Times New Roman" w:hAnsi="Times New Roman" w:cs="Times New Roman"/>
          <w:color w:val="000000"/>
          <w:spacing w:val="6"/>
          <w:sz w:val="24"/>
          <w:szCs w:val="24"/>
          <w:lang w:val="en-GB" w:eastAsia="en-GB"/>
        </w:rPr>
        <w:t xml:space="preserve"> support to </w:t>
      </w:r>
      <w:r w:rsidR="004C1112" w:rsidRPr="003A377E">
        <w:rPr>
          <w:rFonts w:ascii="Times New Roman" w:eastAsia="Times New Roman" w:hAnsi="Times New Roman" w:cs="Times New Roman"/>
          <w:color w:val="000000"/>
          <w:spacing w:val="6"/>
          <w:sz w:val="24"/>
          <w:szCs w:val="24"/>
          <w:lang w:val="en-GB" w:eastAsia="en-GB"/>
        </w:rPr>
        <w:t>ensure proper planning as well as</w:t>
      </w:r>
      <w:r w:rsidR="003D3553" w:rsidRPr="003A377E">
        <w:rPr>
          <w:rFonts w:ascii="Times New Roman" w:eastAsia="Times New Roman" w:hAnsi="Times New Roman" w:cs="Times New Roman"/>
          <w:color w:val="000000"/>
          <w:spacing w:val="6"/>
          <w:sz w:val="24"/>
          <w:szCs w:val="24"/>
          <w:lang w:val="en-GB" w:eastAsia="en-GB"/>
        </w:rPr>
        <w:t xml:space="preserve"> </w:t>
      </w:r>
      <w:r w:rsidR="00BC573E" w:rsidRPr="003A377E">
        <w:rPr>
          <w:rFonts w:ascii="Times New Roman" w:eastAsia="Times New Roman" w:hAnsi="Times New Roman" w:cs="Times New Roman"/>
          <w:color w:val="000000"/>
          <w:spacing w:val="6"/>
          <w:sz w:val="24"/>
          <w:szCs w:val="24"/>
          <w:lang w:val="en-GB" w:eastAsia="en-GB"/>
        </w:rPr>
        <w:t xml:space="preserve">effective </w:t>
      </w:r>
      <w:r w:rsidR="00A25DA1" w:rsidRPr="003A377E">
        <w:rPr>
          <w:rFonts w:ascii="Times New Roman" w:eastAsia="Times New Roman" w:hAnsi="Times New Roman" w:cs="Times New Roman"/>
          <w:color w:val="000000"/>
          <w:spacing w:val="6"/>
          <w:sz w:val="24"/>
          <w:szCs w:val="24"/>
          <w:lang w:val="en-GB" w:eastAsia="en-GB"/>
        </w:rPr>
        <w:t>implement</w:t>
      </w:r>
      <w:r w:rsidR="004C1112" w:rsidRPr="003A377E">
        <w:rPr>
          <w:rFonts w:ascii="Times New Roman" w:eastAsia="Times New Roman" w:hAnsi="Times New Roman" w:cs="Times New Roman"/>
          <w:color w:val="000000"/>
          <w:spacing w:val="6"/>
          <w:sz w:val="24"/>
          <w:szCs w:val="24"/>
          <w:lang w:val="en-GB" w:eastAsia="en-GB"/>
        </w:rPr>
        <w:t>ation of</w:t>
      </w:r>
      <w:r w:rsidR="00A25DA1" w:rsidRPr="003A377E">
        <w:rPr>
          <w:rFonts w:ascii="Times New Roman" w:eastAsia="Times New Roman" w:hAnsi="Times New Roman" w:cs="Times New Roman"/>
          <w:color w:val="000000"/>
          <w:spacing w:val="6"/>
          <w:sz w:val="24"/>
          <w:szCs w:val="24"/>
          <w:lang w:val="en-GB" w:eastAsia="en-GB"/>
        </w:rPr>
        <w:t xml:space="preserve"> </w:t>
      </w:r>
      <w:r w:rsidR="00705853" w:rsidRPr="003A377E">
        <w:rPr>
          <w:rFonts w:ascii="Times New Roman" w:eastAsia="Times New Roman" w:hAnsi="Times New Roman" w:cs="Times New Roman"/>
          <w:color w:val="000000"/>
          <w:spacing w:val="6"/>
          <w:sz w:val="24"/>
          <w:szCs w:val="24"/>
          <w:lang w:val="en-GB" w:eastAsia="en-GB"/>
        </w:rPr>
        <w:t xml:space="preserve">grant funded </w:t>
      </w:r>
      <w:r w:rsidR="003D3553" w:rsidRPr="003A377E">
        <w:rPr>
          <w:rFonts w:ascii="Times New Roman" w:eastAsia="Times New Roman" w:hAnsi="Times New Roman" w:cs="Times New Roman"/>
          <w:color w:val="000000"/>
          <w:spacing w:val="6"/>
          <w:sz w:val="24"/>
          <w:szCs w:val="24"/>
          <w:lang w:val="en-GB" w:eastAsia="en-GB"/>
        </w:rPr>
        <w:t xml:space="preserve">projects. </w:t>
      </w:r>
      <w:r w:rsidR="002A61B0" w:rsidRPr="003A377E">
        <w:rPr>
          <w:rFonts w:ascii="Times New Roman" w:eastAsia="Times New Roman" w:hAnsi="Times New Roman" w:cs="Times New Roman"/>
          <w:color w:val="000000"/>
          <w:spacing w:val="6"/>
          <w:sz w:val="24"/>
          <w:szCs w:val="24"/>
          <w:lang w:val="en-GB" w:eastAsia="en-GB"/>
        </w:rPr>
        <w:t xml:space="preserve">Furthermore, </w:t>
      </w:r>
      <w:r w:rsidR="001F4DD4" w:rsidRPr="003A377E">
        <w:rPr>
          <w:rFonts w:ascii="Times New Roman" w:eastAsia="Times New Roman" w:hAnsi="Times New Roman" w:cs="Times New Roman"/>
          <w:color w:val="000000"/>
          <w:spacing w:val="6"/>
          <w:sz w:val="24"/>
          <w:szCs w:val="24"/>
          <w:lang w:val="en-GB" w:eastAsia="en-GB"/>
        </w:rPr>
        <w:t>they</w:t>
      </w:r>
      <w:r w:rsidR="008479B9" w:rsidRPr="003A377E">
        <w:rPr>
          <w:rFonts w:ascii="Times New Roman" w:eastAsia="Times New Roman" w:hAnsi="Times New Roman" w:cs="Times New Roman"/>
          <w:color w:val="000000"/>
          <w:spacing w:val="6"/>
          <w:sz w:val="24"/>
          <w:szCs w:val="24"/>
          <w:lang w:val="en-GB" w:eastAsia="en-GB"/>
        </w:rPr>
        <w:t xml:space="preserve"> need to </w:t>
      </w:r>
      <w:r w:rsidR="005C30E6" w:rsidRPr="003A377E">
        <w:rPr>
          <w:rFonts w:ascii="Times New Roman" w:eastAsia="Times New Roman" w:hAnsi="Times New Roman" w:cs="Times New Roman"/>
          <w:color w:val="000000"/>
          <w:spacing w:val="6"/>
          <w:sz w:val="24"/>
          <w:szCs w:val="24"/>
          <w:lang w:val="en-GB" w:eastAsia="en-GB"/>
        </w:rPr>
        <w:t xml:space="preserve">ensure that </w:t>
      </w:r>
      <w:r w:rsidR="002A61B0" w:rsidRPr="003A377E">
        <w:rPr>
          <w:rFonts w:ascii="Times New Roman" w:eastAsia="Times New Roman" w:hAnsi="Times New Roman" w:cs="Times New Roman"/>
          <w:color w:val="000000"/>
          <w:spacing w:val="6"/>
          <w:sz w:val="24"/>
          <w:szCs w:val="24"/>
          <w:lang w:val="en-GB" w:eastAsia="en-GB"/>
        </w:rPr>
        <w:t>a</w:t>
      </w:r>
      <w:r w:rsidR="001C5CEC" w:rsidRPr="003A377E">
        <w:rPr>
          <w:rFonts w:ascii="Times New Roman" w:eastAsia="Times New Roman" w:hAnsi="Times New Roman" w:cs="Times New Roman"/>
          <w:color w:val="000000"/>
          <w:spacing w:val="6"/>
          <w:sz w:val="24"/>
          <w:szCs w:val="24"/>
          <w:lang w:val="en-GB" w:eastAsia="en-GB"/>
        </w:rPr>
        <w:t>ll</w:t>
      </w:r>
      <w:r w:rsidR="00A25DA1" w:rsidRPr="003A377E">
        <w:rPr>
          <w:rFonts w:ascii="Times New Roman" w:eastAsia="Times New Roman" w:hAnsi="Times New Roman" w:cs="Times New Roman"/>
          <w:color w:val="000000"/>
          <w:spacing w:val="6"/>
          <w:sz w:val="24"/>
          <w:szCs w:val="24"/>
          <w:lang w:val="en-GB" w:eastAsia="en-GB"/>
        </w:rPr>
        <w:t xml:space="preserve"> pillars of accountability</w:t>
      </w:r>
      <w:r w:rsidR="00BC7013" w:rsidRPr="003A377E">
        <w:rPr>
          <w:rFonts w:ascii="Times New Roman" w:eastAsia="Times New Roman" w:hAnsi="Times New Roman" w:cs="Times New Roman"/>
          <w:color w:val="000000"/>
          <w:spacing w:val="6"/>
          <w:sz w:val="24"/>
          <w:szCs w:val="24"/>
          <w:lang w:val="en-GB" w:eastAsia="en-GB"/>
        </w:rPr>
        <w:t>, monitoring and oversight</w:t>
      </w:r>
      <w:r w:rsidR="00C6026E" w:rsidRPr="003A377E">
        <w:rPr>
          <w:rFonts w:ascii="Times New Roman" w:eastAsia="Times New Roman" w:hAnsi="Times New Roman" w:cs="Times New Roman"/>
          <w:color w:val="000000"/>
          <w:spacing w:val="6"/>
          <w:sz w:val="24"/>
          <w:szCs w:val="24"/>
          <w:lang w:val="en-GB" w:eastAsia="en-GB"/>
        </w:rPr>
        <w:t xml:space="preserve"> are</w:t>
      </w:r>
      <w:r w:rsidR="00A25DA1" w:rsidRPr="003A377E">
        <w:rPr>
          <w:rFonts w:ascii="Times New Roman" w:eastAsia="Times New Roman" w:hAnsi="Times New Roman" w:cs="Times New Roman"/>
          <w:color w:val="000000"/>
          <w:spacing w:val="6"/>
          <w:sz w:val="24"/>
          <w:szCs w:val="24"/>
          <w:lang w:val="en-GB" w:eastAsia="en-GB"/>
        </w:rPr>
        <w:t xml:space="preserve"> strengthen</w:t>
      </w:r>
      <w:r w:rsidR="001955BF" w:rsidRPr="003A377E">
        <w:rPr>
          <w:rFonts w:ascii="Times New Roman" w:eastAsia="Times New Roman" w:hAnsi="Times New Roman" w:cs="Times New Roman"/>
          <w:color w:val="000000"/>
          <w:spacing w:val="6"/>
          <w:sz w:val="24"/>
          <w:szCs w:val="24"/>
          <w:lang w:val="en-GB" w:eastAsia="en-GB"/>
        </w:rPr>
        <w:t>ed and consequence management is</w:t>
      </w:r>
      <w:r w:rsidR="00A25DA1" w:rsidRPr="003A377E">
        <w:rPr>
          <w:rFonts w:ascii="Times New Roman" w:eastAsia="Times New Roman" w:hAnsi="Times New Roman" w:cs="Times New Roman"/>
          <w:color w:val="000000"/>
          <w:spacing w:val="6"/>
          <w:sz w:val="24"/>
          <w:szCs w:val="24"/>
          <w:lang w:val="en-GB" w:eastAsia="en-GB"/>
        </w:rPr>
        <w:t xml:space="preserve"> implemented </w:t>
      </w:r>
      <w:r w:rsidR="00C60E4A" w:rsidRPr="003A377E">
        <w:rPr>
          <w:rFonts w:ascii="Times New Roman" w:eastAsia="Times New Roman" w:hAnsi="Times New Roman" w:cs="Times New Roman"/>
          <w:color w:val="000000"/>
          <w:spacing w:val="6"/>
          <w:sz w:val="24"/>
          <w:szCs w:val="24"/>
          <w:lang w:val="en-GB" w:eastAsia="en-GB"/>
        </w:rPr>
        <w:t xml:space="preserve">immediately </w:t>
      </w:r>
      <w:r w:rsidR="00A25DA1" w:rsidRPr="003A377E">
        <w:rPr>
          <w:rFonts w:ascii="Times New Roman" w:eastAsia="Times New Roman" w:hAnsi="Times New Roman" w:cs="Times New Roman"/>
          <w:color w:val="000000"/>
          <w:spacing w:val="6"/>
          <w:sz w:val="24"/>
          <w:szCs w:val="24"/>
          <w:lang w:val="en-GB" w:eastAsia="en-GB"/>
        </w:rPr>
        <w:t>where necessary.</w:t>
      </w:r>
      <w:r w:rsidR="000D3E98" w:rsidRPr="003A377E">
        <w:rPr>
          <w:rFonts w:ascii="Times New Roman" w:eastAsia="Times New Roman" w:hAnsi="Times New Roman" w:cs="Times New Roman"/>
          <w:color w:val="000000"/>
          <w:spacing w:val="6"/>
          <w:sz w:val="24"/>
          <w:szCs w:val="24"/>
          <w:lang w:val="en-GB" w:eastAsia="en-GB"/>
        </w:rPr>
        <w:t xml:space="preserve"> </w:t>
      </w:r>
    </w:p>
    <w:p w:rsidR="00F20FF5" w:rsidRPr="003A377E" w:rsidRDefault="00F20FF5" w:rsidP="006B30A6">
      <w:pPr>
        <w:pStyle w:val="ListParagraph"/>
        <w:spacing w:before="120" w:line="360" w:lineRule="auto"/>
        <w:ind w:left="780"/>
        <w:jc w:val="both"/>
        <w:rPr>
          <w:rFonts w:ascii="Times New Roman" w:eastAsia="Times New Roman" w:hAnsi="Times New Roman" w:cs="Times New Roman"/>
          <w:color w:val="000000"/>
          <w:spacing w:val="6"/>
          <w:sz w:val="24"/>
          <w:szCs w:val="24"/>
          <w:lang w:val="en-GB" w:eastAsia="en-GB"/>
        </w:rPr>
      </w:pPr>
    </w:p>
    <w:p w:rsidR="00F20FF5" w:rsidRPr="003A377E" w:rsidRDefault="008F6805"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The South African Local Government Association (</w:t>
      </w:r>
      <w:r w:rsidR="00A25DA1" w:rsidRPr="003A377E">
        <w:rPr>
          <w:rFonts w:ascii="Times New Roman" w:eastAsia="Times New Roman" w:hAnsi="Times New Roman" w:cs="Times New Roman"/>
          <w:color w:val="000000"/>
          <w:spacing w:val="6"/>
          <w:sz w:val="24"/>
          <w:szCs w:val="24"/>
          <w:lang w:val="en-GB" w:eastAsia="en-GB"/>
        </w:rPr>
        <w:t>Salga</w:t>
      </w:r>
      <w:r w:rsidRPr="003A377E">
        <w:rPr>
          <w:rFonts w:ascii="Times New Roman" w:eastAsia="Times New Roman" w:hAnsi="Times New Roman" w:cs="Times New Roman"/>
          <w:color w:val="000000"/>
          <w:spacing w:val="6"/>
          <w:sz w:val="24"/>
          <w:szCs w:val="24"/>
          <w:lang w:val="en-GB" w:eastAsia="en-GB"/>
        </w:rPr>
        <w:t>)</w:t>
      </w:r>
      <w:r w:rsidR="00A25DA1" w:rsidRPr="003A377E">
        <w:rPr>
          <w:rFonts w:ascii="Times New Roman" w:eastAsia="Times New Roman" w:hAnsi="Times New Roman" w:cs="Times New Roman"/>
          <w:color w:val="000000"/>
          <w:spacing w:val="6"/>
          <w:sz w:val="24"/>
          <w:szCs w:val="24"/>
          <w:lang w:val="en-GB" w:eastAsia="en-GB"/>
        </w:rPr>
        <w:t xml:space="preserve"> should ex</w:t>
      </w:r>
      <w:r w:rsidR="00003A4C" w:rsidRPr="003A377E">
        <w:rPr>
          <w:rFonts w:ascii="Times New Roman" w:eastAsia="Times New Roman" w:hAnsi="Times New Roman" w:cs="Times New Roman"/>
          <w:color w:val="000000"/>
          <w:spacing w:val="6"/>
          <w:sz w:val="24"/>
          <w:szCs w:val="24"/>
          <w:lang w:val="en-GB" w:eastAsia="en-GB"/>
        </w:rPr>
        <w:t xml:space="preserve">pedite its engagement with the </w:t>
      </w:r>
      <w:r w:rsidRPr="003A377E">
        <w:rPr>
          <w:rFonts w:ascii="Times New Roman" w:eastAsia="Times New Roman" w:hAnsi="Times New Roman" w:cs="Times New Roman"/>
          <w:color w:val="000000"/>
          <w:spacing w:val="6"/>
          <w:sz w:val="24"/>
          <w:szCs w:val="24"/>
          <w:lang w:val="en-GB" w:eastAsia="en-GB"/>
        </w:rPr>
        <w:t>E</w:t>
      </w:r>
      <w:r w:rsidR="00A25DA1" w:rsidRPr="003A377E">
        <w:rPr>
          <w:rFonts w:ascii="Times New Roman" w:eastAsia="Times New Roman" w:hAnsi="Times New Roman" w:cs="Times New Roman"/>
          <w:color w:val="000000"/>
          <w:spacing w:val="6"/>
          <w:sz w:val="24"/>
          <w:szCs w:val="24"/>
          <w:lang w:val="en-GB" w:eastAsia="en-GB"/>
        </w:rPr>
        <w:t>xecutive to resolve the issue</w:t>
      </w:r>
      <w:r w:rsidRPr="003A377E">
        <w:rPr>
          <w:rFonts w:ascii="Times New Roman" w:eastAsia="Times New Roman" w:hAnsi="Times New Roman" w:cs="Times New Roman"/>
          <w:color w:val="000000"/>
          <w:spacing w:val="6"/>
          <w:sz w:val="24"/>
          <w:szCs w:val="24"/>
          <w:lang w:val="en-GB" w:eastAsia="en-GB"/>
        </w:rPr>
        <w:t>s</w:t>
      </w:r>
      <w:r w:rsidR="00A25DA1" w:rsidRPr="003A377E">
        <w:rPr>
          <w:rFonts w:ascii="Times New Roman" w:eastAsia="Times New Roman" w:hAnsi="Times New Roman" w:cs="Times New Roman"/>
          <w:color w:val="000000"/>
          <w:spacing w:val="6"/>
          <w:sz w:val="24"/>
          <w:szCs w:val="24"/>
          <w:lang w:val="en-GB" w:eastAsia="en-GB"/>
        </w:rPr>
        <w:t xml:space="preserve"> of mun</w:t>
      </w:r>
      <w:r w:rsidR="005550D3" w:rsidRPr="003A377E">
        <w:rPr>
          <w:rFonts w:ascii="Times New Roman" w:eastAsia="Times New Roman" w:hAnsi="Times New Roman" w:cs="Times New Roman"/>
          <w:color w:val="000000"/>
          <w:spacing w:val="6"/>
          <w:sz w:val="24"/>
          <w:szCs w:val="24"/>
          <w:lang w:val="en-GB" w:eastAsia="en-GB"/>
        </w:rPr>
        <w:t xml:space="preserve">icipalities owing Eskom </w:t>
      </w:r>
      <w:r w:rsidRPr="003A377E">
        <w:rPr>
          <w:rFonts w:ascii="Times New Roman" w:eastAsia="Times New Roman" w:hAnsi="Times New Roman" w:cs="Times New Roman"/>
          <w:color w:val="000000"/>
          <w:spacing w:val="6"/>
          <w:sz w:val="24"/>
          <w:szCs w:val="24"/>
          <w:lang w:val="en-GB" w:eastAsia="en-GB"/>
        </w:rPr>
        <w:t>and s</w:t>
      </w:r>
      <w:r w:rsidR="005550D3" w:rsidRPr="003A377E">
        <w:rPr>
          <w:rFonts w:ascii="Times New Roman" w:eastAsia="Times New Roman" w:hAnsi="Times New Roman" w:cs="Times New Roman"/>
          <w:color w:val="000000"/>
          <w:spacing w:val="6"/>
          <w:sz w:val="24"/>
          <w:szCs w:val="24"/>
          <w:lang w:val="en-GB" w:eastAsia="en-GB"/>
        </w:rPr>
        <w:t>ome</w:t>
      </w:r>
      <w:r w:rsidR="00A25DA1" w:rsidRPr="003A377E">
        <w:rPr>
          <w:rFonts w:ascii="Times New Roman" w:eastAsia="Times New Roman" w:hAnsi="Times New Roman" w:cs="Times New Roman"/>
          <w:color w:val="000000"/>
          <w:spacing w:val="6"/>
          <w:sz w:val="24"/>
          <w:szCs w:val="24"/>
          <w:lang w:val="en-GB" w:eastAsia="en-GB"/>
        </w:rPr>
        <w:t xml:space="preserve"> provincial and national departments owing municipalities.</w:t>
      </w:r>
      <w:r w:rsidR="00A64388" w:rsidRPr="003A377E">
        <w:rPr>
          <w:rFonts w:ascii="Times New Roman" w:eastAsia="Times New Roman" w:hAnsi="Times New Roman" w:cs="Times New Roman"/>
          <w:color w:val="000000"/>
          <w:spacing w:val="6"/>
          <w:sz w:val="24"/>
          <w:szCs w:val="24"/>
          <w:lang w:val="en-GB" w:eastAsia="en-GB"/>
        </w:rPr>
        <w:t xml:space="preserve"> The Committee believes that the</w:t>
      </w:r>
      <w:r w:rsidR="00A25DA1" w:rsidRPr="003A377E">
        <w:rPr>
          <w:rFonts w:ascii="Times New Roman" w:eastAsia="Times New Roman" w:hAnsi="Times New Roman" w:cs="Times New Roman"/>
          <w:color w:val="000000"/>
          <w:spacing w:val="6"/>
          <w:sz w:val="24"/>
          <w:szCs w:val="24"/>
          <w:lang w:val="en-GB" w:eastAsia="en-GB"/>
        </w:rPr>
        <w:t>s</w:t>
      </w:r>
      <w:r w:rsidR="00A64388" w:rsidRPr="003A377E">
        <w:rPr>
          <w:rFonts w:ascii="Times New Roman" w:eastAsia="Times New Roman" w:hAnsi="Times New Roman" w:cs="Times New Roman"/>
          <w:color w:val="000000"/>
          <w:spacing w:val="6"/>
          <w:sz w:val="24"/>
          <w:szCs w:val="24"/>
          <w:lang w:val="en-GB" w:eastAsia="en-GB"/>
        </w:rPr>
        <w:t>e</w:t>
      </w:r>
      <w:r w:rsidR="00A25DA1" w:rsidRPr="003A377E">
        <w:rPr>
          <w:rFonts w:ascii="Times New Roman" w:eastAsia="Times New Roman" w:hAnsi="Times New Roman" w:cs="Times New Roman"/>
          <w:color w:val="000000"/>
          <w:spacing w:val="6"/>
          <w:sz w:val="24"/>
          <w:szCs w:val="24"/>
          <w:lang w:val="en-GB" w:eastAsia="en-GB"/>
        </w:rPr>
        <w:t xml:space="preserve"> issue</w:t>
      </w:r>
      <w:r w:rsidR="00A64388" w:rsidRPr="003A377E">
        <w:rPr>
          <w:rFonts w:ascii="Times New Roman" w:eastAsia="Times New Roman" w:hAnsi="Times New Roman" w:cs="Times New Roman"/>
          <w:color w:val="000000"/>
          <w:spacing w:val="6"/>
          <w:sz w:val="24"/>
          <w:szCs w:val="24"/>
          <w:lang w:val="en-GB" w:eastAsia="en-GB"/>
        </w:rPr>
        <w:t>s are</w:t>
      </w:r>
      <w:r w:rsidR="00A25DA1" w:rsidRPr="003A377E">
        <w:rPr>
          <w:rFonts w:ascii="Times New Roman" w:eastAsia="Times New Roman" w:hAnsi="Times New Roman" w:cs="Times New Roman"/>
          <w:color w:val="000000"/>
          <w:spacing w:val="6"/>
          <w:sz w:val="24"/>
          <w:szCs w:val="24"/>
          <w:lang w:val="en-GB" w:eastAsia="en-GB"/>
        </w:rPr>
        <w:t xml:space="preserve"> long overdue </w:t>
      </w:r>
      <w:r w:rsidR="000C1058" w:rsidRPr="003A377E">
        <w:rPr>
          <w:rFonts w:ascii="Times New Roman" w:eastAsia="Times New Roman" w:hAnsi="Times New Roman" w:cs="Times New Roman"/>
          <w:color w:val="000000"/>
          <w:spacing w:val="6"/>
          <w:sz w:val="24"/>
          <w:szCs w:val="24"/>
          <w:lang w:val="en-GB" w:eastAsia="en-GB"/>
        </w:rPr>
        <w:t xml:space="preserve">and </w:t>
      </w:r>
      <w:r w:rsidR="00A25DA1" w:rsidRPr="003A377E">
        <w:rPr>
          <w:rFonts w:ascii="Times New Roman" w:eastAsia="Times New Roman" w:hAnsi="Times New Roman" w:cs="Times New Roman"/>
          <w:color w:val="000000"/>
          <w:spacing w:val="6"/>
          <w:sz w:val="24"/>
          <w:szCs w:val="24"/>
          <w:lang w:val="en-GB" w:eastAsia="en-GB"/>
        </w:rPr>
        <w:t>concrete steps ought to be taken</w:t>
      </w:r>
      <w:r w:rsidR="00A10905" w:rsidRPr="003A377E">
        <w:rPr>
          <w:rFonts w:ascii="Times New Roman" w:eastAsia="Times New Roman" w:hAnsi="Times New Roman" w:cs="Times New Roman"/>
          <w:color w:val="000000"/>
          <w:spacing w:val="6"/>
          <w:sz w:val="24"/>
          <w:szCs w:val="24"/>
          <w:lang w:val="en-GB" w:eastAsia="en-GB"/>
        </w:rPr>
        <w:t xml:space="preserve"> to resolve it</w:t>
      </w:r>
      <w:r w:rsidR="006078DB" w:rsidRPr="003A377E">
        <w:rPr>
          <w:rFonts w:ascii="Times New Roman" w:eastAsia="Times New Roman" w:hAnsi="Times New Roman" w:cs="Times New Roman"/>
          <w:color w:val="000000"/>
          <w:spacing w:val="6"/>
          <w:sz w:val="24"/>
          <w:szCs w:val="24"/>
          <w:lang w:val="en-GB" w:eastAsia="en-GB"/>
        </w:rPr>
        <w:t xml:space="preserve"> as a matter of urgency</w:t>
      </w:r>
      <w:r w:rsidR="00A10905" w:rsidRPr="003A377E">
        <w:rPr>
          <w:rFonts w:ascii="Times New Roman" w:eastAsia="Times New Roman" w:hAnsi="Times New Roman" w:cs="Times New Roman"/>
          <w:color w:val="000000"/>
          <w:spacing w:val="6"/>
          <w:sz w:val="24"/>
          <w:szCs w:val="24"/>
          <w:lang w:val="en-GB" w:eastAsia="en-GB"/>
        </w:rPr>
        <w:t>. The Committee believes that this will</w:t>
      </w:r>
      <w:r w:rsidR="00CD24B0" w:rsidRPr="003A377E">
        <w:rPr>
          <w:rFonts w:ascii="Times New Roman" w:eastAsia="Times New Roman" w:hAnsi="Times New Roman" w:cs="Times New Roman"/>
          <w:color w:val="000000"/>
          <w:spacing w:val="6"/>
          <w:sz w:val="24"/>
          <w:szCs w:val="24"/>
          <w:lang w:val="en-GB" w:eastAsia="en-GB"/>
        </w:rPr>
        <w:t xml:space="preserve"> partly address</w:t>
      </w:r>
      <w:r w:rsidR="00A25DA1" w:rsidRPr="003A377E">
        <w:rPr>
          <w:rFonts w:ascii="Times New Roman" w:eastAsia="Times New Roman" w:hAnsi="Times New Roman" w:cs="Times New Roman"/>
          <w:color w:val="000000"/>
          <w:spacing w:val="6"/>
          <w:sz w:val="24"/>
          <w:szCs w:val="24"/>
          <w:lang w:val="en-GB" w:eastAsia="en-GB"/>
        </w:rPr>
        <w:t xml:space="preserve"> some revenue </w:t>
      </w:r>
      <w:r w:rsidR="00CD24B0" w:rsidRPr="003A377E">
        <w:rPr>
          <w:rFonts w:ascii="Times New Roman" w:eastAsia="Times New Roman" w:hAnsi="Times New Roman" w:cs="Times New Roman"/>
          <w:color w:val="000000"/>
          <w:spacing w:val="6"/>
          <w:sz w:val="24"/>
          <w:szCs w:val="24"/>
          <w:lang w:val="en-GB" w:eastAsia="en-GB"/>
        </w:rPr>
        <w:t xml:space="preserve">challenges </w:t>
      </w:r>
      <w:r w:rsidR="00A25DA1" w:rsidRPr="003A377E">
        <w:rPr>
          <w:rFonts w:ascii="Times New Roman" w:eastAsia="Times New Roman" w:hAnsi="Times New Roman" w:cs="Times New Roman"/>
          <w:color w:val="000000"/>
          <w:spacing w:val="6"/>
          <w:sz w:val="24"/>
          <w:szCs w:val="24"/>
          <w:lang w:val="en-GB" w:eastAsia="en-GB"/>
        </w:rPr>
        <w:t>for both Eskom and municipalities.</w:t>
      </w:r>
      <w:r w:rsidR="00BD16B8" w:rsidRPr="003A377E">
        <w:rPr>
          <w:rFonts w:ascii="Times New Roman" w:eastAsia="Times New Roman" w:hAnsi="Times New Roman" w:cs="Times New Roman"/>
          <w:color w:val="000000"/>
          <w:spacing w:val="6"/>
          <w:sz w:val="24"/>
          <w:szCs w:val="24"/>
          <w:lang w:val="en-GB" w:eastAsia="en-GB"/>
        </w:rPr>
        <w:t xml:space="preserve"> </w:t>
      </w:r>
      <w:r w:rsidRPr="003A377E">
        <w:rPr>
          <w:rFonts w:ascii="Times New Roman" w:eastAsia="Times New Roman" w:hAnsi="Times New Roman" w:cs="Times New Roman"/>
          <w:color w:val="000000"/>
          <w:spacing w:val="6"/>
          <w:sz w:val="24"/>
          <w:szCs w:val="24"/>
          <w:lang w:val="en-GB" w:eastAsia="en-GB"/>
        </w:rPr>
        <w:t>A p</w:t>
      </w:r>
      <w:r w:rsidR="00BD16B8" w:rsidRPr="003A377E">
        <w:rPr>
          <w:rFonts w:ascii="Times New Roman" w:eastAsia="Times New Roman" w:hAnsi="Times New Roman" w:cs="Times New Roman"/>
          <w:color w:val="000000"/>
          <w:spacing w:val="6"/>
          <w:sz w:val="24"/>
          <w:szCs w:val="24"/>
          <w:lang w:val="en-GB" w:eastAsia="en-GB"/>
        </w:rPr>
        <w:t xml:space="preserve">rogress report should be tabled in Parliament in the next budget cycle. </w:t>
      </w:r>
      <w:r w:rsidR="00DF6461" w:rsidRPr="003A377E">
        <w:rPr>
          <w:rFonts w:ascii="Times New Roman" w:eastAsia="Times New Roman" w:hAnsi="Times New Roman" w:cs="Times New Roman"/>
          <w:color w:val="000000"/>
          <w:spacing w:val="6"/>
          <w:sz w:val="24"/>
          <w:szCs w:val="24"/>
          <w:lang w:val="en-GB" w:eastAsia="en-GB"/>
        </w:rPr>
        <w:t xml:space="preserve"> </w:t>
      </w:r>
      <w:r w:rsidR="000D3E98" w:rsidRPr="003A377E">
        <w:rPr>
          <w:rFonts w:ascii="Times New Roman" w:eastAsia="Times New Roman" w:hAnsi="Times New Roman" w:cs="Times New Roman"/>
          <w:color w:val="000000"/>
          <w:spacing w:val="6"/>
          <w:sz w:val="24"/>
          <w:szCs w:val="24"/>
          <w:lang w:val="en-GB" w:eastAsia="en-GB"/>
        </w:rPr>
        <w:t xml:space="preserve"> </w:t>
      </w:r>
    </w:p>
    <w:p w:rsidR="00F20FF5" w:rsidRPr="003A377E" w:rsidRDefault="00F20FF5" w:rsidP="006B30A6">
      <w:pPr>
        <w:pStyle w:val="ListParagraph"/>
        <w:spacing w:line="360" w:lineRule="auto"/>
        <w:jc w:val="both"/>
        <w:rPr>
          <w:rFonts w:ascii="Times New Roman" w:eastAsia="Times New Roman" w:hAnsi="Times New Roman" w:cs="Times New Roman"/>
          <w:color w:val="000000"/>
          <w:spacing w:val="6"/>
          <w:sz w:val="24"/>
          <w:szCs w:val="24"/>
          <w:lang w:val="en-GB" w:eastAsia="en-GB"/>
        </w:rPr>
      </w:pPr>
    </w:p>
    <w:p w:rsidR="005076FB" w:rsidRPr="003A377E" w:rsidRDefault="00A25DA1"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lastRenderedPageBreak/>
        <w:t xml:space="preserve">Salga should intensify its programmes to empower municipalities through skills development workshops and other </w:t>
      </w:r>
      <w:r w:rsidR="00A10DBD" w:rsidRPr="003A377E">
        <w:rPr>
          <w:rFonts w:ascii="Times New Roman" w:eastAsia="Times New Roman" w:hAnsi="Times New Roman" w:cs="Times New Roman"/>
          <w:color w:val="000000"/>
          <w:spacing w:val="6"/>
          <w:sz w:val="24"/>
          <w:szCs w:val="24"/>
          <w:lang w:val="en-GB" w:eastAsia="en-GB"/>
        </w:rPr>
        <w:t xml:space="preserve">capacity building </w:t>
      </w:r>
      <w:r w:rsidRPr="003A377E">
        <w:rPr>
          <w:rFonts w:ascii="Times New Roman" w:eastAsia="Times New Roman" w:hAnsi="Times New Roman" w:cs="Times New Roman"/>
          <w:color w:val="000000"/>
          <w:spacing w:val="6"/>
          <w:sz w:val="24"/>
          <w:szCs w:val="24"/>
          <w:lang w:val="en-GB" w:eastAsia="en-GB"/>
        </w:rPr>
        <w:t>interve</w:t>
      </w:r>
      <w:r w:rsidR="00714751" w:rsidRPr="003A377E">
        <w:rPr>
          <w:rFonts w:ascii="Times New Roman" w:eastAsia="Times New Roman" w:hAnsi="Times New Roman" w:cs="Times New Roman"/>
          <w:color w:val="000000"/>
          <w:spacing w:val="6"/>
          <w:sz w:val="24"/>
          <w:szCs w:val="24"/>
          <w:lang w:val="en-GB" w:eastAsia="en-GB"/>
        </w:rPr>
        <w:t>ntions to ensure that allocated funds are</w:t>
      </w:r>
      <w:r w:rsidRPr="003A377E">
        <w:rPr>
          <w:rFonts w:ascii="Times New Roman" w:eastAsia="Times New Roman" w:hAnsi="Times New Roman" w:cs="Times New Roman"/>
          <w:color w:val="000000"/>
          <w:spacing w:val="6"/>
          <w:sz w:val="24"/>
          <w:szCs w:val="24"/>
          <w:lang w:val="en-GB" w:eastAsia="en-GB"/>
        </w:rPr>
        <w:t xml:space="preserve"> spent </w:t>
      </w:r>
      <w:r w:rsidR="00714751" w:rsidRPr="003A377E">
        <w:rPr>
          <w:rFonts w:ascii="Times New Roman" w:eastAsia="Times New Roman" w:hAnsi="Times New Roman" w:cs="Times New Roman"/>
          <w:color w:val="000000"/>
          <w:spacing w:val="6"/>
          <w:sz w:val="24"/>
          <w:szCs w:val="24"/>
          <w:lang w:val="en-GB" w:eastAsia="en-GB"/>
        </w:rPr>
        <w:t xml:space="preserve">efficiently and </w:t>
      </w:r>
      <w:r w:rsidRPr="003A377E">
        <w:rPr>
          <w:rFonts w:ascii="Times New Roman" w:eastAsia="Times New Roman" w:hAnsi="Times New Roman" w:cs="Times New Roman"/>
          <w:color w:val="000000"/>
          <w:spacing w:val="6"/>
          <w:sz w:val="24"/>
          <w:szCs w:val="24"/>
          <w:lang w:val="en-GB" w:eastAsia="en-GB"/>
        </w:rPr>
        <w:t>effectively to address the lack of spending on infrastructure</w:t>
      </w:r>
      <w:r w:rsidR="00714751" w:rsidRPr="003A377E">
        <w:rPr>
          <w:rFonts w:ascii="Times New Roman" w:eastAsia="Times New Roman" w:hAnsi="Times New Roman" w:cs="Times New Roman"/>
          <w:color w:val="000000"/>
          <w:spacing w:val="6"/>
          <w:sz w:val="24"/>
          <w:szCs w:val="24"/>
          <w:lang w:val="en-GB" w:eastAsia="en-GB"/>
        </w:rPr>
        <w:t xml:space="preserve"> grants at</w:t>
      </w:r>
      <w:r w:rsidR="00AB7737" w:rsidRPr="003A377E">
        <w:rPr>
          <w:rFonts w:ascii="Times New Roman" w:eastAsia="Times New Roman" w:hAnsi="Times New Roman" w:cs="Times New Roman"/>
          <w:color w:val="000000"/>
          <w:spacing w:val="6"/>
          <w:sz w:val="24"/>
          <w:szCs w:val="24"/>
          <w:lang w:val="en-GB" w:eastAsia="en-GB"/>
        </w:rPr>
        <w:t xml:space="preserve"> municipal</w:t>
      </w:r>
      <w:r w:rsidR="001D49C0" w:rsidRPr="003A377E">
        <w:rPr>
          <w:rFonts w:ascii="Times New Roman" w:eastAsia="Times New Roman" w:hAnsi="Times New Roman" w:cs="Times New Roman"/>
          <w:color w:val="000000"/>
          <w:spacing w:val="6"/>
          <w:sz w:val="24"/>
          <w:szCs w:val="24"/>
          <w:lang w:val="en-GB" w:eastAsia="en-GB"/>
        </w:rPr>
        <w:t xml:space="preserve"> level</w:t>
      </w:r>
      <w:r w:rsidR="00714751" w:rsidRPr="003A377E">
        <w:rPr>
          <w:rFonts w:ascii="Times New Roman" w:eastAsia="Times New Roman" w:hAnsi="Times New Roman" w:cs="Times New Roman"/>
          <w:color w:val="000000"/>
          <w:spacing w:val="6"/>
          <w:sz w:val="24"/>
          <w:szCs w:val="24"/>
          <w:lang w:val="en-GB" w:eastAsia="en-GB"/>
        </w:rPr>
        <w:t>,</w:t>
      </w:r>
      <w:r w:rsidR="005201D7" w:rsidRPr="003A377E">
        <w:rPr>
          <w:rFonts w:ascii="Times New Roman" w:eastAsia="Times New Roman" w:hAnsi="Times New Roman" w:cs="Times New Roman"/>
          <w:color w:val="000000"/>
          <w:spacing w:val="6"/>
          <w:sz w:val="24"/>
          <w:szCs w:val="24"/>
          <w:lang w:val="en-GB" w:eastAsia="en-GB"/>
        </w:rPr>
        <w:t xml:space="preserve"> including</w:t>
      </w:r>
      <w:r w:rsidR="00AB7737" w:rsidRPr="003A377E">
        <w:rPr>
          <w:rFonts w:ascii="Times New Roman" w:eastAsia="Times New Roman" w:hAnsi="Times New Roman" w:cs="Times New Roman"/>
          <w:color w:val="000000"/>
          <w:spacing w:val="6"/>
          <w:sz w:val="24"/>
          <w:szCs w:val="24"/>
          <w:lang w:val="en-GB" w:eastAsia="en-GB"/>
        </w:rPr>
        <w:t xml:space="preserve"> </w:t>
      </w:r>
      <w:r w:rsidR="00714751" w:rsidRPr="003A377E">
        <w:rPr>
          <w:rFonts w:ascii="Times New Roman" w:eastAsia="Times New Roman" w:hAnsi="Times New Roman" w:cs="Times New Roman"/>
          <w:color w:val="000000"/>
          <w:spacing w:val="6"/>
          <w:sz w:val="24"/>
          <w:szCs w:val="24"/>
          <w:lang w:val="en-GB" w:eastAsia="en-GB"/>
        </w:rPr>
        <w:t xml:space="preserve">the </w:t>
      </w:r>
      <w:r w:rsidRPr="003A377E">
        <w:rPr>
          <w:rFonts w:ascii="Times New Roman" w:eastAsia="Times New Roman" w:hAnsi="Times New Roman" w:cs="Times New Roman"/>
          <w:color w:val="000000"/>
          <w:spacing w:val="6"/>
          <w:sz w:val="24"/>
          <w:szCs w:val="24"/>
          <w:lang w:val="en-GB" w:eastAsia="en-GB"/>
        </w:rPr>
        <w:t>non-comp</w:t>
      </w:r>
      <w:r w:rsidR="00714751" w:rsidRPr="003A377E">
        <w:rPr>
          <w:rFonts w:ascii="Times New Roman" w:eastAsia="Times New Roman" w:hAnsi="Times New Roman" w:cs="Times New Roman"/>
          <w:color w:val="000000"/>
          <w:spacing w:val="6"/>
          <w:sz w:val="24"/>
          <w:szCs w:val="24"/>
          <w:lang w:val="en-GB" w:eastAsia="en-GB"/>
        </w:rPr>
        <w:t xml:space="preserve">liance with </w:t>
      </w:r>
      <w:r w:rsidRPr="003A377E">
        <w:rPr>
          <w:rFonts w:ascii="Times New Roman" w:eastAsia="Times New Roman" w:hAnsi="Times New Roman" w:cs="Times New Roman"/>
          <w:color w:val="000000"/>
          <w:spacing w:val="6"/>
          <w:sz w:val="24"/>
          <w:szCs w:val="24"/>
          <w:lang w:val="en-GB" w:eastAsia="en-GB"/>
        </w:rPr>
        <w:t>grant frameworks.</w:t>
      </w:r>
      <w:r w:rsidR="00C14F82" w:rsidRPr="003A377E">
        <w:rPr>
          <w:rFonts w:ascii="Times New Roman" w:eastAsia="Times New Roman" w:hAnsi="Times New Roman" w:cs="Times New Roman"/>
          <w:color w:val="000000"/>
          <w:spacing w:val="6"/>
          <w:sz w:val="24"/>
          <w:szCs w:val="24"/>
          <w:lang w:val="en-GB" w:eastAsia="en-GB"/>
        </w:rPr>
        <w:t xml:space="preserve"> Parliament will continue to mon</w:t>
      </w:r>
      <w:r w:rsidR="00A64388" w:rsidRPr="003A377E">
        <w:rPr>
          <w:rFonts w:ascii="Times New Roman" w:eastAsia="Times New Roman" w:hAnsi="Times New Roman" w:cs="Times New Roman"/>
          <w:color w:val="000000"/>
          <w:spacing w:val="6"/>
          <w:sz w:val="24"/>
          <w:szCs w:val="24"/>
          <w:lang w:val="en-GB" w:eastAsia="en-GB"/>
        </w:rPr>
        <w:t>itor</w:t>
      </w:r>
      <w:r w:rsidR="00714751" w:rsidRPr="003A377E">
        <w:rPr>
          <w:rFonts w:ascii="Times New Roman" w:eastAsia="Times New Roman" w:hAnsi="Times New Roman" w:cs="Times New Roman"/>
          <w:color w:val="000000"/>
          <w:spacing w:val="6"/>
          <w:sz w:val="24"/>
          <w:szCs w:val="24"/>
          <w:lang w:val="en-GB" w:eastAsia="en-GB"/>
        </w:rPr>
        <w:t xml:space="preserve"> progress</w:t>
      </w:r>
      <w:r w:rsidR="00A64388" w:rsidRPr="003A377E">
        <w:rPr>
          <w:rFonts w:ascii="Times New Roman" w:eastAsia="Times New Roman" w:hAnsi="Times New Roman" w:cs="Times New Roman"/>
          <w:color w:val="000000"/>
          <w:spacing w:val="6"/>
          <w:sz w:val="24"/>
          <w:szCs w:val="24"/>
          <w:lang w:val="en-GB" w:eastAsia="en-GB"/>
        </w:rPr>
        <w:t xml:space="preserve"> in this regard</w:t>
      </w:r>
      <w:r w:rsidR="00C14F82" w:rsidRPr="003A377E">
        <w:rPr>
          <w:rFonts w:ascii="Times New Roman" w:eastAsia="Times New Roman" w:hAnsi="Times New Roman" w:cs="Times New Roman"/>
          <w:color w:val="000000"/>
          <w:spacing w:val="6"/>
          <w:sz w:val="24"/>
          <w:szCs w:val="24"/>
          <w:lang w:val="en-GB" w:eastAsia="en-GB"/>
        </w:rPr>
        <w:t>.</w:t>
      </w:r>
      <w:r w:rsidR="00714751" w:rsidRPr="003A377E">
        <w:rPr>
          <w:rFonts w:ascii="Times New Roman" w:eastAsia="Times New Roman" w:hAnsi="Times New Roman" w:cs="Times New Roman"/>
          <w:color w:val="000000"/>
          <w:spacing w:val="6"/>
          <w:sz w:val="24"/>
          <w:szCs w:val="24"/>
          <w:lang w:val="en-GB" w:eastAsia="en-GB"/>
        </w:rPr>
        <w:t xml:space="preserve"> </w:t>
      </w:r>
      <w:r w:rsidR="00C14F82" w:rsidRPr="003A377E">
        <w:rPr>
          <w:rFonts w:ascii="Times New Roman" w:eastAsia="Times New Roman" w:hAnsi="Times New Roman" w:cs="Times New Roman"/>
          <w:color w:val="000000"/>
          <w:spacing w:val="6"/>
          <w:sz w:val="24"/>
          <w:szCs w:val="24"/>
          <w:lang w:val="en-GB" w:eastAsia="en-GB"/>
        </w:rPr>
        <w:t xml:space="preserve"> </w:t>
      </w:r>
    </w:p>
    <w:p w:rsidR="005076FB" w:rsidRPr="003A377E" w:rsidRDefault="00A25DA1" w:rsidP="006B30A6">
      <w:pPr>
        <w:pStyle w:val="ListParagraph"/>
        <w:spacing w:before="120" w:line="360" w:lineRule="auto"/>
        <w:ind w:left="780"/>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 xml:space="preserve"> </w:t>
      </w:r>
    </w:p>
    <w:p w:rsidR="005076FB" w:rsidRPr="003A377E" w:rsidRDefault="00FD7D4A" w:rsidP="00A6438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eastAsia="en-GB"/>
        </w:rPr>
      </w:pPr>
      <w:r w:rsidRPr="003A377E">
        <w:rPr>
          <w:rFonts w:ascii="Times New Roman" w:eastAsia="Times New Roman" w:hAnsi="Times New Roman" w:cs="Times New Roman"/>
          <w:color w:val="000000"/>
          <w:spacing w:val="6"/>
          <w:sz w:val="24"/>
          <w:szCs w:val="24"/>
          <w:lang w:eastAsia="en-GB"/>
        </w:rPr>
        <w:t xml:space="preserve">Salga should </w:t>
      </w:r>
      <w:r w:rsidR="00A25DA1" w:rsidRPr="003A377E">
        <w:rPr>
          <w:rFonts w:ascii="Times New Roman" w:eastAsia="Times New Roman" w:hAnsi="Times New Roman" w:cs="Times New Roman"/>
          <w:color w:val="000000"/>
          <w:spacing w:val="6"/>
          <w:sz w:val="24"/>
          <w:szCs w:val="24"/>
          <w:lang w:eastAsia="en-GB"/>
        </w:rPr>
        <w:t>ensure that it interact</w:t>
      </w:r>
      <w:r w:rsidR="00A64388" w:rsidRPr="003A377E">
        <w:rPr>
          <w:rFonts w:ascii="Times New Roman" w:eastAsia="Times New Roman" w:hAnsi="Times New Roman" w:cs="Times New Roman"/>
          <w:color w:val="000000"/>
          <w:spacing w:val="6"/>
          <w:sz w:val="24"/>
          <w:szCs w:val="24"/>
          <w:lang w:eastAsia="en-GB"/>
        </w:rPr>
        <w:t>s</w:t>
      </w:r>
      <w:r w:rsidR="00A25DA1" w:rsidRPr="003A377E">
        <w:rPr>
          <w:rFonts w:ascii="Times New Roman" w:eastAsia="Times New Roman" w:hAnsi="Times New Roman" w:cs="Times New Roman"/>
          <w:color w:val="000000"/>
          <w:spacing w:val="6"/>
          <w:sz w:val="24"/>
          <w:szCs w:val="24"/>
          <w:lang w:eastAsia="en-GB"/>
        </w:rPr>
        <w:t xml:space="preserve"> with </w:t>
      </w:r>
      <w:r w:rsidR="00385AC4" w:rsidRPr="003A377E">
        <w:rPr>
          <w:rFonts w:ascii="Times New Roman" w:eastAsia="Times New Roman" w:hAnsi="Times New Roman" w:cs="Times New Roman"/>
          <w:color w:val="000000"/>
          <w:spacing w:val="6"/>
          <w:sz w:val="24"/>
          <w:szCs w:val="24"/>
          <w:lang w:eastAsia="en-GB"/>
        </w:rPr>
        <w:t xml:space="preserve">all </w:t>
      </w:r>
      <w:r w:rsidR="002902EE" w:rsidRPr="003A377E">
        <w:rPr>
          <w:rFonts w:ascii="Times New Roman" w:eastAsia="Times New Roman" w:hAnsi="Times New Roman" w:cs="Times New Roman"/>
          <w:color w:val="000000"/>
          <w:spacing w:val="6"/>
          <w:sz w:val="24"/>
          <w:szCs w:val="24"/>
          <w:lang w:eastAsia="en-GB"/>
        </w:rPr>
        <w:t xml:space="preserve">recognised </w:t>
      </w:r>
      <w:r w:rsidR="00A25DA1" w:rsidRPr="003A377E">
        <w:rPr>
          <w:rFonts w:ascii="Times New Roman" w:eastAsia="Times New Roman" w:hAnsi="Times New Roman" w:cs="Times New Roman"/>
          <w:color w:val="000000"/>
          <w:spacing w:val="6"/>
          <w:sz w:val="24"/>
          <w:szCs w:val="24"/>
          <w:lang w:eastAsia="en-GB"/>
        </w:rPr>
        <w:t xml:space="preserve">traditional leadership from rural villages the same way as those leaders of local government </w:t>
      </w:r>
      <w:r w:rsidR="00594174" w:rsidRPr="003A377E">
        <w:rPr>
          <w:rFonts w:ascii="Times New Roman" w:eastAsia="Times New Roman" w:hAnsi="Times New Roman" w:cs="Times New Roman"/>
          <w:color w:val="000000"/>
          <w:spacing w:val="6"/>
          <w:sz w:val="24"/>
          <w:szCs w:val="24"/>
          <w:lang w:eastAsia="en-GB"/>
        </w:rPr>
        <w:t xml:space="preserve">located </w:t>
      </w:r>
      <w:r w:rsidR="00A25DA1" w:rsidRPr="003A377E">
        <w:rPr>
          <w:rFonts w:ascii="Times New Roman" w:eastAsia="Times New Roman" w:hAnsi="Times New Roman" w:cs="Times New Roman"/>
          <w:color w:val="000000"/>
          <w:spacing w:val="6"/>
          <w:sz w:val="24"/>
          <w:szCs w:val="24"/>
          <w:lang w:eastAsia="en-GB"/>
        </w:rPr>
        <w:t>in urban areas</w:t>
      </w:r>
      <w:r w:rsidR="00A64388" w:rsidRPr="003A377E">
        <w:rPr>
          <w:rFonts w:ascii="Times New Roman" w:eastAsia="Times New Roman" w:hAnsi="Times New Roman" w:cs="Times New Roman"/>
          <w:color w:val="000000"/>
          <w:spacing w:val="6"/>
          <w:sz w:val="24"/>
          <w:szCs w:val="24"/>
          <w:lang w:eastAsia="en-GB"/>
        </w:rPr>
        <w:t>,</w:t>
      </w:r>
      <w:r w:rsidR="00A25DA1" w:rsidRPr="003A377E">
        <w:rPr>
          <w:rFonts w:ascii="Times New Roman" w:eastAsia="Times New Roman" w:hAnsi="Times New Roman" w:cs="Times New Roman"/>
          <w:color w:val="000000"/>
          <w:spacing w:val="6"/>
          <w:sz w:val="24"/>
          <w:szCs w:val="24"/>
          <w:lang w:eastAsia="en-GB"/>
        </w:rPr>
        <w:t xml:space="preserve"> to address the large backlog of under</w:t>
      </w:r>
      <w:r w:rsidR="00A64388" w:rsidRPr="003A377E">
        <w:rPr>
          <w:rFonts w:ascii="Times New Roman" w:eastAsia="Times New Roman" w:hAnsi="Times New Roman" w:cs="Times New Roman"/>
          <w:color w:val="000000"/>
          <w:spacing w:val="6"/>
          <w:sz w:val="24"/>
          <w:szCs w:val="24"/>
          <w:lang w:eastAsia="en-GB"/>
        </w:rPr>
        <w:t>-</w:t>
      </w:r>
      <w:r w:rsidR="00A25DA1" w:rsidRPr="003A377E">
        <w:rPr>
          <w:rFonts w:ascii="Times New Roman" w:eastAsia="Times New Roman" w:hAnsi="Times New Roman" w:cs="Times New Roman"/>
          <w:color w:val="000000"/>
          <w:spacing w:val="6"/>
          <w:sz w:val="24"/>
          <w:szCs w:val="24"/>
          <w:lang w:eastAsia="en-GB"/>
        </w:rPr>
        <w:t xml:space="preserve">development </w:t>
      </w:r>
      <w:r w:rsidR="00E81F8D" w:rsidRPr="003A377E">
        <w:rPr>
          <w:rFonts w:ascii="Times New Roman" w:eastAsia="Times New Roman" w:hAnsi="Times New Roman" w:cs="Times New Roman"/>
          <w:color w:val="000000"/>
          <w:spacing w:val="6"/>
          <w:sz w:val="24"/>
          <w:szCs w:val="24"/>
          <w:lang w:eastAsia="en-GB"/>
        </w:rPr>
        <w:t xml:space="preserve">and infrastructure challenges </w:t>
      </w:r>
      <w:r w:rsidR="00664447" w:rsidRPr="003A377E">
        <w:rPr>
          <w:rFonts w:ascii="Times New Roman" w:eastAsia="Times New Roman" w:hAnsi="Times New Roman" w:cs="Times New Roman"/>
          <w:color w:val="000000"/>
          <w:spacing w:val="6"/>
          <w:sz w:val="24"/>
          <w:szCs w:val="24"/>
          <w:lang w:eastAsia="en-GB"/>
        </w:rPr>
        <w:t>in such</w:t>
      </w:r>
      <w:r w:rsidR="00A25DA1" w:rsidRPr="003A377E">
        <w:rPr>
          <w:rFonts w:ascii="Times New Roman" w:eastAsia="Times New Roman" w:hAnsi="Times New Roman" w:cs="Times New Roman"/>
          <w:color w:val="000000"/>
          <w:spacing w:val="6"/>
          <w:sz w:val="24"/>
          <w:szCs w:val="24"/>
          <w:lang w:eastAsia="en-GB"/>
        </w:rPr>
        <w:t xml:space="preserve"> areas</w:t>
      </w:r>
      <w:r w:rsidR="001904AF" w:rsidRPr="003A377E">
        <w:rPr>
          <w:rFonts w:ascii="Times New Roman" w:eastAsia="Times New Roman" w:hAnsi="Times New Roman" w:cs="Times New Roman"/>
          <w:color w:val="000000"/>
          <w:spacing w:val="6"/>
          <w:sz w:val="24"/>
          <w:szCs w:val="24"/>
          <w:lang w:eastAsia="en-GB"/>
        </w:rPr>
        <w:t>.</w:t>
      </w:r>
      <w:r w:rsidR="00A25DA1" w:rsidRPr="003A377E">
        <w:rPr>
          <w:rFonts w:ascii="Times New Roman" w:eastAsia="Times New Roman" w:hAnsi="Times New Roman" w:cs="Times New Roman"/>
          <w:color w:val="000000"/>
          <w:spacing w:val="6"/>
          <w:sz w:val="24"/>
          <w:szCs w:val="24"/>
          <w:lang w:eastAsia="en-GB"/>
        </w:rPr>
        <w:t xml:space="preserve"> </w:t>
      </w:r>
    </w:p>
    <w:p w:rsidR="001904AF" w:rsidRPr="003A377E" w:rsidRDefault="001904AF" w:rsidP="006B30A6">
      <w:pPr>
        <w:pStyle w:val="ListParagraph"/>
        <w:rPr>
          <w:rFonts w:ascii="Times New Roman" w:eastAsia="Times New Roman" w:hAnsi="Times New Roman" w:cs="Times New Roman"/>
          <w:color w:val="000000"/>
          <w:spacing w:val="6"/>
          <w:sz w:val="24"/>
          <w:szCs w:val="24"/>
          <w:lang w:eastAsia="en-GB"/>
        </w:rPr>
      </w:pPr>
    </w:p>
    <w:p w:rsidR="005076FB" w:rsidRPr="003A377E" w:rsidRDefault="00A25DA1"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The Co</w:t>
      </w:r>
      <w:r w:rsidR="00A64388" w:rsidRPr="003A377E">
        <w:rPr>
          <w:rFonts w:ascii="Times New Roman" w:eastAsia="Times New Roman" w:hAnsi="Times New Roman" w:cs="Times New Roman"/>
          <w:color w:val="000000"/>
          <w:spacing w:val="6"/>
          <w:sz w:val="24"/>
          <w:szCs w:val="24"/>
          <w:lang w:eastAsia="en-GB"/>
        </w:rPr>
        <w:t>mmittee is of the view that</w:t>
      </w:r>
      <w:r w:rsidRPr="003A377E">
        <w:rPr>
          <w:rFonts w:ascii="Times New Roman" w:eastAsia="Times New Roman" w:hAnsi="Times New Roman" w:cs="Times New Roman"/>
          <w:color w:val="000000"/>
          <w:spacing w:val="6"/>
          <w:sz w:val="24"/>
          <w:szCs w:val="24"/>
          <w:lang w:eastAsia="en-GB"/>
        </w:rPr>
        <w:t xml:space="preserve"> national and provincial government should intervene</w:t>
      </w:r>
      <w:r w:rsidR="00A64388" w:rsidRPr="003A377E">
        <w:rPr>
          <w:rFonts w:ascii="Times New Roman" w:eastAsia="Times New Roman" w:hAnsi="Times New Roman" w:cs="Times New Roman"/>
          <w:color w:val="000000"/>
          <w:spacing w:val="6"/>
          <w:sz w:val="24"/>
          <w:szCs w:val="24"/>
          <w:lang w:eastAsia="en-GB"/>
        </w:rPr>
        <w:t xml:space="preserve"> in</w:t>
      </w:r>
      <w:r w:rsidR="000160B0" w:rsidRPr="003A377E">
        <w:rPr>
          <w:rFonts w:ascii="Times New Roman" w:eastAsia="Times New Roman" w:hAnsi="Times New Roman" w:cs="Times New Roman"/>
          <w:color w:val="000000"/>
          <w:spacing w:val="6"/>
          <w:sz w:val="24"/>
          <w:szCs w:val="24"/>
          <w:lang w:eastAsia="en-GB"/>
        </w:rPr>
        <w:t xml:space="preserve"> municipalities</w:t>
      </w:r>
      <w:r w:rsidRPr="003A377E">
        <w:rPr>
          <w:rFonts w:ascii="Times New Roman" w:eastAsia="Times New Roman" w:hAnsi="Times New Roman" w:cs="Times New Roman"/>
          <w:color w:val="000000"/>
          <w:spacing w:val="6"/>
          <w:sz w:val="24"/>
          <w:szCs w:val="24"/>
          <w:lang w:eastAsia="en-GB"/>
        </w:rPr>
        <w:t xml:space="preserve"> only in inst</w:t>
      </w:r>
      <w:r w:rsidR="000160B0" w:rsidRPr="003A377E">
        <w:rPr>
          <w:rFonts w:ascii="Times New Roman" w:eastAsia="Times New Roman" w:hAnsi="Times New Roman" w:cs="Times New Roman"/>
          <w:color w:val="000000"/>
          <w:spacing w:val="6"/>
          <w:sz w:val="24"/>
          <w:szCs w:val="24"/>
          <w:lang w:eastAsia="en-GB"/>
        </w:rPr>
        <w:t xml:space="preserve">ances where local government is not </w:t>
      </w:r>
      <w:r w:rsidRPr="003A377E">
        <w:rPr>
          <w:rFonts w:ascii="Times New Roman" w:eastAsia="Times New Roman" w:hAnsi="Times New Roman" w:cs="Times New Roman"/>
          <w:color w:val="000000"/>
          <w:spacing w:val="6"/>
          <w:sz w:val="24"/>
          <w:szCs w:val="24"/>
          <w:lang w:eastAsia="en-GB"/>
        </w:rPr>
        <w:t>c</w:t>
      </w:r>
      <w:r w:rsidR="0092600E" w:rsidRPr="003A377E">
        <w:rPr>
          <w:rFonts w:ascii="Times New Roman" w:eastAsia="Times New Roman" w:hAnsi="Times New Roman" w:cs="Times New Roman"/>
          <w:color w:val="000000"/>
          <w:spacing w:val="6"/>
          <w:sz w:val="24"/>
          <w:szCs w:val="24"/>
          <w:lang w:eastAsia="en-GB"/>
        </w:rPr>
        <w:t>apable of performing and that this</w:t>
      </w:r>
      <w:r w:rsidRPr="003A377E">
        <w:rPr>
          <w:rFonts w:ascii="Times New Roman" w:eastAsia="Times New Roman" w:hAnsi="Times New Roman" w:cs="Times New Roman"/>
          <w:color w:val="000000"/>
          <w:spacing w:val="6"/>
          <w:sz w:val="24"/>
          <w:szCs w:val="24"/>
          <w:lang w:eastAsia="en-GB"/>
        </w:rPr>
        <w:t xml:space="preserve"> should </w:t>
      </w:r>
      <w:r w:rsidR="002B6695" w:rsidRPr="003A377E">
        <w:rPr>
          <w:rFonts w:ascii="Times New Roman" w:eastAsia="Times New Roman" w:hAnsi="Times New Roman" w:cs="Times New Roman"/>
          <w:color w:val="000000"/>
          <w:spacing w:val="6"/>
          <w:sz w:val="24"/>
          <w:szCs w:val="24"/>
          <w:lang w:eastAsia="en-GB"/>
        </w:rPr>
        <w:t xml:space="preserve">always </w:t>
      </w:r>
      <w:r w:rsidRPr="003A377E">
        <w:rPr>
          <w:rFonts w:ascii="Times New Roman" w:eastAsia="Times New Roman" w:hAnsi="Times New Roman" w:cs="Times New Roman"/>
          <w:color w:val="000000"/>
          <w:spacing w:val="6"/>
          <w:sz w:val="24"/>
          <w:szCs w:val="24"/>
          <w:lang w:eastAsia="en-GB"/>
        </w:rPr>
        <w:t>happen in consultation with that particular municipality</w:t>
      </w:r>
      <w:r w:rsidR="009B13D4" w:rsidRPr="003A377E">
        <w:rPr>
          <w:rFonts w:ascii="Times New Roman" w:eastAsia="Times New Roman" w:hAnsi="Times New Roman" w:cs="Times New Roman"/>
          <w:color w:val="000000"/>
          <w:spacing w:val="6"/>
          <w:sz w:val="24"/>
          <w:szCs w:val="24"/>
          <w:lang w:eastAsia="en-GB"/>
        </w:rPr>
        <w:t xml:space="preserve"> or province</w:t>
      </w:r>
      <w:r w:rsidRPr="003A377E">
        <w:rPr>
          <w:rFonts w:ascii="Times New Roman" w:eastAsia="Times New Roman" w:hAnsi="Times New Roman" w:cs="Times New Roman"/>
          <w:color w:val="000000"/>
          <w:spacing w:val="6"/>
          <w:sz w:val="24"/>
          <w:szCs w:val="24"/>
          <w:lang w:eastAsia="en-GB"/>
        </w:rPr>
        <w:t xml:space="preserve">. </w:t>
      </w:r>
      <w:r w:rsidR="00303EFF" w:rsidRPr="003A377E">
        <w:rPr>
          <w:rFonts w:ascii="Times New Roman" w:eastAsia="Times New Roman" w:hAnsi="Times New Roman" w:cs="Times New Roman"/>
          <w:color w:val="000000"/>
          <w:spacing w:val="6"/>
          <w:sz w:val="24"/>
          <w:szCs w:val="24"/>
          <w:lang w:eastAsia="en-GB"/>
        </w:rPr>
        <w:t>Moreover, t</w:t>
      </w:r>
      <w:r w:rsidR="0039344D" w:rsidRPr="003A377E">
        <w:rPr>
          <w:rFonts w:ascii="Times New Roman" w:eastAsia="Times New Roman" w:hAnsi="Times New Roman" w:cs="Times New Roman"/>
          <w:color w:val="000000"/>
          <w:spacing w:val="6"/>
          <w:sz w:val="24"/>
          <w:szCs w:val="24"/>
          <w:lang w:eastAsia="en-GB"/>
        </w:rPr>
        <w:t>he C</w:t>
      </w:r>
      <w:r w:rsidR="00303EFF" w:rsidRPr="003A377E">
        <w:rPr>
          <w:rFonts w:ascii="Times New Roman" w:eastAsia="Times New Roman" w:hAnsi="Times New Roman" w:cs="Times New Roman"/>
          <w:color w:val="000000"/>
          <w:spacing w:val="6"/>
          <w:sz w:val="24"/>
          <w:szCs w:val="24"/>
          <w:lang w:eastAsia="en-GB"/>
        </w:rPr>
        <w:t xml:space="preserve">ommittee believes </w:t>
      </w:r>
      <w:r w:rsidR="0039344D" w:rsidRPr="003A377E">
        <w:rPr>
          <w:rFonts w:ascii="Times New Roman" w:eastAsia="Times New Roman" w:hAnsi="Times New Roman" w:cs="Times New Roman"/>
          <w:color w:val="000000"/>
          <w:spacing w:val="6"/>
          <w:sz w:val="24"/>
          <w:szCs w:val="24"/>
          <w:lang w:eastAsia="en-GB"/>
        </w:rPr>
        <w:t>that it is important to</w:t>
      </w:r>
      <w:r w:rsidRPr="003A377E">
        <w:rPr>
          <w:rFonts w:ascii="Times New Roman" w:eastAsia="Times New Roman" w:hAnsi="Times New Roman" w:cs="Times New Roman"/>
          <w:color w:val="000000"/>
          <w:spacing w:val="6"/>
          <w:sz w:val="24"/>
          <w:szCs w:val="24"/>
          <w:lang w:eastAsia="en-GB"/>
        </w:rPr>
        <w:t xml:space="preserve"> </w:t>
      </w:r>
      <w:r w:rsidR="00303EFF" w:rsidRPr="003A377E">
        <w:rPr>
          <w:rFonts w:ascii="Times New Roman" w:eastAsia="Times New Roman" w:hAnsi="Times New Roman" w:cs="Times New Roman"/>
          <w:color w:val="000000"/>
          <w:spacing w:val="6"/>
          <w:sz w:val="24"/>
          <w:szCs w:val="24"/>
          <w:lang w:eastAsia="en-GB"/>
        </w:rPr>
        <w:t xml:space="preserve">improve and </w:t>
      </w:r>
      <w:r w:rsidR="00DF3983" w:rsidRPr="003A377E">
        <w:rPr>
          <w:rFonts w:ascii="Times New Roman" w:eastAsia="Times New Roman" w:hAnsi="Times New Roman" w:cs="Times New Roman"/>
          <w:color w:val="000000"/>
          <w:spacing w:val="6"/>
          <w:sz w:val="24"/>
          <w:szCs w:val="24"/>
          <w:lang w:eastAsia="en-GB"/>
        </w:rPr>
        <w:t xml:space="preserve">strengthen capacity </w:t>
      </w:r>
      <w:r w:rsidR="00EE08F2" w:rsidRPr="003A377E">
        <w:rPr>
          <w:rFonts w:ascii="Times New Roman" w:eastAsia="Times New Roman" w:hAnsi="Times New Roman" w:cs="Times New Roman"/>
          <w:color w:val="000000"/>
          <w:spacing w:val="6"/>
          <w:sz w:val="24"/>
          <w:szCs w:val="24"/>
          <w:lang w:eastAsia="en-GB"/>
        </w:rPr>
        <w:t xml:space="preserve">and </w:t>
      </w:r>
      <w:r w:rsidR="00A726F6" w:rsidRPr="003A377E">
        <w:rPr>
          <w:rFonts w:ascii="Times New Roman" w:eastAsia="Times New Roman" w:hAnsi="Times New Roman" w:cs="Times New Roman"/>
          <w:color w:val="000000"/>
          <w:spacing w:val="6"/>
          <w:sz w:val="24"/>
          <w:szCs w:val="24"/>
          <w:lang w:eastAsia="en-GB"/>
        </w:rPr>
        <w:t xml:space="preserve">to </w:t>
      </w:r>
      <w:r w:rsidR="00EE08F2" w:rsidRPr="003A377E">
        <w:rPr>
          <w:rFonts w:ascii="Times New Roman" w:eastAsia="Times New Roman" w:hAnsi="Times New Roman" w:cs="Times New Roman"/>
          <w:color w:val="000000"/>
          <w:spacing w:val="6"/>
          <w:sz w:val="24"/>
          <w:szCs w:val="24"/>
          <w:lang w:eastAsia="en-GB"/>
        </w:rPr>
        <w:t>support</w:t>
      </w:r>
      <w:r w:rsidR="00A726F6" w:rsidRPr="003A377E">
        <w:rPr>
          <w:rFonts w:ascii="Times New Roman" w:eastAsia="Times New Roman" w:hAnsi="Times New Roman" w:cs="Times New Roman"/>
          <w:color w:val="000000"/>
          <w:spacing w:val="6"/>
          <w:sz w:val="24"/>
          <w:szCs w:val="24"/>
          <w:lang w:eastAsia="en-GB"/>
        </w:rPr>
        <w:t xml:space="preserve"> </w:t>
      </w:r>
      <w:r w:rsidRPr="003A377E">
        <w:rPr>
          <w:rFonts w:ascii="Times New Roman" w:eastAsia="Times New Roman" w:hAnsi="Times New Roman" w:cs="Times New Roman"/>
          <w:color w:val="000000"/>
          <w:spacing w:val="6"/>
          <w:sz w:val="24"/>
          <w:szCs w:val="24"/>
          <w:lang w:eastAsia="en-GB"/>
        </w:rPr>
        <w:t xml:space="preserve">municipalities </w:t>
      </w:r>
      <w:r w:rsidR="00DF3983" w:rsidRPr="003A377E">
        <w:rPr>
          <w:rFonts w:ascii="Times New Roman" w:eastAsia="Times New Roman" w:hAnsi="Times New Roman" w:cs="Times New Roman"/>
          <w:color w:val="000000"/>
          <w:spacing w:val="6"/>
          <w:sz w:val="24"/>
          <w:szCs w:val="24"/>
          <w:lang w:eastAsia="en-GB"/>
        </w:rPr>
        <w:t xml:space="preserve">and provinces </w:t>
      </w:r>
      <w:r w:rsidRPr="003A377E">
        <w:rPr>
          <w:rFonts w:ascii="Times New Roman" w:eastAsia="Times New Roman" w:hAnsi="Times New Roman" w:cs="Times New Roman"/>
          <w:color w:val="000000"/>
          <w:spacing w:val="6"/>
          <w:sz w:val="24"/>
          <w:szCs w:val="24"/>
          <w:lang w:eastAsia="en-GB"/>
        </w:rPr>
        <w:t>with customised inter</w:t>
      </w:r>
      <w:r w:rsidR="00DF3983" w:rsidRPr="003A377E">
        <w:rPr>
          <w:rFonts w:ascii="Times New Roman" w:eastAsia="Times New Roman" w:hAnsi="Times New Roman" w:cs="Times New Roman"/>
          <w:color w:val="000000"/>
          <w:spacing w:val="6"/>
          <w:sz w:val="24"/>
          <w:szCs w:val="24"/>
          <w:lang w:eastAsia="en-GB"/>
        </w:rPr>
        <w:t>vention</w:t>
      </w:r>
      <w:r w:rsidR="00A408BA" w:rsidRPr="003A377E">
        <w:rPr>
          <w:rFonts w:ascii="Times New Roman" w:eastAsia="Times New Roman" w:hAnsi="Times New Roman" w:cs="Times New Roman"/>
          <w:color w:val="000000"/>
          <w:spacing w:val="6"/>
          <w:sz w:val="24"/>
          <w:szCs w:val="24"/>
          <w:lang w:eastAsia="en-GB"/>
        </w:rPr>
        <w:t>s</w:t>
      </w:r>
      <w:r w:rsidR="00DF3983" w:rsidRPr="003A377E">
        <w:rPr>
          <w:rFonts w:ascii="Times New Roman" w:eastAsia="Times New Roman" w:hAnsi="Times New Roman" w:cs="Times New Roman"/>
          <w:color w:val="000000"/>
          <w:spacing w:val="6"/>
          <w:sz w:val="24"/>
          <w:szCs w:val="24"/>
          <w:lang w:eastAsia="en-GB"/>
        </w:rPr>
        <w:t xml:space="preserve"> instead of using </w:t>
      </w:r>
      <w:r w:rsidR="00A726F6" w:rsidRPr="003A377E">
        <w:rPr>
          <w:rFonts w:ascii="Times New Roman" w:eastAsia="Times New Roman" w:hAnsi="Times New Roman" w:cs="Times New Roman"/>
          <w:color w:val="000000"/>
          <w:spacing w:val="6"/>
          <w:sz w:val="24"/>
          <w:szCs w:val="24"/>
          <w:lang w:eastAsia="en-GB"/>
        </w:rPr>
        <w:t xml:space="preserve">a one-size-fits-all </w:t>
      </w:r>
      <w:r w:rsidRPr="003A377E">
        <w:rPr>
          <w:rFonts w:ascii="Times New Roman" w:eastAsia="Times New Roman" w:hAnsi="Times New Roman" w:cs="Times New Roman"/>
          <w:color w:val="000000"/>
          <w:spacing w:val="6"/>
          <w:sz w:val="24"/>
          <w:szCs w:val="24"/>
          <w:lang w:eastAsia="en-GB"/>
        </w:rPr>
        <w:t xml:space="preserve">approach. </w:t>
      </w:r>
      <w:r w:rsidR="002629FD" w:rsidRPr="003A377E">
        <w:rPr>
          <w:rFonts w:ascii="Times New Roman" w:eastAsia="Times New Roman" w:hAnsi="Times New Roman" w:cs="Times New Roman"/>
          <w:color w:val="000000"/>
          <w:spacing w:val="6"/>
          <w:sz w:val="24"/>
          <w:szCs w:val="24"/>
          <w:lang w:eastAsia="en-GB"/>
        </w:rPr>
        <w:t>However, where the national or provincial government finds it necessary, such intervention should be decisive in order to ensure effective and prompt rectification; and consequence management should be implemented where necessary.</w:t>
      </w:r>
    </w:p>
    <w:p w:rsidR="005076FB" w:rsidRPr="003A377E" w:rsidRDefault="005076FB" w:rsidP="006B30A6">
      <w:pPr>
        <w:pStyle w:val="ListParagraph"/>
        <w:spacing w:line="360" w:lineRule="auto"/>
        <w:jc w:val="both"/>
        <w:rPr>
          <w:rFonts w:ascii="Times New Roman" w:eastAsia="Times New Roman" w:hAnsi="Times New Roman" w:cs="Times New Roman"/>
          <w:color w:val="000000"/>
          <w:spacing w:val="6"/>
          <w:sz w:val="24"/>
          <w:szCs w:val="24"/>
          <w:lang w:eastAsia="en-GB"/>
        </w:rPr>
      </w:pPr>
    </w:p>
    <w:p w:rsidR="005076FB" w:rsidRPr="003A377E" w:rsidRDefault="00A25DA1"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The Committee believes that</w:t>
      </w:r>
      <w:r w:rsidR="00484FDF" w:rsidRPr="003A377E">
        <w:rPr>
          <w:rFonts w:ascii="Times New Roman" w:eastAsia="Times New Roman" w:hAnsi="Times New Roman" w:cs="Times New Roman"/>
          <w:color w:val="000000"/>
          <w:spacing w:val="6"/>
          <w:sz w:val="24"/>
          <w:szCs w:val="24"/>
          <w:lang w:eastAsia="en-GB"/>
        </w:rPr>
        <w:t>,</w:t>
      </w:r>
      <w:r w:rsidRPr="003A377E">
        <w:rPr>
          <w:rFonts w:ascii="Times New Roman" w:eastAsia="Times New Roman" w:hAnsi="Times New Roman" w:cs="Times New Roman"/>
          <w:color w:val="000000"/>
          <w:spacing w:val="6"/>
          <w:sz w:val="24"/>
          <w:szCs w:val="24"/>
          <w:lang w:eastAsia="en-GB"/>
        </w:rPr>
        <w:t xml:space="preserve"> in order for</w:t>
      </w:r>
      <w:r w:rsidR="00DD5A22" w:rsidRPr="003A377E">
        <w:rPr>
          <w:rFonts w:ascii="Times New Roman" w:eastAsia="Times New Roman" w:hAnsi="Times New Roman" w:cs="Times New Roman"/>
          <w:color w:val="000000"/>
          <w:spacing w:val="6"/>
          <w:sz w:val="24"/>
          <w:szCs w:val="24"/>
          <w:lang w:eastAsia="en-GB"/>
        </w:rPr>
        <w:t xml:space="preserve"> Salga to succeed</w:t>
      </w:r>
      <w:r w:rsidRPr="003A377E">
        <w:rPr>
          <w:rFonts w:ascii="Times New Roman" w:eastAsia="Times New Roman" w:hAnsi="Times New Roman" w:cs="Times New Roman"/>
          <w:color w:val="000000"/>
          <w:spacing w:val="6"/>
          <w:sz w:val="24"/>
          <w:szCs w:val="24"/>
          <w:lang w:eastAsia="en-GB"/>
        </w:rPr>
        <w:t xml:space="preserve"> </w:t>
      </w:r>
      <w:r w:rsidR="00DD5A22" w:rsidRPr="003A377E">
        <w:rPr>
          <w:rFonts w:ascii="Times New Roman" w:eastAsia="Times New Roman" w:hAnsi="Times New Roman" w:cs="Times New Roman"/>
          <w:color w:val="000000"/>
          <w:spacing w:val="6"/>
          <w:sz w:val="24"/>
          <w:szCs w:val="24"/>
          <w:lang w:eastAsia="en-GB"/>
        </w:rPr>
        <w:t>in</w:t>
      </w:r>
      <w:r w:rsidRPr="003A377E">
        <w:rPr>
          <w:rFonts w:ascii="Times New Roman" w:eastAsia="Times New Roman" w:hAnsi="Times New Roman" w:cs="Times New Roman"/>
          <w:color w:val="000000"/>
          <w:spacing w:val="6"/>
          <w:sz w:val="24"/>
          <w:szCs w:val="24"/>
          <w:lang w:eastAsia="en-GB"/>
        </w:rPr>
        <w:t xml:space="preserve"> </w:t>
      </w:r>
      <w:r w:rsidR="00F15081" w:rsidRPr="003A377E">
        <w:rPr>
          <w:rFonts w:ascii="Times New Roman" w:eastAsia="Times New Roman" w:hAnsi="Times New Roman" w:cs="Times New Roman"/>
          <w:color w:val="000000"/>
          <w:spacing w:val="6"/>
          <w:sz w:val="24"/>
          <w:szCs w:val="24"/>
          <w:lang w:eastAsia="en-GB"/>
        </w:rPr>
        <w:t>implementing its NEC resolutions</w:t>
      </w:r>
      <w:r w:rsidRPr="003A377E">
        <w:rPr>
          <w:rFonts w:ascii="Times New Roman" w:eastAsia="Times New Roman" w:hAnsi="Times New Roman" w:cs="Times New Roman"/>
          <w:color w:val="000000"/>
          <w:spacing w:val="6"/>
          <w:sz w:val="24"/>
          <w:szCs w:val="24"/>
          <w:lang w:eastAsia="en-GB"/>
        </w:rPr>
        <w:t xml:space="preserve"> focusing on extracting </w:t>
      </w:r>
      <w:r w:rsidR="00494B46" w:rsidRPr="003A377E">
        <w:rPr>
          <w:rFonts w:ascii="Times New Roman" w:eastAsia="Times New Roman" w:hAnsi="Times New Roman" w:cs="Times New Roman"/>
          <w:color w:val="000000"/>
          <w:spacing w:val="6"/>
          <w:sz w:val="24"/>
          <w:szCs w:val="24"/>
          <w:lang w:eastAsia="en-GB"/>
        </w:rPr>
        <w:t xml:space="preserve">accountability and ensuring </w:t>
      </w:r>
      <w:r w:rsidRPr="003A377E">
        <w:rPr>
          <w:rFonts w:ascii="Times New Roman" w:eastAsia="Times New Roman" w:hAnsi="Times New Roman" w:cs="Times New Roman"/>
          <w:color w:val="000000"/>
          <w:spacing w:val="6"/>
          <w:sz w:val="24"/>
          <w:szCs w:val="24"/>
          <w:lang w:eastAsia="en-GB"/>
        </w:rPr>
        <w:t xml:space="preserve">consequence management </w:t>
      </w:r>
      <w:r w:rsidR="00AD7418" w:rsidRPr="003A377E">
        <w:rPr>
          <w:rFonts w:ascii="Times New Roman" w:eastAsia="Times New Roman" w:hAnsi="Times New Roman" w:cs="Times New Roman"/>
          <w:color w:val="000000"/>
          <w:spacing w:val="6"/>
          <w:sz w:val="24"/>
          <w:szCs w:val="24"/>
          <w:lang w:eastAsia="en-GB"/>
        </w:rPr>
        <w:t>in municipalities, it</w:t>
      </w:r>
      <w:r w:rsidRPr="003A377E">
        <w:rPr>
          <w:rFonts w:ascii="Times New Roman" w:eastAsia="Times New Roman" w:hAnsi="Times New Roman" w:cs="Times New Roman"/>
          <w:color w:val="000000"/>
          <w:spacing w:val="6"/>
          <w:sz w:val="24"/>
          <w:szCs w:val="24"/>
          <w:lang w:eastAsia="en-GB"/>
        </w:rPr>
        <w:t xml:space="preserve"> </w:t>
      </w:r>
      <w:r w:rsidR="00484FDF" w:rsidRPr="003A377E">
        <w:rPr>
          <w:rFonts w:ascii="Times New Roman" w:eastAsia="Times New Roman" w:hAnsi="Times New Roman" w:cs="Times New Roman"/>
          <w:color w:val="000000"/>
          <w:spacing w:val="6"/>
          <w:sz w:val="24"/>
          <w:szCs w:val="24"/>
          <w:lang w:eastAsia="en-GB"/>
        </w:rPr>
        <w:t>s</w:t>
      </w:r>
      <w:r w:rsidRPr="003A377E">
        <w:rPr>
          <w:rFonts w:ascii="Times New Roman" w:eastAsia="Times New Roman" w:hAnsi="Times New Roman" w:cs="Times New Roman"/>
          <w:color w:val="000000"/>
          <w:spacing w:val="6"/>
          <w:sz w:val="24"/>
          <w:szCs w:val="24"/>
          <w:lang w:eastAsia="en-GB"/>
        </w:rPr>
        <w:t>hould work with various law enforcement agencies whose mandates are le</w:t>
      </w:r>
      <w:r w:rsidR="00923A5A" w:rsidRPr="003A377E">
        <w:rPr>
          <w:rFonts w:ascii="Times New Roman" w:eastAsia="Times New Roman" w:hAnsi="Times New Roman" w:cs="Times New Roman"/>
          <w:color w:val="000000"/>
          <w:spacing w:val="6"/>
          <w:sz w:val="24"/>
          <w:szCs w:val="24"/>
          <w:lang w:eastAsia="en-GB"/>
        </w:rPr>
        <w:t xml:space="preserve">gislated </w:t>
      </w:r>
      <w:r w:rsidR="006D3AD2" w:rsidRPr="003A377E">
        <w:rPr>
          <w:rFonts w:ascii="Times New Roman" w:eastAsia="Times New Roman" w:hAnsi="Times New Roman" w:cs="Times New Roman"/>
          <w:color w:val="000000"/>
          <w:spacing w:val="6"/>
          <w:sz w:val="24"/>
          <w:szCs w:val="24"/>
          <w:lang w:eastAsia="en-GB"/>
        </w:rPr>
        <w:t xml:space="preserve">to enforce </w:t>
      </w:r>
      <w:r w:rsidR="00392512" w:rsidRPr="003A377E">
        <w:rPr>
          <w:rFonts w:ascii="Times New Roman" w:eastAsia="Times New Roman" w:hAnsi="Times New Roman" w:cs="Times New Roman"/>
          <w:color w:val="000000"/>
          <w:spacing w:val="6"/>
          <w:sz w:val="24"/>
          <w:szCs w:val="24"/>
          <w:lang w:eastAsia="en-GB"/>
        </w:rPr>
        <w:t>accountability</w:t>
      </w:r>
      <w:r w:rsidR="00484FDF" w:rsidRPr="003A377E">
        <w:rPr>
          <w:rFonts w:ascii="Times New Roman" w:eastAsia="Times New Roman" w:hAnsi="Times New Roman" w:cs="Times New Roman"/>
          <w:color w:val="000000"/>
          <w:spacing w:val="6"/>
          <w:sz w:val="24"/>
          <w:szCs w:val="24"/>
          <w:lang w:eastAsia="en-GB"/>
        </w:rPr>
        <w:t>,</w:t>
      </w:r>
      <w:r w:rsidR="00392512" w:rsidRPr="003A377E">
        <w:rPr>
          <w:rFonts w:ascii="Times New Roman" w:eastAsia="Times New Roman" w:hAnsi="Times New Roman" w:cs="Times New Roman"/>
          <w:color w:val="000000"/>
          <w:spacing w:val="6"/>
          <w:sz w:val="24"/>
          <w:szCs w:val="24"/>
          <w:lang w:eastAsia="en-GB"/>
        </w:rPr>
        <w:t xml:space="preserve"> </w:t>
      </w:r>
      <w:r w:rsidR="00923A5A" w:rsidRPr="003A377E">
        <w:rPr>
          <w:rFonts w:ascii="Times New Roman" w:eastAsia="Times New Roman" w:hAnsi="Times New Roman" w:cs="Times New Roman"/>
          <w:color w:val="000000"/>
          <w:spacing w:val="6"/>
          <w:sz w:val="24"/>
          <w:szCs w:val="24"/>
          <w:lang w:eastAsia="en-GB"/>
        </w:rPr>
        <w:t>given that its role</w:t>
      </w:r>
      <w:r w:rsidRPr="003A377E">
        <w:rPr>
          <w:rFonts w:ascii="Times New Roman" w:eastAsia="Times New Roman" w:hAnsi="Times New Roman" w:cs="Times New Roman"/>
          <w:color w:val="000000"/>
          <w:spacing w:val="6"/>
          <w:sz w:val="24"/>
          <w:szCs w:val="24"/>
          <w:lang w:eastAsia="en-GB"/>
        </w:rPr>
        <w:t xml:space="preserve"> only </w:t>
      </w:r>
      <w:r w:rsidR="00923A5A" w:rsidRPr="003A377E">
        <w:rPr>
          <w:rFonts w:ascii="Times New Roman" w:eastAsia="Times New Roman" w:hAnsi="Times New Roman" w:cs="Times New Roman"/>
          <w:color w:val="000000"/>
          <w:spacing w:val="6"/>
          <w:sz w:val="24"/>
          <w:szCs w:val="24"/>
          <w:lang w:eastAsia="en-GB"/>
        </w:rPr>
        <w:t>include</w:t>
      </w:r>
      <w:r w:rsidR="00484FDF" w:rsidRPr="003A377E">
        <w:rPr>
          <w:rFonts w:ascii="Times New Roman" w:eastAsia="Times New Roman" w:hAnsi="Times New Roman" w:cs="Times New Roman"/>
          <w:color w:val="000000"/>
          <w:spacing w:val="6"/>
          <w:sz w:val="24"/>
          <w:szCs w:val="24"/>
          <w:lang w:eastAsia="en-GB"/>
        </w:rPr>
        <w:t>s</w:t>
      </w:r>
      <w:r w:rsidR="00923A5A" w:rsidRPr="003A377E">
        <w:rPr>
          <w:rFonts w:ascii="Times New Roman" w:eastAsia="Times New Roman" w:hAnsi="Times New Roman" w:cs="Times New Roman"/>
          <w:color w:val="000000"/>
          <w:spacing w:val="6"/>
          <w:sz w:val="24"/>
          <w:szCs w:val="24"/>
          <w:lang w:eastAsia="en-GB"/>
        </w:rPr>
        <w:t xml:space="preserve"> </w:t>
      </w:r>
      <w:r w:rsidRPr="003A377E">
        <w:rPr>
          <w:rFonts w:ascii="Times New Roman" w:eastAsia="Times New Roman" w:hAnsi="Times New Roman" w:cs="Times New Roman"/>
          <w:color w:val="000000"/>
          <w:spacing w:val="6"/>
          <w:sz w:val="24"/>
          <w:szCs w:val="24"/>
          <w:lang w:eastAsia="en-GB"/>
        </w:rPr>
        <w:t>lobbying, advocacy and skills development.</w:t>
      </w:r>
    </w:p>
    <w:p w:rsidR="005076FB" w:rsidRPr="003A377E" w:rsidRDefault="005076FB" w:rsidP="006B30A6">
      <w:pPr>
        <w:pStyle w:val="ListParagraph"/>
        <w:spacing w:line="360" w:lineRule="auto"/>
        <w:jc w:val="both"/>
        <w:rPr>
          <w:rFonts w:ascii="Times New Roman" w:eastAsia="Times New Roman" w:hAnsi="Times New Roman" w:cs="Times New Roman"/>
          <w:color w:val="000000"/>
          <w:spacing w:val="6"/>
          <w:sz w:val="24"/>
          <w:szCs w:val="24"/>
          <w:lang w:val="en-GB" w:eastAsia="en-GB"/>
        </w:rPr>
      </w:pPr>
    </w:p>
    <w:p w:rsidR="005076FB" w:rsidRPr="003A377E" w:rsidRDefault="00892A24"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The</w:t>
      </w:r>
      <w:r w:rsidR="00A25DA1" w:rsidRPr="003A377E">
        <w:rPr>
          <w:rFonts w:ascii="Times New Roman" w:eastAsia="Times New Roman" w:hAnsi="Times New Roman" w:cs="Times New Roman"/>
          <w:color w:val="000000"/>
          <w:spacing w:val="6"/>
          <w:sz w:val="24"/>
          <w:szCs w:val="24"/>
          <w:lang w:val="en-GB" w:eastAsia="en-GB"/>
        </w:rPr>
        <w:t xml:space="preserve"> National Treasury and provincial treasuries sho</w:t>
      </w:r>
      <w:r w:rsidR="00484FDF" w:rsidRPr="003A377E">
        <w:rPr>
          <w:rFonts w:ascii="Times New Roman" w:eastAsia="Times New Roman" w:hAnsi="Times New Roman" w:cs="Times New Roman"/>
          <w:color w:val="000000"/>
          <w:spacing w:val="6"/>
          <w:sz w:val="24"/>
          <w:szCs w:val="24"/>
          <w:lang w:val="en-GB" w:eastAsia="en-GB"/>
        </w:rPr>
        <w:t xml:space="preserve">uld ensure that funds lost due to </w:t>
      </w:r>
      <w:r w:rsidR="00A25DA1" w:rsidRPr="003A377E">
        <w:rPr>
          <w:rFonts w:ascii="Times New Roman" w:eastAsia="Times New Roman" w:hAnsi="Times New Roman" w:cs="Times New Roman"/>
          <w:color w:val="000000"/>
          <w:spacing w:val="6"/>
          <w:sz w:val="24"/>
          <w:szCs w:val="24"/>
          <w:lang w:val="en-GB" w:eastAsia="en-GB"/>
        </w:rPr>
        <w:t xml:space="preserve">corruption, maladministration and wasteful </w:t>
      </w:r>
      <w:r w:rsidR="00B05154" w:rsidRPr="003A377E">
        <w:rPr>
          <w:rFonts w:ascii="Times New Roman" w:eastAsia="Times New Roman" w:hAnsi="Times New Roman" w:cs="Times New Roman"/>
          <w:color w:val="000000"/>
          <w:spacing w:val="6"/>
          <w:sz w:val="24"/>
          <w:szCs w:val="24"/>
          <w:lang w:val="en-GB" w:eastAsia="en-GB"/>
        </w:rPr>
        <w:t xml:space="preserve">expenditure </w:t>
      </w:r>
      <w:r w:rsidR="00A25DA1" w:rsidRPr="003A377E">
        <w:rPr>
          <w:rFonts w:ascii="Times New Roman" w:eastAsia="Times New Roman" w:hAnsi="Times New Roman" w:cs="Times New Roman"/>
          <w:color w:val="000000"/>
          <w:spacing w:val="6"/>
          <w:sz w:val="24"/>
          <w:szCs w:val="24"/>
          <w:lang w:val="en-GB" w:eastAsia="en-GB"/>
        </w:rPr>
        <w:t xml:space="preserve">are </w:t>
      </w:r>
      <w:r w:rsidR="009642E0" w:rsidRPr="003A377E">
        <w:rPr>
          <w:rFonts w:ascii="Times New Roman" w:eastAsia="Times New Roman" w:hAnsi="Times New Roman" w:cs="Times New Roman"/>
          <w:color w:val="000000"/>
          <w:spacing w:val="6"/>
          <w:sz w:val="24"/>
          <w:szCs w:val="24"/>
          <w:lang w:val="en-GB" w:eastAsia="en-GB"/>
        </w:rPr>
        <w:t>recovered and paid back to the S</w:t>
      </w:r>
      <w:r w:rsidR="00A25DA1" w:rsidRPr="003A377E">
        <w:rPr>
          <w:rFonts w:ascii="Times New Roman" w:eastAsia="Times New Roman" w:hAnsi="Times New Roman" w:cs="Times New Roman"/>
          <w:color w:val="000000"/>
          <w:spacing w:val="6"/>
          <w:sz w:val="24"/>
          <w:szCs w:val="24"/>
          <w:lang w:val="en-GB" w:eastAsia="en-GB"/>
        </w:rPr>
        <w:t>tate to improve service delivery. The Committee is of the view that provincial departments as well as municipalities need to ensure that Audit Improvement Plans, which are part of t</w:t>
      </w:r>
      <w:r w:rsidR="00F2374D" w:rsidRPr="003A377E">
        <w:rPr>
          <w:rFonts w:ascii="Times New Roman" w:eastAsia="Times New Roman" w:hAnsi="Times New Roman" w:cs="Times New Roman"/>
          <w:color w:val="000000"/>
          <w:spacing w:val="6"/>
          <w:sz w:val="24"/>
          <w:szCs w:val="24"/>
          <w:lang w:val="en-GB" w:eastAsia="en-GB"/>
        </w:rPr>
        <w:t>heir approved annual</w:t>
      </w:r>
      <w:r w:rsidR="00A25DA1" w:rsidRPr="003A377E">
        <w:rPr>
          <w:rFonts w:ascii="Times New Roman" w:eastAsia="Times New Roman" w:hAnsi="Times New Roman" w:cs="Times New Roman"/>
          <w:color w:val="000000"/>
          <w:spacing w:val="6"/>
          <w:sz w:val="24"/>
          <w:szCs w:val="24"/>
          <w:lang w:val="en-GB" w:eastAsia="en-GB"/>
        </w:rPr>
        <w:t xml:space="preserve"> plans</w:t>
      </w:r>
      <w:r w:rsidR="00484FDF" w:rsidRPr="003A377E">
        <w:rPr>
          <w:rFonts w:ascii="Times New Roman" w:eastAsia="Times New Roman" w:hAnsi="Times New Roman" w:cs="Times New Roman"/>
          <w:color w:val="000000"/>
          <w:spacing w:val="6"/>
          <w:sz w:val="24"/>
          <w:szCs w:val="24"/>
          <w:lang w:val="en-GB" w:eastAsia="en-GB"/>
        </w:rPr>
        <w:t>,</w:t>
      </w:r>
      <w:r w:rsidR="00A25DA1" w:rsidRPr="003A377E">
        <w:rPr>
          <w:rFonts w:ascii="Times New Roman" w:eastAsia="Times New Roman" w:hAnsi="Times New Roman" w:cs="Times New Roman"/>
          <w:color w:val="000000"/>
          <w:spacing w:val="6"/>
          <w:sz w:val="24"/>
          <w:szCs w:val="24"/>
          <w:lang w:val="en-GB" w:eastAsia="en-GB"/>
        </w:rPr>
        <w:t xml:space="preserve"> are </w:t>
      </w:r>
      <w:r w:rsidR="00A25DA1" w:rsidRPr="003A377E">
        <w:rPr>
          <w:rFonts w:ascii="Times New Roman" w:eastAsia="Times New Roman" w:hAnsi="Times New Roman" w:cs="Times New Roman"/>
          <w:color w:val="000000"/>
          <w:spacing w:val="6"/>
          <w:sz w:val="24"/>
          <w:szCs w:val="24"/>
          <w:lang w:val="en-GB" w:eastAsia="en-GB"/>
        </w:rPr>
        <w:lastRenderedPageBreak/>
        <w:t>implemented to address wastage of resources and many ot</w:t>
      </w:r>
      <w:r w:rsidR="00484FDF" w:rsidRPr="003A377E">
        <w:rPr>
          <w:rFonts w:ascii="Times New Roman" w:eastAsia="Times New Roman" w:hAnsi="Times New Roman" w:cs="Times New Roman"/>
          <w:color w:val="000000"/>
          <w:spacing w:val="6"/>
          <w:sz w:val="24"/>
          <w:szCs w:val="24"/>
          <w:lang w:val="en-GB" w:eastAsia="en-GB"/>
        </w:rPr>
        <w:t>her issues raised by the Auditor-</w:t>
      </w:r>
      <w:r w:rsidR="00A25DA1" w:rsidRPr="003A377E">
        <w:rPr>
          <w:rFonts w:ascii="Times New Roman" w:eastAsia="Times New Roman" w:hAnsi="Times New Roman" w:cs="Times New Roman"/>
          <w:color w:val="000000"/>
          <w:spacing w:val="6"/>
          <w:sz w:val="24"/>
          <w:szCs w:val="24"/>
          <w:lang w:val="en-GB" w:eastAsia="en-GB"/>
        </w:rPr>
        <w:t>Genera</w:t>
      </w:r>
      <w:r w:rsidR="00671B0C" w:rsidRPr="003A377E">
        <w:rPr>
          <w:rFonts w:ascii="Times New Roman" w:eastAsia="Times New Roman" w:hAnsi="Times New Roman" w:cs="Times New Roman"/>
          <w:color w:val="000000"/>
          <w:spacing w:val="6"/>
          <w:sz w:val="24"/>
          <w:szCs w:val="24"/>
          <w:lang w:val="en-GB" w:eastAsia="en-GB"/>
        </w:rPr>
        <w:t xml:space="preserve">l </w:t>
      </w:r>
      <w:r w:rsidR="00484FDF" w:rsidRPr="003A377E">
        <w:rPr>
          <w:rFonts w:ascii="Times New Roman" w:eastAsia="Times New Roman" w:hAnsi="Times New Roman" w:cs="Times New Roman"/>
          <w:color w:val="000000"/>
          <w:spacing w:val="6"/>
          <w:sz w:val="24"/>
          <w:szCs w:val="24"/>
          <w:lang w:val="en-GB" w:eastAsia="en-GB"/>
        </w:rPr>
        <w:t xml:space="preserve">of South Africa </w:t>
      </w:r>
      <w:r w:rsidR="00671B0C" w:rsidRPr="003A377E">
        <w:rPr>
          <w:rFonts w:ascii="Times New Roman" w:eastAsia="Times New Roman" w:hAnsi="Times New Roman" w:cs="Times New Roman"/>
          <w:color w:val="000000"/>
          <w:spacing w:val="6"/>
          <w:sz w:val="24"/>
          <w:szCs w:val="24"/>
          <w:lang w:val="en-GB" w:eastAsia="en-GB"/>
        </w:rPr>
        <w:t>and other</w:t>
      </w:r>
      <w:r w:rsidR="007C69E4" w:rsidRPr="003A377E">
        <w:rPr>
          <w:rFonts w:ascii="Times New Roman" w:eastAsia="Times New Roman" w:hAnsi="Times New Roman" w:cs="Times New Roman"/>
          <w:color w:val="000000"/>
          <w:spacing w:val="6"/>
          <w:sz w:val="24"/>
          <w:szCs w:val="24"/>
          <w:lang w:val="en-GB" w:eastAsia="en-GB"/>
        </w:rPr>
        <w:t xml:space="preserve"> bodies</w:t>
      </w:r>
      <w:r w:rsidR="00A25DA1" w:rsidRPr="003A377E">
        <w:rPr>
          <w:rFonts w:ascii="Times New Roman" w:eastAsia="Times New Roman" w:hAnsi="Times New Roman" w:cs="Times New Roman"/>
          <w:color w:val="000000"/>
          <w:spacing w:val="6"/>
          <w:sz w:val="24"/>
          <w:szCs w:val="24"/>
          <w:lang w:val="en-GB" w:eastAsia="en-GB"/>
        </w:rPr>
        <w:t>.</w:t>
      </w:r>
      <w:r w:rsidR="007C69E4" w:rsidRPr="003A377E">
        <w:rPr>
          <w:rFonts w:ascii="Times New Roman" w:eastAsia="Times New Roman" w:hAnsi="Times New Roman" w:cs="Times New Roman"/>
          <w:color w:val="000000"/>
          <w:spacing w:val="6"/>
          <w:sz w:val="24"/>
          <w:szCs w:val="24"/>
          <w:lang w:val="en-GB" w:eastAsia="en-GB"/>
        </w:rPr>
        <w:t xml:space="preserve"> </w:t>
      </w:r>
      <w:r w:rsidR="00671B0C" w:rsidRPr="003A377E">
        <w:rPr>
          <w:rFonts w:ascii="Times New Roman" w:eastAsia="Times New Roman" w:hAnsi="Times New Roman" w:cs="Times New Roman"/>
          <w:color w:val="000000"/>
          <w:spacing w:val="6"/>
          <w:sz w:val="24"/>
          <w:szCs w:val="24"/>
          <w:lang w:val="en-GB" w:eastAsia="en-GB"/>
        </w:rPr>
        <w:t xml:space="preserve"> </w:t>
      </w:r>
    </w:p>
    <w:p w:rsidR="005076FB" w:rsidRPr="003A377E" w:rsidRDefault="005076FB" w:rsidP="006B30A6">
      <w:pPr>
        <w:pStyle w:val="ListParagraph"/>
        <w:spacing w:line="360" w:lineRule="auto"/>
        <w:jc w:val="both"/>
        <w:rPr>
          <w:rFonts w:ascii="Times New Roman" w:eastAsia="Times New Roman" w:hAnsi="Times New Roman" w:cs="Times New Roman"/>
          <w:color w:val="000000"/>
          <w:spacing w:val="6"/>
          <w:sz w:val="24"/>
          <w:szCs w:val="24"/>
          <w:lang w:eastAsia="en-GB"/>
        </w:rPr>
      </w:pPr>
    </w:p>
    <w:p w:rsidR="005076FB" w:rsidRPr="003A377E" w:rsidRDefault="00892A24"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T</w:t>
      </w:r>
      <w:r w:rsidR="00724EE0" w:rsidRPr="003A377E">
        <w:rPr>
          <w:rFonts w:ascii="Times New Roman" w:eastAsia="Times New Roman" w:hAnsi="Times New Roman" w:cs="Times New Roman"/>
          <w:color w:val="000000"/>
          <w:spacing w:val="6"/>
          <w:sz w:val="24"/>
          <w:szCs w:val="24"/>
          <w:lang w:eastAsia="en-GB"/>
        </w:rPr>
        <w:t xml:space="preserve">he Minister </w:t>
      </w:r>
      <w:r w:rsidR="00A25DA1" w:rsidRPr="003A377E">
        <w:rPr>
          <w:rFonts w:ascii="Times New Roman" w:eastAsia="Times New Roman" w:hAnsi="Times New Roman" w:cs="Times New Roman"/>
          <w:color w:val="000000"/>
          <w:spacing w:val="6"/>
          <w:sz w:val="24"/>
          <w:szCs w:val="24"/>
          <w:lang w:eastAsia="en-GB"/>
        </w:rPr>
        <w:t>of Health should ensure that conditional grants are utilised t</w:t>
      </w:r>
      <w:r w:rsidR="0091572D" w:rsidRPr="003A377E">
        <w:rPr>
          <w:rFonts w:ascii="Times New Roman" w:eastAsia="Times New Roman" w:hAnsi="Times New Roman" w:cs="Times New Roman"/>
          <w:color w:val="000000"/>
          <w:spacing w:val="6"/>
          <w:sz w:val="24"/>
          <w:szCs w:val="24"/>
          <w:lang w:eastAsia="en-GB"/>
        </w:rPr>
        <w:t>o strengthen service delivery and</w:t>
      </w:r>
      <w:r w:rsidR="007C69E4" w:rsidRPr="003A377E">
        <w:rPr>
          <w:rFonts w:ascii="Times New Roman" w:eastAsia="Times New Roman" w:hAnsi="Times New Roman" w:cs="Times New Roman"/>
          <w:color w:val="000000"/>
          <w:spacing w:val="6"/>
          <w:sz w:val="24"/>
          <w:szCs w:val="24"/>
          <w:lang w:eastAsia="en-GB"/>
        </w:rPr>
        <w:t xml:space="preserve"> hospital</w:t>
      </w:r>
      <w:r w:rsidR="00A25DA1" w:rsidRPr="003A377E">
        <w:rPr>
          <w:rFonts w:ascii="Times New Roman" w:eastAsia="Times New Roman" w:hAnsi="Times New Roman" w:cs="Times New Roman"/>
          <w:color w:val="000000"/>
          <w:spacing w:val="6"/>
          <w:sz w:val="24"/>
          <w:szCs w:val="24"/>
          <w:lang w:eastAsia="en-GB"/>
        </w:rPr>
        <w:t xml:space="preserve"> infrastructure</w:t>
      </w:r>
      <w:r w:rsidR="0091572D" w:rsidRPr="003A377E">
        <w:rPr>
          <w:rFonts w:ascii="Times New Roman" w:eastAsia="Times New Roman" w:hAnsi="Times New Roman" w:cs="Times New Roman"/>
          <w:color w:val="000000"/>
          <w:spacing w:val="6"/>
          <w:sz w:val="24"/>
          <w:szCs w:val="24"/>
          <w:lang w:eastAsia="en-GB"/>
        </w:rPr>
        <w:t>. Moreover</w:t>
      </w:r>
      <w:r w:rsidR="00EC666D" w:rsidRPr="003A377E">
        <w:rPr>
          <w:rFonts w:ascii="Times New Roman" w:eastAsia="Times New Roman" w:hAnsi="Times New Roman" w:cs="Times New Roman"/>
          <w:color w:val="000000"/>
          <w:spacing w:val="6"/>
          <w:sz w:val="24"/>
          <w:szCs w:val="24"/>
          <w:lang w:eastAsia="en-GB"/>
        </w:rPr>
        <w:t>,</w:t>
      </w:r>
      <w:r w:rsidR="007C69E4" w:rsidRPr="003A377E">
        <w:rPr>
          <w:rFonts w:ascii="Times New Roman" w:eastAsia="Times New Roman" w:hAnsi="Times New Roman" w:cs="Times New Roman"/>
          <w:color w:val="000000"/>
          <w:spacing w:val="6"/>
          <w:sz w:val="24"/>
          <w:szCs w:val="24"/>
          <w:lang w:eastAsia="en-GB"/>
        </w:rPr>
        <w:t xml:space="preserve"> </w:t>
      </w:r>
      <w:r w:rsidR="00A25DA1" w:rsidRPr="003A377E">
        <w:rPr>
          <w:rFonts w:ascii="Times New Roman" w:eastAsia="Times New Roman" w:hAnsi="Times New Roman" w:cs="Times New Roman"/>
          <w:color w:val="000000"/>
          <w:spacing w:val="6"/>
          <w:sz w:val="24"/>
          <w:szCs w:val="24"/>
          <w:lang w:eastAsia="en-GB"/>
        </w:rPr>
        <w:t>the</w:t>
      </w:r>
      <w:r w:rsidR="0091572D" w:rsidRPr="003A377E">
        <w:rPr>
          <w:rFonts w:ascii="Times New Roman" w:eastAsia="Times New Roman" w:hAnsi="Times New Roman" w:cs="Times New Roman"/>
          <w:color w:val="000000"/>
          <w:spacing w:val="6"/>
          <w:sz w:val="24"/>
          <w:szCs w:val="24"/>
          <w:lang w:eastAsia="en-GB"/>
        </w:rPr>
        <w:t>re is an</w:t>
      </w:r>
      <w:r w:rsidR="00A25DA1" w:rsidRPr="003A377E">
        <w:rPr>
          <w:rFonts w:ascii="Times New Roman" w:eastAsia="Times New Roman" w:hAnsi="Times New Roman" w:cs="Times New Roman"/>
          <w:color w:val="000000"/>
          <w:spacing w:val="6"/>
          <w:sz w:val="24"/>
          <w:szCs w:val="24"/>
          <w:lang w:eastAsia="en-GB"/>
        </w:rPr>
        <w:t xml:space="preserve"> </w:t>
      </w:r>
      <w:r w:rsidR="006127B9" w:rsidRPr="003A377E">
        <w:rPr>
          <w:rFonts w:ascii="Times New Roman" w:eastAsia="Times New Roman" w:hAnsi="Times New Roman" w:cs="Times New Roman"/>
          <w:color w:val="000000"/>
          <w:spacing w:val="6"/>
          <w:sz w:val="24"/>
          <w:szCs w:val="24"/>
          <w:lang w:eastAsia="en-GB"/>
        </w:rPr>
        <w:t xml:space="preserve">urgent </w:t>
      </w:r>
      <w:r w:rsidR="00A25DA1" w:rsidRPr="003A377E">
        <w:rPr>
          <w:rFonts w:ascii="Times New Roman" w:eastAsia="Times New Roman" w:hAnsi="Times New Roman" w:cs="Times New Roman"/>
          <w:color w:val="000000"/>
          <w:spacing w:val="6"/>
          <w:sz w:val="24"/>
          <w:szCs w:val="24"/>
          <w:lang w:eastAsia="en-GB"/>
        </w:rPr>
        <w:t>need to address the current situation where government</w:t>
      </w:r>
      <w:r w:rsidR="00EC666D" w:rsidRPr="003A377E">
        <w:rPr>
          <w:rFonts w:ascii="Times New Roman" w:eastAsia="Times New Roman" w:hAnsi="Times New Roman" w:cs="Times New Roman"/>
          <w:color w:val="000000"/>
          <w:spacing w:val="6"/>
          <w:sz w:val="24"/>
          <w:szCs w:val="24"/>
          <w:lang w:eastAsia="en-GB"/>
        </w:rPr>
        <w:t xml:space="preserve"> is unable to </w:t>
      </w:r>
      <w:r w:rsidR="00A25DA1" w:rsidRPr="003A377E">
        <w:rPr>
          <w:rFonts w:ascii="Times New Roman" w:eastAsia="Times New Roman" w:hAnsi="Times New Roman" w:cs="Times New Roman"/>
          <w:color w:val="000000"/>
          <w:spacing w:val="6"/>
          <w:sz w:val="24"/>
          <w:szCs w:val="24"/>
          <w:lang w:eastAsia="en-GB"/>
        </w:rPr>
        <w:t>empl</w:t>
      </w:r>
      <w:r w:rsidR="00A82CAE" w:rsidRPr="003A377E">
        <w:rPr>
          <w:rFonts w:ascii="Times New Roman" w:eastAsia="Times New Roman" w:hAnsi="Times New Roman" w:cs="Times New Roman"/>
          <w:color w:val="000000"/>
          <w:spacing w:val="6"/>
          <w:sz w:val="24"/>
          <w:szCs w:val="24"/>
          <w:lang w:eastAsia="en-GB"/>
        </w:rPr>
        <w:t>oy doctors and nurses due to</w:t>
      </w:r>
      <w:r w:rsidR="00A25DA1" w:rsidRPr="003A377E">
        <w:rPr>
          <w:rFonts w:ascii="Times New Roman" w:eastAsia="Times New Roman" w:hAnsi="Times New Roman" w:cs="Times New Roman"/>
          <w:color w:val="000000"/>
          <w:spacing w:val="6"/>
          <w:sz w:val="24"/>
          <w:szCs w:val="24"/>
          <w:lang w:eastAsia="en-GB"/>
        </w:rPr>
        <w:t xml:space="preserve"> </w:t>
      </w:r>
      <w:r w:rsidR="00EC666D" w:rsidRPr="003A377E">
        <w:rPr>
          <w:rFonts w:ascii="Times New Roman" w:eastAsia="Times New Roman" w:hAnsi="Times New Roman" w:cs="Times New Roman"/>
          <w:color w:val="000000"/>
          <w:spacing w:val="6"/>
          <w:sz w:val="24"/>
          <w:szCs w:val="24"/>
          <w:lang w:eastAsia="en-GB"/>
        </w:rPr>
        <w:t xml:space="preserve">a </w:t>
      </w:r>
      <w:r w:rsidR="00A25DA1" w:rsidRPr="003A377E">
        <w:rPr>
          <w:rFonts w:ascii="Times New Roman" w:eastAsia="Times New Roman" w:hAnsi="Times New Roman" w:cs="Times New Roman"/>
          <w:color w:val="000000"/>
          <w:spacing w:val="6"/>
          <w:sz w:val="24"/>
          <w:szCs w:val="24"/>
          <w:lang w:eastAsia="en-GB"/>
        </w:rPr>
        <w:t xml:space="preserve">lack of funds. The </w:t>
      </w:r>
      <w:r w:rsidR="002C7277" w:rsidRPr="003A377E">
        <w:rPr>
          <w:rFonts w:ascii="Times New Roman" w:eastAsia="Times New Roman" w:hAnsi="Times New Roman" w:cs="Times New Roman"/>
          <w:color w:val="000000"/>
          <w:spacing w:val="6"/>
          <w:sz w:val="24"/>
          <w:szCs w:val="24"/>
          <w:lang w:eastAsia="en-GB"/>
        </w:rPr>
        <w:t xml:space="preserve">Committee is of the view that the </w:t>
      </w:r>
      <w:r w:rsidR="00EC666D" w:rsidRPr="003A377E">
        <w:rPr>
          <w:rFonts w:ascii="Times New Roman" w:eastAsia="Times New Roman" w:hAnsi="Times New Roman" w:cs="Times New Roman"/>
          <w:color w:val="000000"/>
          <w:spacing w:val="6"/>
          <w:sz w:val="24"/>
          <w:szCs w:val="24"/>
          <w:lang w:eastAsia="en-GB"/>
        </w:rPr>
        <w:t>post-COVID-</w:t>
      </w:r>
      <w:r w:rsidR="00A25DA1" w:rsidRPr="003A377E">
        <w:rPr>
          <w:rFonts w:ascii="Times New Roman" w:eastAsia="Times New Roman" w:hAnsi="Times New Roman" w:cs="Times New Roman"/>
          <w:color w:val="000000"/>
          <w:spacing w:val="6"/>
          <w:sz w:val="24"/>
          <w:szCs w:val="24"/>
          <w:lang w:eastAsia="en-GB"/>
        </w:rPr>
        <w:t>19</w:t>
      </w:r>
      <w:r w:rsidR="00CB05D1" w:rsidRPr="003A377E">
        <w:rPr>
          <w:rFonts w:ascii="Times New Roman" w:eastAsia="Times New Roman" w:hAnsi="Times New Roman" w:cs="Times New Roman"/>
          <w:color w:val="000000"/>
          <w:spacing w:val="6"/>
          <w:sz w:val="24"/>
          <w:szCs w:val="24"/>
          <w:lang w:eastAsia="en-GB"/>
        </w:rPr>
        <w:t xml:space="preserve"> recovery programme should </w:t>
      </w:r>
      <w:r w:rsidR="00A25DA1" w:rsidRPr="003A377E">
        <w:rPr>
          <w:rFonts w:ascii="Times New Roman" w:eastAsia="Times New Roman" w:hAnsi="Times New Roman" w:cs="Times New Roman"/>
          <w:color w:val="000000"/>
          <w:spacing w:val="6"/>
          <w:sz w:val="24"/>
          <w:szCs w:val="24"/>
          <w:lang w:eastAsia="en-GB"/>
        </w:rPr>
        <w:t xml:space="preserve">include the strengthening of primary health care through utilising community health care workers. The Committee </w:t>
      </w:r>
      <w:r w:rsidR="007A580A" w:rsidRPr="003A377E">
        <w:rPr>
          <w:rFonts w:ascii="Times New Roman" w:eastAsia="Times New Roman" w:hAnsi="Times New Roman" w:cs="Times New Roman"/>
          <w:color w:val="000000"/>
          <w:spacing w:val="6"/>
          <w:sz w:val="24"/>
          <w:szCs w:val="24"/>
          <w:lang w:eastAsia="en-GB"/>
        </w:rPr>
        <w:t>believes that</w:t>
      </w:r>
      <w:r w:rsidR="00376FDB" w:rsidRPr="003A377E">
        <w:rPr>
          <w:rFonts w:ascii="Times New Roman" w:eastAsia="Times New Roman" w:hAnsi="Times New Roman" w:cs="Times New Roman"/>
          <w:color w:val="000000"/>
          <w:spacing w:val="6"/>
          <w:sz w:val="24"/>
          <w:szCs w:val="24"/>
          <w:lang w:eastAsia="en-GB"/>
        </w:rPr>
        <w:t xml:space="preserve"> the state</w:t>
      </w:r>
      <w:r w:rsidR="00A25DA1" w:rsidRPr="003A377E">
        <w:rPr>
          <w:rFonts w:ascii="Times New Roman" w:eastAsia="Times New Roman" w:hAnsi="Times New Roman" w:cs="Times New Roman"/>
          <w:color w:val="000000"/>
          <w:spacing w:val="6"/>
          <w:sz w:val="24"/>
          <w:szCs w:val="24"/>
          <w:lang w:eastAsia="en-GB"/>
        </w:rPr>
        <w:t xml:space="preserve"> of health infrastructure maintenance in </w:t>
      </w:r>
      <w:r w:rsidR="009A6E06" w:rsidRPr="003A377E">
        <w:rPr>
          <w:rFonts w:ascii="Times New Roman" w:eastAsia="Times New Roman" w:hAnsi="Times New Roman" w:cs="Times New Roman"/>
          <w:color w:val="000000"/>
          <w:spacing w:val="6"/>
          <w:sz w:val="24"/>
          <w:szCs w:val="24"/>
          <w:lang w:eastAsia="en-GB"/>
        </w:rPr>
        <w:t>some provinces</w:t>
      </w:r>
      <w:r w:rsidR="00A25DA1" w:rsidRPr="003A377E">
        <w:rPr>
          <w:rFonts w:ascii="Times New Roman" w:eastAsia="Times New Roman" w:hAnsi="Times New Roman" w:cs="Times New Roman"/>
          <w:color w:val="000000"/>
          <w:spacing w:val="6"/>
          <w:sz w:val="24"/>
          <w:szCs w:val="24"/>
          <w:lang w:eastAsia="en-GB"/>
        </w:rPr>
        <w:t xml:space="preserve"> is worrisome and </w:t>
      </w:r>
      <w:r w:rsidR="004E01CD" w:rsidRPr="003A377E">
        <w:rPr>
          <w:rFonts w:ascii="Times New Roman" w:eastAsia="Times New Roman" w:hAnsi="Times New Roman" w:cs="Times New Roman"/>
          <w:color w:val="000000"/>
          <w:spacing w:val="6"/>
          <w:sz w:val="24"/>
          <w:szCs w:val="24"/>
          <w:lang w:eastAsia="en-GB"/>
        </w:rPr>
        <w:t>require</w:t>
      </w:r>
      <w:r w:rsidR="00376FDB" w:rsidRPr="003A377E">
        <w:rPr>
          <w:rFonts w:ascii="Times New Roman" w:eastAsia="Times New Roman" w:hAnsi="Times New Roman" w:cs="Times New Roman"/>
          <w:color w:val="000000"/>
          <w:spacing w:val="6"/>
          <w:sz w:val="24"/>
          <w:szCs w:val="24"/>
          <w:lang w:eastAsia="en-GB"/>
        </w:rPr>
        <w:t>s</w:t>
      </w:r>
      <w:r w:rsidR="004E01CD" w:rsidRPr="003A377E">
        <w:rPr>
          <w:rFonts w:ascii="Times New Roman" w:eastAsia="Times New Roman" w:hAnsi="Times New Roman" w:cs="Times New Roman"/>
          <w:color w:val="000000"/>
          <w:spacing w:val="6"/>
          <w:sz w:val="24"/>
          <w:szCs w:val="24"/>
          <w:lang w:eastAsia="en-GB"/>
        </w:rPr>
        <w:t xml:space="preserve"> urgent attention</w:t>
      </w:r>
      <w:r w:rsidR="00A25DA1" w:rsidRPr="003A377E">
        <w:rPr>
          <w:rFonts w:ascii="Times New Roman" w:eastAsia="Times New Roman" w:hAnsi="Times New Roman" w:cs="Times New Roman"/>
          <w:color w:val="000000"/>
          <w:spacing w:val="6"/>
          <w:sz w:val="24"/>
          <w:szCs w:val="24"/>
          <w:lang w:eastAsia="en-GB"/>
        </w:rPr>
        <w:t>.</w:t>
      </w:r>
      <w:r w:rsidR="00376FDB" w:rsidRPr="003A377E">
        <w:rPr>
          <w:rFonts w:ascii="Times New Roman" w:eastAsia="Times New Roman" w:hAnsi="Times New Roman" w:cs="Times New Roman"/>
          <w:color w:val="000000"/>
          <w:spacing w:val="6"/>
          <w:sz w:val="24"/>
          <w:szCs w:val="24"/>
          <w:lang w:eastAsia="en-GB"/>
        </w:rPr>
        <w:t xml:space="preserve"> </w:t>
      </w:r>
      <w:r w:rsidR="00A25DA1" w:rsidRPr="003A377E">
        <w:rPr>
          <w:rFonts w:ascii="Times New Roman" w:eastAsia="Times New Roman" w:hAnsi="Times New Roman" w:cs="Times New Roman"/>
          <w:color w:val="000000"/>
          <w:spacing w:val="6"/>
          <w:sz w:val="24"/>
          <w:szCs w:val="24"/>
          <w:lang w:eastAsia="en-GB"/>
        </w:rPr>
        <w:t xml:space="preserve"> </w:t>
      </w:r>
    </w:p>
    <w:p w:rsidR="004C1718" w:rsidRPr="003A377E" w:rsidRDefault="004C1718" w:rsidP="006B30A6">
      <w:pPr>
        <w:pStyle w:val="ListParagraph"/>
        <w:rPr>
          <w:rFonts w:ascii="Times New Roman" w:eastAsia="Times New Roman" w:hAnsi="Times New Roman" w:cs="Times New Roman"/>
          <w:color w:val="000000"/>
          <w:spacing w:val="6"/>
          <w:sz w:val="24"/>
          <w:szCs w:val="24"/>
          <w:lang w:val="en-GB" w:eastAsia="en-GB"/>
        </w:rPr>
      </w:pPr>
    </w:p>
    <w:p w:rsidR="005076FB" w:rsidRPr="003A377E" w:rsidRDefault="00892A24"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T</w:t>
      </w:r>
      <w:r w:rsidR="00A25DA1" w:rsidRPr="003A377E">
        <w:rPr>
          <w:rFonts w:ascii="Times New Roman" w:eastAsia="Times New Roman" w:hAnsi="Times New Roman" w:cs="Times New Roman"/>
          <w:color w:val="000000"/>
          <w:spacing w:val="6"/>
          <w:sz w:val="24"/>
          <w:szCs w:val="24"/>
          <w:lang w:val="en-GB" w:eastAsia="en-GB"/>
        </w:rPr>
        <w:t xml:space="preserve">he review of </w:t>
      </w:r>
      <w:r w:rsidR="00346986" w:rsidRPr="003A377E">
        <w:rPr>
          <w:rFonts w:ascii="Times New Roman" w:eastAsia="Times New Roman" w:hAnsi="Times New Roman" w:cs="Times New Roman"/>
          <w:color w:val="000000"/>
          <w:spacing w:val="6"/>
          <w:sz w:val="24"/>
          <w:szCs w:val="24"/>
          <w:lang w:val="en-GB" w:eastAsia="en-GB"/>
        </w:rPr>
        <w:t xml:space="preserve">the </w:t>
      </w:r>
      <w:r w:rsidR="00A25DA1" w:rsidRPr="003A377E">
        <w:rPr>
          <w:rFonts w:ascii="Times New Roman" w:eastAsia="Times New Roman" w:hAnsi="Times New Roman" w:cs="Times New Roman"/>
          <w:color w:val="000000"/>
          <w:spacing w:val="6"/>
          <w:sz w:val="24"/>
          <w:szCs w:val="24"/>
          <w:lang w:val="en-GB" w:eastAsia="en-GB"/>
        </w:rPr>
        <w:t xml:space="preserve">provincial equitable share (PES) formula should be expedited, the Committee is of the view that certain provinces </w:t>
      </w:r>
      <w:r w:rsidR="00EA1CA5" w:rsidRPr="003A377E">
        <w:rPr>
          <w:rFonts w:ascii="Times New Roman" w:eastAsia="Times New Roman" w:hAnsi="Times New Roman" w:cs="Times New Roman"/>
          <w:color w:val="000000"/>
          <w:spacing w:val="6"/>
          <w:sz w:val="24"/>
          <w:szCs w:val="24"/>
          <w:lang w:val="en-GB" w:eastAsia="en-GB"/>
        </w:rPr>
        <w:t>such as Northern Cape, Gauteng and KwaZulu-Natal</w:t>
      </w:r>
      <w:r w:rsidR="00346986" w:rsidRPr="003A377E">
        <w:rPr>
          <w:rFonts w:ascii="Times New Roman" w:eastAsia="Times New Roman" w:hAnsi="Times New Roman" w:cs="Times New Roman"/>
          <w:color w:val="000000"/>
          <w:spacing w:val="6"/>
          <w:sz w:val="24"/>
          <w:szCs w:val="24"/>
          <w:lang w:val="en-GB" w:eastAsia="en-GB"/>
        </w:rPr>
        <w:t>,</w:t>
      </w:r>
      <w:r w:rsidR="00EA1CA5" w:rsidRPr="003A377E">
        <w:rPr>
          <w:rFonts w:ascii="Times New Roman" w:eastAsia="Times New Roman" w:hAnsi="Times New Roman" w:cs="Times New Roman"/>
          <w:color w:val="000000"/>
          <w:spacing w:val="6"/>
          <w:sz w:val="24"/>
          <w:szCs w:val="24"/>
          <w:lang w:val="en-GB" w:eastAsia="en-GB"/>
        </w:rPr>
        <w:t xml:space="preserve"> </w:t>
      </w:r>
      <w:r w:rsidR="009A41E1" w:rsidRPr="003A377E">
        <w:rPr>
          <w:rFonts w:ascii="Times New Roman" w:eastAsia="Times New Roman" w:hAnsi="Times New Roman" w:cs="Times New Roman"/>
          <w:color w:val="000000"/>
          <w:spacing w:val="6"/>
          <w:sz w:val="24"/>
          <w:szCs w:val="24"/>
          <w:lang w:val="en-GB" w:eastAsia="en-GB"/>
        </w:rPr>
        <w:t>should continue to be</w:t>
      </w:r>
      <w:r w:rsidR="0007551B" w:rsidRPr="003A377E">
        <w:rPr>
          <w:rFonts w:ascii="Times New Roman" w:eastAsia="Times New Roman" w:hAnsi="Times New Roman" w:cs="Times New Roman"/>
          <w:color w:val="000000"/>
          <w:spacing w:val="6"/>
          <w:sz w:val="24"/>
          <w:szCs w:val="24"/>
          <w:lang w:val="en-GB" w:eastAsia="en-GB"/>
        </w:rPr>
        <w:t xml:space="preserve"> considered for a bigger</w:t>
      </w:r>
      <w:r w:rsidR="00A25DA1" w:rsidRPr="003A377E">
        <w:rPr>
          <w:rFonts w:ascii="Times New Roman" w:eastAsia="Times New Roman" w:hAnsi="Times New Roman" w:cs="Times New Roman"/>
          <w:color w:val="000000"/>
          <w:spacing w:val="6"/>
          <w:sz w:val="24"/>
          <w:szCs w:val="24"/>
          <w:lang w:val="en-GB" w:eastAsia="en-GB"/>
        </w:rPr>
        <w:t xml:space="preserve"> share </w:t>
      </w:r>
      <w:r w:rsidR="00673D02" w:rsidRPr="003A377E">
        <w:rPr>
          <w:rFonts w:ascii="Times New Roman" w:eastAsia="Times New Roman" w:hAnsi="Times New Roman" w:cs="Times New Roman"/>
          <w:color w:val="000000"/>
          <w:spacing w:val="6"/>
          <w:sz w:val="24"/>
          <w:szCs w:val="24"/>
          <w:lang w:val="en-GB" w:eastAsia="en-GB"/>
        </w:rPr>
        <w:t>to</w:t>
      </w:r>
      <w:r w:rsidR="00A25DA1" w:rsidRPr="003A377E">
        <w:rPr>
          <w:rFonts w:ascii="Times New Roman" w:eastAsia="Times New Roman" w:hAnsi="Times New Roman" w:cs="Times New Roman"/>
          <w:color w:val="000000"/>
          <w:spacing w:val="6"/>
          <w:sz w:val="24"/>
          <w:szCs w:val="24"/>
          <w:lang w:val="en-GB" w:eastAsia="en-GB"/>
        </w:rPr>
        <w:t xml:space="preserve"> address the challenges posed by their rurality</w:t>
      </w:r>
      <w:r w:rsidR="00511387" w:rsidRPr="003A377E">
        <w:rPr>
          <w:rFonts w:ascii="Times New Roman" w:eastAsia="Times New Roman" w:hAnsi="Times New Roman" w:cs="Times New Roman"/>
          <w:color w:val="000000"/>
          <w:spacing w:val="6"/>
          <w:sz w:val="24"/>
          <w:szCs w:val="24"/>
          <w:lang w:val="en-GB" w:eastAsia="en-GB"/>
        </w:rPr>
        <w:t>, vastness</w:t>
      </w:r>
      <w:r w:rsidR="00017D79" w:rsidRPr="003A377E">
        <w:rPr>
          <w:rFonts w:ascii="Times New Roman" w:eastAsia="Times New Roman" w:hAnsi="Times New Roman" w:cs="Times New Roman"/>
          <w:color w:val="000000"/>
          <w:spacing w:val="6"/>
          <w:sz w:val="24"/>
          <w:szCs w:val="24"/>
          <w:lang w:val="en-GB" w:eastAsia="en-GB"/>
        </w:rPr>
        <w:t xml:space="preserve"> and</w:t>
      </w:r>
      <w:r w:rsidR="00A25DA1" w:rsidRPr="003A377E">
        <w:rPr>
          <w:rFonts w:ascii="Times New Roman" w:eastAsia="Times New Roman" w:hAnsi="Times New Roman" w:cs="Times New Roman"/>
          <w:color w:val="000000"/>
          <w:spacing w:val="6"/>
          <w:sz w:val="24"/>
          <w:szCs w:val="24"/>
          <w:lang w:val="en-GB" w:eastAsia="en-GB"/>
        </w:rPr>
        <w:t xml:space="preserve"> population</w:t>
      </w:r>
      <w:r w:rsidR="00017D79" w:rsidRPr="003A377E">
        <w:rPr>
          <w:rFonts w:ascii="Times New Roman" w:eastAsia="Times New Roman" w:hAnsi="Times New Roman" w:cs="Times New Roman"/>
          <w:color w:val="000000"/>
          <w:spacing w:val="6"/>
          <w:sz w:val="24"/>
          <w:szCs w:val="24"/>
          <w:lang w:val="en-GB" w:eastAsia="en-GB"/>
        </w:rPr>
        <w:t xml:space="preserve"> growth</w:t>
      </w:r>
      <w:r w:rsidR="00A25DA1" w:rsidRPr="003A377E">
        <w:rPr>
          <w:rFonts w:ascii="Times New Roman" w:eastAsia="Times New Roman" w:hAnsi="Times New Roman" w:cs="Times New Roman"/>
          <w:color w:val="000000"/>
          <w:spacing w:val="6"/>
          <w:sz w:val="24"/>
          <w:szCs w:val="24"/>
          <w:lang w:val="en-GB" w:eastAsia="en-GB"/>
        </w:rPr>
        <w:t xml:space="preserve"> as a resu</w:t>
      </w:r>
      <w:r w:rsidR="0007551B" w:rsidRPr="003A377E">
        <w:rPr>
          <w:rFonts w:ascii="Times New Roman" w:eastAsia="Times New Roman" w:hAnsi="Times New Roman" w:cs="Times New Roman"/>
          <w:color w:val="000000"/>
          <w:spacing w:val="6"/>
          <w:sz w:val="24"/>
          <w:szCs w:val="24"/>
          <w:lang w:val="en-GB" w:eastAsia="en-GB"/>
        </w:rPr>
        <w:t>lt of people moving</w:t>
      </w:r>
      <w:r w:rsidR="003F0927" w:rsidRPr="003A377E">
        <w:rPr>
          <w:rFonts w:ascii="Times New Roman" w:eastAsia="Times New Roman" w:hAnsi="Times New Roman" w:cs="Times New Roman"/>
          <w:color w:val="000000"/>
          <w:spacing w:val="6"/>
          <w:sz w:val="24"/>
          <w:szCs w:val="24"/>
          <w:lang w:val="en-GB" w:eastAsia="en-GB"/>
        </w:rPr>
        <w:t xml:space="preserve"> </w:t>
      </w:r>
      <w:r w:rsidR="0007551B" w:rsidRPr="003A377E">
        <w:rPr>
          <w:rFonts w:ascii="Times New Roman" w:eastAsia="Times New Roman" w:hAnsi="Times New Roman" w:cs="Times New Roman"/>
          <w:color w:val="000000"/>
          <w:spacing w:val="6"/>
          <w:sz w:val="24"/>
          <w:szCs w:val="24"/>
          <w:lang w:val="en-GB" w:eastAsia="en-GB"/>
        </w:rPr>
        <w:t xml:space="preserve">for </w:t>
      </w:r>
      <w:r w:rsidR="00A25DA1" w:rsidRPr="003A377E">
        <w:rPr>
          <w:rFonts w:ascii="Times New Roman" w:eastAsia="Times New Roman" w:hAnsi="Times New Roman" w:cs="Times New Roman"/>
          <w:color w:val="000000"/>
          <w:spacing w:val="6"/>
          <w:sz w:val="24"/>
          <w:szCs w:val="24"/>
          <w:lang w:val="en-GB" w:eastAsia="en-GB"/>
        </w:rPr>
        <w:t>jobs and educational opportunities. The Committee believes that the formula</w:t>
      </w:r>
      <w:r w:rsidR="00625575" w:rsidRPr="003A377E">
        <w:rPr>
          <w:rFonts w:ascii="Times New Roman" w:eastAsia="Times New Roman" w:hAnsi="Times New Roman" w:cs="Times New Roman"/>
          <w:color w:val="000000"/>
          <w:spacing w:val="6"/>
          <w:sz w:val="24"/>
          <w:szCs w:val="24"/>
          <w:lang w:val="en-GB" w:eastAsia="en-GB"/>
        </w:rPr>
        <w:t xml:space="preserve"> should reflect such</w:t>
      </w:r>
      <w:r w:rsidR="00A25DA1" w:rsidRPr="003A377E">
        <w:rPr>
          <w:rFonts w:ascii="Times New Roman" w:eastAsia="Times New Roman" w:hAnsi="Times New Roman" w:cs="Times New Roman"/>
          <w:color w:val="000000"/>
          <w:spacing w:val="6"/>
          <w:sz w:val="24"/>
          <w:szCs w:val="24"/>
          <w:lang w:val="en-GB" w:eastAsia="en-GB"/>
        </w:rPr>
        <w:t xml:space="preserve"> factors.</w:t>
      </w:r>
      <w:r w:rsidR="00887520" w:rsidRPr="003A377E">
        <w:rPr>
          <w:rFonts w:ascii="Times New Roman" w:eastAsia="Times New Roman" w:hAnsi="Times New Roman" w:cs="Times New Roman"/>
          <w:color w:val="000000"/>
          <w:spacing w:val="6"/>
          <w:sz w:val="24"/>
          <w:szCs w:val="24"/>
          <w:lang w:val="en-GB" w:eastAsia="en-GB"/>
        </w:rPr>
        <w:t xml:space="preserve"> </w:t>
      </w:r>
    </w:p>
    <w:p w:rsidR="005076FB" w:rsidRPr="003A377E" w:rsidRDefault="005076FB" w:rsidP="006B30A6">
      <w:pPr>
        <w:pStyle w:val="ListParagraph"/>
        <w:spacing w:line="360" w:lineRule="auto"/>
        <w:jc w:val="both"/>
        <w:rPr>
          <w:rFonts w:ascii="Times New Roman" w:eastAsia="Times New Roman" w:hAnsi="Times New Roman" w:cs="Times New Roman"/>
          <w:color w:val="000000"/>
          <w:spacing w:val="6"/>
          <w:sz w:val="24"/>
          <w:szCs w:val="24"/>
          <w:lang w:eastAsia="en-GB"/>
        </w:rPr>
      </w:pPr>
    </w:p>
    <w:p w:rsidR="0076061B" w:rsidRPr="003A377E" w:rsidRDefault="00A25DA1"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The National Treasur</w:t>
      </w:r>
      <w:r w:rsidR="0022624B" w:rsidRPr="003A377E">
        <w:rPr>
          <w:rFonts w:ascii="Times New Roman" w:eastAsia="Times New Roman" w:hAnsi="Times New Roman" w:cs="Times New Roman"/>
          <w:color w:val="000000"/>
          <w:spacing w:val="6"/>
          <w:sz w:val="24"/>
          <w:szCs w:val="24"/>
          <w:lang w:eastAsia="en-GB"/>
        </w:rPr>
        <w:t>y should expedite the process towards</w:t>
      </w:r>
      <w:r w:rsidRPr="003A377E">
        <w:rPr>
          <w:rFonts w:ascii="Times New Roman" w:eastAsia="Times New Roman" w:hAnsi="Times New Roman" w:cs="Times New Roman"/>
          <w:color w:val="000000"/>
          <w:spacing w:val="6"/>
          <w:sz w:val="24"/>
          <w:szCs w:val="24"/>
          <w:lang w:eastAsia="en-GB"/>
        </w:rPr>
        <w:t xml:space="preserve"> tabling </w:t>
      </w:r>
      <w:r w:rsidR="0022624B" w:rsidRPr="003A377E">
        <w:rPr>
          <w:rFonts w:ascii="Times New Roman" w:eastAsia="Times New Roman" w:hAnsi="Times New Roman" w:cs="Times New Roman"/>
          <w:color w:val="000000"/>
          <w:spacing w:val="6"/>
          <w:sz w:val="24"/>
          <w:szCs w:val="24"/>
          <w:lang w:eastAsia="en-GB"/>
        </w:rPr>
        <w:t xml:space="preserve">the </w:t>
      </w:r>
      <w:r w:rsidRPr="003A377E">
        <w:rPr>
          <w:rFonts w:ascii="Times New Roman" w:eastAsia="Times New Roman" w:hAnsi="Times New Roman" w:cs="Times New Roman"/>
          <w:color w:val="000000"/>
          <w:spacing w:val="6"/>
          <w:sz w:val="24"/>
          <w:szCs w:val="24"/>
          <w:lang w:eastAsia="en-GB"/>
        </w:rPr>
        <w:t>Public Procurement Bill</w:t>
      </w:r>
      <w:r w:rsidR="0022624B" w:rsidRPr="003A377E">
        <w:rPr>
          <w:rFonts w:ascii="Times New Roman" w:eastAsia="Times New Roman" w:hAnsi="Times New Roman" w:cs="Times New Roman"/>
          <w:color w:val="000000"/>
          <w:spacing w:val="6"/>
          <w:sz w:val="24"/>
          <w:szCs w:val="24"/>
          <w:lang w:eastAsia="en-GB"/>
        </w:rPr>
        <w:t xml:space="preserve"> in</w:t>
      </w:r>
      <w:r w:rsidRPr="003A377E">
        <w:rPr>
          <w:rFonts w:ascii="Times New Roman" w:eastAsia="Times New Roman" w:hAnsi="Times New Roman" w:cs="Times New Roman"/>
          <w:color w:val="000000"/>
          <w:spacing w:val="6"/>
          <w:sz w:val="24"/>
          <w:szCs w:val="24"/>
          <w:lang w:eastAsia="en-GB"/>
        </w:rPr>
        <w:t xml:space="preserve"> Parliament. The Committee believes</w:t>
      </w:r>
      <w:r w:rsidR="00887520" w:rsidRPr="003A377E">
        <w:rPr>
          <w:rFonts w:ascii="Times New Roman" w:eastAsia="Times New Roman" w:hAnsi="Times New Roman" w:cs="Times New Roman"/>
          <w:color w:val="000000"/>
          <w:spacing w:val="6"/>
          <w:sz w:val="24"/>
          <w:szCs w:val="24"/>
          <w:lang w:eastAsia="en-GB"/>
        </w:rPr>
        <w:t xml:space="preserve"> that the Bill should</w:t>
      </w:r>
      <w:r w:rsidRPr="003A377E">
        <w:rPr>
          <w:rFonts w:ascii="Times New Roman" w:eastAsia="Times New Roman" w:hAnsi="Times New Roman" w:cs="Times New Roman"/>
          <w:color w:val="000000"/>
          <w:spacing w:val="6"/>
          <w:sz w:val="24"/>
          <w:szCs w:val="24"/>
          <w:lang w:eastAsia="en-GB"/>
        </w:rPr>
        <w:t xml:space="preserve"> assist government to promote local procurement initiatives and stimulate domestic manufacturing to boost the economy as well as e</w:t>
      </w:r>
      <w:r w:rsidR="00C97F45" w:rsidRPr="003A377E">
        <w:rPr>
          <w:rFonts w:ascii="Times New Roman" w:eastAsia="Times New Roman" w:hAnsi="Times New Roman" w:cs="Times New Roman"/>
          <w:color w:val="000000"/>
          <w:spacing w:val="6"/>
          <w:sz w:val="24"/>
          <w:szCs w:val="24"/>
          <w:lang w:eastAsia="en-GB"/>
        </w:rPr>
        <w:t>nsure the participation of p</w:t>
      </w:r>
      <w:r w:rsidR="00CE4023" w:rsidRPr="003A377E">
        <w:rPr>
          <w:rFonts w:ascii="Times New Roman" w:eastAsia="Times New Roman" w:hAnsi="Times New Roman" w:cs="Times New Roman"/>
          <w:color w:val="000000"/>
          <w:spacing w:val="6"/>
          <w:sz w:val="24"/>
          <w:szCs w:val="24"/>
          <w:lang w:eastAsia="en-GB"/>
        </w:rPr>
        <w:t>reviously disadvantaged groups such as wom</w:t>
      </w:r>
      <w:r w:rsidR="0022624B" w:rsidRPr="003A377E">
        <w:rPr>
          <w:rFonts w:ascii="Times New Roman" w:eastAsia="Times New Roman" w:hAnsi="Times New Roman" w:cs="Times New Roman"/>
          <w:color w:val="000000"/>
          <w:spacing w:val="6"/>
          <w:sz w:val="24"/>
          <w:szCs w:val="24"/>
          <w:lang w:eastAsia="en-GB"/>
        </w:rPr>
        <w:t>e</w:t>
      </w:r>
      <w:r w:rsidR="00CE4023" w:rsidRPr="003A377E">
        <w:rPr>
          <w:rFonts w:ascii="Times New Roman" w:eastAsia="Times New Roman" w:hAnsi="Times New Roman" w:cs="Times New Roman"/>
          <w:color w:val="000000"/>
          <w:spacing w:val="6"/>
          <w:sz w:val="24"/>
          <w:szCs w:val="24"/>
          <w:lang w:eastAsia="en-GB"/>
        </w:rPr>
        <w:t>n, youth and people with disabi</w:t>
      </w:r>
      <w:r w:rsidR="00882F99" w:rsidRPr="003A377E">
        <w:rPr>
          <w:rFonts w:ascii="Times New Roman" w:eastAsia="Times New Roman" w:hAnsi="Times New Roman" w:cs="Times New Roman"/>
          <w:color w:val="000000"/>
          <w:spacing w:val="6"/>
          <w:sz w:val="24"/>
          <w:szCs w:val="24"/>
          <w:lang w:eastAsia="en-GB"/>
        </w:rPr>
        <w:t>li</w:t>
      </w:r>
      <w:r w:rsidR="00CE4023" w:rsidRPr="003A377E">
        <w:rPr>
          <w:rFonts w:ascii="Times New Roman" w:eastAsia="Times New Roman" w:hAnsi="Times New Roman" w:cs="Times New Roman"/>
          <w:color w:val="000000"/>
          <w:spacing w:val="6"/>
          <w:sz w:val="24"/>
          <w:szCs w:val="24"/>
          <w:lang w:eastAsia="en-GB"/>
        </w:rPr>
        <w:t>ties</w:t>
      </w:r>
      <w:r w:rsidR="004B344A" w:rsidRPr="003A377E">
        <w:rPr>
          <w:rFonts w:ascii="Times New Roman" w:eastAsia="Times New Roman" w:hAnsi="Times New Roman" w:cs="Times New Roman"/>
          <w:color w:val="000000"/>
          <w:spacing w:val="6"/>
          <w:sz w:val="24"/>
          <w:szCs w:val="24"/>
          <w:lang w:eastAsia="en-GB"/>
        </w:rPr>
        <w:t>. This Bill should further</w:t>
      </w:r>
      <w:r w:rsidR="0022624B" w:rsidRPr="003A377E">
        <w:rPr>
          <w:rFonts w:ascii="Times New Roman" w:eastAsia="Times New Roman" w:hAnsi="Times New Roman" w:cs="Times New Roman"/>
          <w:color w:val="000000"/>
          <w:spacing w:val="6"/>
          <w:sz w:val="24"/>
          <w:szCs w:val="24"/>
          <w:lang w:eastAsia="en-GB"/>
        </w:rPr>
        <w:t xml:space="preserve"> assist government to fast-</w:t>
      </w:r>
      <w:r w:rsidRPr="003A377E">
        <w:rPr>
          <w:rFonts w:ascii="Times New Roman" w:eastAsia="Times New Roman" w:hAnsi="Times New Roman" w:cs="Times New Roman"/>
          <w:color w:val="000000"/>
          <w:spacing w:val="6"/>
          <w:sz w:val="24"/>
          <w:szCs w:val="24"/>
          <w:lang w:eastAsia="en-GB"/>
        </w:rPr>
        <w:t>track the implementation of</w:t>
      </w:r>
      <w:r w:rsidR="0022624B" w:rsidRPr="003A377E">
        <w:rPr>
          <w:rFonts w:ascii="Times New Roman" w:eastAsia="Times New Roman" w:hAnsi="Times New Roman" w:cs="Times New Roman"/>
          <w:color w:val="000000"/>
          <w:spacing w:val="6"/>
          <w:sz w:val="24"/>
          <w:szCs w:val="24"/>
          <w:lang w:eastAsia="en-GB"/>
        </w:rPr>
        <w:t xml:space="preserve"> the</w:t>
      </w:r>
      <w:r w:rsidRPr="003A377E">
        <w:rPr>
          <w:rFonts w:ascii="Times New Roman" w:eastAsia="Times New Roman" w:hAnsi="Times New Roman" w:cs="Times New Roman"/>
          <w:color w:val="000000"/>
          <w:spacing w:val="6"/>
          <w:sz w:val="24"/>
          <w:szCs w:val="24"/>
          <w:lang w:eastAsia="en-GB"/>
        </w:rPr>
        <w:t xml:space="preserve"> economic recovery plan</w:t>
      </w:r>
      <w:r w:rsidR="005F0328" w:rsidRPr="003A377E">
        <w:rPr>
          <w:rFonts w:ascii="Times New Roman" w:eastAsia="Times New Roman" w:hAnsi="Times New Roman" w:cs="Times New Roman"/>
          <w:color w:val="000000"/>
          <w:spacing w:val="6"/>
          <w:sz w:val="24"/>
          <w:szCs w:val="24"/>
          <w:lang w:eastAsia="en-GB"/>
        </w:rPr>
        <w:t xml:space="preserve"> as announced by </w:t>
      </w:r>
      <w:r w:rsidR="0022624B" w:rsidRPr="003A377E">
        <w:rPr>
          <w:rFonts w:ascii="Times New Roman" w:eastAsia="Times New Roman" w:hAnsi="Times New Roman" w:cs="Times New Roman"/>
          <w:color w:val="000000"/>
          <w:spacing w:val="6"/>
          <w:sz w:val="24"/>
          <w:szCs w:val="24"/>
          <w:lang w:eastAsia="en-GB"/>
        </w:rPr>
        <w:t xml:space="preserve">the </w:t>
      </w:r>
      <w:r w:rsidR="005F0328" w:rsidRPr="003A377E">
        <w:rPr>
          <w:rFonts w:ascii="Times New Roman" w:eastAsia="Times New Roman" w:hAnsi="Times New Roman" w:cs="Times New Roman"/>
          <w:color w:val="000000"/>
          <w:spacing w:val="6"/>
          <w:sz w:val="24"/>
          <w:szCs w:val="24"/>
          <w:lang w:eastAsia="en-GB"/>
        </w:rPr>
        <w:t>President</w:t>
      </w:r>
      <w:r w:rsidRPr="003A377E">
        <w:rPr>
          <w:rFonts w:ascii="Times New Roman" w:eastAsia="Times New Roman" w:hAnsi="Times New Roman" w:cs="Times New Roman"/>
          <w:color w:val="000000"/>
          <w:spacing w:val="6"/>
          <w:sz w:val="24"/>
          <w:szCs w:val="24"/>
          <w:lang w:eastAsia="en-GB"/>
        </w:rPr>
        <w:t>.</w:t>
      </w:r>
      <w:r w:rsidR="005F0328" w:rsidRPr="003A377E">
        <w:rPr>
          <w:rFonts w:ascii="Times New Roman" w:eastAsia="Times New Roman" w:hAnsi="Times New Roman" w:cs="Times New Roman"/>
          <w:color w:val="000000"/>
          <w:spacing w:val="6"/>
          <w:sz w:val="24"/>
          <w:szCs w:val="24"/>
          <w:lang w:eastAsia="en-GB"/>
        </w:rPr>
        <w:t xml:space="preserve"> </w:t>
      </w:r>
    </w:p>
    <w:p w:rsidR="0076061B" w:rsidRPr="003A377E" w:rsidRDefault="0076061B" w:rsidP="006B30A6">
      <w:pPr>
        <w:pStyle w:val="ListParagraph"/>
        <w:rPr>
          <w:rFonts w:ascii="Times New Roman" w:eastAsia="Times New Roman" w:hAnsi="Times New Roman" w:cs="Times New Roman"/>
          <w:color w:val="000000"/>
          <w:spacing w:val="6"/>
          <w:sz w:val="24"/>
          <w:szCs w:val="24"/>
          <w:lang w:eastAsia="en-GB"/>
        </w:rPr>
      </w:pPr>
    </w:p>
    <w:p w:rsidR="005076FB" w:rsidRPr="003A377E" w:rsidRDefault="00A25DA1"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With regards to the public sector wage bill as the largest cos</w:t>
      </w:r>
      <w:r w:rsidR="00D83E18" w:rsidRPr="003A377E">
        <w:rPr>
          <w:rFonts w:ascii="Times New Roman" w:eastAsia="Times New Roman" w:hAnsi="Times New Roman" w:cs="Times New Roman"/>
          <w:color w:val="000000"/>
          <w:spacing w:val="6"/>
          <w:sz w:val="24"/>
          <w:szCs w:val="24"/>
          <w:lang w:eastAsia="en-GB"/>
        </w:rPr>
        <w:t xml:space="preserve">t driver in the current payments </w:t>
      </w:r>
      <w:r w:rsidRPr="003A377E">
        <w:rPr>
          <w:rFonts w:ascii="Times New Roman" w:eastAsia="Times New Roman" w:hAnsi="Times New Roman" w:cs="Times New Roman"/>
          <w:color w:val="000000"/>
          <w:spacing w:val="6"/>
          <w:sz w:val="24"/>
          <w:szCs w:val="24"/>
          <w:lang w:eastAsia="en-GB"/>
        </w:rPr>
        <w:t>budget category, the Committee recommends that National Treasury</w:t>
      </w:r>
      <w:r w:rsidR="00B968AE" w:rsidRPr="003A377E">
        <w:rPr>
          <w:rFonts w:ascii="Times New Roman" w:eastAsia="Times New Roman" w:hAnsi="Times New Roman" w:cs="Times New Roman"/>
          <w:color w:val="000000"/>
          <w:spacing w:val="6"/>
          <w:sz w:val="24"/>
          <w:szCs w:val="24"/>
          <w:lang w:eastAsia="en-GB"/>
        </w:rPr>
        <w:t xml:space="preserve"> and the Department of Public Service and Administration expedite</w:t>
      </w:r>
      <w:r w:rsidRPr="003A377E">
        <w:rPr>
          <w:rFonts w:ascii="Times New Roman" w:eastAsia="Times New Roman" w:hAnsi="Times New Roman" w:cs="Times New Roman"/>
          <w:color w:val="000000"/>
          <w:spacing w:val="6"/>
          <w:sz w:val="24"/>
          <w:szCs w:val="24"/>
          <w:lang w:eastAsia="en-GB"/>
        </w:rPr>
        <w:t xml:space="preserve"> the process of engaging with labour unions to amicably address this matter. The Committee believes that the review process of departmental organograms and vacant posts is a critical exercise that might also assist.</w:t>
      </w:r>
      <w:r w:rsidR="00D83E18" w:rsidRPr="003A377E">
        <w:rPr>
          <w:rFonts w:ascii="Times New Roman" w:eastAsia="Times New Roman" w:hAnsi="Times New Roman" w:cs="Times New Roman"/>
          <w:color w:val="000000"/>
          <w:spacing w:val="6"/>
          <w:sz w:val="24"/>
          <w:szCs w:val="24"/>
          <w:lang w:eastAsia="en-GB"/>
        </w:rPr>
        <w:t xml:space="preserve"> The National Treasury should report on this</w:t>
      </w:r>
      <w:r w:rsidR="004D43CC" w:rsidRPr="003A377E">
        <w:rPr>
          <w:rFonts w:ascii="Times New Roman" w:eastAsia="Times New Roman" w:hAnsi="Times New Roman" w:cs="Times New Roman"/>
          <w:color w:val="000000"/>
          <w:spacing w:val="6"/>
          <w:sz w:val="24"/>
          <w:szCs w:val="24"/>
          <w:lang w:eastAsia="en-GB"/>
        </w:rPr>
        <w:t xml:space="preserve"> matter</w:t>
      </w:r>
      <w:r w:rsidR="00D83E18" w:rsidRPr="003A377E">
        <w:rPr>
          <w:rFonts w:ascii="Times New Roman" w:eastAsia="Times New Roman" w:hAnsi="Times New Roman" w:cs="Times New Roman"/>
          <w:color w:val="000000"/>
          <w:spacing w:val="6"/>
          <w:sz w:val="24"/>
          <w:szCs w:val="24"/>
          <w:lang w:eastAsia="en-GB"/>
        </w:rPr>
        <w:t xml:space="preserve"> in the next budget cycle.  </w:t>
      </w:r>
    </w:p>
    <w:p w:rsidR="005076FB" w:rsidRPr="003A377E" w:rsidRDefault="005076FB" w:rsidP="006B30A6">
      <w:pPr>
        <w:pStyle w:val="ListParagraph"/>
        <w:spacing w:line="360" w:lineRule="auto"/>
        <w:jc w:val="both"/>
        <w:rPr>
          <w:rFonts w:ascii="Times New Roman" w:eastAsia="Times New Roman" w:hAnsi="Times New Roman" w:cs="Times New Roman"/>
          <w:color w:val="000000"/>
          <w:spacing w:val="6"/>
          <w:sz w:val="24"/>
          <w:szCs w:val="24"/>
          <w:lang w:val="en-GB" w:eastAsia="en-GB"/>
        </w:rPr>
      </w:pPr>
    </w:p>
    <w:p w:rsidR="005076FB" w:rsidRPr="003A377E" w:rsidRDefault="00A25DA1"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 xml:space="preserve">The National Treasury and </w:t>
      </w:r>
      <w:r w:rsidR="00C25566" w:rsidRPr="003A377E">
        <w:rPr>
          <w:rFonts w:ascii="Times New Roman" w:eastAsia="Times New Roman" w:hAnsi="Times New Roman" w:cs="Times New Roman"/>
          <w:color w:val="000000"/>
          <w:spacing w:val="6"/>
          <w:sz w:val="24"/>
          <w:szCs w:val="24"/>
          <w:lang w:val="en-GB" w:eastAsia="en-GB"/>
        </w:rPr>
        <w:t xml:space="preserve">the </w:t>
      </w:r>
      <w:r w:rsidRPr="003A377E">
        <w:rPr>
          <w:rFonts w:ascii="Times New Roman" w:eastAsia="Times New Roman" w:hAnsi="Times New Roman" w:cs="Times New Roman"/>
          <w:color w:val="000000"/>
          <w:spacing w:val="6"/>
          <w:sz w:val="24"/>
          <w:szCs w:val="24"/>
          <w:lang w:val="en-GB" w:eastAsia="en-GB"/>
        </w:rPr>
        <w:t>Depar</w:t>
      </w:r>
      <w:r w:rsidR="00990FEF" w:rsidRPr="003A377E">
        <w:rPr>
          <w:rFonts w:ascii="Times New Roman" w:eastAsia="Times New Roman" w:hAnsi="Times New Roman" w:cs="Times New Roman"/>
          <w:color w:val="000000"/>
          <w:spacing w:val="6"/>
          <w:sz w:val="24"/>
          <w:szCs w:val="24"/>
          <w:lang w:val="en-GB" w:eastAsia="en-GB"/>
        </w:rPr>
        <w:t xml:space="preserve">tment of Health </w:t>
      </w:r>
      <w:r w:rsidR="008B335C" w:rsidRPr="003A377E">
        <w:rPr>
          <w:rFonts w:ascii="Times New Roman" w:eastAsia="Times New Roman" w:hAnsi="Times New Roman" w:cs="Times New Roman"/>
          <w:color w:val="000000"/>
          <w:spacing w:val="6"/>
          <w:sz w:val="24"/>
          <w:szCs w:val="24"/>
          <w:lang w:val="en-GB" w:eastAsia="en-GB"/>
        </w:rPr>
        <w:t xml:space="preserve">should </w:t>
      </w:r>
      <w:r w:rsidR="00990FEF" w:rsidRPr="003A377E">
        <w:rPr>
          <w:rFonts w:ascii="Times New Roman" w:eastAsia="Times New Roman" w:hAnsi="Times New Roman" w:cs="Times New Roman"/>
          <w:color w:val="000000"/>
          <w:spacing w:val="6"/>
          <w:sz w:val="24"/>
          <w:szCs w:val="24"/>
          <w:lang w:val="en-GB" w:eastAsia="en-GB"/>
        </w:rPr>
        <w:t>ensure that the</w:t>
      </w:r>
      <w:r w:rsidRPr="003A377E">
        <w:rPr>
          <w:rFonts w:ascii="Times New Roman" w:eastAsia="Times New Roman" w:hAnsi="Times New Roman" w:cs="Times New Roman"/>
          <w:color w:val="000000"/>
          <w:spacing w:val="6"/>
          <w:sz w:val="24"/>
          <w:szCs w:val="24"/>
          <w:lang w:val="en-GB" w:eastAsia="en-GB"/>
        </w:rPr>
        <w:t xml:space="preserve"> R21.</w:t>
      </w:r>
      <w:r w:rsidR="008B335C" w:rsidRPr="003A377E">
        <w:rPr>
          <w:rFonts w:ascii="Times New Roman" w:eastAsia="Times New Roman" w:hAnsi="Times New Roman" w:cs="Times New Roman"/>
          <w:color w:val="000000"/>
          <w:spacing w:val="6"/>
          <w:sz w:val="24"/>
          <w:szCs w:val="24"/>
          <w:lang w:val="en-GB" w:eastAsia="en-GB"/>
        </w:rPr>
        <w:t>1</w:t>
      </w:r>
      <w:r w:rsidRPr="003A377E">
        <w:rPr>
          <w:rFonts w:ascii="Times New Roman" w:eastAsia="Times New Roman" w:hAnsi="Times New Roman" w:cs="Times New Roman"/>
          <w:color w:val="000000"/>
          <w:spacing w:val="6"/>
          <w:sz w:val="24"/>
          <w:szCs w:val="24"/>
          <w:lang w:val="en-GB" w:eastAsia="en-GB"/>
        </w:rPr>
        <w:t xml:space="preserve"> billion earmarked largely to support </w:t>
      </w:r>
      <w:r w:rsidR="008B335C" w:rsidRPr="003A377E">
        <w:rPr>
          <w:rFonts w:ascii="Times New Roman" w:eastAsia="Times New Roman" w:hAnsi="Times New Roman" w:cs="Times New Roman"/>
          <w:color w:val="000000"/>
          <w:spacing w:val="6"/>
          <w:sz w:val="24"/>
          <w:szCs w:val="24"/>
          <w:lang w:val="en-GB" w:eastAsia="en-GB"/>
        </w:rPr>
        <w:t>the</w:t>
      </w:r>
      <w:r w:rsidRPr="003A377E">
        <w:rPr>
          <w:rFonts w:ascii="Times New Roman" w:eastAsia="Times New Roman" w:hAnsi="Times New Roman" w:cs="Times New Roman"/>
          <w:color w:val="000000"/>
          <w:spacing w:val="6"/>
          <w:sz w:val="24"/>
          <w:szCs w:val="24"/>
          <w:lang w:val="en-GB" w:eastAsia="en-GB"/>
        </w:rPr>
        <w:t xml:space="preserve"> ongoing response to the COVID-19 </w:t>
      </w:r>
      <w:r w:rsidR="008B335C" w:rsidRPr="003A377E">
        <w:rPr>
          <w:rFonts w:ascii="Times New Roman" w:eastAsia="Times New Roman" w:hAnsi="Times New Roman" w:cs="Times New Roman"/>
          <w:color w:val="000000"/>
          <w:spacing w:val="6"/>
          <w:sz w:val="24"/>
          <w:szCs w:val="24"/>
          <w:lang w:val="en-GB" w:eastAsia="en-GB"/>
        </w:rPr>
        <w:t>pandemic</w:t>
      </w:r>
      <w:r w:rsidRPr="003A377E">
        <w:rPr>
          <w:rFonts w:ascii="Times New Roman" w:eastAsia="Times New Roman" w:hAnsi="Times New Roman" w:cs="Times New Roman"/>
          <w:color w:val="000000"/>
          <w:spacing w:val="6"/>
          <w:sz w:val="24"/>
          <w:szCs w:val="24"/>
          <w:lang w:val="en-GB" w:eastAsia="en-GB"/>
        </w:rPr>
        <w:t xml:space="preserve"> as well as the appointment of medical interns and community service doctors</w:t>
      </w:r>
      <w:r w:rsidR="008B335C" w:rsidRPr="003A377E">
        <w:rPr>
          <w:rFonts w:ascii="Times New Roman" w:eastAsia="Times New Roman" w:hAnsi="Times New Roman" w:cs="Times New Roman"/>
          <w:color w:val="000000"/>
          <w:spacing w:val="6"/>
          <w:sz w:val="24"/>
          <w:szCs w:val="24"/>
          <w:lang w:val="en-GB" w:eastAsia="en-GB"/>
        </w:rPr>
        <w:t>,</w:t>
      </w:r>
      <w:r w:rsidRPr="003A377E">
        <w:rPr>
          <w:rFonts w:ascii="Times New Roman" w:eastAsia="Times New Roman" w:hAnsi="Times New Roman" w:cs="Times New Roman"/>
          <w:color w:val="000000"/>
          <w:spacing w:val="6"/>
          <w:sz w:val="24"/>
          <w:szCs w:val="24"/>
          <w:lang w:val="en-GB" w:eastAsia="en-GB"/>
        </w:rPr>
        <w:t xml:space="preserve"> is utilised according </w:t>
      </w:r>
      <w:r w:rsidR="008B335C" w:rsidRPr="003A377E">
        <w:rPr>
          <w:rFonts w:ascii="Times New Roman" w:eastAsia="Times New Roman" w:hAnsi="Times New Roman" w:cs="Times New Roman"/>
          <w:color w:val="000000"/>
          <w:spacing w:val="6"/>
          <w:sz w:val="24"/>
          <w:szCs w:val="24"/>
          <w:lang w:val="en-GB" w:eastAsia="en-GB"/>
        </w:rPr>
        <w:t xml:space="preserve">to </w:t>
      </w:r>
      <w:r w:rsidRPr="003A377E">
        <w:rPr>
          <w:rFonts w:ascii="Times New Roman" w:eastAsia="Times New Roman" w:hAnsi="Times New Roman" w:cs="Times New Roman"/>
          <w:color w:val="000000"/>
          <w:spacing w:val="6"/>
          <w:sz w:val="24"/>
          <w:szCs w:val="24"/>
          <w:lang w:val="en-GB" w:eastAsia="en-GB"/>
        </w:rPr>
        <w:t>approved performance plans. The Department of Health needs to ensure that appropriate and effective internal control sy</w:t>
      </w:r>
      <w:r w:rsidR="00E26EAC" w:rsidRPr="003A377E">
        <w:rPr>
          <w:rFonts w:ascii="Times New Roman" w:eastAsia="Times New Roman" w:hAnsi="Times New Roman" w:cs="Times New Roman"/>
          <w:color w:val="000000"/>
          <w:spacing w:val="6"/>
          <w:sz w:val="24"/>
          <w:szCs w:val="24"/>
          <w:lang w:val="en-GB" w:eastAsia="en-GB"/>
        </w:rPr>
        <w:t>stems are put in place to make sure</w:t>
      </w:r>
      <w:r w:rsidRPr="003A377E">
        <w:rPr>
          <w:rFonts w:ascii="Times New Roman" w:eastAsia="Times New Roman" w:hAnsi="Times New Roman" w:cs="Times New Roman"/>
          <w:color w:val="000000"/>
          <w:spacing w:val="6"/>
          <w:sz w:val="24"/>
          <w:szCs w:val="24"/>
          <w:lang w:val="en-GB" w:eastAsia="en-GB"/>
        </w:rPr>
        <w:t xml:space="preserve"> that funds earmarked for </w:t>
      </w:r>
      <w:r w:rsidR="00673D02" w:rsidRPr="003A377E">
        <w:rPr>
          <w:rFonts w:ascii="Times New Roman" w:eastAsia="Times New Roman" w:hAnsi="Times New Roman" w:cs="Times New Roman"/>
          <w:color w:val="000000"/>
          <w:spacing w:val="6"/>
          <w:sz w:val="24"/>
          <w:szCs w:val="24"/>
          <w:lang w:val="en-GB" w:eastAsia="en-GB"/>
        </w:rPr>
        <w:t xml:space="preserve">the </w:t>
      </w:r>
      <w:r w:rsidRPr="003A377E">
        <w:rPr>
          <w:rFonts w:ascii="Times New Roman" w:eastAsia="Times New Roman" w:hAnsi="Times New Roman" w:cs="Times New Roman"/>
          <w:color w:val="000000"/>
          <w:spacing w:val="6"/>
          <w:sz w:val="24"/>
          <w:szCs w:val="24"/>
          <w:lang w:val="en-GB" w:eastAsia="en-GB"/>
        </w:rPr>
        <w:t>Presidential Employment In</w:t>
      </w:r>
      <w:r w:rsidR="00673D02" w:rsidRPr="003A377E">
        <w:rPr>
          <w:rFonts w:ascii="Times New Roman" w:eastAsia="Times New Roman" w:hAnsi="Times New Roman" w:cs="Times New Roman"/>
          <w:color w:val="000000"/>
          <w:spacing w:val="6"/>
          <w:sz w:val="24"/>
          <w:szCs w:val="24"/>
          <w:lang w:val="en-GB" w:eastAsia="en-GB"/>
        </w:rPr>
        <w:t>itiative</w:t>
      </w:r>
      <w:r w:rsidR="008B335C" w:rsidRPr="003A377E">
        <w:rPr>
          <w:rFonts w:ascii="Times New Roman" w:eastAsia="Times New Roman" w:hAnsi="Times New Roman" w:cs="Times New Roman"/>
          <w:color w:val="000000"/>
          <w:spacing w:val="6"/>
          <w:sz w:val="24"/>
          <w:szCs w:val="24"/>
          <w:lang w:val="en-GB" w:eastAsia="en-GB"/>
        </w:rPr>
        <w:t xml:space="preserve"> are not returned </w:t>
      </w:r>
      <w:r w:rsidRPr="003A377E">
        <w:rPr>
          <w:rFonts w:ascii="Times New Roman" w:eastAsia="Times New Roman" w:hAnsi="Times New Roman" w:cs="Times New Roman"/>
          <w:color w:val="000000"/>
          <w:spacing w:val="6"/>
          <w:sz w:val="24"/>
          <w:szCs w:val="24"/>
          <w:lang w:val="en-GB" w:eastAsia="en-GB"/>
        </w:rPr>
        <w:t>to the fiscus given the levels of unemp</w:t>
      </w:r>
      <w:r w:rsidR="003634BA" w:rsidRPr="003A377E">
        <w:rPr>
          <w:rFonts w:ascii="Times New Roman" w:eastAsia="Times New Roman" w:hAnsi="Times New Roman" w:cs="Times New Roman"/>
          <w:color w:val="000000"/>
          <w:spacing w:val="6"/>
          <w:sz w:val="24"/>
          <w:szCs w:val="24"/>
          <w:lang w:val="en-GB" w:eastAsia="en-GB"/>
        </w:rPr>
        <w:t>loyment in South Africa</w:t>
      </w:r>
      <w:r w:rsidRPr="003A377E">
        <w:rPr>
          <w:rFonts w:ascii="Times New Roman" w:eastAsia="Times New Roman" w:hAnsi="Times New Roman" w:cs="Times New Roman"/>
          <w:color w:val="000000"/>
          <w:spacing w:val="6"/>
          <w:sz w:val="24"/>
          <w:szCs w:val="24"/>
          <w:lang w:val="en-GB" w:eastAsia="en-GB"/>
        </w:rPr>
        <w:t>.</w:t>
      </w:r>
      <w:r w:rsidR="003634BA" w:rsidRPr="003A377E">
        <w:rPr>
          <w:rFonts w:ascii="Times New Roman" w:eastAsia="Times New Roman" w:hAnsi="Times New Roman" w:cs="Times New Roman"/>
          <w:color w:val="000000"/>
          <w:spacing w:val="6"/>
          <w:sz w:val="24"/>
          <w:szCs w:val="24"/>
          <w:lang w:val="en-GB" w:eastAsia="en-GB"/>
        </w:rPr>
        <w:t xml:space="preserve"> </w:t>
      </w:r>
      <w:r w:rsidR="00072BE8" w:rsidRPr="003A377E">
        <w:rPr>
          <w:rFonts w:ascii="Times New Roman" w:eastAsia="Times New Roman" w:hAnsi="Times New Roman" w:cs="Times New Roman"/>
          <w:color w:val="000000"/>
          <w:spacing w:val="6"/>
          <w:sz w:val="24"/>
          <w:szCs w:val="24"/>
          <w:lang w:val="en-GB" w:eastAsia="en-GB"/>
        </w:rPr>
        <w:t xml:space="preserve"> </w:t>
      </w:r>
    </w:p>
    <w:p w:rsidR="005076FB" w:rsidRPr="003A377E" w:rsidRDefault="005076FB" w:rsidP="006B30A6">
      <w:pPr>
        <w:pStyle w:val="ListParagraph"/>
        <w:spacing w:line="360" w:lineRule="auto"/>
        <w:jc w:val="both"/>
        <w:rPr>
          <w:rFonts w:ascii="Times New Roman" w:eastAsia="Times New Roman" w:hAnsi="Times New Roman" w:cs="Times New Roman"/>
          <w:color w:val="000000"/>
          <w:spacing w:val="6"/>
          <w:sz w:val="24"/>
          <w:szCs w:val="24"/>
          <w:lang w:eastAsia="en-GB"/>
        </w:rPr>
      </w:pPr>
    </w:p>
    <w:p w:rsidR="005076FB" w:rsidRPr="003A377E" w:rsidRDefault="00A25DA1"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 xml:space="preserve">The Department of Higher Education and Training should ensure that the R32.6 billion earmarked to fund </w:t>
      </w:r>
      <w:r w:rsidR="008B335C" w:rsidRPr="003A377E">
        <w:rPr>
          <w:rFonts w:ascii="Times New Roman" w:eastAsia="Times New Roman" w:hAnsi="Times New Roman" w:cs="Times New Roman"/>
          <w:color w:val="000000"/>
          <w:spacing w:val="6"/>
          <w:sz w:val="24"/>
          <w:szCs w:val="24"/>
          <w:lang w:eastAsia="en-GB"/>
        </w:rPr>
        <w:t xml:space="preserve">the </w:t>
      </w:r>
      <w:r w:rsidRPr="003A377E">
        <w:rPr>
          <w:rFonts w:ascii="Times New Roman" w:eastAsia="Times New Roman" w:hAnsi="Times New Roman" w:cs="Times New Roman"/>
          <w:color w:val="000000"/>
          <w:spacing w:val="6"/>
          <w:sz w:val="24"/>
          <w:szCs w:val="24"/>
          <w:lang w:eastAsia="en-GB"/>
        </w:rPr>
        <w:t>shortf</w:t>
      </w:r>
      <w:r w:rsidR="008B335C" w:rsidRPr="003A377E">
        <w:rPr>
          <w:rFonts w:ascii="Times New Roman" w:eastAsia="Times New Roman" w:hAnsi="Times New Roman" w:cs="Times New Roman"/>
          <w:color w:val="000000"/>
          <w:spacing w:val="6"/>
          <w:sz w:val="24"/>
          <w:szCs w:val="24"/>
          <w:lang w:eastAsia="en-GB"/>
        </w:rPr>
        <w:t>all in</w:t>
      </w:r>
      <w:r w:rsidR="002C306B" w:rsidRPr="003A377E">
        <w:rPr>
          <w:rFonts w:ascii="Times New Roman" w:eastAsia="Times New Roman" w:hAnsi="Times New Roman" w:cs="Times New Roman"/>
          <w:color w:val="000000"/>
          <w:spacing w:val="6"/>
          <w:sz w:val="24"/>
          <w:szCs w:val="24"/>
          <w:lang w:eastAsia="en-GB"/>
        </w:rPr>
        <w:t xml:space="preserve"> student bursaries is</w:t>
      </w:r>
      <w:r w:rsidRPr="003A377E">
        <w:rPr>
          <w:rFonts w:ascii="Times New Roman" w:eastAsia="Times New Roman" w:hAnsi="Times New Roman" w:cs="Times New Roman"/>
          <w:color w:val="000000"/>
          <w:spacing w:val="6"/>
          <w:sz w:val="24"/>
          <w:szCs w:val="24"/>
          <w:lang w:eastAsia="en-GB"/>
        </w:rPr>
        <w:t xml:space="preserve"> transferred to </w:t>
      </w:r>
      <w:r w:rsidR="00442730" w:rsidRPr="003A377E">
        <w:rPr>
          <w:rFonts w:ascii="Times New Roman" w:eastAsia="Times New Roman" w:hAnsi="Times New Roman" w:cs="Times New Roman"/>
          <w:color w:val="000000"/>
          <w:spacing w:val="6"/>
          <w:sz w:val="24"/>
          <w:szCs w:val="24"/>
          <w:lang w:eastAsia="en-GB"/>
        </w:rPr>
        <w:t xml:space="preserve">the </w:t>
      </w:r>
      <w:r w:rsidRPr="003A377E">
        <w:rPr>
          <w:rFonts w:ascii="Times New Roman" w:eastAsia="Times New Roman" w:hAnsi="Times New Roman" w:cs="Times New Roman"/>
          <w:color w:val="000000"/>
          <w:spacing w:val="6"/>
          <w:sz w:val="24"/>
          <w:szCs w:val="24"/>
          <w:lang w:eastAsia="en-GB"/>
        </w:rPr>
        <w:t>National Student Financial Aid Scheme (NSFAS)</w:t>
      </w:r>
      <w:r w:rsidR="002C306B" w:rsidRPr="003A377E">
        <w:rPr>
          <w:rFonts w:ascii="Times New Roman" w:eastAsia="Times New Roman" w:hAnsi="Times New Roman" w:cs="Times New Roman"/>
          <w:color w:val="000000"/>
          <w:spacing w:val="6"/>
          <w:sz w:val="24"/>
          <w:szCs w:val="24"/>
          <w:lang w:eastAsia="en-GB"/>
        </w:rPr>
        <w:t xml:space="preserve"> </w:t>
      </w:r>
      <w:r w:rsidR="008B335C" w:rsidRPr="003A377E">
        <w:rPr>
          <w:rFonts w:ascii="Times New Roman" w:eastAsia="Times New Roman" w:hAnsi="Times New Roman" w:cs="Times New Roman"/>
          <w:color w:val="000000"/>
          <w:spacing w:val="6"/>
          <w:sz w:val="24"/>
          <w:szCs w:val="24"/>
          <w:lang w:eastAsia="en-GB"/>
        </w:rPr>
        <w:t xml:space="preserve">on time </w:t>
      </w:r>
      <w:r w:rsidR="002C306B" w:rsidRPr="003A377E">
        <w:rPr>
          <w:rFonts w:ascii="Times New Roman" w:eastAsia="Times New Roman" w:hAnsi="Times New Roman" w:cs="Times New Roman"/>
          <w:color w:val="000000"/>
          <w:spacing w:val="6"/>
          <w:sz w:val="24"/>
          <w:szCs w:val="24"/>
          <w:lang w:eastAsia="en-GB"/>
        </w:rPr>
        <w:t xml:space="preserve">to assist </w:t>
      </w:r>
      <w:r w:rsidR="00F52B0C" w:rsidRPr="003A377E">
        <w:rPr>
          <w:rFonts w:ascii="Times New Roman" w:eastAsia="Times New Roman" w:hAnsi="Times New Roman" w:cs="Times New Roman"/>
          <w:color w:val="000000"/>
          <w:spacing w:val="6"/>
          <w:sz w:val="24"/>
          <w:szCs w:val="24"/>
          <w:lang w:eastAsia="en-GB"/>
        </w:rPr>
        <w:t xml:space="preserve">the </w:t>
      </w:r>
      <w:r w:rsidR="002C306B" w:rsidRPr="003A377E">
        <w:rPr>
          <w:rFonts w:ascii="Times New Roman" w:eastAsia="Times New Roman" w:hAnsi="Times New Roman" w:cs="Times New Roman"/>
          <w:color w:val="000000"/>
          <w:spacing w:val="6"/>
          <w:sz w:val="24"/>
          <w:szCs w:val="24"/>
          <w:lang w:eastAsia="en-GB"/>
        </w:rPr>
        <w:t>needy beneficiaries</w:t>
      </w:r>
      <w:r w:rsidRPr="003A377E">
        <w:rPr>
          <w:rFonts w:ascii="Times New Roman" w:eastAsia="Times New Roman" w:hAnsi="Times New Roman" w:cs="Times New Roman"/>
          <w:color w:val="000000"/>
          <w:spacing w:val="6"/>
          <w:sz w:val="24"/>
          <w:szCs w:val="24"/>
          <w:lang w:eastAsia="en-GB"/>
        </w:rPr>
        <w:t>.</w:t>
      </w:r>
      <w:r w:rsidR="002C306B" w:rsidRPr="003A377E">
        <w:rPr>
          <w:rFonts w:ascii="Times New Roman" w:eastAsia="Times New Roman" w:hAnsi="Times New Roman" w:cs="Times New Roman"/>
          <w:color w:val="000000"/>
          <w:spacing w:val="6"/>
          <w:sz w:val="24"/>
          <w:szCs w:val="24"/>
          <w:lang w:eastAsia="en-GB"/>
        </w:rPr>
        <w:t xml:space="preserve"> </w:t>
      </w:r>
    </w:p>
    <w:p w:rsidR="005076FB" w:rsidRPr="003A377E" w:rsidRDefault="005076FB" w:rsidP="006B30A6">
      <w:pPr>
        <w:pStyle w:val="ListParagraph"/>
        <w:spacing w:line="360" w:lineRule="auto"/>
        <w:jc w:val="both"/>
        <w:rPr>
          <w:rFonts w:ascii="Times New Roman" w:eastAsia="Times New Roman" w:hAnsi="Times New Roman" w:cs="Times New Roman"/>
          <w:color w:val="000000"/>
          <w:spacing w:val="6"/>
          <w:sz w:val="24"/>
          <w:szCs w:val="24"/>
          <w:lang w:eastAsia="en-GB"/>
        </w:rPr>
      </w:pPr>
    </w:p>
    <w:p w:rsidR="00774FAC" w:rsidRPr="003A377E" w:rsidRDefault="00554BFB" w:rsidP="00EE3D98">
      <w:pPr>
        <w:pStyle w:val="ListParagraph"/>
        <w:numPr>
          <w:ilvl w:val="1"/>
          <w:numId w:val="36"/>
        </w:numPr>
        <w:spacing w:before="120" w:line="360" w:lineRule="auto"/>
        <w:ind w:left="709" w:hanging="709"/>
        <w:jc w:val="both"/>
        <w:rPr>
          <w:rFonts w:ascii="Times New Roman" w:eastAsia="Times New Roman" w:hAnsi="Times New Roman" w:cs="Times New Roman"/>
          <w:color w:val="000000"/>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The Committee is of the view</w:t>
      </w:r>
      <w:r w:rsidR="00A25DA1" w:rsidRPr="003A377E">
        <w:rPr>
          <w:rFonts w:ascii="Times New Roman" w:eastAsia="Times New Roman" w:hAnsi="Times New Roman" w:cs="Times New Roman"/>
          <w:color w:val="000000"/>
          <w:spacing w:val="6"/>
          <w:sz w:val="24"/>
          <w:szCs w:val="24"/>
          <w:lang w:eastAsia="en-GB"/>
        </w:rPr>
        <w:t xml:space="preserve"> that</w:t>
      </w:r>
      <w:r w:rsidR="008B335C" w:rsidRPr="003A377E">
        <w:rPr>
          <w:rFonts w:ascii="Times New Roman" w:eastAsia="Times New Roman" w:hAnsi="Times New Roman" w:cs="Times New Roman"/>
          <w:color w:val="000000"/>
          <w:spacing w:val="6"/>
          <w:sz w:val="24"/>
          <w:szCs w:val="24"/>
          <w:lang w:eastAsia="en-GB"/>
        </w:rPr>
        <w:t>,</w:t>
      </w:r>
      <w:r w:rsidR="00A25DA1" w:rsidRPr="003A377E">
        <w:rPr>
          <w:rFonts w:ascii="Times New Roman" w:eastAsia="Times New Roman" w:hAnsi="Times New Roman" w:cs="Times New Roman"/>
          <w:color w:val="000000"/>
          <w:spacing w:val="6"/>
          <w:sz w:val="24"/>
          <w:szCs w:val="24"/>
          <w:lang w:eastAsia="en-GB"/>
        </w:rPr>
        <w:t xml:space="preserve"> before the School Infrastructure Backlog</w:t>
      </w:r>
      <w:r w:rsidR="008B335C" w:rsidRPr="003A377E">
        <w:rPr>
          <w:rFonts w:ascii="Times New Roman" w:eastAsia="Times New Roman" w:hAnsi="Times New Roman" w:cs="Times New Roman"/>
          <w:color w:val="000000"/>
          <w:spacing w:val="6"/>
          <w:sz w:val="24"/>
          <w:szCs w:val="24"/>
          <w:lang w:eastAsia="en-GB"/>
        </w:rPr>
        <w:t>s</w:t>
      </w:r>
      <w:r w:rsidR="001C42FF" w:rsidRPr="003A377E">
        <w:rPr>
          <w:rFonts w:ascii="Times New Roman" w:eastAsia="Times New Roman" w:hAnsi="Times New Roman" w:cs="Times New Roman"/>
          <w:color w:val="000000"/>
          <w:spacing w:val="6"/>
          <w:sz w:val="24"/>
          <w:szCs w:val="24"/>
          <w:lang w:eastAsia="en-GB"/>
        </w:rPr>
        <w:t xml:space="preserve"> Grant </w:t>
      </w:r>
      <w:r w:rsidR="008B335C" w:rsidRPr="003A377E">
        <w:rPr>
          <w:rFonts w:ascii="Times New Roman" w:eastAsia="Times New Roman" w:hAnsi="Times New Roman" w:cs="Times New Roman"/>
          <w:color w:val="000000"/>
          <w:spacing w:val="6"/>
          <w:sz w:val="24"/>
          <w:szCs w:val="24"/>
          <w:lang w:eastAsia="en-GB"/>
        </w:rPr>
        <w:t xml:space="preserve">(SIBG) </w:t>
      </w:r>
      <w:r w:rsidR="001C42FF" w:rsidRPr="003A377E">
        <w:rPr>
          <w:rFonts w:ascii="Times New Roman" w:eastAsia="Times New Roman" w:hAnsi="Times New Roman" w:cs="Times New Roman"/>
          <w:color w:val="000000"/>
          <w:spacing w:val="6"/>
          <w:sz w:val="24"/>
          <w:szCs w:val="24"/>
          <w:lang w:eastAsia="en-GB"/>
        </w:rPr>
        <w:t xml:space="preserve">is </w:t>
      </w:r>
      <w:r w:rsidR="008B335C" w:rsidRPr="003A377E">
        <w:rPr>
          <w:rFonts w:ascii="Times New Roman" w:eastAsia="Times New Roman" w:hAnsi="Times New Roman" w:cs="Times New Roman"/>
          <w:color w:val="000000"/>
          <w:spacing w:val="6"/>
          <w:sz w:val="24"/>
          <w:szCs w:val="24"/>
          <w:lang w:eastAsia="en-GB"/>
        </w:rPr>
        <w:t xml:space="preserve">incorporated into the </w:t>
      </w:r>
      <w:r w:rsidR="00A25DA1" w:rsidRPr="003A377E">
        <w:rPr>
          <w:rFonts w:ascii="Times New Roman" w:eastAsia="Times New Roman" w:hAnsi="Times New Roman" w:cs="Times New Roman"/>
          <w:color w:val="000000"/>
          <w:spacing w:val="6"/>
          <w:sz w:val="24"/>
          <w:szCs w:val="24"/>
          <w:lang w:eastAsia="en-GB"/>
        </w:rPr>
        <w:t>Education Infrastructure Grant</w:t>
      </w:r>
      <w:r w:rsidR="000D4022" w:rsidRPr="003A377E">
        <w:rPr>
          <w:rFonts w:ascii="Times New Roman" w:eastAsia="Times New Roman" w:hAnsi="Times New Roman" w:cs="Times New Roman"/>
          <w:color w:val="000000"/>
          <w:spacing w:val="6"/>
          <w:sz w:val="24"/>
          <w:szCs w:val="24"/>
          <w:lang w:eastAsia="en-GB"/>
        </w:rPr>
        <w:t>;</w:t>
      </w:r>
      <w:r w:rsidR="00A25DA1" w:rsidRPr="003A377E">
        <w:rPr>
          <w:rFonts w:ascii="Times New Roman" w:eastAsia="Times New Roman" w:hAnsi="Times New Roman" w:cs="Times New Roman"/>
          <w:color w:val="000000"/>
          <w:spacing w:val="6"/>
          <w:sz w:val="24"/>
          <w:szCs w:val="24"/>
          <w:lang w:eastAsia="en-GB"/>
        </w:rPr>
        <w:t xml:space="preserve"> the Department of Basic E</w:t>
      </w:r>
      <w:r w:rsidRPr="003A377E">
        <w:rPr>
          <w:rFonts w:ascii="Times New Roman" w:eastAsia="Times New Roman" w:hAnsi="Times New Roman" w:cs="Times New Roman"/>
          <w:color w:val="000000"/>
          <w:spacing w:val="6"/>
          <w:sz w:val="24"/>
          <w:szCs w:val="24"/>
          <w:lang w:eastAsia="en-GB"/>
        </w:rPr>
        <w:t>ducation should table a status</w:t>
      </w:r>
      <w:r w:rsidR="00A25DA1" w:rsidRPr="003A377E">
        <w:rPr>
          <w:rFonts w:ascii="Times New Roman" w:eastAsia="Times New Roman" w:hAnsi="Times New Roman" w:cs="Times New Roman"/>
          <w:color w:val="000000"/>
          <w:spacing w:val="6"/>
          <w:sz w:val="24"/>
          <w:szCs w:val="24"/>
          <w:lang w:eastAsia="en-GB"/>
        </w:rPr>
        <w:t xml:space="preserve"> report </w:t>
      </w:r>
      <w:r w:rsidR="00345D50" w:rsidRPr="003A377E">
        <w:rPr>
          <w:rFonts w:ascii="Times New Roman" w:eastAsia="Times New Roman" w:hAnsi="Times New Roman" w:cs="Times New Roman"/>
          <w:color w:val="000000"/>
          <w:spacing w:val="6"/>
          <w:sz w:val="24"/>
          <w:szCs w:val="24"/>
          <w:lang w:eastAsia="en-GB"/>
        </w:rPr>
        <w:t>in</w:t>
      </w:r>
      <w:r w:rsidR="0023392B" w:rsidRPr="003A377E">
        <w:rPr>
          <w:rFonts w:ascii="Times New Roman" w:eastAsia="Times New Roman" w:hAnsi="Times New Roman" w:cs="Times New Roman"/>
          <w:color w:val="000000"/>
          <w:spacing w:val="6"/>
          <w:sz w:val="24"/>
          <w:szCs w:val="24"/>
          <w:lang w:eastAsia="en-GB"/>
        </w:rPr>
        <w:t xml:space="preserve"> Parliament </w:t>
      </w:r>
      <w:r w:rsidR="008B335C" w:rsidRPr="003A377E">
        <w:rPr>
          <w:rFonts w:ascii="Times New Roman" w:eastAsia="Times New Roman" w:hAnsi="Times New Roman" w:cs="Times New Roman"/>
          <w:color w:val="000000"/>
          <w:spacing w:val="6"/>
          <w:sz w:val="24"/>
          <w:szCs w:val="24"/>
          <w:lang w:eastAsia="en-GB"/>
        </w:rPr>
        <w:t>on s</w:t>
      </w:r>
      <w:r w:rsidR="00A25DA1" w:rsidRPr="003A377E">
        <w:rPr>
          <w:rFonts w:ascii="Times New Roman" w:eastAsia="Times New Roman" w:hAnsi="Times New Roman" w:cs="Times New Roman"/>
          <w:color w:val="000000"/>
          <w:spacing w:val="6"/>
          <w:sz w:val="24"/>
          <w:szCs w:val="24"/>
          <w:lang w:eastAsia="en-GB"/>
        </w:rPr>
        <w:t>chool</w:t>
      </w:r>
      <w:r w:rsidR="008B335C" w:rsidRPr="003A377E">
        <w:rPr>
          <w:rFonts w:ascii="Times New Roman" w:eastAsia="Times New Roman" w:hAnsi="Times New Roman" w:cs="Times New Roman"/>
          <w:color w:val="000000"/>
          <w:spacing w:val="6"/>
          <w:sz w:val="24"/>
          <w:szCs w:val="24"/>
          <w:lang w:eastAsia="en-GB"/>
        </w:rPr>
        <w:t xml:space="preserve"> infrastructure b</w:t>
      </w:r>
      <w:r w:rsidR="00A25DA1" w:rsidRPr="003A377E">
        <w:rPr>
          <w:rFonts w:ascii="Times New Roman" w:eastAsia="Times New Roman" w:hAnsi="Times New Roman" w:cs="Times New Roman"/>
          <w:color w:val="000000"/>
          <w:spacing w:val="6"/>
          <w:sz w:val="24"/>
          <w:szCs w:val="24"/>
          <w:lang w:eastAsia="en-GB"/>
        </w:rPr>
        <w:t>acklog</w:t>
      </w:r>
      <w:r w:rsidR="008B335C" w:rsidRPr="003A377E">
        <w:rPr>
          <w:rFonts w:ascii="Times New Roman" w:eastAsia="Times New Roman" w:hAnsi="Times New Roman" w:cs="Times New Roman"/>
          <w:color w:val="000000"/>
          <w:spacing w:val="6"/>
          <w:sz w:val="24"/>
          <w:szCs w:val="24"/>
          <w:lang w:eastAsia="en-GB"/>
        </w:rPr>
        <w:t>s</w:t>
      </w:r>
      <w:r w:rsidR="00A25DA1" w:rsidRPr="003A377E">
        <w:rPr>
          <w:rFonts w:ascii="Times New Roman" w:eastAsia="Times New Roman" w:hAnsi="Times New Roman" w:cs="Times New Roman"/>
          <w:color w:val="000000"/>
          <w:spacing w:val="6"/>
          <w:sz w:val="24"/>
          <w:szCs w:val="24"/>
          <w:lang w:eastAsia="en-GB"/>
        </w:rPr>
        <w:t xml:space="preserve"> and pit latrine</w:t>
      </w:r>
      <w:r w:rsidR="008B335C" w:rsidRPr="003A377E">
        <w:rPr>
          <w:rFonts w:ascii="Times New Roman" w:eastAsia="Times New Roman" w:hAnsi="Times New Roman" w:cs="Times New Roman"/>
          <w:color w:val="000000"/>
          <w:spacing w:val="6"/>
          <w:sz w:val="24"/>
          <w:szCs w:val="24"/>
          <w:lang w:eastAsia="en-GB"/>
        </w:rPr>
        <w:t>s</w:t>
      </w:r>
      <w:r w:rsidR="00A25DA1" w:rsidRPr="003A377E">
        <w:rPr>
          <w:rFonts w:ascii="Times New Roman" w:eastAsia="Times New Roman" w:hAnsi="Times New Roman" w:cs="Times New Roman"/>
          <w:color w:val="000000"/>
          <w:spacing w:val="6"/>
          <w:sz w:val="24"/>
          <w:szCs w:val="24"/>
          <w:lang w:eastAsia="en-GB"/>
        </w:rPr>
        <w:t xml:space="preserve"> around the country, particularly in the Eastern Cape where </w:t>
      </w:r>
      <w:r w:rsidR="008B335C" w:rsidRPr="003A377E">
        <w:rPr>
          <w:rFonts w:ascii="Times New Roman" w:eastAsia="Times New Roman" w:hAnsi="Times New Roman" w:cs="Times New Roman"/>
          <w:color w:val="000000"/>
          <w:spacing w:val="6"/>
          <w:sz w:val="24"/>
          <w:szCs w:val="24"/>
          <w:lang w:eastAsia="en-GB"/>
        </w:rPr>
        <w:t xml:space="preserve">the </w:t>
      </w:r>
      <w:r w:rsidR="00A25DA1" w:rsidRPr="003A377E">
        <w:rPr>
          <w:rFonts w:ascii="Times New Roman" w:eastAsia="Times New Roman" w:hAnsi="Times New Roman" w:cs="Times New Roman"/>
          <w:color w:val="000000"/>
          <w:spacing w:val="6"/>
          <w:sz w:val="24"/>
          <w:szCs w:val="24"/>
          <w:lang w:eastAsia="en-GB"/>
        </w:rPr>
        <w:t>backlog of inappropriate structure</w:t>
      </w:r>
      <w:r w:rsidRPr="003A377E">
        <w:rPr>
          <w:rFonts w:ascii="Times New Roman" w:eastAsia="Times New Roman" w:hAnsi="Times New Roman" w:cs="Times New Roman"/>
          <w:color w:val="000000"/>
          <w:spacing w:val="6"/>
          <w:sz w:val="24"/>
          <w:szCs w:val="24"/>
          <w:lang w:eastAsia="en-GB"/>
        </w:rPr>
        <w:t>s</w:t>
      </w:r>
      <w:r w:rsidR="00A25DA1" w:rsidRPr="003A377E">
        <w:rPr>
          <w:rFonts w:ascii="Times New Roman" w:eastAsia="Times New Roman" w:hAnsi="Times New Roman" w:cs="Times New Roman"/>
          <w:color w:val="000000"/>
          <w:spacing w:val="6"/>
          <w:sz w:val="24"/>
          <w:szCs w:val="24"/>
          <w:lang w:eastAsia="en-GB"/>
        </w:rPr>
        <w:t xml:space="preserve"> amounted to more than 500 in 2009. The Department should also table a clear plan </w:t>
      </w:r>
      <w:r w:rsidR="00345D50" w:rsidRPr="003A377E">
        <w:rPr>
          <w:rFonts w:ascii="Times New Roman" w:eastAsia="Times New Roman" w:hAnsi="Times New Roman" w:cs="Times New Roman"/>
          <w:color w:val="000000"/>
          <w:spacing w:val="6"/>
          <w:sz w:val="24"/>
          <w:szCs w:val="24"/>
          <w:lang w:eastAsia="en-GB"/>
        </w:rPr>
        <w:t xml:space="preserve">in Parliament </w:t>
      </w:r>
      <w:r w:rsidR="00A25DA1" w:rsidRPr="003A377E">
        <w:rPr>
          <w:rFonts w:ascii="Times New Roman" w:eastAsia="Times New Roman" w:hAnsi="Times New Roman" w:cs="Times New Roman"/>
          <w:color w:val="000000"/>
          <w:spacing w:val="6"/>
          <w:sz w:val="24"/>
          <w:szCs w:val="24"/>
          <w:lang w:eastAsia="en-GB"/>
        </w:rPr>
        <w:t xml:space="preserve">on </w:t>
      </w:r>
      <w:r w:rsidRPr="003A377E">
        <w:rPr>
          <w:rFonts w:ascii="Times New Roman" w:eastAsia="Times New Roman" w:hAnsi="Times New Roman" w:cs="Times New Roman"/>
          <w:color w:val="000000"/>
          <w:spacing w:val="6"/>
          <w:sz w:val="24"/>
          <w:szCs w:val="24"/>
          <w:lang w:eastAsia="en-GB"/>
        </w:rPr>
        <w:t>h</w:t>
      </w:r>
      <w:r w:rsidR="008B335C" w:rsidRPr="003A377E">
        <w:rPr>
          <w:rFonts w:ascii="Times New Roman" w:eastAsia="Times New Roman" w:hAnsi="Times New Roman" w:cs="Times New Roman"/>
          <w:color w:val="000000"/>
          <w:spacing w:val="6"/>
          <w:sz w:val="24"/>
          <w:szCs w:val="24"/>
          <w:lang w:eastAsia="en-GB"/>
        </w:rPr>
        <w:t xml:space="preserve">ow it intends incorporating the SIBG </w:t>
      </w:r>
      <w:r w:rsidR="00A25DA1" w:rsidRPr="003A377E">
        <w:rPr>
          <w:rFonts w:ascii="Times New Roman" w:eastAsia="Times New Roman" w:hAnsi="Times New Roman" w:cs="Times New Roman"/>
          <w:color w:val="000000"/>
          <w:spacing w:val="6"/>
          <w:sz w:val="24"/>
          <w:szCs w:val="24"/>
          <w:lang w:eastAsia="en-GB"/>
        </w:rPr>
        <w:t xml:space="preserve">without compromising </w:t>
      </w:r>
      <w:r w:rsidR="008B335C" w:rsidRPr="003A377E">
        <w:rPr>
          <w:rFonts w:ascii="Times New Roman" w:eastAsia="Times New Roman" w:hAnsi="Times New Roman" w:cs="Times New Roman"/>
          <w:color w:val="000000"/>
          <w:spacing w:val="6"/>
          <w:sz w:val="24"/>
          <w:szCs w:val="24"/>
          <w:lang w:eastAsia="en-GB"/>
        </w:rPr>
        <w:t xml:space="preserve">its </w:t>
      </w:r>
      <w:r w:rsidR="00A25DA1" w:rsidRPr="003A377E">
        <w:rPr>
          <w:rFonts w:ascii="Times New Roman" w:eastAsia="Times New Roman" w:hAnsi="Times New Roman" w:cs="Times New Roman"/>
          <w:color w:val="000000"/>
          <w:spacing w:val="6"/>
          <w:sz w:val="24"/>
          <w:szCs w:val="24"/>
          <w:lang w:eastAsia="en-GB"/>
        </w:rPr>
        <w:t>fundamental principles and objectives</w:t>
      </w:r>
      <w:r w:rsidRPr="003A377E">
        <w:rPr>
          <w:rFonts w:ascii="Times New Roman" w:eastAsia="Times New Roman" w:hAnsi="Times New Roman" w:cs="Times New Roman"/>
          <w:color w:val="000000"/>
          <w:spacing w:val="6"/>
          <w:sz w:val="24"/>
          <w:szCs w:val="24"/>
          <w:lang w:eastAsia="en-GB"/>
        </w:rPr>
        <w:t>.</w:t>
      </w:r>
    </w:p>
    <w:p w:rsidR="00774FAC" w:rsidRPr="003A377E" w:rsidRDefault="00774FAC" w:rsidP="006B30A6">
      <w:pPr>
        <w:pStyle w:val="ListParagraph"/>
        <w:rPr>
          <w:rFonts w:ascii="Times New Roman" w:eastAsia="Times New Roman" w:hAnsi="Times New Roman" w:cs="Times New Roman"/>
          <w:color w:val="000000"/>
          <w:spacing w:val="6"/>
          <w:sz w:val="24"/>
          <w:szCs w:val="24"/>
          <w:lang w:val="en-GB" w:eastAsia="en-GB"/>
        </w:rPr>
      </w:pPr>
    </w:p>
    <w:p w:rsidR="00EF7F0C" w:rsidRPr="003A377E" w:rsidRDefault="00892A24" w:rsidP="00EE3D98">
      <w:pPr>
        <w:pStyle w:val="ListParagraph"/>
        <w:numPr>
          <w:ilvl w:val="1"/>
          <w:numId w:val="36"/>
        </w:numPr>
        <w:spacing w:before="120" w:line="360" w:lineRule="auto"/>
        <w:ind w:left="709" w:hanging="709"/>
        <w:jc w:val="both"/>
        <w:rPr>
          <w:rFonts w:ascii="Times New Roman" w:eastAsia="Times New Roman" w:hAnsi="Times New Roman" w:cs="Times New Roman"/>
          <w:spacing w:val="6"/>
          <w:sz w:val="24"/>
          <w:szCs w:val="24"/>
          <w:lang w:val="en-GB" w:eastAsia="en-GB"/>
        </w:rPr>
      </w:pPr>
      <w:r w:rsidRPr="003A377E">
        <w:rPr>
          <w:rFonts w:ascii="Times New Roman" w:eastAsia="Times New Roman" w:hAnsi="Times New Roman" w:cs="Times New Roman"/>
          <w:color w:val="000000"/>
          <w:spacing w:val="6"/>
          <w:sz w:val="24"/>
          <w:szCs w:val="24"/>
          <w:lang w:val="en-GB" w:eastAsia="en-GB"/>
        </w:rPr>
        <w:t>The</w:t>
      </w:r>
      <w:r w:rsidR="00A25DA1" w:rsidRPr="003A377E">
        <w:rPr>
          <w:rFonts w:ascii="Times New Roman" w:eastAsia="Times New Roman" w:hAnsi="Times New Roman" w:cs="Times New Roman"/>
          <w:color w:val="000000"/>
          <w:spacing w:val="6"/>
          <w:sz w:val="24"/>
          <w:szCs w:val="24"/>
          <w:lang w:val="en-GB" w:eastAsia="en-GB"/>
        </w:rPr>
        <w:t xml:space="preserve"> Department of </w:t>
      </w:r>
      <w:r w:rsidR="00673D02" w:rsidRPr="003A377E">
        <w:rPr>
          <w:rFonts w:ascii="Times New Roman" w:eastAsia="Times New Roman" w:hAnsi="Times New Roman" w:cs="Times New Roman"/>
          <w:color w:val="000000"/>
          <w:spacing w:val="6"/>
          <w:sz w:val="24"/>
          <w:szCs w:val="24"/>
          <w:lang w:val="en-GB" w:eastAsia="en-GB"/>
        </w:rPr>
        <w:t>Basic Education</w:t>
      </w:r>
      <w:r w:rsidR="00A25DA1" w:rsidRPr="003A377E">
        <w:rPr>
          <w:rFonts w:ascii="Times New Roman" w:eastAsia="Times New Roman" w:hAnsi="Times New Roman" w:cs="Times New Roman"/>
          <w:color w:val="000000"/>
          <w:spacing w:val="6"/>
          <w:sz w:val="24"/>
          <w:szCs w:val="24"/>
          <w:lang w:val="en-GB" w:eastAsia="en-GB"/>
        </w:rPr>
        <w:t>, National Treasury and provincial treasuries</w:t>
      </w:r>
      <w:r w:rsidR="00513B12" w:rsidRPr="003A377E">
        <w:rPr>
          <w:rFonts w:ascii="Times New Roman" w:eastAsia="Times New Roman" w:hAnsi="Times New Roman" w:cs="Times New Roman"/>
          <w:color w:val="000000"/>
          <w:spacing w:val="6"/>
          <w:sz w:val="24"/>
          <w:szCs w:val="24"/>
          <w:lang w:val="en-GB" w:eastAsia="en-GB"/>
        </w:rPr>
        <w:t xml:space="preserve"> should</w:t>
      </w:r>
      <w:r w:rsidR="00A25DA1" w:rsidRPr="003A377E">
        <w:rPr>
          <w:rFonts w:ascii="Times New Roman" w:eastAsia="Times New Roman" w:hAnsi="Times New Roman" w:cs="Times New Roman"/>
          <w:color w:val="000000"/>
          <w:spacing w:val="6"/>
          <w:sz w:val="24"/>
          <w:szCs w:val="24"/>
          <w:lang w:val="en-GB" w:eastAsia="en-GB"/>
        </w:rPr>
        <w:t xml:space="preserve"> ensure that</w:t>
      </w:r>
      <w:r w:rsidR="00542EBD" w:rsidRPr="003A377E">
        <w:rPr>
          <w:rFonts w:ascii="Times New Roman" w:eastAsia="Times New Roman" w:hAnsi="Times New Roman" w:cs="Times New Roman"/>
          <w:color w:val="000000"/>
          <w:spacing w:val="6"/>
          <w:sz w:val="24"/>
          <w:szCs w:val="24"/>
          <w:lang w:val="en-GB" w:eastAsia="en-GB"/>
        </w:rPr>
        <w:t xml:space="preserve"> provincial</w:t>
      </w:r>
      <w:r w:rsidR="00154A61" w:rsidRPr="003A377E">
        <w:rPr>
          <w:rFonts w:ascii="Times New Roman" w:eastAsia="Times New Roman" w:hAnsi="Times New Roman" w:cs="Times New Roman"/>
          <w:color w:val="000000"/>
          <w:spacing w:val="6"/>
          <w:sz w:val="24"/>
          <w:szCs w:val="24"/>
          <w:lang w:val="en-GB" w:eastAsia="en-GB"/>
        </w:rPr>
        <w:t xml:space="preserve"> education</w:t>
      </w:r>
      <w:r w:rsidR="00513B12" w:rsidRPr="003A377E">
        <w:rPr>
          <w:rFonts w:ascii="Times New Roman" w:eastAsia="Times New Roman" w:hAnsi="Times New Roman" w:cs="Times New Roman"/>
          <w:color w:val="000000"/>
          <w:spacing w:val="6"/>
          <w:sz w:val="24"/>
          <w:szCs w:val="24"/>
          <w:lang w:val="en-GB" w:eastAsia="en-GB"/>
        </w:rPr>
        <w:t xml:space="preserve"> departments</w:t>
      </w:r>
      <w:r w:rsidR="00154A61" w:rsidRPr="003A377E">
        <w:rPr>
          <w:rFonts w:ascii="Times New Roman" w:eastAsia="Times New Roman" w:hAnsi="Times New Roman" w:cs="Times New Roman"/>
          <w:color w:val="000000"/>
          <w:spacing w:val="6"/>
          <w:sz w:val="24"/>
          <w:szCs w:val="24"/>
          <w:lang w:val="en-GB" w:eastAsia="en-GB"/>
        </w:rPr>
        <w:t xml:space="preserve"> put</w:t>
      </w:r>
      <w:r w:rsidR="00A25DA1" w:rsidRPr="003A377E">
        <w:rPr>
          <w:rFonts w:ascii="Times New Roman" w:eastAsia="Times New Roman" w:hAnsi="Times New Roman" w:cs="Times New Roman"/>
          <w:color w:val="000000"/>
          <w:spacing w:val="6"/>
          <w:sz w:val="24"/>
          <w:szCs w:val="24"/>
          <w:lang w:val="en-GB" w:eastAsia="en-GB"/>
        </w:rPr>
        <w:t xml:space="preserve"> proper systems</w:t>
      </w:r>
      <w:r w:rsidR="00501FB1" w:rsidRPr="003A377E">
        <w:rPr>
          <w:rFonts w:ascii="Times New Roman" w:eastAsia="Times New Roman" w:hAnsi="Times New Roman" w:cs="Times New Roman"/>
          <w:color w:val="000000"/>
          <w:spacing w:val="6"/>
          <w:sz w:val="24"/>
          <w:szCs w:val="24"/>
          <w:lang w:val="en-GB" w:eastAsia="en-GB"/>
        </w:rPr>
        <w:t xml:space="preserve"> in place</w:t>
      </w:r>
      <w:r w:rsidR="00A25DA1" w:rsidRPr="003A377E">
        <w:rPr>
          <w:rFonts w:ascii="Times New Roman" w:eastAsia="Times New Roman" w:hAnsi="Times New Roman" w:cs="Times New Roman"/>
          <w:color w:val="000000"/>
          <w:spacing w:val="6"/>
          <w:sz w:val="24"/>
          <w:szCs w:val="24"/>
          <w:lang w:val="en-GB" w:eastAsia="en-GB"/>
        </w:rPr>
        <w:t xml:space="preserve"> to ensure effective administratio</w:t>
      </w:r>
      <w:r w:rsidR="004E75E4" w:rsidRPr="003A377E">
        <w:rPr>
          <w:rFonts w:ascii="Times New Roman" w:eastAsia="Times New Roman" w:hAnsi="Times New Roman" w:cs="Times New Roman"/>
          <w:color w:val="000000"/>
          <w:spacing w:val="6"/>
          <w:sz w:val="24"/>
          <w:szCs w:val="24"/>
          <w:lang w:val="en-GB" w:eastAsia="en-GB"/>
        </w:rPr>
        <w:t xml:space="preserve">n of the R3.7 </w:t>
      </w:r>
      <w:r w:rsidR="005C35D4" w:rsidRPr="003A377E">
        <w:rPr>
          <w:rFonts w:ascii="Times New Roman" w:eastAsia="Times New Roman" w:hAnsi="Times New Roman" w:cs="Times New Roman"/>
          <w:color w:val="000000"/>
          <w:spacing w:val="6"/>
          <w:sz w:val="24"/>
          <w:szCs w:val="24"/>
          <w:lang w:val="en-GB" w:eastAsia="en-GB"/>
        </w:rPr>
        <w:t>billion for</w:t>
      </w:r>
      <w:r w:rsidR="004E75E4" w:rsidRPr="003A377E">
        <w:rPr>
          <w:rFonts w:ascii="Times New Roman" w:eastAsia="Times New Roman" w:hAnsi="Times New Roman" w:cs="Times New Roman"/>
          <w:color w:val="000000"/>
          <w:spacing w:val="6"/>
          <w:sz w:val="24"/>
          <w:szCs w:val="24"/>
          <w:lang w:val="en-GB" w:eastAsia="en-GB"/>
        </w:rPr>
        <w:t xml:space="preserve"> the Early Childhood Development </w:t>
      </w:r>
      <w:r w:rsidR="0048448F" w:rsidRPr="003A377E">
        <w:rPr>
          <w:rFonts w:ascii="Times New Roman" w:eastAsia="Times New Roman" w:hAnsi="Times New Roman" w:cs="Times New Roman"/>
          <w:color w:val="000000"/>
          <w:spacing w:val="6"/>
          <w:sz w:val="24"/>
          <w:szCs w:val="24"/>
          <w:lang w:val="en-GB" w:eastAsia="en-GB"/>
        </w:rPr>
        <w:t xml:space="preserve">(ECD) </w:t>
      </w:r>
      <w:r w:rsidR="004E75E4" w:rsidRPr="003A377E">
        <w:rPr>
          <w:rFonts w:ascii="Times New Roman" w:eastAsia="Times New Roman" w:hAnsi="Times New Roman" w:cs="Times New Roman"/>
          <w:color w:val="000000"/>
          <w:spacing w:val="6"/>
          <w:sz w:val="24"/>
          <w:szCs w:val="24"/>
          <w:lang w:val="en-GB" w:eastAsia="en-GB"/>
        </w:rPr>
        <w:t>P</w:t>
      </w:r>
      <w:r w:rsidR="00D5676E" w:rsidRPr="003A377E">
        <w:rPr>
          <w:rFonts w:ascii="Times New Roman" w:eastAsia="Times New Roman" w:hAnsi="Times New Roman" w:cs="Times New Roman"/>
          <w:color w:val="000000"/>
          <w:spacing w:val="6"/>
          <w:sz w:val="24"/>
          <w:szCs w:val="24"/>
          <w:lang w:val="en-GB" w:eastAsia="en-GB"/>
        </w:rPr>
        <w:t>rogramme</w:t>
      </w:r>
      <w:r w:rsidR="00513B12" w:rsidRPr="003A377E">
        <w:rPr>
          <w:rFonts w:ascii="Times New Roman" w:eastAsia="Times New Roman" w:hAnsi="Times New Roman" w:cs="Times New Roman"/>
          <w:color w:val="000000"/>
          <w:spacing w:val="6"/>
          <w:sz w:val="24"/>
          <w:szCs w:val="24"/>
          <w:lang w:val="en-GB" w:eastAsia="en-GB"/>
        </w:rPr>
        <w:t>,</w:t>
      </w:r>
      <w:r w:rsidR="00D5676E" w:rsidRPr="003A377E">
        <w:rPr>
          <w:rFonts w:ascii="Times New Roman" w:eastAsia="Times New Roman" w:hAnsi="Times New Roman" w:cs="Times New Roman"/>
          <w:color w:val="000000"/>
          <w:spacing w:val="6"/>
          <w:sz w:val="24"/>
          <w:szCs w:val="24"/>
          <w:lang w:val="en-GB" w:eastAsia="en-GB"/>
        </w:rPr>
        <w:t xml:space="preserve"> including </w:t>
      </w:r>
      <w:r w:rsidR="00513B12" w:rsidRPr="003A377E">
        <w:rPr>
          <w:rFonts w:ascii="Times New Roman" w:eastAsia="Times New Roman" w:hAnsi="Times New Roman" w:cs="Times New Roman"/>
          <w:color w:val="000000"/>
          <w:spacing w:val="6"/>
          <w:sz w:val="24"/>
          <w:szCs w:val="24"/>
          <w:lang w:val="en-GB" w:eastAsia="en-GB"/>
        </w:rPr>
        <w:t xml:space="preserve">a </w:t>
      </w:r>
      <w:r w:rsidR="00D5676E" w:rsidRPr="003A377E">
        <w:rPr>
          <w:rFonts w:ascii="Times New Roman" w:eastAsia="Times New Roman" w:hAnsi="Times New Roman" w:cs="Times New Roman"/>
          <w:color w:val="000000"/>
          <w:spacing w:val="6"/>
          <w:sz w:val="24"/>
          <w:szCs w:val="24"/>
          <w:lang w:val="en-GB" w:eastAsia="en-GB"/>
        </w:rPr>
        <w:t xml:space="preserve">smooth </w:t>
      </w:r>
      <w:r w:rsidR="00A25DA1" w:rsidRPr="003A377E">
        <w:rPr>
          <w:rFonts w:ascii="Times New Roman" w:eastAsia="Times New Roman" w:hAnsi="Times New Roman" w:cs="Times New Roman"/>
          <w:color w:val="000000"/>
          <w:spacing w:val="6"/>
          <w:sz w:val="24"/>
          <w:szCs w:val="24"/>
          <w:lang w:val="en-GB" w:eastAsia="en-GB"/>
        </w:rPr>
        <w:t>function shift. The Committee is of the view that</w:t>
      </w:r>
      <w:r w:rsidR="00513B12" w:rsidRPr="003A377E">
        <w:rPr>
          <w:rFonts w:ascii="Times New Roman" w:eastAsia="Times New Roman" w:hAnsi="Times New Roman" w:cs="Times New Roman"/>
          <w:color w:val="000000"/>
          <w:spacing w:val="6"/>
          <w:sz w:val="24"/>
          <w:szCs w:val="24"/>
          <w:lang w:val="en-GB" w:eastAsia="en-GB"/>
        </w:rPr>
        <w:t>,</w:t>
      </w:r>
      <w:r w:rsidR="00A25DA1" w:rsidRPr="003A377E">
        <w:rPr>
          <w:rFonts w:ascii="Times New Roman" w:eastAsia="Times New Roman" w:hAnsi="Times New Roman" w:cs="Times New Roman"/>
          <w:color w:val="000000"/>
          <w:spacing w:val="6"/>
          <w:sz w:val="24"/>
          <w:szCs w:val="24"/>
          <w:lang w:val="en-GB" w:eastAsia="en-GB"/>
        </w:rPr>
        <w:t xml:space="preserve"> for government to improve</w:t>
      </w:r>
      <w:r w:rsidR="00513B12" w:rsidRPr="003A377E">
        <w:rPr>
          <w:rFonts w:ascii="Times New Roman" w:eastAsia="Times New Roman" w:hAnsi="Times New Roman" w:cs="Times New Roman"/>
          <w:color w:val="000000"/>
          <w:spacing w:val="6"/>
          <w:sz w:val="24"/>
          <w:szCs w:val="24"/>
          <w:lang w:val="en-GB" w:eastAsia="en-GB"/>
        </w:rPr>
        <w:t xml:space="preserve"> the</w:t>
      </w:r>
      <w:r w:rsidR="00A25DA1" w:rsidRPr="003A377E">
        <w:rPr>
          <w:rFonts w:ascii="Times New Roman" w:eastAsia="Times New Roman" w:hAnsi="Times New Roman" w:cs="Times New Roman"/>
          <w:color w:val="000000"/>
          <w:spacing w:val="6"/>
          <w:sz w:val="24"/>
          <w:szCs w:val="24"/>
          <w:lang w:eastAsia="en-GB"/>
        </w:rPr>
        <w:t xml:space="preserve"> quality of education</w:t>
      </w:r>
      <w:r w:rsidR="00513B12" w:rsidRPr="003A377E">
        <w:rPr>
          <w:rFonts w:ascii="Times New Roman" w:eastAsia="Times New Roman" w:hAnsi="Times New Roman" w:cs="Times New Roman"/>
          <w:color w:val="000000"/>
          <w:spacing w:val="6"/>
          <w:sz w:val="24"/>
          <w:szCs w:val="24"/>
          <w:lang w:eastAsia="en-GB"/>
        </w:rPr>
        <w:t>,</w:t>
      </w:r>
      <w:r w:rsidR="00A25DA1" w:rsidRPr="003A377E">
        <w:rPr>
          <w:rFonts w:ascii="Times New Roman" w:eastAsia="Times New Roman" w:hAnsi="Times New Roman" w:cs="Times New Roman"/>
          <w:color w:val="000000"/>
          <w:spacing w:val="6"/>
          <w:sz w:val="24"/>
          <w:szCs w:val="24"/>
          <w:lang w:eastAsia="en-GB"/>
        </w:rPr>
        <w:t xml:space="preserve"> </w:t>
      </w:r>
      <w:r w:rsidR="00513B12" w:rsidRPr="003A377E">
        <w:rPr>
          <w:rFonts w:ascii="Times New Roman" w:eastAsia="Times New Roman" w:hAnsi="Times New Roman" w:cs="Times New Roman"/>
          <w:color w:val="000000"/>
          <w:spacing w:val="6"/>
          <w:sz w:val="24"/>
          <w:szCs w:val="24"/>
          <w:lang w:eastAsia="en-GB"/>
        </w:rPr>
        <w:t xml:space="preserve">still </w:t>
      </w:r>
      <w:r w:rsidR="00A25DA1" w:rsidRPr="003A377E">
        <w:rPr>
          <w:rFonts w:ascii="Times New Roman" w:eastAsia="Times New Roman" w:hAnsi="Times New Roman" w:cs="Times New Roman"/>
          <w:color w:val="000000"/>
          <w:spacing w:val="6"/>
          <w:sz w:val="24"/>
          <w:szCs w:val="24"/>
          <w:lang w:eastAsia="en-GB"/>
        </w:rPr>
        <w:t xml:space="preserve">more investment is </w:t>
      </w:r>
      <w:r w:rsidR="00AF5883" w:rsidRPr="003A377E">
        <w:rPr>
          <w:rFonts w:ascii="Times New Roman" w:eastAsia="Times New Roman" w:hAnsi="Times New Roman" w:cs="Times New Roman"/>
          <w:color w:val="000000"/>
          <w:spacing w:val="6"/>
          <w:sz w:val="24"/>
          <w:szCs w:val="24"/>
          <w:lang w:eastAsia="en-GB"/>
        </w:rPr>
        <w:t>needed</w:t>
      </w:r>
      <w:r w:rsidR="00A25DA1" w:rsidRPr="003A377E">
        <w:rPr>
          <w:rFonts w:ascii="Times New Roman" w:eastAsia="Times New Roman" w:hAnsi="Times New Roman" w:cs="Times New Roman"/>
          <w:color w:val="000000"/>
          <w:spacing w:val="6"/>
          <w:sz w:val="24"/>
          <w:szCs w:val="24"/>
          <w:lang w:eastAsia="en-GB"/>
        </w:rPr>
        <w:t xml:space="preserve"> at the leve</w:t>
      </w:r>
      <w:r w:rsidR="00513B12" w:rsidRPr="003A377E">
        <w:rPr>
          <w:rFonts w:ascii="Times New Roman" w:eastAsia="Times New Roman" w:hAnsi="Times New Roman" w:cs="Times New Roman"/>
          <w:color w:val="000000"/>
          <w:spacing w:val="6"/>
          <w:sz w:val="24"/>
          <w:szCs w:val="24"/>
          <w:lang w:eastAsia="en-GB"/>
        </w:rPr>
        <w:t xml:space="preserve">l of </w:t>
      </w:r>
      <w:r w:rsidR="0033407F" w:rsidRPr="003A377E">
        <w:rPr>
          <w:rFonts w:ascii="Times New Roman" w:eastAsia="Times New Roman" w:hAnsi="Times New Roman" w:cs="Times New Roman"/>
          <w:color w:val="000000"/>
          <w:spacing w:val="6"/>
          <w:sz w:val="24"/>
          <w:szCs w:val="24"/>
          <w:lang w:eastAsia="en-GB"/>
        </w:rPr>
        <w:t>ECD</w:t>
      </w:r>
      <w:r w:rsidR="00A25DA1" w:rsidRPr="003A377E">
        <w:rPr>
          <w:rFonts w:ascii="Times New Roman" w:eastAsia="Times New Roman" w:hAnsi="Times New Roman" w:cs="Times New Roman"/>
          <w:color w:val="000000"/>
          <w:spacing w:val="6"/>
          <w:sz w:val="24"/>
          <w:szCs w:val="24"/>
          <w:lang w:eastAsia="en-GB"/>
        </w:rPr>
        <w:t>.</w:t>
      </w:r>
    </w:p>
    <w:p w:rsidR="00EF7F0C" w:rsidRPr="003A377E" w:rsidRDefault="001D7EBE" w:rsidP="00EF7F0C">
      <w:pPr>
        <w:pStyle w:val="ListParagraph"/>
        <w:spacing w:before="120" w:line="360" w:lineRule="auto"/>
        <w:ind w:left="709"/>
        <w:jc w:val="both"/>
        <w:rPr>
          <w:rFonts w:ascii="Times New Roman" w:eastAsia="Times New Roman" w:hAnsi="Times New Roman" w:cs="Times New Roman"/>
          <w:spacing w:val="6"/>
          <w:sz w:val="24"/>
          <w:szCs w:val="24"/>
          <w:lang w:val="en-GB" w:eastAsia="en-GB"/>
        </w:rPr>
      </w:pPr>
      <w:r w:rsidRPr="003A377E">
        <w:rPr>
          <w:rFonts w:ascii="Times New Roman" w:eastAsia="Times New Roman" w:hAnsi="Times New Roman" w:cs="Times New Roman"/>
          <w:color w:val="000000"/>
          <w:spacing w:val="6"/>
          <w:sz w:val="24"/>
          <w:szCs w:val="24"/>
          <w:lang w:eastAsia="en-GB"/>
        </w:rPr>
        <w:t xml:space="preserve"> </w:t>
      </w:r>
    </w:p>
    <w:p w:rsidR="00794DCA" w:rsidRPr="003A377E" w:rsidRDefault="00794DCA" w:rsidP="00EE3D98">
      <w:pPr>
        <w:pStyle w:val="ListParagraph"/>
        <w:numPr>
          <w:ilvl w:val="1"/>
          <w:numId w:val="36"/>
        </w:numPr>
        <w:spacing w:before="120" w:line="360" w:lineRule="auto"/>
        <w:ind w:left="709" w:hanging="709"/>
        <w:jc w:val="both"/>
        <w:rPr>
          <w:rFonts w:ascii="Times New Roman" w:eastAsia="Times New Roman" w:hAnsi="Times New Roman" w:cs="Times New Roman"/>
          <w:spacing w:val="6"/>
          <w:sz w:val="24"/>
          <w:szCs w:val="24"/>
          <w:lang w:val="en-GB" w:eastAsia="en-GB"/>
        </w:rPr>
      </w:pPr>
      <w:r w:rsidRPr="003A377E">
        <w:rPr>
          <w:rFonts w:ascii="Times New Roman" w:eastAsia="Times New Roman" w:hAnsi="Times New Roman" w:cs="Times New Roman"/>
          <w:spacing w:val="6"/>
          <w:sz w:val="24"/>
          <w:szCs w:val="24"/>
          <w:lang w:val="en-GB" w:eastAsia="en-GB"/>
        </w:rPr>
        <w:t>Whilst welcoming the extension</w:t>
      </w:r>
      <w:r w:rsidR="00513B12" w:rsidRPr="003A377E">
        <w:rPr>
          <w:rFonts w:ascii="Times New Roman" w:eastAsia="Times New Roman" w:hAnsi="Times New Roman" w:cs="Times New Roman"/>
          <w:spacing w:val="6"/>
          <w:sz w:val="24"/>
          <w:szCs w:val="24"/>
          <w:lang w:val="en-GB" w:eastAsia="en-GB"/>
        </w:rPr>
        <w:t xml:space="preserve"> of</w:t>
      </w:r>
      <w:r w:rsidRPr="003A377E">
        <w:rPr>
          <w:rFonts w:ascii="Times New Roman" w:eastAsia="Times New Roman" w:hAnsi="Times New Roman" w:cs="Times New Roman"/>
          <w:spacing w:val="6"/>
          <w:sz w:val="24"/>
          <w:szCs w:val="24"/>
          <w:lang w:val="en-GB" w:eastAsia="en-GB"/>
        </w:rPr>
        <w:t xml:space="preserve"> </w:t>
      </w:r>
      <w:r w:rsidR="00513B12" w:rsidRPr="003A377E">
        <w:rPr>
          <w:rFonts w:ascii="Times New Roman" w:eastAsia="Times New Roman" w:hAnsi="Times New Roman" w:cs="Times New Roman"/>
          <w:spacing w:val="6"/>
          <w:sz w:val="24"/>
          <w:szCs w:val="24"/>
          <w:lang w:val="en-GB" w:eastAsia="en-GB"/>
        </w:rPr>
        <w:t xml:space="preserve">the Social Relief of Distress </w:t>
      </w:r>
      <w:r w:rsidRPr="003A377E">
        <w:rPr>
          <w:rFonts w:ascii="Times New Roman" w:eastAsia="Times New Roman" w:hAnsi="Times New Roman" w:cs="Times New Roman"/>
          <w:spacing w:val="6"/>
          <w:sz w:val="24"/>
          <w:szCs w:val="24"/>
          <w:lang w:val="en-GB" w:eastAsia="en-GB"/>
        </w:rPr>
        <w:t xml:space="preserve">Grant, the Committee is of the view that there is an urgent need for the Department of Social Development </w:t>
      </w:r>
      <w:r w:rsidR="00FA131A" w:rsidRPr="003A377E">
        <w:rPr>
          <w:rFonts w:ascii="Times New Roman" w:eastAsia="Times New Roman" w:hAnsi="Times New Roman" w:cs="Times New Roman"/>
          <w:spacing w:val="6"/>
          <w:sz w:val="24"/>
          <w:szCs w:val="24"/>
          <w:lang w:val="en-GB" w:eastAsia="en-GB"/>
        </w:rPr>
        <w:t>to further</w:t>
      </w:r>
      <w:r w:rsidRPr="003A377E">
        <w:rPr>
          <w:rFonts w:ascii="Times New Roman" w:eastAsia="Times New Roman" w:hAnsi="Times New Roman" w:cs="Times New Roman"/>
          <w:spacing w:val="6"/>
          <w:sz w:val="24"/>
          <w:szCs w:val="24"/>
          <w:lang w:val="en-GB" w:eastAsia="en-GB"/>
        </w:rPr>
        <w:t xml:space="preserve"> address the administrative challenges affecting the </w:t>
      </w:r>
      <w:r w:rsidRPr="003A377E">
        <w:rPr>
          <w:rFonts w:ascii="Times New Roman" w:eastAsia="Times New Roman" w:hAnsi="Times New Roman" w:cs="Times New Roman"/>
          <w:spacing w:val="6"/>
          <w:sz w:val="24"/>
          <w:szCs w:val="24"/>
          <w:lang w:val="en-GB" w:eastAsia="en-GB"/>
        </w:rPr>
        <w:lastRenderedPageBreak/>
        <w:t xml:space="preserve">distribution of the Grant to the correct beneficiaries.  </w:t>
      </w:r>
      <w:r w:rsidR="00FA131A" w:rsidRPr="003A377E">
        <w:rPr>
          <w:rFonts w:ascii="Times New Roman" w:eastAsia="Times New Roman" w:hAnsi="Times New Roman" w:cs="Times New Roman"/>
          <w:spacing w:val="6"/>
          <w:sz w:val="24"/>
          <w:szCs w:val="24"/>
          <w:lang w:val="en-GB" w:eastAsia="en-GB"/>
        </w:rPr>
        <w:t>These include unnecessary delays</w:t>
      </w:r>
      <w:r w:rsidR="00205E28" w:rsidRPr="003A377E">
        <w:rPr>
          <w:rFonts w:ascii="Times New Roman" w:eastAsia="Times New Roman" w:hAnsi="Times New Roman" w:cs="Times New Roman"/>
          <w:spacing w:val="6"/>
          <w:sz w:val="24"/>
          <w:szCs w:val="24"/>
          <w:lang w:val="en-GB" w:eastAsia="en-GB"/>
        </w:rPr>
        <w:t xml:space="preserve"> in processing beneficiary documents</w:t>
      </w:r>
      <w:r w:rsidR="00FA131A" w:rsidRPr="003A377E">
        <w:rPr>
          <w:rFonts w:ascii="Times New Roman" w:eastAsia="Times New Roman" w:hAnsi="Times New Roman" w:cs="Times New Roman"/>
          <w:spacing w:val="6"/>
          <w:sz w:val="24"/>
          <w:szCs w:val="24"/>
          <w:lang w:val="en-GB" w:eastAsia="en-GB"/>
        </w:rPr>
        <w:t>, long queues and corrupt element</w:t>
      </w:r>
      <w:r w:rsidR="008D7481" w:rsidRPr="003A377E">
        <w:rPr>
          <w:rFonts w:ascii="Times New Roman" w:eastAsia="Times New Roman" w:hAnsi="Times New Roman" w:cs="Times New Roman"/>
          <w:spacing w:val="6"/>
          <w:sz w:val="24"/>
          <w:szCs w:val="24"/>
          <w:lang w:val="en-GB" w:eastAsia="en-GB"/>
        </w:rPr>
        <w:t>s</w:t>
      </w:r>
      <w:r w:rsidR="00D35672" w:rsidRPr="003A377E">
        <w:rPr>
          <w:rFonts w:ascii="Times New Roman" w:eastAsia="Times New Roman" w:hAnsi="Times New Roman" w:cs="Times New Roman"/>
          <w:spacing w:val="6"/>
          <w:sz w:val="24"/>
          <w:szCs w:val="24"/>
          <w:lang w:val="en-GB" w:eastAsia="en-GB"/>
        </w:rPr>
        <w:t xml:space="preserve"> taking</w:t>
      </w:r>
      <w:r w:rsidR="00B36F7E" w:rsidRPr="003A377E">
        <w:rPr>
          <w:rFonts w:ascii="Times New Roman" w:eastAsia="Times New Roman" w:hAnsi="Times New Roman" w:cs="Times New Roman"/>
          <w:spacing w:val="6"/>
          <w:sz w:val="24"/>
          <w:szCs w:val="24"/>
          <w:lang w:val="en-GB" w:eastAsia="en-GB"/>
        </w:rPr>
        <w:t xml:space="preserve"> advantage of the vulnerable and poor.  </w:t>
      </w:r>
      <w:r w:rsidR="00FA131A" w:rsidRPr="003A377E">
        <w:rPr>
          <w:rFonts w:ascii="Times New Roman" w:eastAsia="Times New Roman" w:hAnsi="Times New Roman" w:cs="Times New Roman"/>
          <w:spacing w:val="6"/>
          <w:sz w:val="24"/>
          <w:szCs w:val="24"/>
          <w:lang w:val="en-GB" w:eastAsia="en-GB"/>
        </w:rPr>
        <w:t xml:space="preserve"> </w:t>
      </w:r>
      <w:r w:rsidR="00205E28" w:rsidRPr="003A377E">
        <w:rPr>
          <w:rFonts w:ascii="Times New Roman" w:eastAsia="Times New Roman" w:hAnsi="Times New Roman" w:cs="Times New Roman"/>
          <w:spacing w:val="6"/>
          <w:sz w:val="24"/>
          <w:szCs w:val="24"/>
          <w:lang w:val="en-GB" w:eastAsia="en-GB"/>
        </w:rPr>
        <w:t xml:space="preserve"> </w:t>
      </w:r>
      <w:r w:rsidRPr="003A377E">
        <w:rPr>
          <w:rFonts w:ascii="Times New Roman" w:eastAsia="Times New Roman" w:hAnsi="Times New Roman" w:cs="Times New Roman"/>
          <w:spacing w:val="6"/>
          <w:sz w:val="24"/>
          <w:szCs w:val="24"/>
          <w:lang w:val="en-GB" w:eastAsia="en-GB"/>
        </w:rPr>
        <w:t xml:space="preserve">  </w:t>
      </w:r>
    </w:p>
    <w:p w:rsidR="00207183" w:rsidRPr="003A377E" w:rsidRDefault="00207183" w:rsidP="006B30A6">
      <w:pPr>
        <w:pStyle w:val="ListParagraph"/>
        <w:spacing w:line="360" w:lineRule="auto"/>
        <w:jc w:val="both"/>
        <w:rPr>
          <w:rFonts w:ascii="Times New Roman" w:eastAsia="Times New Roman" w:hAnsi="Times New Roman" w:cs="Times New Roman"/>
          <w:spacing w:val="6"/>
          <w:sz w:val="24"/>
          <w:szCs w:val="24"/>
          <w:lang w:val="en-GB" w:eastAsia="en-GB"/>
        </w:rPr>
      </w:pPr>
    </w:p>
    <w:p w:rsidR="00207183" w:rsidRPr="003A377E" w:rsidRDefault="00D6074B" w:rsidP="00EE3D98">
      <w:pPr>
        <w:pStyle w:val="ListParagraph"/>
        <w:numPr>
          <w:ilvl w:val="1"/>
          <w:numId w:val="36"/>
        </w:numPr>
        <w:spacing w:before="120" w:line="360" w:lineRule="auto"/>
        <w:ind w:left="709" w:hanging="709"/>
        <w:jc w:val="both"/>
        <w:rPr>
          <w:rFonts w:ascii="Times New Roman" w:eastAsia="Times New Roman" w:hAnsi="Times New Roman" w:cs="Times New Roman"/>
          <w:spacing w:val="6"/>
          <w:sz w:val="24"/>
          <w:szCs w:val="24"/>
          <w:lang w:val="en-GB" w:eastAsia="en-GB"/>
        </w:rPr>
      </w:pPr>
      <w:r w:rsidRPr="003A377E">
        <w:rPr>
          <w:rFonts w:ascii="Times New Roman" w:hAnsi="Times New Roman" w:cs="Times New Roman"/>
          <w:sz w:val="24"/>
          <w:szCs w:val="24"/>
          <w:lang w:val="en-US"/>
        </w:rPr>
        <w:t>T</w:t>
      </w:r>
      <w:r w:rsidR="00F20FF5" w:rsidRPr="003A377E">
        <w:rPr>
          <w:rFonts w:ascii="Times New Roman" w:hAnsi="Times New Roman" w:cs="Times New Roman"/>
          <w:sz w:val="24"/>
          <w:szCs w:val="24"/>
          <w:lang w:val="en-US"/>
        </w:rPr>
        <w:t xml:space="preserve">he </w:t>
      </w:r>
      <w:r w:rsidR="00034A6E" w:rsidRPr="003A377E">
        <w:rPr>
          <w:rFonts w:ascii="Times New Roman" w:hAnsi="Times New Roman" w:cs="Times New Roman"/>
          <w:sz w:val="24"/>
          <w:szCs w:val="24"/>
          <w:lang w:val="en-US"/>
        </w:rPr>
        <w:t xml:space="preserve">Committee believes that budget is </w:t>
      </w:r>
      <w:r w:rsidR="00330687" w:rsidRPr="003A377E">
        <w:rPr>
          <w:rFonts w:ascii="Times New Roman" w:hAnsi="Times New Roman" w:cs="Times New Roman"/>
          <w:sz w:val="24"/>
          <w:szCs w:val="24"/>
          <w:lang w:val="en-US"/>
        </w:rPr>
        <w:t>a critical</w:t>
      </w:r>
      <w:r w:rsidR="00034A6E" w:rsidRPr="003A377E">
        <w:rPr>
          <w:rFonts w:ascii="Times New Roman" w:hAnsi="Times New Roman" w:cs="Times New Roman"/>
          <w:sz w:val="24"/>
          <w:szCs w:val="24"/>
          <w:lang w:val="en-US"/>
        </w:rPr>
        <w:t xml:space="preserve"> instrument for government to achieve </w:t>
      </w:r>
      <w:r w:rsidR="00330687" w:rsidRPr="003A377E">
        <w:rPr>
          <w:rFonts w:ascii="Times New Roman" w:hAnsi="Times New Roman" w:cs="Times New Roman"/>
          <w:sz w:val="24"/>
          <w:szCs w:val="24"/>
          <w:lang w:val="en-US"/>
        </w:rPr>
        <w:t xml:space="preserve">both </w:t>
      </w:r>
      <w:r w:rsidR="00034A6E" w:rsidRPr="003A377E">
        <w:rPr>
          <w:rFonts w:ascii="Times New Roman" w:hAnsi="Times New Roman" w:cs="Times New Roman"/>
          <w:sz w:val="24"/>
          <w:szCs w:val="24"/>
          <w:lang w:val="en-US"/>
        </w:rPr>
        <w:t>transformation</w:t>
      </w:r>
      <w:r w:rsidR="00330687" w:rsidRPr="003A377E">
        <w:rPr>
          <w:rFonts w:ascii="Times New Roman" w:hAnsi="Times New Roman" w:cs="Times New Roman"/>
          <w:sz w:val="24"/>
          <w:szCs w:val="24"/>
          <w:lang w:val="en-US"/>
        </w:rPr>
        <w:t xml:space="preserve"> </w:t>
      </w:r>
      <w:r w:rsidR="00FC3398" w:rsidRPr="003A377E">
        <w:rPr>
          <w:rFonts w:ascii="Times New Roman" w:hAnsi="Times New Roman" w:cs="Times New Roman"/>
          <w:sz w:val="24"/>
          <w:szCs w:val="24"/>
          <w:lang w:val="en-US"/>
        </w:rPr>
        <w:t>and</w:t>
      </w:r>
      <w:r w:rsidR="00034A6E" w:rsidRPr="003A377E">
        <w:rPr>
          <w:rFonts w:ascii="Times New Roman" w:hAnsi="Times New Roman" w:cs="Times New Roman"/>
          <w:sz w:val="24"/>
          <w:szCs w:val="24"/>
          <w:lang w:val="en-US"/>
        </w:rPr>
        <w:t xml:space="preserve"> inclusive economic growth. Therefore, the </w:t>
      </w:r>
      <w:r w:rsidR="00035D70" w:rsidRPr="003A377E">
        <w:rPr>
          <w:rFonts w:ascii="Times New Roman" w:hAnsi="Times New Roman" w:cs="Times New Roman"/>
          <w:sz w:val="24"/>
          <w:szCs w:val="24"/>
          <w:lang w:val="en-US"/>
        </w:rPr>
        <w:t>Committee reiterate</w:t>
      </w:r>
      <w:r w:rsidR="00DB0756" w:rsidRPr="003A377E">
        <w:rPr>
          <w:rFonts w:ascii="Times New Roman" w:hAnsi="Times New Roman" w:cs="Times New Roman"/>
          <w:sz w:val="24"/>
          <w:szCs w:val="24"/>
          <w:lang w:val="en-US"/>
        </w:rPr>
        <w:t>s</w:t>
      </w:r>
      <w:r w:rsidR="00035D70" w:rsidRPr="003A377E">
        <w:rPr>
          <w:rFonts w:ascii="Times New Roman" w:hAnsi="Times New Roman" w:cs="Times New Roman"/>
          <w:sz w:val="24"/>
          <w:szCs w:val="24"/>
          <w:lang w:val="en-US"/>
        </w:rPr>
        <w:t xml:space="preserve"> its previous recommendation </w:t>
      </w:r>
      <w:r w:rsidR="00E8706A" w:rsidRPr="003A377E">
        <w:rPr>
          <w:rFonts w:ascii="Times New Roman" w:hAnsi="Times New Roman" w:cs="Times New Roman"/>
          <w:sz w:val="24"/>
          <w:szCs w:val="24"/>
          <w:lang w:val="en-US"/>
        </w:rPr>
        <w:t>around gender budgeting</w:t>
      </w:r>
      <w:r w:rsidR="005A04F3" w:rsidRPr="003A377E">
        <w:rPr>
          <w:rFonts w:ascii="Times New Roman" w:hAnsi="Times New Roman" w:cs="Times New Roman"/>
          <w:sz w:val="24"/>
          <w:szCs w:val="24"/>
          <w:lang w:val="en-US"/>
        </w:rPr>
        <w:t xml:space="preserve"> </w:t>
      </w:r>
      <w:r w:rsidR="00035D70" w:rsidRPr="003A377E">
        <w:rPr>
          <w:rFonts w:ascii="Times New Roman" w:hAnsi="Times New Roman" w:cs="Times New Roman"/>
          <w:sz w:val="24"/>
          <w:szCs w:val="24"/>
          <w:lang w:val="en-US"/>
        </w:rPr>
        <w:t xml:space="preserve">that the </w:t>
      </w:r>
      <w:r w:rsidR="00F20FF5" w:rsidRPr="003A377E">
        <w:rPr>
          <w:rFonts w:ascii="Times New Roman" w:hAnsi="Times New Roman" w:cs="Times New Roman"/>
          <w:sz w:val="24"/>
          <w:szCs w:val="24"/>
          <w:lang w:val="en-US"/>
        </w:rPr>
        <w:t>Minister of Finance</w:t>
      </w:r>
      <w:r w:rsidR="003F52AC" w:rsidRPr="003A377E">
        <w:rPr>
          <w:rFonts w:ascii="Times New Roman" w:hAnsi="Times New Roman" w:cs="Times New Roman"/>
          <w:sz w:val="24"/>
          <w:szCs w:val="24"/>
          <w:lang w:val="en-US"/>
        </w:rPr>
        <w:t>,</w:t>
      </w:r>
      <w:r w:rsidR="00F20FF5" w:rsidRPr="003A377E">
        <w:rPr>
          <w:rFonts w:ascii="Times New Roman" w:hAnsi="Times New Roman" w:cs="Times New Roman"/>
          <w:sz w:val="24"/>
          <w:szCs w:val="24"/>
          <w:lang w:val="en-US"/>
        </w:rPr>
        <w:t xml:space="preserve"> together with th</w:t>
      </w:r>
      <w:r w:rsidR="003F52AC" w:rsidRPr="003A377E">
        <w:rPr>
          <w:rFonts w:ascii="Times New Roman" w:hAnsi="Times New Roman" w:cs="Times New Roman"/>
          <w:sz w:val="24"/>
          <w:szCs w:val="24"/>
          <w:lang w:val="en-US"/>
        </w:rPr>
        <w:t>e Minister of Wome</w:t>
      </w:r>
      <w:r w:rsidR="0090260A" w:rsidRPr="003A377E">
        <w:rPr>
          <w:rFonts w:ascii="Times New Roman" w:hAnsi="Times New Roman" w:cs="Times New Roman"/>
          <w:sz w:val="24"/>
          <w:szCs w:val="24"/>
          <w:lang w:val="en-US"/>
        </w:rPr>
        <w:t>n in the Presidency</w:t>
      </w:r>
      <w:r w:rsidR="00F20FF5" w:rsidRPr="003A377E">
        <w:rPr>
          <w:rFonts w:ascii="Times New Roman" w:hAnsi="Times New Roman" w:cs="Times New Roman"/>
          <w:sz w:val="24"/>
          <w:szCs w:val="24"/>
          <w:lang w:val="en-US"/>
        </w:rPr>
        <w:t xml:space="preserve"> </w:t>
      </w:r>
      <w:r w:rsidR="00FF29FB" w:rsidRPr="003A377E">
        <w:rPr>
          <w:rFonts w:ascii="Times New Roman" w:hAnsi="Times New Roman" w:cs="Times New Roman"/>
          <w:sz w:val="24"/>
          <w:szCs w:val="24"/>
          <w:lang w:val="en-US"/>
        </w:rPr>
        <w:t>need to</w:t>
      </w:r>
      <w:r w:rsidR="00034A6E" w:rsidRPr="003A377E">
        <w:rPr>
          <w:rFonts w:ascii="Times New Roman" w:hAnsi="Times New Roman" w:cs="Times New Roman"/>
          <w:sz w:val="24"/>
          <w:szCs w:val="24"/>
          <w:lang w:val="en-US"/>
        </w:rPr>
        <w:t xml:space="preserve"> </w:t>
      </w:r>
      <w:r w:rsidR="00F20FF5" w:rsidRPr="003A377E">
        <w:rPr>
          <w:rFonts w:ascii="Times New Roman" w:hAnsi="Times New Roman" w:cs="Times New Roman"/>
          <w:sz w:val="24"/>
          <w:szCs w:val="24"/>
          <w:lang w:val="en-US"/>
        </w:rPr>
        <w:t>ensure</w:t>
      </w:r>
      <w:r w:rsidR="00034A6E" w:rsidRPr="003A377E">
        <w:rPr>
          <w:rFonts w:ascii="Times New Roman" w:hAnsi="Times New Roman" w:cs="Times New Roman"/>
          <w:sz w:val="24"/>
          <w:szCs w:val="24"/>
          <w:lang w:val="en-US"/>
        </w:rPr>
        <w:t xml:space="preserve"> that adequate resources are</w:t>
      </w:r>
      <w:r w:rsidR="00F20FF5" w:rsidRPr="003A377E">
        <w:rPr>
          <w:rFonts w:ascii="Times New Roman" w:hAnsi="Times New Roman" w:cs="Times New Roman"/>
          <w:sz w:val="24"/>
          <w:szCs w:val="24"/>
          <w:lang w:val="en-US"/>
        </w:rPr>
        <w:t xml:space="preserve"> allocat</w:t>
      </w:r>
      <w:r w:rsidR="00034A6E" w:rsidRPr="003A377E">
        <w:rPr>
          <w:rFonts w:ascii="Times New Roman" w:hAnsi="Times New Roman" w:cs="Times New Roman"/>
          <w:sz w:val="24"/>
          <w:szCs w:val="24"/>
          <w:lang w:val="en-US"/>
        </w:rPr>
        <w:t xml:space="preserve">ed </w:t>
      </w:r>
      <w:r w:rsidR="0078632C" w:rsidRPr="003A377E">
        <w:rPr>
          <w:rFonts w:ascii="Times New Roman" w:hAnsi="Times New Roman" w:cs="Times New Roman"/>
          <w:sz w:val="24"/>
          <w:szCs w:val="24"/>
          <w:lang w:val="en-US"/>
        </w:rPr>
        <w:t xml:space="preserve">for </w:t>
      </w:r>
      <w:r w:rsidR="00034A6E" w:rsidRPr="003A377E">
        <w:rPr>
          <w:rFonts w:ascii="Times New Roman" w:hAnsi="Times New Roman" w:cs="Times New Roman"/>
          <w:sz w:val="24"/>
          <w:szCs w:val="24"/>
          <w:lang w:val="en-US"/>
        </w:rPr>
        <w:t>wom</w:t>
      </w:r>
      <w:r w:rsidR="003F52AC" w:rsidRPr="003A377E">
        <w:rPr>
          <w:rFonts w:ascii="Times New Roman" w:hAnsi="Times New Roman" w:cs="Times New Roman"/>
          <w:sz w:val="24"/>
          <w:szCs w:val="24"/>
          <w:lang w:val="en-US"/>
        </w:rPr>
        <w:t>e</w:t>
      </w:r>
      <w:r w:rsidR="00034A6E" w:rsidRPr="003A377E">
        <w:rPr>
          <w:rFonts w:ascii="Times New Roman" w:hAnsi="Times New Roman" w:cs="Times New Roman"/>
          <w:sz w:val="24"/>
          <w:szCs w:val="24"/>
          <w:lang w:val="en-US"/>
        </w:rPr>
        <w:t>n</w:t>
      </w:r>
      <w:r w:rsidR="0078632C" w:rsidRPr="003A377E">
        <w:rPr>
          <w:rFonts w:ascii="Times New Roman" w:hAnsi="Times New Roman" w:cs="Times New Roman"/>
          <w:sz w:val="24"/>
          <w:szCs w:val="24"/>
          <w:lang w:val="en-US"/>
        </w:rPr>
        <w:t>, youth</w:t>
      </w:r>
      <w:r w:rsidR="00034A6E" w:rsidRPr="003A377E">
        <w:rPr>
          <w:rFonts w:ascii="Times New Roman" w:hAnsi="Times New Roman" w:cs="Times New Roman"/>
          <w:sz w:val="24"/>
          <w:szCs w:val="24"/>
          <w:lang w:val="en-US"/>
        </w:rPr>
        <w:t xml:space="preserve"> and people with disabilities</w:t>
      </w:r>
      <w:r w:rsidR="00330687" w:rsidRPr="003A377E">
        <w:rPr>
          <w:rFonts w:ascii="Times New Roman" w:hAnsi="Times New Roman" w:cs="Times New Roman"/>
          <w:sz w:val="24"/>
          <w:szCs w:val="24"/>
          <w:lang w:val="en-US"/>
        </w:rPr>
        <w:t>. Furthermore, they need to ensure that enough resources are earmarked and transferred to</w:t>
      </w:r>
      <w:r w:rsidR="003B2820" w:rsidRPr="003A377E">
        <w:rPr>
          <w:rFonts w:ascii="Times New Roman" w:hAnsi="Times New Roman" w:cs="Times New Roman"/>
          <w:sz w:val="24"/>
          <w:szCs w:val="24"/>
          <w:lang w:val="en-US"/>
        </w:rPr>
        <w:t xml:space="preserve"> provinces </w:t>
      </w:r>
      <w:r w:rsidR="006548C6" w:rsidRPr="003A377E">
        <w:rPr>
          <w:rFonts w:ascii="Times New Roman" w:hAnsi="Times New Roman" w:cs="Times New Roman"/>
          <w:sz w:val="24"/>
          <w:szCs w:val="24"/>
          <w:lang w:val="en-US"/>
        </w:rPr>
        <w:t>for the</w:t>
      </w:r>
      <w:r w:rsidR="00207183" w:rsidRPr="003A377E">
        <w:rPr>
          <w:rFonts w:ascii="Times New Roman" w:hAnsi="Times New Roman" w:cs="Times New Roman"/>
          <w:sz w:val="24"/>
          <w:szCs w:val="24"/>
          <w:lang w:val="en-US"/>
        </w:rPr>
        <w:t xml:space="preserve"> implement</w:t>
      </w:r>
      <w:r w:rsidR="006548C6" w:rsidRPr="003A377E">
        <w:rPr>
          <w:rFonts w:ascii="Times New Roman" w:hAnsi="Times New Roman" w:cs="Times New Roman"/>
          <w:sz w:val="24"/>
          <w:szCs w:val="24"/>
          <w:lang w:val="en-US"/>
        </w:rPr>
        <w:t>ation of</w:t>
      </w:r>
      <w:r w:rsidR="000B5C56" w:rsidRPr="003A377E">
        <w:rPr>
          <w:rFonts w:ascii="Times New Roman" w:hAnsi="Times New Roman" w:cs="Times New Roman"/>
          <w:sz w:val="24"/>
          <w:szCs w:val="24"/>
          <w:lang w:val="en-US"/>
        </w:rPr>
        <w:t xml:space="preserve"> </w:t>
      </w:r>
      <w:r w:rsidR="003F52AC" w:rsidRPr="003A377E">
        <w:rPr>
          <w:rFonts w:ascii="Times New Roman" w:hAnsi="Times New Roman" w:cs="Times New Roman"/>
          <w:sz w:val="24"/>
          <w:szCs w:val="24"/>
          <w:lang w:val="en-US"/>
        </w:rPr>
        <w:t xml:space="preserve">the </w:t>
      </w:r>
      <w:r w:rsidR="00207183" w:rsidRPr="003A377E">
        <w:rPr>
          <w:rFonts w:ascii="Times New Roman" w:hAnsi="Times New Roman" w:cs="Times New Roman"/>
          <w:sz w:val="24"/>
          <w:szCs w:val="24"/>
          <w:lang w:val="en-US"/>
        </w:rPr>
        <w:t>National Strategic Plan on Gen</w:t>
      </w:r>
      <w:r w:rsidR="003E3C60" w:rsidRPr="003A377E">
        <w:rPr>
          <w:rFonts w:ascii="Times New Roman" w:hAnsi="Times New Roman" w:cs="Times New Roman"/>
          <w:sz w:val="24"/>
          <w:szCs w:val="24"/>
          <w:lang w:val="en-US"/>
        </w:rPr>
        <w:t xml:space="preserve">der-Based Violence and Femicide; </w:t>
      </w:r>
      <w:r w:rsidR="00135595" w:rsidRPr="003A377E">
        <w:rPr>
          <w:rFonts w:ascii="Times New Roman" w:hAnsi="Times New Roman" w:cs="Times New Roman"/>
          <w:sz w:val="24"/>
          <w:szCs w:val="24"/>
          <w:lang w:val="en-US"/>
        </w:rPr>
        <w:t>to</w:t>
      </w:r>
      <w:r w:rsidR="00B9286E" w:rsidRPr="003A377E">
        <w:rPr>
          <w:rFonts w:ascii="Times New Roman" w:hAnsi="Times New Roman" w:cs="Times New Roman"/>
          <w:sz w:val="24"/>
          <w:szCs w:val="24"/>
          <w:lang w:val="en-US"/>
        </w:rPr>
        <w:t xml:space="preserve"> help</w:t>
      </w:r>
      <w:r w:rsidR="00135595" w:rsidRPr="003A377E">
        <w:rPr>
          <w:rFonts w:ascii="Times New Roman" w:hAnsi="Times New Roman" w:cs="Times New Roman"/>
          <w:sz w:val="24"/>
          <w:szCs w:val="24"/>
          <w:lang w:val="en-US"/>
        </w:rPr>
        <w:t xml:space="preserve"> </w:t>
      </w:r>
      <w:r w:rsidR="00207183" w:rsidRPr="003A377E">
        <w:rPr>
          <w:rFonts w:ascii="Times New Roman" w:hAnsi="Times New Roman" w:cs="Times New Roman"/>
          <w:sz w:val="24"/>
          <w:szCs w:val="24"/>
          <w:lang w:val="en-US"/>
        </w:rPr>
        <w:t>address the scourge of gender-based violence</w:t>
      </w:r>
      <w:r w:rsidR="00BB1D4E" w:rsidRPr="003A377E">
        <w:rPr>
          <w:rFonts w:ascii="Times New Roman" w:hAnsi="Times New Roman" w:cs="Times New Roman"/>
          <w:sz w:val="24"/>
          <w:szCs w:val="24"/>
          <w:lang w:val="en-US"/>
        </w:rPr>
        <w:t xml:space="preserve"> and </w:t>
      </w:r>
      <w:r w:rsidR="0074045C" w:rsidRPr="003A377E">
        <w:rPr>
          <w:rFonts w:ascii="Times New Roman" w:hAnsi="Times New Roman" w:cs="Times New Roman"/>
          <w:sz w:val="24"/>
          <w:szCs w:val="24"/>
          <w:lang w:val="en-US"/>
        </w:rPr>
        <w:t xml:space="preserve">to </w:t>
      </w:r>
      <w:r w:rsidR="00BB1D4E" w:rsidRPr="003A377E">
        <w:rPr>
          <w:rFonts w:ascii="Times New Roman" w:hAnsi="Times New Roman" w:cs="Times New Roman"/>
          <w:sz w:val="24"/>
          <w:szCs w:val="24"/>
          <w:lang w:val="en-US"/>
        </w:rPr>
        <w:t>ensure proper</w:t>
      </w:r>
      <w:r w:rsidR="006548C6" w:rsidRPr="003A377E">
        <w:rPr>
          <w:rFonts w:ascii="Times New Roman" w:hAnsi="Times New Roman" w:cs="Times New Roman"/>
          <w:sz w:val="24"/>
          <w:szCs w:val="24"/>
          <w:lang w:val="en-US"/>
        </w:rPr>
        <w:t xml:space="preserve"> mainstreaming of</w:t>
      </w:r>
      <w:r w:rsidR="003739C1" w:rsidRPr="003A377E">
        <w:rPr>
          <w:rFonts w:ascii="Times New Roman" w:hAnsi="Times New Roman" w:cs="Times New Roman"/>
          <w:sz w:val="24"/>
          <w:szCs w:val="24"/>
          <w:lang w:val="en-US"/>
        </w:rPr>
        <w:t xml:space="preserve"> gender issues</w:t>
      </w:r>
      <w:r w:rsidR="00F638D8" w:rsidRPr="003A377E">
        <w:rPr>
          <w:rFonts w:ascii="Times New Roman" w:hAnsi="Times New Roman" w:cs="Times New Roman"/>
          <w:sz w:val="24"/>
          <w:szCs w:val="24"/>
          <w:lang w:val="en-US"/>
        </w:rPr>
        <w:t xml:space="preserve"> including </w:t>
      </w:r>
      <w:r w:rsidR="00032F77" w:rsidRPr="003A377E">
        <w:rPr>
          <w:rFonts w:ascii="Times New Roman" w:hAnsi="Times New Roman" w:cs="Times New Roman"/>
          <w:sz w:val="24"/>
          <w:szCs w:val="24"/>
          <w:lang w:val="en-US"/>
        </w:rPr>
        <w:t xml:space="preserve">those of </w:t>
      </w:r>
      <w:r w:rsidR="003F52AC" w:rsidRPr="003A377E">
        <w:rPr>
          <w:rFonts w:ascii="Times New Roman" w:hAnsi="Times New Roman" w:cs="Times New Roman"/>
          <w:sz w:val="24"/>
          <w:szCs w:val="24"/>
          <w:lang w:val="en-US"/>
        </w:rPr>
        <w:t xml:space="preserve">the </w:t>
      </w:r>
      <w:r w:rsidR="00C05615" w:rsidRPr="003A377E">
        <w:rPr>
          <w:rFonts w:ascii="Times New Roman" w:hAnsi="Times New Roman" w:cs="Times New Roman"/>
          <w:sz w:val="24"/>
          <w:szCs w:val="24"/>
          <w:lang w:val="en-US" w:eastAsia="en-ZA"/>
        </w:rPr>
        <w:t>LGBTQIA+</w:t>
      </w:r>
      <w:r w:rsidR="00032F77" w:rsidRPr="003A377E">
        <w:rPr>
          <w:rFonts w:ascii="Times New Roman" w:hAnsi="Times New Roman" w:cs="Times New Roman"/>
          <w:sz w:val="24"/>
          <w:szCs w:val="24"/>
          <w:lang w:val="en-US" w:eastAsia="en-ZA"/>
        </w:rPr>
        <w:t xml:space="preserve"> </w:t>
      </w:r>
      <w:r w:rsidR="003F52AC" w:rsidRPr="003A377E">
        <w:rPr>
          <w:rFonts w:ascii="Times New Roman" w:hAnsi="Times New Roman" w:cs="Times New Roman"/>
          <w:sz w:val="24"/>
          <w:szCs w:val="24"/>
          <w:lang w:val="en-US" w:eastAsia="en-ZA"/>
        </w:rPr>
        <w:t>community</w:t>
      </w:r>
      <w:r w:rsidR="00207183" w:rsidRPr="003A377E">
        <w:rPr>
          <w:rFonts w:ascii="Times New Roman" w:hAnsi="Times New Roman" w:cs="Times New Roman"/>
          <w:sz w:val="24"/>
          <w:szCs w:val="24"/>
          <w:lang w:val="en-US"/>
        </w:rPr>
        <w:t>.</w:t>
      </w:r>
      <w:r w:rsidR="00032F77" w:rsidRPr="003A377E">
        <w:rPr>
          <w:rFonts w:ascii="Times New Roman" w:hAnsi="Times New Roman" w:cs="Times New Roman"/>
          <w:sz w:val="24"/>
          <w:szCs w:val="24"/>
          <w:lang w:val="en-US"/>
        </w:rPr>
        <w:t xml:space="preserve"> </w:t>
      </w:r>
      <w:r w:rsidR="00C05615" w:rsidRPr="003A377E">
        <w:rPr>
          <w:rFonts w:ascii="Times New Roman" w:hAnsi="Times New Roman" w:cs="Times New Roman"/>
          <w:sz w:val="24"/>
          <w:szCs w:val="24"/>
          <w:lang w:val="en-US"/>
        </w:rPr>
        <w:t xml:space="preserve"> </w:t>
      </w:r>
      <w:r w:rsidR="00F638D8" w:rsidRPr="003A377E">
        <w:rPr>
          <w:rFonts w:ascii="Times New Roman" w:hAnsi="Times New Roman" w:cs="Times New Roman"/>
          <w:sz w:val="24"/>
          <w:szCs w:val="24"/>
          <w:lang w:val="en-US"/>
        </w:rPr>
        <w:t xml:space="preserve"> </w:t>
      </w:r>
      <w:r w:rsidR="003739C1" w:rsidRPr="003A377E">
        <w:rPr>
          <w:rFonts w:ascii="Times New Roman" w:hAnsi="Times New Roman" w:cs="Times New Roman"/>
          <w:sz w:val="24"/>
          <w:szCs w:val="24"/>
          <w:lang w:val="en-US"/>
        </w:rPr>
        <w:t xml:space="preserve"> </w:t>
      </w:r>
    </w:p>
    <w:p w:rsidR="005076FB" w:rsidRPr="003A377E" w:rsidRDefault="005076FB" w:rsidP="006B30A6">
      <w:pPr>
        <w:pStyle w:val="ListParagraph"/>
        <w:spacing w:line="360" w:lineRule="auto"/>
        <w:jc w:val="both"/>
        <w:rPr>
          <w:rFonts w:ascii="Times New Roman" w:eastAsia="Times New Roman" w:hAnsi="Times New Roman" w:cs="Times New Roman"/>
          <w:sz w:val="24"/>
          <w:szCs w:val="24"/>
        </w:rPr>
      </w:pPr>
    </w:p>
    <w:p w:rsidR="00D05701" w:rsidRPr="003A377E" w:rsidRDefault="000E3AE1" w:rsidP="00EE3D98">
      <w:pPr>
        <w:pStyle w:val="ListParagraph"/>
        <w:numPr>
          <w:ilvl w:val="1"/>
          <w:numId w:val="36"/>
        </w:numPr>
        <w:spacing w:before="120" w:line="360" w:lineRule="auto"/>
        <w:ind w:left="709" w:hanging="709"/>
        <w:jc w:val="both"/>
        <w:rPr>
          <w:rFonts w:ascii="Times New Roman" w:eastAsia="Times New Roman" w:hAnsi="Times New Roman" w:cs="Times New Roman"/>
          <w:spacing w:val="6"/>
          <w:sz w:val="24"/>
          <w:szCs w:val="24"/>
          <w:lang w:val="en-GB" w:eastAsia="en-GB"/>
        </w:rPr>
      </w:pPr>
      <w:r w:rsidRPr="003A377E">
        <w:rPr>
          <w:rFonts w:ascii="Times New Roman" w:hAnsi="Times New Roman" w:cs="Times New Roman"/>
          <w:sz w:val="24"/>
          <w:szCs w:val="24"/>
        </w:rPr>
        <w:t xml:space="preserve">In line with the proposed amendment to the Local Government Financial Management </w:t>
      </w:r>
      <w:r w:rsidR="003E3091" w:rsidRPr="003A377E">
        <w:rPr>
          <w:rFonts w:ascii="Times New Roman" w:hAnsi="Times New Roman" w:cs="Times New Roman"/>
          <w:sz w:val="24"/>
          <w:szCs w:val="24"/>
        </w:rPr>
        <w:t>Grant</w:t>
      </w:r>
      <w:r w:rsidRPr="003A377E">
        <w:rPr>
          <w:rFonts w:ascii="Times New Roman" w:hAnsi="Times New Roman" w:cs="Times New Roman"/>
          <w:sz w:val="24"/>
          <w:szCs w:val="24"/>
        </w:rPr>
        <w:t xml:space="preserve"> (FMG), </w:t>
      </w:r>
      <w:r w:rsidRPr="003A377E">
        <w:rPr>
          <w:rFonts w:ascii="Times New Roman" w:eastAsia="Times New Roman" w:hAnsi="Times New Roman" w:cs="Times New Roman"/>
          <w:sz w:val="24"/>
          <w:szCs w:val="24"/>
        </w:rPr>
        <w:t xml:space="preserve">the Committee recommends that National Treasury correct as part of the gazette, </w:t>
      </w:r>
      <w:r w:rsidR="00113CFE" w:rsidRPr="003A377E">
        <w:rPr>
          <w:rFonts w:ascii="Times New Roman" w:eastAsia="Times New Roman" w:hAnsi="Times New Roman" w:cs="Times New Roman"/>
          <w:sz w:val="24"/>
          <w:szCs w:val="24"/>
        </w:rPr>
        <w:t xml:space="preserve">the </w:t>
      </w:r>
      <w:r w:rsidR="003E3091" w:rsidRPr="003A377E">
        <w:rPr>
          <w:rFonts w:ascii="Times New Roman" w:eastAsia="Times New Roman" w:hAnsi="Times New Roman" w:cs="Times New Roman"/>
          <w:sz w:val="24"/>
          <w:szCs w:val="24"/>
        </w:rPr>
        <w:t>Grant</w:t>
      </w:r>
      <w:r w:rsidRPr="003A377E">
        <w:rPr>
          <w:rFonts w:ascii="Times New Roman" w:eastAsia="Times New Roman" w:hAnsi="Times New Roman" w:cs="Times New Roman"/>
          <w:sz w:val="24"/>
          <w:szCs w:val="24"/>
        </w:rPr>
        <w:t xml:space="preserve">’s framework that will be issued in terms of </w:t>
      </w:r>
      <w:r w:rsidR="00A63F4D" w:rsidRPr="003A377E">
        <w:rPr>
          <w:rFonts w:ascii="Times New Roman" w:eastAsia="Times New Roman" w:hAnsi="Times New Roman" w:cs="Times New Roman"/>
          <w:sz w:val="24"/>
          <w:szCs w:val="24"/>
        </w:rPr>
        <w:t>S</w:t>
      </w:r>
      <w:r w:rsidRPr="003A377E">
        <w:rPr>
          <w:rFonts w:ascii="Times New Roman" w:eastAsia="Times New Roman" w:hAnsi="Times New Roman" w:cs="Times New Roman"/>
          <w:sz w:val="24"/>
          <w:szCs w:val="24"/>
        </w:rPr>
        <w:t xml:space="preserve">ection 15 of the Division of Revenue Act, once this Bill </w:t>
      </w:r>
      <w:r w:rsidR="00DD770E" w:rsidRPr="003A377E">
        <w:rPr>
          <w:rFonts w:ascii="Times New Roman" w:eastAsia="Times New Roman" w:hAnsi="Times New Roman" w:cs="Times New Roman"/>
          <w:sz w:val="24"/>
          <w:szCs w:val="24"/>
        </w:rPr>
        <w:t>has been</w:t>
      </w:r>
      <w:r w:rsidRPr="003A377E">
        <w:rPr>
          <w:rFonts w:ascii="Times New Roman" w:eastAsia="Times New Roman" w:hAnsi="Times New Roman" w:cs="Times New Roman"/>
          <w:sz w:val="24"/>
          <w:szCs w:val="24"/>
        </w:rPr>
        <w:t xml:space="preserve"> enacted</w:t>
      </w:r>
      <w:r w:rsidR="00160D57" w:rsidRPr="003A377E">
        <w:rPr>
          <w:rFonts w:ascii="Times New Roman" w:eastAsia="Times New Roman" w:hAnsi="Times New Roman" w:cs="Times New Roman"/>
          <w:sz w:val="24"/>
          <w:szCs w:val="24"/>
        </w:rPr>
        <w:t>.</w:t>
      </w:r>
    </w:p>
    <w:p w:rsidR="002A6A89" w:rsidRPr="003A377E" w:rsidRDefault="002A6A89" w:rsidP="002A6A89">
      <w:pPr>
        <w:pStyle w:val="ListParagraph"/>
        <w:rPr>
          <w:rFonts w:ascii="Times New Roman" w:eastAsia="Times New Roman" w:hAnsi="Times New Roman" w:cs="Times New Roman"/>
          <w:spacing w:val="6"/>
          <w:sz w:val="24"/>
          <w:szCs w:val="24"/>
          <w:lang w:val="en-GB" w:eastAsia="en-GB"/>
        </w:rPr>
      </w:pPr>
    </w:p>
    <w:p w:rsidR="002A6A89" w:rsidRPr="003A377E" w:rsidRDefault="002A6A89" w:rsidP="002A6A89">
      <w:pPr>
        <w:pStyle w:val="ListParagraph"/>
        <w:numPr>
          <w:ilvl w:val="1"/>
          <w:numId w:val="36"/>
        </w:numPr>
        <w:spacing w:before="120" w:line="360" w:lineRule="auto"/>
        <w:ind w:left="709" w:hanging="709"/>
        <w:jc w:val="both"/>
        <w:rPr>
          <w:rFonts w:ascii="Times New Roman" w:eastAsia="Times New Roman" w:hAnsi="Times New Roman" w:cs="Times New Roman"/>
          <w:spacing w:val="6"/>
          <w:sz w:val="24"/>
          <w:szCs w:val="24"/>
          <w:lang w:val="en-GB" w:eastAsia="en-GB"/>
        </w:rPr>
      </w:pPr>
      <w:r w:rsidRPr="003A377E">
        <w:rPr>
          <w:rFonts w:ascii="Times New Roman" w:eastAsia="Times New Roman" w:hAnsi="Times New Roman" w:cs="Times New Roman"/>
          <w:spacing w:val="6"/>
          <w:sz w:val="24"/>
          <w:szCs w:val="24"/>
          <w:lang w:val="en-GB" w:eastAsia="en-GB"/>
        </w:rPr>
        <w:t xml:space="preserve">The Committee believes that there is a need to strengthen and enhance the </w:t>
      </w:r>
      <w:r w:rsidR="004E52E4" w:rsidRPr="003A377E">
        <w:rPr>
          <w:rFonts w:ascii="Times New Roman" w:eastAsia="Times New Roman" w:hAnsi="Times New Roman" w:cs="Times New Roman"/>
          <w:spacing w:val="6"/>
          <w:sz w:val="24"/>
          <w:szCs w:val="24"/>
          <w:lang w:val="en-GB" w:eastAsia="en-GB"/>
        </w:rPr>
        <w:t>intergovernmental</w:t>
      </w:r>
      <w:r w:rsidR="00322239" w:rsidRPr="003A377E">
        <w:rPr>
          <w:rFonts w:ascii="Times New Roman" w:eastAsia="Times New Roman" w:hAnsi="Times New Roman" w:cs="Times New Roman"/>
          <w:spacing w:val="6"/>
          <w:sz w:val="24"/>
          <w:szCs w:val="24"/>
          <w:lang w:val="en-GB" w:eastAsia="en-GB"/>
        </w:rPr>
        <w:t xml:space="preserve"> cooperation with regard to</w:t>
      </w:r>
      <w:r w:rsidRPr="003A377E">
        <w:rPr>
          <w:rFonts w:ascii="Times New Roman" w:eastAsia="Times New Roman" w:hAnsi="Times New Roman" w:cs="Times New Roman"/>
          <w:spacing w:val="6"/>
          <w:sz w:val="24"/>
          <w:szCs w:val="24"/>
          <w:lang w:val="en-GB" w:eastAsia="en-GB"/>
        </w:rPr>
        <w:t xml:space="preserve"> information flow between the executive authority and natio</w:t>
      </w:r>
      <w:r w:rsidR="0070722F" w:rsidRPr="003A377E">
        <w:rPr>
          <w:rFonts w:ascii="Times New Roman" w:eastAsia="Times New Roman" w:hAnsi="Times New Roman" w:cs="Times New Roman"/>
          <w:spacing w:val="6"/>
          <w:sz w:val="24"/>
          <w:szCs w:val="24"/>
          <w:lang w:val="en-GB" w:eastAsia="en-GB"/>
        </w:rPr>
        <w:t xml:space="preserve">nal and provincial legislatures </w:t>
      </w:r>
      <w:r w:rsidR="00E263D1" w:rsidRPr="003A377E">
        <w:rPr>
          <w:rFonts w:ascii="Times New Roman" w:eastAsia="Times New Roman" w:hAnsi="Times New Roman" w:cs="Times New Roman"/>
          <w:spacing w:val="6"/>
          <w:sz w:val="24"/>
          <w:szCs w:val="24"/>
          <w:lang w:val="en-GB" w:eastAsia="en-GB"/>
        </w:rPr>
        <w:t xml:space="preserve">and their </w:t>
      </w:r>
      <w:r w:rsidR="0046074B" w:rsidRPr="003A377E">
        <w:rPr>
          <w:rFonts w:ascii="Times New Roman" w:eastAsia="Times New Roman" w:hAnsi="Times New Roman" w:cs="Times New Roman"/>
          <w:spacing w:val="6"/>
          <w:sz w:val="24"/>
          <w:szCs w:val="24"/>
          <w:lang w:val="en-GB" w:eastAsia="en-GB"/>
        </w:rPr>
        <w:t xml:space="preserve">portfolio </w:t>
      </w:r>
      <w:r w:rsidR="00E263D1" w:rsidRPr="003A377E">
        <w:rPr>
          <w:rFonts w:ascii="Times New Roman" w:eastAsia="Times New Roman" w:hAnsi="Times New Roman" w:cs="Times New Roman"/>
          <w:spacing w:val="6"/>
          <w:sz w:val="24"/>
          <w:szCs w:val="24"/>
          <w:lang w:val="en-GB" w:eastAsia="en-GB"/>
        </w:rPr>
        <w:t xml:space="preserve">committees </w:t>
      </w:r>
      <w:r w:rsidRPr="003A377E">
        <w:rPr>
          <w:rFonts w:ascii="Times New Roman" w:eastAsia="Times New Roman" w:hAnsi="Times New Roman" w:cs="Times New Roman"/>
          <w:spacing w:val="6"/>
          <w:sz w:val="24"/>
          <w:szCs w:val="24"/>
          <w:lang w:val="en-GB" w:eastAsia="en-GB"/>
        </w:rPr>
        <w:t xml:space="preserve">to avoid the information gap </w:t>
      </w:r>
      <w:r w:rsidR="00322239" w:rsidRPr="003A377E">
        <w:rPr>
          <w:rFonts w:ascii="Times New Roman" w:eastAsia="Times New Roman" w:hAnsi="Times New Roman" w:cs="Times New Roman"/>
          <w:spacing w:val="6"/>
          <w:sz w:val="24"/>
          <w:szCs w:val="24"/>
          <w:lang w:val="en-GB" w:eastAsia="en-GB"/>
        </w:rPr>
        <w:t>regarding</w:t>
      </w:r>
      <w:r w:rsidRPr="003A377E">
        <w:rPr>
          <w:rFonts w:ascii="Times New Roman" w:eastAsia="Times New Roman" w:hAnsi="Times New Roman" w:cs="Times New Roman"/>
          <w:spacing w:val="6"/>
          <w:sz w:val="24"/>
          <w:szCs w:val="24"/>
          <w:lang w:val="en-GB" w:eastAsia="en-GB"/>
        </w:rPr>
        <w:t xml:space="preserve"> policy decisions. Engagements between the executive and legislatures</w:t>
      </w:r>
      <w:r w:rsidR="00322239" w:rsidRPr="003A377E">
        <w:rPr>
          <w:rFonts w:ascii="Times New Roman" w:eastAsia="Times New Roman" w:hAnsi="Times New Roman" w:cs="Times New Roman"/>
          <w:spacing w:val="6"/>
          <w:sz w:val="24"/>
          <w:szCs w:val="24"/>
          <w:lang w:val="en-GB" w:eastAsia="en-GB"/>
        </w:rPr>
        <w:t xml:space="preserve"> </w:t>
      </w:r>
      <w:r w:rsidR="00E263D1" w:rsidRPr="003A377E">
        <w:rPr>
          <w:rFonts w:ascii="Times New Roman" w:eastAsia="Times New Roman" w:hAnsi="Times New Roman" w:cs="Times New Roman"/>
          <w:spacing w:val="6"/>
          <w:sz w:val="24"/>
          <w:szCs w:val="24"/>
          <w:lang w:val="en-GB" w:eastAsia="en-GB"/>
        </w:rPr>
        <w:t xml:space="preserve">and their portfolio committees </w:t>
      </w:r>
      <w:r w:rsidR="00322239" w:rsidRPr="003A377E">
        <w:rPr>
          <w:rFonts w:ascii="Times New Roman" w:eastAsia="Times New Roman" w:hAnsi="Times New Roman" w:cs="Times New Roman"/>
          <w:spacing w:val="6"/>
          <w:sz w:val="24"/>
          <w:szCs w:val="24"/>
          <w:lang w:val="en-GB" w:eastAsia="en-GB"/>
        </w:rPr>
        <w:t>regarding policy decisions</w:t>
      </w:r>
      <w:r w:rsidRPr="003A377E">
        <w:rPr>
          <w:rFonts w:ascii="Times New Roman" w:eastAsia="Times New Roman" w:hAnsi="Times New Roman" w:cs="Times New Roman"/>
          <w:spacing w:val="6"/>
          <w:sz w:val="24"/>
          <w:szCs w:val="24"/>
          <w:lang w:val="en-GB" w:eastAsia="en-GB"/>
        </w:rPr>
        <w:t xml:space="preserve"> would foster transparency and accountability between the two arms of </w:t>
      </w:r>
      <w:r w:rsidR="00322239" w:rsidRPr="003A377E">
        <w:rPr>
          <w:rFonts w:ascii="Times New Roman" w:eastAsia="Times New Roman" w:hAnsi="Times New Roman" w:cs="Times New Roman"/>
          <w:spacing w:val="6"/>
          <w:sz w:val="24"/>
          <w:szCs w:val="24"/>
          <w:lang w:val="en-GB" w:eastAsia="en-GB"/>
        </w:rPr>
        <w:t>S</w:t>
      </w:r>
      <w:r w:rsidRPr="003A377E">
        <w:rPr>
          <w:rFonts w:ascii="Times New Roman" w:eastAsia="Times New Roman" w:hAnsi="Times New Roman" w:cs="Times New Roman"/>
          <w:spacing w:val="6"/>
          <w:sz w:val="24"/>
          <w:szCs w:val="24"/>
          <w:lang w:val="en-GB" w:eastAsia="en-GB"/>
        </w:rPr>
        <w:t xml:space="preserve">tate.   </w:t>
      </w:r>
    </w:p>
    <w:p w:rsidR="00107105" w:rsidRPr="003A377E" w:rsidRDefault="00E263D1" w:rsidP="00107105">
      <w:pPr>
        <w:spacing w:before="120" w:line="360" w:lineRule="auto"/>
        <w:ind w:left="709" w:hanging="709"/>
        <w:jc w:val="both"/>
        <w:rPr>
          <w:rFonts w:ascii="Times New Roman" w:eastAsia="Times New Roman" w:hAnsi="Times New Roman" w:cs="Times New Roman"/>
          <w:spacing w:val="6"/>
          <w:sz w:val="24"/>
          <w:szCs w:val="24"/>
          <w:lang w:eastAsia="en-GB"/>
        </w:rPr>
      </w:pPr>
      <w:r w:rsidRPr="003A377E">
        <w:rPr>
          <w:rFonts w:ascii="Times New Roman" w:eastAsia="Times New Roman" w:hAnsi="Times New Roman" w:cs="Times New Roman"/>
          <w:spacing w:val="6"/>
          <w:sz w:val="24"/>
          <w:szCs w:val="24"/>
          <w:lang w:val="en-GB" w:eastAsia="en-GB"/>
        </w:rPr>
        <w:t xml:space="preserve">10.20  </w:t>
      </w:r>
      <w:r w:rsidR="00107105" w:rsidRPr="003A377E">
        <w:rPr>
          <w:rFonts w:ascii="Times New Roman" w:eastAsia="Times New Roman" w:hAnsi="Times New Roman" w:cs="Times New Roman"/>
          <w:spacing w:val="6"/>
          <w:sz w:val="24"/>
          <w:szCs w:val="24"/>
          <w:lang w:eastAsia="en-GB"/>
        </w:rPr>
        <w:t>The Committee believes that,</w:t>
      </w:r>
      <w:r w:rsidR="0046074B" w:rsidRPr="003A377E">
        <w:rPr>
          <w:rFonts w:ascii="Times New Roman" w:eastAsia="Times New Roman" w:hAnsi="Times New Roman" w:cs="Times New Roman"/>
          <w:spacing w:val="6"/>
          <w:sz w:val="24"/>
          <w:szCs w:val="24"/>
          <w:lang w:eastAsia="en-GB"/>
        </w:rPr>
        <w:t xml:space="preserve"> in order t</w:t>
      </w:r>
      <w:r w:rsidR="00AB2CEB" w:rsidRPr="003A377E">
        <w:rPr>
          <w:rFonts w:ascii="Times New Roman" w:eastAsia="Times New Roman" w:hAnsi="Times New Roman" w:cs="Times New Roman"/>
          <w:spacing w:val="6"/>
          <w:sz w:val="24"/>
          <w:szCs w:val="24"/>
          <w:lang w:eastAsia="en-GB"/>
        </w:rPr>
        <w:t>o avoid an undue share of conditional grant funds</w:t>
      </w:r>
      <w:r w:rsidR="00107105" w:rsidRPr="003A377E">
        <w:rPr>
          <w:rFonts w:ascii="Times New Roman" w:eastAsia="Times New Roman" w:hAnsi="Times New Roman" w:cs="Times New Roman"/>
          <w:spacing w:val="6"/>
          <w:sz w:val="24"/>
          <w:szCs w:val="24"/>
          <w:lang w:eastAsia="en-GB"/>
        </w:rPr>
        <w:t xml:space="preserve"> being consumed in salaries instead of service delivery, National Treasury should give serious consideration to ring-fencing the amount that can be used for salaries</w:t>
      </w:r>
      <w:r w:rsidR="00FE0CCE">
        <w:rPr>
          <w:rFonts w:ascii="Times New Roman" w:eastAsia="Times New Roman" w:hAnsi="Times New Roman" w:cs="Times New Roman"/>
          <w:spacing w:val="6"/>
          <w:sz w:val="24"/>
          <w:szCs w:val="24"/>
          <w:lang w:eastAsia="en-GB"/>
        </w:rPr>
        <w:t xml:space="preserve"> and </w:t>
      </w:r>
      <w:r w:rsidR="0030101C">
        <w:rPr>
          <w:rFonts w:ascii="Times New Roman" w:eastAsia="Times New Roman" w:hAnsi="Times New Roman" w:cs="Times New Roman"/>
          <w:spacing w:val="6"/>
          <w:sz w:val="24"/>
          <w:szCs w:val="24"/>
          <w:lang w:eastAsia="en-GB"/>
        </w:rPr>
        <w:t xml:space="preserve">to </w:t>
      </w:r>
      <w:r w:rsidR="00FE0CCE">
        <w:rPr>
          <w:rFonts w:ascii="Times New Roman" w:eastAsia="Times New Roman" w:hAnsi="Times New Roman" w:cs="Times New Roman"/>
          <w:spacing w:val="6"/>
          <w:sz w:val="24"/>
          <w:szCs w:val="24"/>
          <w:lang w:eastAsia="en-GB"/>
        </w:rPr>
        <w:t>capturing this information in a separate column in the Bill</w:t>
      </w:r>
      <w:r w:rsidR="00107105" w:rsidRPr="003A377E">
        <w:rPr>
          <w:rFonts w:ascii="Times New Roman" w:eastAsia="Times New Roman" w:hAnsi="Times New Roman" w:cs="Times New Roman"/>
          <w:spacing w:val="6"/>
          <w:sz w:val="24"/>
          <w:szCs w:val="24"/>
          <w:lang w:eastAsia="en-GB"/>
        </w:rPr>
        <w:t>. The Committee will engage further with National Treasury on the desirability and feasibility of this.</w:t>
      </w:r>
    </w:p>
    <w:p w:rsidR="00D05701" w:rsidRPr="003A377E" w:rsidRDefault="00D05701" w:rsidP="00107105">
      <w:pPr>
        <w:spacing w:before="120" w:line="360" w:lineRule="auto"/>
        <w:ind w:left="709" w:hanging="709"/>
        <w:jc w:val="both"/>
        <w:rPr>
          <w:rFonts w:ascii="Times New Roman" w:eastAsia="Times New Roman" w:hAnsi="Times New Roman" w:cs="Times New Roman"/>
          <w:sz w:val="24"/>
          <w:szCs w:val="24"/>
        </w:rPr>
      </w:pPr>
    </w:p>
    <w:p w:rsidR="00D05701" w:rsidRPr="003A377E" w:rsidRDefault="00F922CA">
      <w:pPr>
        <w:tabs>
          <w:tab w:val="left" w:pos="284"/>
          <w:tab w:val="left" w:pos="567"/>
        </w:tabs>
        <w:spacing w:before="240" w:after="0" w:line="360" w:lineRule="auto"/>
        <w:jc w:val="both"/>
        <w:rPr>
          <w:rFonts w:ascii="Times New Roman" w:eastAsia="Times New Roman" w:hAnsi="Times New Roman" w:cs="Times New Roman"/>
          <w:b/>
          <w:sz w:val="24"/>
          <w:szCs w:val="24"/>
        </w:rPr>
      </w:pPr>
      <w:r w:rsidRPr="003A377E">
        <w:rPr>
          <w:rFonts w:ascii="Times New Roman" w:eastAsia="Times New Roman" w:hAnsi="Times New Roman" w:cs="Times New Roman"/>
          <w:b/>
          <w:sz w:val="24"/>
          <w:szCs w:val="24"/>
        </w:rPr>
        <w:t>11</w:t>
      </w:r>
      <w:r w:rsidR="00D05701" w:rsidRPr="003A377E">
        <w:rPr>
          <w:rFonts w:ascii="Times New Roman" w:eastAsia="Times New Roman" w:hAnsi="Times New Roman" w:cs="Times New Roman"/>
          <w:b/>
          <w:sz w:val="24"/>
          <w:szCs w:val="24"/>
        </w:rPr>
        <w:t>. Committee decision</w:t>
      </w:r>
    </w:p>
    <w:p w:rsidR="00D05701" w:rsidRPr="003A377E" w:rsidRDefault="00D05701">
      <w:pPr>
        <w:tabs>
          <w:tab w:val="left" w:pos="284"/>
          <w:tab w:val="left" w:pos="567"/>
        </w:tabs>
        <w:spacing w:before="240"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 xml:space="preserve">The Select Committee on Appropriations, having considered the </w:t>
      </w:r>
      <w:r w:rsidRPr="003A377E">
        <w:rPr>
          <w:rFonts w:ascii="Times New Roman" w:eastAsia="Times New Roman" w:hAnsi="Times New Roman" w:cs="Times New Roman"/>
          <w:i/>
          <w:sz w:val="24"/>
          <w:szCs w:val="24"/>
        </w:rPr>
        <w:t>Division of Revenue Bill</w:t>
      </w:r>
      <w:r w:rsidRPr="003A377E">
        <w:rPr>
          <w:rFonts w:ascii="Times New Roman" w:eastAsia="Times New Roman" w:hAnsi="Times New Roman" w:cs="Times New Roman"/>
          <w:sz w:val="24"/>
          <w:szCs w:val="24"/>
        </w:rPr>
        <w:t xml:space="preserve"> [B</w:t>
      </w:r>
      <w:r w:rsidR="000E3AE1" w:rsidRPr="003A377E">
        <w:rPr>
          <w:rFonts w:ascii="Times New Roman" w:eastAsia="Times New Roman" w:hAnsi="Times New Roman" w:cs="Times New Roman"/>
          <w:sz w:val="24"/>
          <w:szCs w:val="24"/>
        </w:rPr>
        <w:t>6</w:t>
      </w:r>
      <w:r w:rsidRPr="003A377E">
        <w:rPr>
          <w:rFonts w:ascii="Times New Roman" w:eastAsia="Times New Roman" w:hAnsi="Times New Roman" w:cs="Times New Roman"/>
          <w:sz w:val="24"/>
          <w:szCs w:val="24"/>
        </w:rPr>
        <w:t xml:space="preserve"> – 202</w:t>
      </w:r>
      <w:r w:rsidR="000E3AE1" w:rsidRPr="003A377E">
        <w:rPr>
          <w:rFonts w:ascii="Times New Roman" w:eastAsia="Times New Roman" w:hAnsi="Times New Roman" w:cs="Times New Roman"/>
          <w:sz w:val="24"/>
          <w:szCs w:val="24"/>
        </w:rPr>
        <w:t>2</w:t>
      </w:r>
      <w:r w:rsidRPr="003A377E">
        <w:rPr>
          <w:rFonts w:ascii="Times New Roman" w:eastAsia="Times New Roman" w:hAnsi="Times New Roman" w:cs="Times New Roman"/>
          <w:sz w:val="24"/>
          <w:szCs w:val="24"/>
        </w:rPr>
        <w:t xml:space="preserve">] (National Assembly-Section 76(1)) referred to it and classified by the Joint Tagging Mechanism as a </w:t>
      </w:r>
      <w:r w:rsidR="00892A24" w:rsidRPr="003A377E">
        <w:rPr>
          <w:rFonts w:ascii="Times New Roman" w:eastAsia="Times New Roman" w:hAnsi="Times New Roman" w:cs="Times New Roman"/>
          <w:sz w:val="24"/>
          <w:szCs w:val="24"/>
        </w:rPr>
        <w:t>S</w:t>
      </w:r>
      <w:r w:rsidRPr="003A377E">
        <w:rPr>
          <w:rFonts w:ascii="Times New Roman" w:eastAsia="Times New Roman" w:hAnsi="Times New Roman" w:cs="Times New Roman"/>
          <w:sz w:val="24"/>
          <w:szCs w:val="24"/>
        </w:rPr>
        <w:t>ection 76 Bill, reports that it has agreed to the Bill without any proposed amendments.</w:t>
      </w:r>
    </w:p>
    <w:p w:rsidR="000E3AE1" w:rsidRPr="003A377E" w:rsidRDefault="000E3AE1">
      <w:pPr>
        <w:tabs>
          <w:tab w:val="left" w:pos="284"/>
          <w:tab w:val="left" w:pos="567"/>
        </w:tabs>
        <w:spacing w:before="240" w:after="0" w:line="360" w:lineRule="auto"/>
        <w:jc w:val="both"/>
        <w:rPr>
          <w:rFonts w:ascii="Times New Roman" w:eastAsia="Times New Roman" w:hAnsi="Times New Roman" w:cs="Times New Roman"/>
          <w:sz w:val="24"/>
          <w:szCs w:val="24"/>
        </w:rPr>
      </w:pPr>
    </w:p>
    <w:p w:rsidR="00D05701" w:rsidRPr="003A377E" w:rsidRDefault="00D05701">
      <w:pPr>
        <w:tabs>
          <w:tab w:val="left" w:pos="284"/>
          <w:tab w:val="left" w:pos="567"/>
        </w:tabs>
        <w:spacing w:before="240" w:after="0" w:line="360" w:lineRule="auto"/>
        <w:jc w:val="both"/>
        <w:rPr>
          <w:rFonts w:ascii="Times New Roman" w:eastAsia="Times New Roman" w:hAnsi="Times New Roman" w:cs="Times New Roman"/>
          <w:sz w:val="24"/>
          <w:szCs w:val="24"/>
        </w:rPr>
      </w:pPr>
      <w:r w:rsidRPr="003A377E">
        <w:rPr>
          <w:rFonts w:ascii="Times New Roman" w:eastAsia="Times New Roman" w:hAnsi="Times New Roman" w:cs="Times New Roman"/>
          <w:sz w:val="24"/>
          <w:szCs w:val="24"/>
        </w:rPr>
        <w:t>Report to be considered.</w:t>
      </w:r>
    </w:p>
    <w:p w:rsidR="00D2243C" w:rsidRPr="00794DCA" w:rsidRDefault="00D2243C" w:rsidP="006B30A6">
      <w:pPr>
        <w:spacing w:line="360" w:lineRule="auto"/>
        <w:jc w:val="both"/>
        <w:rPr>
          <w:rFonts w:ascii="Arial" w:hAnsi="Arial" w:cs="Arial"/>
        </w:rPr>
      </w:pPr>
    </w:p>
    <w:sectPr w:rsidR="00D2243C" w:rsidRPr="00794D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63" w:rsidRDefault="00C15063">
      <w:pPr>
        <w:spacing w:after="0" w:line="240" w:lineRule="auto"/>
      </w:pPr>
      <w:r>
        <w:separator/>
      </w:r>
    </w:p>
  </w:endnote>
  <w:endnote w:type="continuationSeparator" w:id="0">
    <w:p w:rsidR="00C15063" w:rsidRDefault="00C1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207741"/>
      <w:docPartObj>
        <w:docPartGallery w:val="Page Numbers (Bottom of Page)"/>
        <w:docPartUnique/>
      </w:docPartObj>
    </w:sdtPr>
    <w:sdtEndPr>
      <w:rPr>
        <w:noProof/>
      </w:rPr>
    </w:sdtEndPr>
    <w:sdtContent>
      <w:p w:rsidR="00A726F6" w:rsidRDefault="00A726F6">
        <w:pPr>
          <w:pStyle w:val="Footer"/>
          <w:jc w:val="right"/>
        </w:pPr>
        <w:r>
          <w:fldChar w:fldCharType="begin"/>
        </w:r>
        <w:r>
          <w:instrText xml:space="preserve"> PAGE   \* MERGEFORMAT </w:instrText>
        </w:r>
        <w:r>
          <w:fldChar w:fldCharType="separate"/>
        </w:r>
        <w:r w:rsidR="00B460CF">
          <w:rPr>
            <w:noProof/>
          </w:rPr>
          <w:t>1</w:t>
        </w:r>
        <w:r>
          <w:rPr>
            <w:noProof/>
          </w:rPr>
          <w:fldChar w:fldCharType="end"/>
        </w:r>
      </w:p>
    </w:sdtContent>
  </w:sdt>
  <w:p w:rsidR="00A726F6" w:rsidRDefault="00A72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63" w:rsidRDefault="00C15063">
      <w:pPr>
        <w:spacing w:after="0" w:line="240" w:lineRule="auto"/>
      </w:pPr>
      <w:r>
        <w:separator/>
      </w:r>
    </w:p>
  </w:footnote>
  <w:footnote w:type="continuationSeparator" w:id="0">
    <w:p w:rsidR="00C15063" w:rsidRDefault="00C15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E67"/>
    <w:multiLevelType w:val="multilevel"/>
    <w:tmpl w:val="4CCEE04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963C9"/>
    <w:multiLevelType w:val="multilevel"/>
    <w:tmpl w:val="D6807E04"/>
    <w:lvl w:ilvl="0">
      <w:start w:val="10"/>
      <w:numFmt w:val="decimal"/>
      <w:lvlText w:val="%1"/>
      <w:lvlJc w:val="left"/>
      <w:pPr>
        <w:ind w:left="375" w:hanging="375"/>
      </w:pPr>
      <w:rPr>
        <w:rFonts w:asciiTheme="minorHAnsi" w:hAnsiTheme="minorHAnsi" w:cstheme="minorBidi" w:hint="default"/>
        <w:color w:val="auto"/>
      </w:rPr>
    </w:lvl>
    <w:lvl w:ilvl="1">
      <w:start w:val="1"/>
      <w:numFmt w:val="decimal"/>
      <w:lvlText w:val="%1.%2"/>
      <w:lvlJc w:val="left"/>
      <w:pPr>
        <w:ind w:left="375" w:hanging="375"/>
      </w:pPr>
      <w:rPr>
        <w:rFonts w:asciiTheme="minorHAnsi" w:hAnsiTheme="minorHAnsi" w:cstheme="minorBidi"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720" w:hanging="72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440" w:hanging="144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800" w:hanging="1800"/>
      </w:pPr>
      <w:rPr>
        <w:rFonts w:asciiTheme="minorHAnsi" w:hAnsiTheme="minorHAnsi" w:cstheme="minorBidi" w:hint="default"/>
        <w:color w:val="auto"/>
      </w:rPr>
    </w:lvl>
    <w:lvl w:ilvl="8">
      <w:start w:val="1"/>
      <w:numFmt w:val="decimal"/>
      <w:lvlText w:val="%1.%2.%3.%4.%5.%6.%7.%8.%9"/>
      <w:lvlJc w:val="left"/>
      <w:pPr>
        <w:ind w:left="1800" w:hanging="1800"/>
      </w:pPr>
      <w:rPr>
        <w:rFonts w:asciiTheme="minorHAnsi" w:hAnsiTheme="minorHAnsi" w:cstheme="minorBidi" w:hint="default"/>
        <w:color w:val="auto"/>
      </w:rPr>
    </w:lvl>
  </w:abstractNum>
  <w:abstractNum w:abstractNumId="2" w15:restartNumberingAfterBreak="0">
    <w:nsid w:val="0DDB4AB7"/>
    <w:multiLevelType w:val="hybridMultilevel"/>
    <w:tmpl w:val="DF8A34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E60C87"/>
    <w:multiLevelType w:val="hybridMultilevel"/>
    <w:tmpl w:val="8816142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28A653B"/>
    <w:multiLevelType w:val="hybridMultilevel"/>
    <w:tmpl w:val="DB3C4650"/>
    <w:lvl w:ilvl="0" w:tplc="B75482E2">
      <w:start w:val="1"/>
      <w:numFmt w:val="decimal"/>
      <w:lvlText w:val="%1."/>
      <w:lvlJc w:val="left"/>
      <w:pPr>
        <w:ind w:left="644" w:hanging="360"/>
      </w:pPr>
      <w:rPr>
        <w:rFonts w:ascii="Times New Roman" w:eastAsia="Times New Roman" w:hAnsi="Times New Roman" w:cs="Times New Roman" w:hint="default"/>
        <w:b/>
      </w:rPr>
    </w:lvl>
    <w:lvl w:ilvl="1" w:tplc="FB5470F2">
      <w:start w:val="1"/>
      <w:numFmt w:val="lowerLetter"/>
      <w:lvlText w:val="(%2)"/>
      <w:lvlJc w:val="left"/>
      <w:pPr>
        <w:tabs>
          <w:tab w:val="num" w:pos="2145"/>
        </w:tabs>
        <w:ind w:left="2145" w:hanging="1065"/>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867E25"/>
    <w:multiLevelType w:val="hybridMultilevel"/>
    <w:tmpl w:val="2D101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5353E5"/>
    <w:multiLevelType w:val="hybridMultilevel"/>
    <w:tmpl w:val="5C3850BC"/>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7" w15:restartNumberingAfterBreak="0">
    <w:nsid w:val="1E002213"/>
    <w:multiLevelType w:val="multilevel"/>
    <w:tmpl w:val="E5B867D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3E71AF"/>
    <w:multiLevelType w:val="hybridMultilevel"/>
    <w:tmpl w:val="DDEEB8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AF303E"/>
    <w:multiLevelType w:val="multilevel"/>
    <w:tmpl w:val="E0AE21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9D3A08"/>
    <w:multiLevelType w:val="multilevel"/>
    <w:tmpl w:val="1382A70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3BC0D73"/>
    <w:multiLevelType w:val="hybridMultilevel"/>
    <w:tmpl w:val="5A1AF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03588D"/>
    <w:multiLevelType w:val="multilevel"/>
    <w:tmpl w:val="DD5ED8E0"/>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621A90"/>
    <w:multiLevelType w:val="multilevel"/>
    <w:tmpl w:val="7BEA57A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013D29"/>
    <w:multiLevelType w:val="hybridMultilevel"/>
    <w:tmpl w:val="2624A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DC05784"/>
    <w:multiLevelType w:val="multilevel"/>
    <w:tmpl w:val="62A6EC6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791DB7"/>
    <w:multiLevelType w:val="multilevel"/>
    <w:tmpl w:val="5F6AF6C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DF2709"/>
    <w:multiLevelType w:val="multilevel"/>
    <w:tmpl w:val="5ECAF78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514DCC"/>
    <w:multiLevelType w:val="multilevel"/>
    <w:tmpl w:val="ABEE56EE"/>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053A62"/>
    <w:multiLevelType w:val="hybridMultilevel"/>
    <w:tmpl w:val="FD82FE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AD3A7B"/>
    <w:multiLevelType w:val="multilevel"/>
    <w:tmpl w:val="98F8D27E"/>
    <w:lvl w:ilvl="0">
      <w:start w:val="10"/>
      <w:numFmt w:val="decimal"/>
      <w:lvlText w:val="%1"/>
      <w:lvlJc w:val="left"/>
      <w:pPr>
        <w:ind w:left="375" w:hanging="375"/>
      </w:pPr>
      <w:rPr>
        <w:rFonts w:asciiTheme="minorHAnsi" w:hAnsiTheme="minorHAnsi" w:cstheme="minorBidi" w:hint="default"/>
        <w:color w:val="auto"/>
      </w:rPr>
    </w:lvl>
    <w:lvl w:ilvl="1">
      <w:start w:val="1"/>
      <w:numFmt w:val="decimal"/>
      <w:lvlText w:val="%1.%2"/>
      <w:lvlJc w:val="left"/>
      <w:pPr>
        <w:ind w:left="375" w:hanging="375"/>
      </w:pPr>
      <w:rPr>
        <w:rFonts w:asciiTheme="minorHAnsi" w:hAnsiTheme="minorHAnsi" w:cstheme="minorBidi"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720" w:hanging="72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440" w:hanging="144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800" w:hanging="1800"/>
      </w:pPr>
      <w:rPr>
        <w:rFonts w:asciiTheme="minorHAnsi" w:hAnsiTheme="minorHAnsi" w:cstheme="minorBidi" w:hint="default"/>
        <w:color w:val="auto"/>
      </w:rPr>
    </w:lvl>
    <w:lvl w:ilvl="8">
      <w:start w:val="1"/>
      <w:numFmt w:val="decimal"/>
      <w:lvlText w:val="%1.%2.%3.%4.%5.%6.%7.%8.%9"/>
      <w:lvlJc w:val="left"/>
      <w:pPr>
        <w:ind w:left="1800" w:hanging="1800"/>
      </w:pPr>
      <w:rPr>
        <w:rFonts w:asciiTheme="minorHAnsi" w:hAnsiTheme="minorHAnsi" w:cstheme="minorBidi" w:hint="default"/>
        <w:color w:val="auto"/>
      </w:rPr>
    </w:lvl>
  </w:abstractNum>
  <w:abstractNum w:abstractNumId="21" w15:restartNumberingAfterBreak="0">
    <w:nsid w:val="40583427"/>
    <w:multiLevelType w:val="hybridMultilevel"/>
    <w:tmpl w:val="15664B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713109"/>
    <w:multiLevelType w:val="multilevel"/>
    <w:tmpl w:val="D3A046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9F6200"/>
    <w:multiLevelType w:val="hybridMultilevel"/>
    <w:tmpl w:val="C1BA8912"/>
    <w:lvl w:ilvl="0" w:tplc="B5086366">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D74277F"/>
    <w:multiLevelType w:val="multilevel"/>
    <w:tmpl w:val="952676C4"/>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ascii="Times New Roman" w:hAnsi="Times New Roman" w:cs="Times New Roman"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5" w15:restartNumberingAfterBreak="0">
    <w:nsid w:val="4F5F2575"/>
    <w:multiLevelType w:val="hybridMultilevel"/>
    <w:tmpl w:val="C234E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FCC7C72"/>
    <w:multiLevelType w:val="multilevel"/>
    <w:tmpl w:val="E7BCB22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A54859"/>
    <w:multiLevelType w:val="multilevel"/>
    <w:tmpl w:val="6FDCC43A"/>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711E7D"/>
    <w:multiLevelType w:val="hybridMultilevel"/>
    <w:tmpl w:val="C920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A3911"/>
    <w:multiLevelType w:val="hybridMultilevel"/>
    <w:tmpl w:val="DAC0A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E6E77EE"/>
    <w:multiLevelType w:val="hybridMultilevel"/>
    <w:tmpl w:val="8A1CC140"/>
    <w:lvl w:ilvl="0" w:tplc="D8A016D8">
      <w:start w:val="5"/>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D330FC2"/>
    <w:multiLevelType w:val="hybridMultilevel"/>
    <w:tmpl w:val="86CEF3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8A2251A"/>
    <w:multiLevelType w:val="hybridMultilevel"/>
    <w:tmpl w:val="37C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A0AFE"/>
    <w:multiLevelType w:val="hybridMultilevel"/>
    <w:tmpl w:val="CCBCF4A4"/>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34" w15:restartNumberingAfterBreak="0">
    <w:nsid w:val="7CCD0D13"/>
    <w:multiLevelType w:val="multilevel"/>
    <w:tmpl w:val="D4ECE71C"/>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35" w15:restartNumberingAfterBreak="0">
    <w:nsid w:val="7F3D1E77"/>
    <w:multiLevelType w:val="multilevel"/>
    <w:tmpl w:val="E710CF60"/>
    <w:lvl w:ilvl="0">
      <w:start w:val="10"/>
      <w:numFmt w:val="decimal"/>
      <w:lvlText w:val="%1"/>
      <w:lvlJc w:val="left"/>
      <w:pPr>
        <w:ind w:left="375" w:hanging="375"/>
      </w:pPr>
      <w:rPr>
        <w:rFonts w:asciiTheme="minorHAnsi" w:hAnsiTheme="minorHAnsi" w:cstheme="minorBidi" w:hint="default"/>
        <w:color w:val="auto"/>
      </w:rPr>
    </w:lvl>
    <w:lvl w:ilvl="1">
      <w:start w:val="1"/>
      <w:numFmt w:val="decimal"/>
      <w:lvlText w:val="%1.%2"/>
      <w:lvlJc w:val="left"/>
      <w:pPr>
        <w:ind w:left="735" w:hanging="375"/>
      </w:pPr>
      <w:rPr>
        <w:rFonts w:asciiTheme="minorHAnsi" w:hAnsiTheme="minorHAnsi" w:cstheme="minorBidi" w:hint="default"/>
        <w:color w:val="auto"/>
      </w:rPr>
    </w:lvl>
    <w:lvl w:ilvl="2">
      <w:start w:val="1"/>
      <w:numFmt w:val="decimal"/>
      <w:lvlText w:val="%1.%2.%3"/>
      <w:lvlJc w:val="left"/>
      <w:pPr>
        <w:ind w:left="1440" w:hanging="720"/>
      </w:pPr>
      <w:rPr>
        <w:rFonts w:asciiTheme="minorHAnsi" w:hAnsiTheme="minorHAnsi" w:cstheme="minorBidi" w:hint="default"/>
        <w:color w:val="auto"/>
      </w:rPr>
    </w:lvl>
    <w:lvl w:ilvl="3">
      <w:start w:val="1"/>
      <w:numFmt w:val="decimal"/>
      <w:lvlText w:val="%1.%2.%3.%4"/>
      <w:lvlJc w:val="left"/>
      <w:pPr>
        <w:ind w:left="1800" w:hanging="720"/>
      </w:pPr>
      <w:rPr>
        <w:rFonts w:asciiTheme="minorHAnsi" w:hAnsiTheme="minorHAnsi" w:cstheme="minorBidi" w:hint="default"/>
        <w:color w:val="auto"/>
      </w:rPr>
    </w:lvl>
    <w:lvl w:ilvl="4">
      <w:start w:val="1"/>
      <w:numFmt w:val="decimal"/>
      <w:lvlText w:val="%1.%2.%3.%4.%5"/>
      <w:lvlJc w:val="left"/>
      <w:pPr>
        <w:ind w:left="2520" w:hanging="1080"/>
      </w:pPr>
      <w:rPr>
        <w:rFonts w:asciiTheme="minorHAnsi" w:hAnsiTheme="minorHAnsi" w:cstheme="minorBidi" w:hint="default"/>
        <w:color w:val="auto"/>
      </w:rPr>
    </w:lvl>
    <w:lvl w:ilvl="5">
      <w:start w:val="1"/>
      <w:numFmt w:val="decimal"/>
      <w:lvlText w:val="%1.%2.%3.%4.%5.%6"/>
      <w:lvlJc w:val="left"/>
      <w:pPr>
        <w:ind w:left="3240" w:hanging="1440"/>
      </w:pPr>
      <w:rPr>
        <w:rFonts w:asciiTheme="minorHAnsi" w:hAnsiTheme="minorHAnsi" w:cstheme="minorBidi" w:hint="default"/>
        <w:color w:val="auto"/>
      </w:rPr>
    </w:lvl>
    <w:lvl w:ilvl="6">
      <w:start w:val="1"/>
      <w:numFmt w:val="decimal"/>
      <w:lvlText w:val="%1.%2.%3.%4.%5.%6.%7"/>
      <w:lvlJc w:val="left"/>
      <w:pPr>
        <w:ind w:left="3600" w:hanging="1440"/>
      </w:pPr>
      <w:rPr>
        <w:rFonts w:asciiTheme="minorHAnsi" w:hAnsiTheme="minorHAnsi" w:cstheme="minorBidi" w:hint="default"/>
        <w:color w:val="auto"/>
      </w:rPr>
    </w:lvl>
    <w:lvl w:ilvl="7">
      <w:start w:val="1"/>
      <w:numFmt w:val="decimal"/>
      <w:lvlText w:val="%1.%2.%3.%4.%5.%6.%7.%8"/>
      <w:lvlJc w:val="left"/>
      <w:pPr>
        <w:ind w:left="4320" w:hanging="1800"/>
      </w:pPr>
      <w:rPr>
        <w:rFonts w:asciiTheme="minorHAnsi" w:hAnsiTheme="minorHAnsi" w:cstheme="minorBidi" w:hint="default"/>
        <w:color w:val="auto"/>
      </w:rPr>
    </w:lvl>
    <w:lvl w:ilvl="8">
      <w:start w:val="1"/>
      <w:numFmt w:val="decimal"/>
      <w:lvlText w:val="%1.%2.%3.%4.%5.%6.%7.%8.%9"/>
      <w:lvlJc w:val="left"/>
      <w:pPr>
        <w:ind w:left="4680" w:hanging="1800"/>
      </w:pPr>
      <w:rPr>
        <w:rFonts w:asciiTheme="minorHAnsi" w:hAnsiTheme="minorHAnsi" w:cstheme="minorBidi" w:hint="default"/>
        <w:color w:val="auto"/>
      </w:rPr>
    </w:lvl>
  </w:abstractNum>
  <w:num w:numId="1">
    <w:abstractNumId w:val="4"/>
  </w:num>
  <w:num w:numId="2">
    <w:abstractNumId w:val="8"/>
  </w:num>
  <w:num w:numId="3">
    <w:abstractNumId w:val="28"/>
  </w:num>
  <w:num w:numId="4">
    <w:abstractNumId w:val="15"/>
  </w:num>
  <w:num w:numId="5">
    <w:abstractNumId w:val="22"/>
  </w:num>
  <w:num w:numId="6">
    <w:abstractNumId w:val="2"/>
  </w:num>
  <w:num w:numId="7">
    <w:abstractNumId w:val="23"/>
  </w:num>
  <w:num w:numId="8">
    <w:abstractNumId w:val="3"/>
  </w:num>
  <w:num w:numId="9">
    <w:abstractNumId w:val="30"/>
  </w:num>
  <w:num w:numId="10">
    <w:abstractNumId w:val="17"/>
  </w:num>
  <w:num w:numId="11">
    <w:abstractNumId w:val="32"/>
  </w:num>
  <w:num w:numId="12">
    <w:abstractNumId w:val="21"/>
  </w:num>
  <w:num w:numId="13">
    <w:abstractNumId w:val="13"/>
  </w:num>
  <w:num w:numId="14">
    <w:abstractNumId w:val="14"/>
  </w:num>
  <w:num w:numId="15">
    <w:abstractNumId w:val="11"/>
  </w:num>
  <w:num w:numId="16">
    <w:abstractNumId w:val="33"/>
  </w:num>
  <w:num w:numId="17">
    <w:abstractNumId w:val="9"/>
  </w:num>
  <w:num w:numId="18">
    <w:abstractNumId w:val="25"/>
  </w:num>
  <w:num w:numId="19">
    <w:abstractNumId w:val="6"/>
  </w:num>
  <w:num w:numId="20">
    <w:abstractNumId w:val="5"/>
  </w:num>
  <w:num w:numId="21">
    <w:abstractNumId w:val="31"/>
  </w:num>
  <w:num w:numId="22">
    <w:abstractNumId w:val="29"/>
  </w:num>
  <w:num w:numId="23">
    <w:abstractNumId w:val="34"/>
  </w:num>
  <w:num w:numId="24">
    <w:abstractNumId w:val="7"/>
  </w:num>
  <w:num w:numId="25">
    <w:abstractNumId w:val="35"/>
  </w:num>
  <w:num w:numId="26">
    <w:abstractNumId w:val="20"/>
  </w:num>
  <w:num w:numId="27">
    <w:abstractNumId w:val="26"/>
  </w:num>
  <w:num w:numId="28">
    <w:abstractNumId w:val="1"/>
  </w:num>
  <w:num w:numId="29">
    <w:abstractNumId w:val="18"/>
  </w:num>
  <w:num w:numId="30">
    <w:abstractNumId w:val="16"/>
  </w:num>
  <w:num w:numId="31">
    <w:abstractNumId w:val="0"/>
  </w:num>
  <w:num w:numId="32">
    <w:abstractNumId w:val="12"/>
  </w:num>
  <w:num w:numId="33">
    <w:abstractNumId w:val="27"/>
  </w:num>
  <w:num w:numId="34">
    <w:abstractNumId w:val="10"/>
  </w:num>
  <w:num w:numId="35">
    <w:abstractNumId w:val="19"/>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01"/>
    <w:rsid w:val="00001A10"/>
    <w:rsid w:val="00003A4C"/>
    <w:rsid w:val="0001013A"/>
    <w:rsid w:val="000119A0"/>
    <w:rsid w:val="000160B0"/>
    <w:rsid w:val="00017D79"/>
    <w:rsid w:val="00023794"/>
    <w:rsid w:val="00032F77"/>
    <w:rsid w:val="00034A6E"/>
    <w:rsid w:val="00035006"/>
    <w:rsid w:val="00035D70"/>
    <w:rsid w:val="00037FBD"/>
    <w:rsid w:val="000402B6"/>
    <w:rsid w:val="00040888"/>
    <w:rsid w:val="00040E11"/>
    <w:rsid w:val="00045F0A"/>
    <w:rsid w:val="000541A2"/>
    <w:rsid w:val="000648BB"/>
    <w:rsid w:val="00065A12"/>
    <w:rsid w:val="000711C5"/>
    <w:rsid w:val="00072BE8"/>
    <w:rsid w:val="0007551B"/>
    <w:rsid w:val="00076E0E"/>
    <w:rsid w:val="00083B92"/>
    <w:rsid w:val="000878FE"/>
    <w:rsid w:val="000901E9"/>
    <w:rsid w:val="0009382B"/>
    <w:rsid w:val="00093EE7"/>
    <w:rsid w:val="00096B98"/>
    <w:rsid w:val="000A26B4"/>
    <w:rsid w:val="000A6843"/>
    <w:rsid w:val="000B5C56"/>
    <w:rsid w:val="000C1058"/>
    <w:rsid w:val="000D020E"/>
    <w:rsid w:val="000D3E98"/>
    <w:rsid w:val="000D4022"/>
    <w:rsid w:val="000D790C"/>
    <w:rsid w:val="000E3AE1"/>
    <w:rsid w:val="000E6BC7"/>
    <w:rsid w:val="000F100F"/>
    <w:rsid w:val="000F19A5"/>
    <w:rsid w:val="00101BBE"/>
    <w:rsid w:val="001060BA"/>
    <w:rsid w:val="00106CB5"/>
    <w:rsid w:val="00107105"/>
    <w:rsid w:val="001079E7"/>
    <w:rsid w:val="00113CFE"/>
    <w:rsid w:val="00117667"/>
    <w:rsid w:val="00120358"/>
    <w:rsid w:val="001205CC"/>
    <w:rsid w:val="00123165"/>
    <w:rsid w:val="00123414"/>
    <w:rsid w:val="00125D3F"/>
    <w:rsid w:val="00130ACD"/>
    <w:rsid w:val="00135595"/>
    <w:rsid w:val="001401F9"/>
    <w:rsid w:val="00154A61"/>
    <w:rsid w:val="00155266"/>
    <w:rsid w:val="0015623C"/>
    <w:rsid w:val="00160D57"/>
    <w:rsid w:val="00164AAA"/>
    <w:rsid w:val="00166CDF"/>
    <w:rsid w:val="00167B6E"/>
    <w:rsid w:val="00170C8B"/>
    <w:rsid w:val="0017195F"/>
    <w:rsid w:val="00172A69"/>
    <w:rsid w:val="00173DB4"/>
    <w:rsid w:val="0017579E"/>
    <w:rsid w:val="00176C97"/>
    <w:rsid w:val="00184BA7"/>
    <w:rsid w:val="00186F1B"/>
    <w:rsid w:val="001904AF"/>
    <w:rsid w:val="001918B3"/>
    <w:rsid w:val="001955BF"/>
    <w:rsid w:val="001B4812"/>
    <w:rsid w:val="001B72A4"/>
    <w:rsid w:val="001C2A76"/>
    <w:rsid w:val="001C2DCD"/>
    <w:rsid w:val="001C42FF"/>
    <w:rsid w:val="001C5CEC"/>
    <w:rsid w:val="001D49C0"/>
    <w:rsid w:val="001D5314"/>
    <w:rsid w:val="001D6F4C"/>
    <w:rsid w:val="001D7EBE"/>
    <w:rsid w:val="001E513E"/>
    <w:rsid w:val="001E68D1"/>
    <w:rsid w:val="001F4DD4"/>
    <w:rsid w:val="001F5679"/>
    <w:rsid w:val="0020044D"/>
    <w:rsid w:val="00205E28"/>
    <w:rsid w:val="00205F88"/>
    <w:rsid w:val="00207183"/>
    <w:rsid w:val="00216A6A"/>
    <w:rsid w:val="00224FC1"/>
    <w:rsid w:val="0022624B"/>
    <w:rsid w:val="00226B5D"/>
    <w:rsid w:val="002275F2"/>
    <w:rsid w:val="002308E3"/>
    <w:rsid w:val="0023392B"/>
    <w:rsid w:val="00235ADE"/>
    <w:rsid w:val="00240BBB"/>
    <w:rsid w:val="002544DD"/>
    <w:rsid w:val="00256D25"/>
    <w:rsid w:val="0025709E"/>
    <w:rsid w:val="0026115B"/>
    <w:rsid w:val="00261B9D"/>
    <w:rsid w:val="002629FD"/>
    <w:rsid w:val="00264B3D"/>
    <w:rsid w:val="00270A33"/>
    <w:rsid w:val="002730A7"/>
    <w:rsid w:val="00273A6C"/>
    <w:rsid w:val="00282DDA"/>
    <w:rsid w:val="0028434E"/>
    <w:rsid w:val="002869AE"/>
    <w:rsid w:val="002902EE"/>
    <w:rsid w:val="002A2C7F"/>
    <w:rsid w:val="002A5016"/>
    <w:rsid w:val="002A61B0"/>
    <w:rsid w:val="002A6A89"/>
    <w:rsid w:val="002B1A03"/>
    <w:rsid w:val="002B6695"/>
    <w:rsid w:val="002C157D"/>
    <w:rsid w:val="002C2BBE"/>
    <w:rsid w:val="002C306B"/>
    <w:rsid w:val="002C710B"/>
    <w:rsid w:val="002C7277"/>
    <w:rsid w:val="002D243F"/>
    <w:rsid w:val="002D41FD"/>
    <w:rsid w:val="002E070D"/>
    <w:rsid w:val="002E6364"/>
    <w:rsid w:val="002F22A1"/>
    <w:rsid w:val="0030101C"/>
    <w:rsid w:val="00303EFF"/>
    <w:rsid w:val="003134CB"/>
    <w:rsid w:val="00321DD6"/>
    <w:rsid w:val="00322239"/>
    <w:rsid w:val="00324F37"/>
    <w:rsid w:val="00330687"/>
    <w:rsid w:val="003310E3"/>
    <w:rsid w:val="00333CDC"/>
    <w:rsid w:val="0033407F"/>
    <w:rsid w:val="00335B57"/>
    <w:rsid w:val="00336411"/>
    <w:rsid w:val="0034582B"/>
    <w:rsid w:val="00345D50"/>
    <w:rsid w:val="003465DA"/>
    <w:rsid w:val="00346986"/>
    <w:rsid w:val="00352F75"/>
    <w:rsid w:val="003538CB"/>
    <w:rsid w:val="00362DBC"/>
    <w:rsid w:val="003634BA"/>
    <w:rsid w:val="00365106"/>
    <w:rsid w:val="00365FAC"/>
    <w:rsid w:val="003739C1"/>
    <w:rsid w:val="00376FDB"/>
    <w:rsid w:val="00377965"/>
    <w:rsid w:val="00380A36"/>
    <w:rsid w:val="00381FB5"/>
    <w:rsid w:val="00382072"/>
    <w:rsid w:val="00382139"/>
    <w:rsid w:val="00384DD5"/>
    <w:rsid w:val="003851F0"/>
    <w:rsid w:val="00385AC4"/>
    <w:rsid w:val="00392512"/>
    <w:rsid w:val="0039344D"/>
    <w:rsid w:val="003A3240"/>
    <w:rsid w:val="003A377E"/>
    <w:rsid w:val="003B2820"/>
    <w:rsid w:val="003B3FE8"/>
    <w:rsid w:val="003C11CA"/>
    <w:rsid w:val="003D0FD9"/>
    <w:rsid w:val="003D3553"/>
    <w:rsid w:val="003E0C54"/>
    <w:rsid w:val="003E3091"/>
    <w:rsid w:val="003E3C60"/>
    <w:rsid w:val="003E756D"/>
    <w:rsid w:val="003F0927"/>
    <w:rsid w:val="003F34AE"/>
    <w:rsid w:val="003F52AC"/>
    <w:rsid w:val="003F708D"/>
    <w:rsid w:val="004021B3"/>
    <w:rsid w:val="0041115F"/>
    <w:rsid w:val="0041398E"/>
    <w:rsid w:val="00413C67"/>
    <w:rsid w:val="00416B04"/>
    <w:rsid w:val="004212A2"/>
    <w:rsid w:val="0043071E"/>
    <w:rsid w:val="00433D32"/>
    <w:rsid w:val="00434C26"/>
    <w:rsid w:val="00441530"/>
    <w:rsid w:val="00442730"/>
    <w:rsid w:val="00445416"/>
    <w:rsid w:val="00451B2C"/>
    <w:rsid w:val="00453E46"/>
    <w:rsid w:val="0045637A"/>
    <w:rsid w:val="0046074B"/>
    <w:rsid w:val="00464CA0"/>
    <w:rsid w:val="004708B1"/>
    <w:rsid w:val="00475076"/>
    <w:rsid w:val="00476316"/>
    <w:rsid w:val="004830D0"/>
    <w:rsid w:val="0048448F"/>
    <w:rsid w:val="00484FDF"/>
    <w:rsid w:val="00491689"/>
    <w:rsid w:val="00494B46"/>
    <w:rsid w:val="004A276B"/>
    <w:rsid w:val="004B344A"/>
    <w:rsid w:val="004C1112"/>
    <w:rsid w:val="004C1718"/>
    <w:rsid w:val="004C3FFB"/>
    <w:rsid w:val="004C6450"/>
    <w:rsid w:val="004C79D9"/>
    <w:rsid w:val="004D14CB"/>
    <w:rsid w:val="004D2489"/>
    <w:rsid w:val="004D43CC"/>
    <w:rsid w:val="004D5A0E"/>
    <w:rsid w:val="004E01CD"/>
    <w:rsid w:val="004E27DD"/>
    <w:rsid w:val="004E3EA8"/>
    <w:rsid w:val="004E3F8E"/>
    <w:rsid w:val="004E52E4"/>
    <w:rsid w:val="004E5712"/>
    <w:rsid w:val="004E5830"/>
    <w:rsid w:val="004E603F"/>
    <w:rsid w:val="004E75E4"/>
    <w:rsid w:val="004F003E"/>
    <w:rsid w:val="004F06D1"/>
    <w:rsid w:val="004F0CD3"/>
    <w:rsid w:val="004F436C"/>
    <w:rsid w:val="00501FB1"/>
    <w:rsid w:val="005076FB"/>
    <w:rsid w:val="00511387"/>
    <w:rsid w:val="00513B12"/>
    <w:rsid w:val="00513DC2"/>
    <w:rsid w:val="005156DD"/>
    <w:rsid w:val="005201D7"/>
    <w:rsid w:val="0052160A"/>
    <w:rsid w:val="00523D4D"/>
    <w:rsid w:val="00524C18"/>
    <w:rsid w:val="00532433"/>
    <w:rsid w:val="00542EBD"/>
    <w:rsid w:val="0054402E"/>
    <w:rsid w:val="005475AC"/>
    <w:rsid w:val="0055224D"/>
    <w:rsid w:val="00553DB1"/>
    <w:rsid w:val="00554BFB"/>
    <w:rsid w:val="005550D3"/>
    <w:rsid w:val="0055644C"/>
    <w:rsid w:val="005627B6"/>
    <w:rsid w:val="005629D2"/>
    <w:rsid w:val="005739D7"/>
    <w:rsid w:val="00581185"/>
    <w:rsid w:val="005837F9"/>
    <w:rsid w:val="00587B43"/>
    <w:rsid w:val="005913D2"/>
    <w:rsid w:val="00591E45"/>
    <w:rsid w:val="00594174"/>
    <w:rsid w:val="00595D82"/>
    <w:rsid w:val="005A04F3"/>
    <w:rsid w:val="005A2CDE"/>
    <w:rsid w:val="005A4C8B"/>
    <w:rsid w:val="005B4430"/>
    <w:rsid w:val="005C30E6"/>
    <w:rsid w:val="005C35D4"/>
    <w:rsid w:val="005D1D97"/>
    <w:rsid w:val="005D3596"/>
    <w:rsid w:val="005D5886"/>
    <w:rsid w:val="005E05C5"/>
    <w:rsid w:val="005F0328"/>
    <w:rsid w:val="005F4676"/>
    <w:rsid w:val="005F50AE"/>
    <w:rsid w:val="006078DB"/>
    <w:rsid w:val="006127B9"/>
    <w:rsid w:val="0062036D"/>
    <w:rsid w:val="00622ECA"/>
    <w:rsid w:val="00625575"/>
    <w:rsid w:val="00626CA4"/>
    <w:rsid w:val="006271E4"/>
    <w:rsid w:val="00637E8E"/>
    <w:rsid w:val="0064653F"/>
    <w:rsid w:val="006548C6"/>
    <w:rsid w:val="006554D9"/>
    <w:rsid w:val="00664146"/>
    <w:rsid w:val="00664447"/>
    <w:rsid w:val="00670D86"/>
    <w:rsid w:val="00671B0C"/>
    <w:rsid w:val="00671EB5"/>
    <w:rsid w:val="00673D02"/>
    <w:rsid w:val="00682364"/>
    <w:rsid w:val="006827A3"/>
    <w:rsid w:val="006A05B8"/>
    <w:rsid w:val="006A2D2D"/>
    <w:rsid w:val="006A6DA2"/>
    <w:rsid w:val="006B1D28"/>
    <w:rsid w:val="006B30A6"/>
    <w:rsid w:val="006B3DEC"/>
    <w:rsid w:val="006C3C6D"/>
    <w:rsid w:val="006D3AD2"/>
    <w:rsid w:val="006D4FE6"/>
    <w:rsid w:val="006D51B4"/>
    <w:rsid w:val="006D6BF1"/>
    <w:rsid w:val="006F3864"/>
    <w:rsid w:val="006F45F7"/>
    <w:rsid w:val="006F4A84"/>
    <w:rsid w:val="00705853"/>
    <w:rsid w:val="00705964"/>
    <w:rsid w:val="00707094"/>
    <w:rsid w:val="0070722F"/>
    <w:rsid w:val="007072CF"/>
    <w:rsid w:val="00714751"/>
    <w:rsid w:val="00715C55"/>
    <w:rsid w:val="00717FA5"/>
    <w:rsid w:val="007201EB"/>
    <w:rsid w:val="00720977"/>
    <w:rsid w:val="00724D9E"/>
    <w:rsid w:val="00724EE0"/>
    <w:rsid w:val="007279B5"/>
    <w:rsid w:val="00734A31"/>
    <w:rsid w:val="0074045C"/>
    <w:rsid w:val="00743CF9"/>
    <w:rsid w:val="007548FF"/>
    <w:rsid w:val="0076061B"/>
    <w:rsid w:val="00763FB1"/>
    <w:rsid w:val="00774FAC"/>
    <w:rsid w:val="00774FF1"/>
    <w:rsid w:val="00782B25"/>
    <w:rsid w:val="0078632C"/>
    <w:rsid w:val="0079057C"/>
    <w:rsid w:val="0079110C"/>
    <w:rsid w:val="00792493"/>
    <w:rsid w:val="00793944"/>
    <w:rsid w:val="00794C57"/>
    <w:rsid w:val="00794DCA"/>
    <w:rsid w:val="007A580A"/>
    <w:rsid w:val="007A7EC1"/>
    <w:rsid w:val="007B63E1"/>
    <w:rsid w:val="007B662D"/>
    <w:rsid w:val="007B6CFB"/>
    <w:rsid w:val="007B7138"/>
    <w:rsid w:val="007B73B8"/>
    <w:rsid w:val="007C69E4"/>
    <w:rsid w:val="007D560F"/>
    <w:rsid w:val="007E5134"/>
    <w:rsid w:val="007F12BA"/>
    <w:rsid w:val="007F6995"/>
    <w:rsid w:val="00800C33"/>
    <w:rsid w:val="008057AC"/>
    <w:rsid w:val="00840150"/>
    <w:rsid w:val="008479B9"/>
    <w:rsid w:val="008543D0"/>
    <w:rsid w:val="008609C0"/>
    <w:rsid w:val="00860D03"/>
    <w:rsid w:val="00863ED5"/>
    <w:rsid w:val="00875B55"/>
    <w:rsid w:val="008764CF"/>
    <w:rsid w:val="00882525"/>
    <w:rsid w:val="00882F99"/>
    <w:rsid w:val="0088548E"/>
    <w:rsid w:val="00885E81"/>
    <w:rsid w:val="00887520"/>
    <w:rsid w:val="00887719"/>
    <w:rsid w:val="0089047F"/>
    <w:rsid w:val="00890499"/>
    <w:rsid w:val="00892A24"/>
    <w:rsid w:val="00893D04"/>
    <w:rsid w:val="008B335C"/>
    <w:rsid w:val="008D0EDE"/>
    <w:rsid w:val="008D617C"/>
    <w:rsid w:val="008D7481"/>
    <w:rsid w:val="008F40C5"/>
    <w:rsid w:val="008F6805"/>
    <w:rsid w:val="008F7102"/>
    <w:rsid w:val="00901353"/>
    <w:rsid w:val="0090260A"/>
    <w:rsid w:val="00904558"/>
    <w:rsid w:val="0091030E"/>
    <w:rsid w:val="009130F0"/>
    <w:rsid w:val="0091572D"/>
    <w:rsid w:val="00923A5A"/>
    <w:rsid w:val="00925D4B"/>
    <w:rsid w:val="0092600E"/>
    <w:rsid w:val="00930D73"/>
    <w:rsid w:val="009312E8"/>
    <w:rsid w:val="009361ED"/>
    <w:rsid w:val="009627ED"/>
    <w:rsid w:val="0096363E"/>
    <w:rsid w:val="00964265"/>
    <w:rsid w:val="009642E0"/>
    <w:rsid w:val="00964BE0"/>
    <w:rsid w:val="00972DB3"/>
    <w:rsid w:val="00973BFD"/>
    <w:rsid w:val="00974957"/>
    <w:rsid w:val="00974FAB"/>
    <w:rsid w:val="00983342"/>
    <w:rsid w:val="00986B33"/>
    <w:rsid w:val="00990FEF"/>
    <w:rsid w:val="00991956"/>
    <w:rsid w:val="00996CF3"/>
    <w:rsid w:val="009A2F10"/>
    <w:rsid w:val="009A41E1"/>
    <w:rsid w:val="009A6E06"/>
    <w:rsid w:val="009B13D4"/>
    <w:rsid w:val="009B5194"/>
    <w:rsid w:val="009C1F66"/>
    <w:rsid w:val="009C2E3E"/>
    <w:rsid w:val="009C3B65"/>
    <w:rsid w:val="009C3DE4"/>
    <w:rsid w:val="009D07BF"/>
    <w:rsid w:val="009D16FB"/>
    <w:rsid w:val="009D3176"/>
    <w:rsid w:val="009D693B"/>
    <w:rsid w:val="009F3773"/>
    <w:rsid w:val="009F4384"/>
    <w:rsid w:val="00A01F9C"/>
    <w:rsid w:val="00A02838"/>
    <w:rsid w:val="00A07708"/>
    <w:rsid w:val="00A10905"/>
    <w:rsid w:val="00A10DBD"/>
    <w:rsid w:val="00A2146A"/>
    <w:rsid w:val="00A25DA1"/>
    <w:rsid w:val="00A3117F"/>
    <w:rsid w:val="00A37EA6"/>
    <w:rsid w:val="00A408BA"/>
    <w:rsid w:val="00A45345"/>
    <w:rsid w:val="00A5014B"/>
    <w:rsid w:val="00A513FC"/>
    <w:rsid w:val="00A533AE"/>
    <w:rsid w:val="00A53D66"/>
    <w:rsid w:val="00A56B32"/>
    <w:rsid w:val="00A634D6"/>
    <w:rsid w:val="00A63F4D"/>
    <w:rsid w:val="00A64388"/>
    <w:rsid w:val="00A6601E"/>
    <w:rsid w:val="00A71E3D"/>
    <w:rsid w:val="00A726F6"/>
    <w:rsid w:val="00A82CAE"/>
    <w:rsid w:val="00A865BC"/>
    <w:rsid w:val="00A866A1"/>
    <w:rsid w:val="00A94D41"/>
    <w:rsid w:val="00A95592"/>
    <w:rsid w:val="00AA4B2E"/>
    <w:rsid w:val="00AB0A98"/>
    <w:rsid w:val="00AB2A11"/>
    <w:rsid w:val="00AB2CEB"/>
    <w:rsid w:val="00AB3396"/>
    <w:rsid w:val="00AB7737"/>
    <w:rsid w:val="00AC04D0"/>
    <w:rsid w:val="00AC7CBC"/>
    <w:rsid w:val="00AD4E78"/>
    <w:rsid w:val="00AD72F1"/>
    <w:rsid w:val="00AD7418"/>
    <w:rsid w:val="00AE18D2"/>
    <w:rsid w:val="00AF194B"/>
    <w:rsid w:val="00AF48A5"/>
    <w:rsid w:val="00AF5883"/>
    <w:rsid w:val="00B00FCC"/>
    <w:rsid w:val="00B02976"/>
    <w:rsid w:val="00B03AD0"/>
    <w:rsid w:val="00B05154"/>
    <w:rsid w:val="00B21C64"/>
    <w:rsid w:val="00B271E6"/>
    <w:rsid w:val="00B35F02"/>
    <w:rsid w:val="00B36F7E"/>
    <w:rsid w:val="00B3715E"/>
    <w:rsid w:val="00B37937"/>
    <w:rsid w:val="00B42F06"/>
    <w:rsid w:val="00B454A4"/>
    <w:rsid w:val="00B460CF"/>
    <w:rsid w:val="00B4798C"/>
    <w:rsid w:val="00B56455"/>
    <w:rsid w:val="00B65C46"/>
    <w:rsid w:val="00B74D78"/>
    <w:rsid w:val="00B85DD6"/>
    <w:rsid w:val="00B87575"/>
    <w:rsid w:val="00B9286E"/>
    <w:rsid w:val="00B968AE"/>
    <w:rsid w:val="00B96A9B"/>
    <w:rsid w:val="00BA010D"/>
    <w:rsid w:val="00BA2E8A"/>
    <w:rsid w:val="00BB1D4E"/>
    <w:rsid w:val="00BB3170"/>
    <w:rsid w:val="00BC039E"/>
    <w:rsid w:val="00BC1748"/>
    <w:rsid w:val="00BC573E"/>
    <w:rsid w:val="00BC7013"/>
    <w:rsid w:val="00BD16B8"/>
    <w:rsid w:val="00BD2268"/>
    <w:rsid w:val="00BD5474"/>
    <w:rsid w:val="00BE312A"/>
    <w:rsid w:val="00BE78C5"/>
    <w:rsid w:val="00C015BE"/>
    <w:rsid w:val="00C03A1F"/>
    <w:rsid w:val="00C03E50"/>
    <w:rsid w:val="00C0441D"/>
    <w:rsid w:val="00C04E0D"/>
    <w:rsid w:val="00C05615"/>
    <w:rsid w:val="00C14F82"/>
    <w:rsid w:val="00C15063"/>
    <w:rsid w:val="00C15643"/>
    <w:rsid w:val="00C20638"/>
    <w:rsid w:val="00C21D27"/>
    <w:rsid w:val="00C237EB"/>
    <w:rsid w:val="00C25566"/>
    <w:rsid w:val="00C33A19"/>
    <w:rsid w:val="00C40B85"/>
    <w:rsid w:val="00C41DE3"/>
    <w:rsid w:val="00C43385"/>
    <w:rsid w:val="00C43959"/>
    <w:rsid w:val="00C47163"/>
    <w:rsid w:val="00C5133B"/>
    <w:rsid w:val="00C52DBE"/>
    <w:rsid w:val="00C5335B"/>
    <w:rsid w:val="00C55FB2"/>
    <w:rsid w:val="00C6026E"/>
    <w:rsid w:val="00C60E4A"/>
    <w:rsid w:val="00C63E85"/>
    <w:rsid w:val="00C748A0"/>
    <w:rsid w:val="00C805CB"/>
    <w:rsid w:val="00C8398B"/>
    <w:rsid w:val="00C90915"/>
    <w:rsid w:val="00C974A0"/>
    <w:rsid w:val="00C97F45"/>
    <w:rsid w:val="00CA42AC"/>
    <w:rsid w:val="00CB05D1"/>
    <w:rsid w:val="00CC0228"/>
    <w:rsid w:val="00CC16D0"/>
    <w:rsid w:val="00CD24B0"/>
    <w:rsid w:val="00CE4023"/>
    <w:rsid w:val="00CF32A3"/>
    <w:rsid w:val="00CF6D90"/>
    <w:rsid w:val="00D01627"/>
    <w:rsid w:val="00D05701"/>
    <w:rsid w:val="00D157B1"/>
    <w:rsid w:val="00D173E7"/>
    <w:rsid w:val="00D2243C"/>
    <w:rsid w:val="00D32489"/>
    <w:rsid w:val="00D35672"/>
    <w:rsid w:val="00D4171C"/>
    <w:rsid w:val="00D42E50"/>
    <w:rsid w:val="00D46D52"/>
    <w:rsid w:val="00D52EC1"/>
    <w:rsid w:val="00D54203"/>
    <w:rsid w:val="00D5676E"/>
    <w:rsid w:val="00D6074B"/>
    <w:rsid w:val="00D62347"/>
    <w:rsid w:val="00D76EE2"/>
    <w:rsid w:val="00D83E18"/>
    <w:rsid w:val="00D8548F"/>
    <w:rsid w:val="00D907AF"/>
    <w:rsid w:val="00DA35D5"/>
    <w:rsid w:val="00DB0756"/>
    <w:rsid w:val="00DB15D5"/>
    <w:rsid w:val="00DB176A"/>
    <w:rsid w:val="00DB2935"/>
    <w:rsid w:val="00DB6002"/>
    <w:rsid w:val="00DC0679"/>
    <w:rsid w:val="00DC4010"/>
    <w:rsid w:val="00DC70FC"/>
    <w:rsid w:val="00DD39B5"/>
    <w:rsid w:val="00DD4676"/>
    <w:rsid w:val="00DD54DC"/>
    <w:rsid w:val="00DD5A22"/>
    <w:rsid w:val="00DD770E"/>
    <w:rsid w:val="00DD774E"/>
    <w:rsid w:val="00DE58D1"/>
    <w:rsid w:val="00DF0CDF"/>
    <w:rsid w:val="00DF3983"/>
    <w:rsid w:val="00DF6461"/>
    <w:rsid w:val="00E0625C"/>
    <w:rsid w:val="00E1120D"/>
    <w:rsid w:val="00E12DC8"/>
    <w:rsid w:val="00E1404F"/>
    <w:rsid w:val="00E15F89"/>
    <w:rsid w:val="00E25B83"/>
    <w:rsid w:val="00E263D1"/>
    <w:rsid w:val="00E26EAC"/>
    <w:rsid w:val="00E40448"/>
    <w:rsid w:val="00E4167D"/>
    <w:rsid w:val="00E55D63"/>
    <w:rsid w:val="00E55FCA"/>
    <w:rsid w:val="00E615EC"/>
    <w:rsid w:val="00E6244C"/>
    <w:rsid w:val="00E633CC"/>
    <w:rsid w:val="00E66EF5"/>
    <w:rsid w:val="00E70070"/>
    <w:rsid w:val="00E71E9F"/>
    <w:rsid w:val="00E72F03"/>
    <w:rsid w:val="00E7451E"/>
    <w:rsid w:val="00E81F8D"/>
    <w:rsid w:val="00E82DD2"/>
    <w:rsid w:val="00E8706A"/>
    <w:rsid w:val="00E87103"/>
    <w:rsid w:val="00E914CE"/>
    <w:rsid w:val="00E92730"/>
    <w:rsid w:val="00EA1CA5"/>
    <w:rsid w:val="00EA5422"/>
    <w:rsid w:val="00EA57F6"/>
    <w:rsid w:val="00EB7EFD"/>
    <w:rsid w:val="00EC666D"/>
    <w:rsid w:val="00ED107E"/>
    <w:rsid w:val="00ED1F49"/>
    <w:rsid w:val="00ED6C44"/>
    <w:rsid w:val="00EE08F2"/>
    <w:rsid w:val="00EE0E36"/>
    <w:rsid w:val="00EE1EB3"/>
    <w:rsid w:val="00EE3D98"/>
    <w:rsid w:val="00EF7F0C"/>
    <w:rsid w:val="00F15081"/>
    <w:rsid w:val="00F20FF5"/>
    <w:rsid w:val="00F2374D"/>
    <w:rsid w:val="00F2572D"/>
    <w:rsid w:val="00F37F5A"/>
    <w:rsid w:val="00F52B0C"/>
    <w:rsid w:val="00F62F86"/>
    <w:rsid w:val="00F638D8"/>
    <w:rsid w:val="00F64CC4"/>
    <w:rsid w:val="00F66D6A"/>
    <w:rsid w:val="00F67531"/>
    <w:rsid w:val="00F804C0"/>
    <w:rsid w:val="00F826B7"/>
    <w:rsid w:val="00F85238"/>
    <w:rsid w:val="00F87FCE"/>
    <w:rsid w:val="00F922CA"/>
    <w:rsid w:val="00F92310"/>
    <w:rsid w:val="00F97DC0"/>
    <w:rsid w:val="00FA131A"/>
    <w:rsid w:val="00FB00CD"/>
    <w:rsid w:val="00FB417A"/>
    <w:rsid w:val="00FC0367"/>
    <w:rsid w:val="00FC03EB"/>
    <w:rsid w:val="00FC3398"/>
    <w:rsid w:val="00FC5319"/>
    <w:rsid w:val="00FD448A"/>
    <w:rsid w:val="00FD662E"/>
    <w:rsid w:val="00FD7D4A"/>
    <w:rsid w:val="00FE0215"/>
    <w:rsid w:val="00FE0CCE"/>
    <w:rsid w:val="00FF01BD"/>
    <w:rsid w:val="00FF2602"/>
    <w:rsid w:val="00FF29FB"/>
    <w:rsid w:val="00FF741A"/>
    <w:rsid w:val="00FF78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338AC"/>
  <w15:chartTrackingRefBased/>
  <w15:docId w15:val="{6510040D-3255-40E1-A65B-27462004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701"/>
    <w:pPr>
      <w:ind w:left="720"/>
      <w:contextualSpacing/>
    </w:pPr>
  </w:style>
  <w:style w:type="paragraph" w:customStyle="1" w:styleId="Default">
    <w:name w:val="Default"/>
    <w:rsid w:val="00D057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5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01"/>
  </w:style>
  <w:style w:type="paragraph" w:styleId="Footer">
    <w:name w:val="footer"/>
    <w:basedOn w:val="Normal"/>
    <w:link w:val="FooterChar"/>
    <w:uiPriority w:val="99"/>
    <w:unhideWhenUsed/>
    <w:rsid w:val="00D05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01"/>
  </w:style>
  <w:style w:type="character" w:customStyle="1" w:styleId="FootnoteTextChar">
    <w:name w:val="Footnote Text Char"/>
    <w:basedOn w:val="DefaultParagraphFont"/>
    <w:link w:val="FootnoteText"/>
    <w:uiPriority w:val="99"/>
    <w:semiHidden/>
    <w:rsid w:val="00D05701"/>
    <w:rPr>
      <w:sz w:val="20"/>
      <w:szCs w:val="20"/>
    </w:rPr>
  </w:style>
  <w:style w:type="paragraph" w:styleId="FootnoteText">
    <w:name w:val="footnote text"/>
    <w:basedOn w:val="Normal"/>
    <w:link w:val="FootnoteTextChar"/>
    <w:uiPriority w:val="99"/>
    <w:semiHidden/>
    <w:unhideWhenUsed/>
    <w:rsid w:val="00D05701"/>
    <w:pPr>
      <w:spacing w:after="0" w:line="240" w:lineRule="auto"/>
    </w:pPr>
    <w:rPr>
      <w:sz w:val="20"/>
      <w:szCs w:val="20"/>
    </w:rPr>
  </w:style>
  <w:style w:type="character" w:customStyle="1" w:styleId="BalloonTextChar">
    <w:name w:val="Balloon Text Char"/>
    <w:basedOn w:val="DefaultParagraphFont"/>
    <w:link w:val="BalloonText"/>
    <w:uiPriority w:val="99"/>
    <w:semiHidden/>
    <w:rsid w:val="00D05701"/>
    <w:rPr>
      <w:rFonts w:ascii="Segoe UI" w:hAnsi="Segoe UI" w:cs="Segoe UI"/>
      <w:sz w:val="18"/>
      <w:szCs w:val="18"/>
    </w:rPr>
  </w:style>
  <w:style w:type="paragraph" w:styleId="BalloonText">
    <w:name w:val="Balloon Text"/>
    <w:basedOn w:val="Normal"/>
    <w:link w:val="BalloonTextChar"/>
    <w:uiPriority w:val="99"/>
    <w:semiHidden/>
    <w:unhideWhenUsed/>
    <w:rsid w:val="00D05701"/>
    <w:pPr>
      <w:spacing w:after="0" w:line="240" w:lineRule="auto"/>
    </w:pPr>
    <w:rPr>
      <w:rFonts w:ascii="Segoe UI" w:hAnsi="Segoe UI" w:cs="Segoe UI"/>
      <w:sz w:val="18"/>
      <w:szCs w:val="18"/>
    </w:rPr>
  </w:style>
  <w:style w:type="paragraph" w:styleId="NoSpacing">
    <w:name w:val="No Spacing"/>
    <w:uiPriority w:val="1"/>
    <w:qFormat/>
    <w:rsid w:val="00B02976"/>
    <w:pPr>
      <w:spacing w:after="0" w:line="240" w:lineRule="auto"/>
    </w:pPr>
  </w:style>
  <w:style w:type="paragraph" w:styleId="PlainText">
    <w:name w:val="Plain Text"/>
    <w:basedOn w:val="Normal"/>
    <w:link w:val="PlainTextChar"/>
    <w:uiPriority w:val="99"/>
    <w:semiHidden/>
    <w:unhideWhenUsed/>
    <w:rsid w:val="00C04E0D"/>
    <w:pPr>
      <w:spacing w:after="0" w:line="240" w:lineRule="auto"/>
    </w:pPr>
    <w:rPr>
      <w:rFonts w:ascii="Calibri" w:hAnsi="Calibri" w:cs="Calibri"/>
      <w:lang w:eastAsia="en-ZA"/>
    </w:rPr>
  </w:style>
  <w:style w:type="character" w:customStyle="1" w:styleId="PlainTextChar">
    <w:name w:val="Plain Text Char"/>
    <w:basedOn w:val="DefaultParagraphFont"/>
    <w:link w:val="PlainText"/>
    <w:uiPriority w:val="99"/>
    <w:semiHidden/>
    <w:rsid w:val="00C04E0D"/>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27A3-CD0B-466B-A970-E7D8A106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10500</Words>
  <Characters>59850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Nodada</dc:creator>
  <cp:keywords/>
  <dc:description/>
  <cp:lastModifiedBy>Bradley Viljoen</cp:lastModifiedBy>
  <cp:revision>2</cp:revision>
  <dcterms:created xsi:type="dcterms:W3CDTF">2022-05-11T18:45:00Z</dcterms:created>
  <dcterms:modified xsi:type="dcterms:W3CDTF">2022-05-11T18:45:00Z</dcterms:modified>
</cp:coreProperties>
</file>