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73" w:rsidRPr="009D032C" w:rsidRDefault="009D032C" w:rsidP="00AE093D">
      <w:pPr>
        <w:spacing w:line="360" w:lineRule="auto"/>
        <w:jc w:val="both"/>
        <w:rPr>
          <w:b/>
          <w:sz w:val="28"/>
          <w:szCs w:val="28"/>
          <w:lang w:val="en-ZA"/>
        </w:rPr>
      </w:pPr>
      <w:bookmarkStart w:id="0" w:name="_GoBack"/>
      <w:bookmarkEnd w:id="0"/>
      <w:r w:rsidRPr="009D032C">
        <w:rPr>
          <w:b/>
          <w:sz w:val="28"/>
          <w:szCs w:val="28"/>
          <w:lang w:val="en-ZA"/>
        </w:rPr>
        <w:t xml:space="preserve">3. </w:t>
      </w:r>
      <w:r w:rsidR="00D65DA7" w:rsidRPr="009D032C">
        <w:rPr>
          <w:b/>
          <w:sz w:val="28"/>
          <w:szCs w:val="28"/>
          <w:lang w:val="en-ZA"/>
        </w:rPr>
        <w:t>REPORT OF THE PORTFOLIO COMMITTEE ON AGRICULTURE, LAND REFORM AND RURAL DEVELOPMENT ON THE 202</w:t>
      </w:r>
      <w:r w:rsidR="002A4943" w:rsidRPr="009D032C">
        <w:rPr>
          <w:b/>
          <w:sz w:val="28"/>
          <w:szCs w:val="28"/>
          <w:lang w:val="en-ZA"/>
        </w:rPr>
        <w:t>2</w:t>
      </w:r>
      <w:r w:rsidR="006A57EB" w:rsidRPr="009D032C">
        <w:rPr>
          <w:b/>
          <w:sz w:val="28"/>
          <w:szCs w:val="28"/>
          <w:lang w:val="en-ZA"/>
        </w:rPr>
        <w:t>/23</w:t>
      </w:r>
      <w:r w:rsidR="00D65DA7" w:rsidRPr="009D032C">
        <w:rPr>
          <w:b/>
          <w:sz w:val="28"/>
          <w:szCs w:val="28"/>
          <w:lang w:val="en-ZA"/>
        </w:rPr>
        <w:t xml:space="preserve"> ANNUAL PERFORMANCE PLAN</w:t>
      </w:r>
      <w:r w:rsidR="00833250" w:rsidRPr="009D032C">
        <w:rPr>
          <w:b/>
          <w:sz w:val="28"/>
          <w:szCs w:val="28"/>
          <w:lang w:val="en-ZA"/>
        </w:rPr>
        <w:t>S</w:t>
      </w:r>
      <w:r w:rsidR="00D65DA7" w:rsidRPr="009D032C">
        <w:rPr>
          <w:b/>
          <w:sz w:val="28"/>
          <w:szCs w:val="28"/>
          <w:lang w:val="en-ZA"/>
        </w:rPr>
        <w:t xml:space="preserve"> AND THE BUDGET OF THE DEPARTMENT OF AGRICULTURE, LAND REFORM AND RURAL DEVELOPMENT AND ITS ENTITIES, VOTE 29, DATED </w:t>
      </w:r>
      <w:r w:rsidR="002A4943" w:rsidRPr="009D032C">
        <w:rPr>
          <w:b/>
          <w:sz w:val="28"/>
          <w:szCs w:val="28"/>
          <w:lang w:val="en-ZA"/>
        </w:rPr>
        <w:t>1</w:t>
      </w:r>
      <w:r w:rsidR="006A57EB" w:rsidRPr="009D032C">
        <w:rPr>
          <w:b/>
          <w:sz w:val="28"/>
          <w:szCs w:val="28"/>
          <w:lang w:val="en-ZA"/>
        </w:rPr>
        <w:t>0</w:t>
      </w:r>
      <w:r w:rsidR="00D65DA7" w:rsidRPr="009D032C">
        <w:rPr>
          <w:b/>
          <w:sz w:val="28"/>
          <w:szCs w:val="28"/>
          <w:lang w:val="en-ZA"/>
        </w:rPr>
        <w:t xml:space="preserve"> MAY 202</w:t>
      </w:r>
      <w:r w:rsidR="002A4943" w:rsidRPr="009D032C">
        <w:rPr>
          <w:b/>
          <w:sz w:val="28"/>
          <w:szCs w:val="28"/>
          <w:lang w:val="en-ZA"/>
        </w:rPr>
        <w:t>1</w:t>
      </w:r>
      <w:r w:rsidR="00D65DA7" w:rsidRPr="009D032C">
        <w:rPr>
          <w:b/>
          <w:sz w:val="28"/>
          <w:szCs w:val="28"/>
          <w:lang w:val="en-ZA"/>
        </w:rPr>
        <w:t>.</w:t>
      </w:r>
    </w:p>
    <w:p w:rsidR="001241AA" w:rsidRPr="005A669B" w:rsidRDefault="001241AA" w:rsidP="00AE093D">
      <w:pPr>
        <w:spacing w:line="360" w:lineRule="auto"/>
        <w:jc w:val="both"/>
        <w:rPr>
          <w:b/>
          <w:lang w:val="en-ZA"/>
        </w:rPr>
      </w:pPr>
    </w:p>
    <w:p w:rsidR="00B90DA3" w:rsidRPr="005A669B" w:rsidRDefault="001241AA" w:rsidP="00AE093D">
      <w:pPr>
        <w:spacing w:line="360" w:lineRule="auto"/>
        <w:jc w:val="both"/>
        <w:rPr>
          <w:lang w:val="en-ZA"/>
        </w:rPr>
      </w:pPr>
      <w:r w:rsidRPr="005A669B">
        <w:rPr>
          <w:lang w:val="en-ZA"/>
        </w:rPr>
        <w:t xml:space="preserve">The Portfolio Committee on </w:t>
      </w:r>
      <w:r w:rsidR="00482874" w:rsidRPr="005A669B">
        <w:rPr>
          <w:lang w:val="en-ZA"/>
        </w:rPr>
        <w:t xml:space="preserve">Agriculture, </w:t>
      </w:r>
      <w:r w:rsidR="008D5C0A" w:rsidRPr="005A669B">
        <w:rPr>
          <w:lang w:val="en-ZA"/>
        </w:rPr>
        <w:t>Land Reform and Rural Development</w:t>
      </w:r>
      <w:r w:rsidR="00306BAF" w:rsidRPr="005A669B">
        <w:rPr>
          <w:lang w:val="en-ZA"/>
        </w:rPr>
        <w:t xml:space="preserve"> (hereinafter referred to as the Portfolio Committee) </w:t>
      </w:r>
      <w:r w:rsidR="00395D68" w:rsidRPr="005A669B">
        <w:rPr>
          <w:lang w:val="en-ZA"/>
        </w:rPr>
        <w:t xml:space="preserve">examined </w:t>
      </w:r>
      <w:r w:rsidR="00A024FB">
        <w:rPr>
          <w:lang w:val="en-ZA"/>
        </w:rPr>
        <w:t>the 202</w:t>
      </w:r>
      <w:r w:rsidR="002A4943">
        <w:rPr>
          <w:lang w:val="en-ZA"/>
        </w:rPr>
        <w:t>2</w:t>
      </w:r>
      <w:r w:rsidR="006A57EB">
        <w:rPr>
          <w:lang w:val="en-ZA"/>
        </w:rPr>
        <w:t>/23</w:t>
      </w:r>
      <w:r w:rsidR="00A024FB">
        <w:rPr>
          <w:lang w:val="en-ZA"/>
        </w:rPr>
        <w:t xml:space="preserve"> </w:t>
      </w:r>
      <w:r w:rsidR="00395D68" w:rsidRPr="005A669B">
        <w:rPr>
          <w:lang w:val="en-ZA"/>
        </w:rPr>
        <w:t>Vote 2</w:t>
      </w:r>
      <w:r w:rsidR="001701E3" w:rsidRPr="005A669B">
        <w:rPr>
          <w:lang w:val="en-ZA"/>
        </w:rPr>
        <w:t>9</w:t>
      </w:r>
      <w:r w:rsidR="00395D68" w:rsidRPr="005A669B">
        <w:rPr>
          <w:lang w:val="en-ZA"/>
        </w:rPr>
        <w:t xml:space="preserve">: Agriculture, </w:t>
      </w:r>
      <w:r w:rsidR="0072048F" w:rsidRPr="005A669B">
        <w:rPr>
          <w:lang w:val="en-ZA"/>
        </w:rPr>
        <w:t>Land Reform and Rural Development</w:t>
      </w:r>
      <w:r w:rsidR="0019764A" w:rsidRPr="005A669B">
        <w:rPr>
          <w:lang w:val="en-ZA"/>
        </w:rPr>
        <w:t xml:space="preserve"> </w:t>
      </w:r>
      <w:r w:rsidR="00395D68" w:rsidRPr="005A669B">
        <w:rPr>
          <w:lang w:val="en-ZA"/>
        </w:rPr>
        <w:t xml:space="preserve">and budget projections for the </w:t>
      </w:r>
      <w:r w:rsidR="00D77A89" w:rsidRPr="005A669B">
        <w:rPr>
          <w:lang w:val="en-ZA"/>
        </w:rPr>
        <w:t>M</w:t>
      </w:r>
      <w:r w:rsidR="00395D68" w:rsidRPr="005A669B">
        <w:rPr>
          <w:lang w:val="en-ZA"/>
        </w:rPr>
        <w:t xml:space="preserve">edium </w:t>
      </w:r>
      <w:r w:rsidR="00D77A89" w:rsidRPr="005A669B">
        <w:rPr>
          <w:lang w:val="en-ZA"/>
        </w:rPr>
        <w:t>T</w:t>
      </w:r>
      <w:r w:rsidR="00395D68" w:rsidRPr="005A669B">
        <w:rPr>
          <w:lang w:val="en-ZA"/>
        </w:rPr>
        <w:t xml:space="preserve">erm </w:t>
      </w:r>
      <w:r w:rsidR="00D77A89" w:rsidRPr="005A669B">
        <w:rPr>
          <w:lang w:val="en-ZA"/>
        </w:rPr>
        <w:t>Expenditure F</w:t>
      </w:r>
      <w:r w:rsidR="00395D68" w:rsidRPr="005A669B">
        <w:rPr>
          <w:lang w:val="en-ZA"/>
        </w:rPr>
        <w:t xml:space="preserve">ramework (MTEF) </w:t>
      </w:r>
      <w:r w:rsidR="00CE2415" w:rsidRPr="005A669B">
        <w:rPr>
          <w:lang w:val="en-ZA"/>
        </w:rPr>
        <w:t>period ending</w:t>
      </w:r>
      <w:r w:rsidR="0099124E" w:rsidRPr="005A669B">
        <w:rPr>
          <w:lang w:val="en-ZA"/>
        </w:rPr>
        <w:t xml:space="preserve"> in</w:t>
      </w:r>
      <w:r w:rsidR="0099124E" w:rsidRPr="005A669B">
        <w:rPr>
          <w:color w:val="FF0000"/>
          <w:lang w:val="en-ZA"/>
        </w:rPr>
        <w:t xml:space="preserve"> </w:t>
      </w:r>
      <w:r w:rsidR="006A57EB" w:rsidRPr="00004F3D">
        <w:rPr>
          <w:lang w:val="en-ZA"/>
        </w:rPr>
        <w:t xml:space="preserve">the </w:t>
      </w:r>
      <w:r w:rsidR="00245493" w:rsidRPr="005A669B">
        <w:rPr>
          <w:lang w:val="en-ZA"/>
        </w:rPr>
        <w:t>20</w:t>
      </w:r>
      <w:r w:rsidR="008C226B" w:rsidRPr="005A669B">
        <w:rPr>
          <w:lang w:val="en-ZA"/>
        </w:rPr>
        <w:t>2</w:t>
      </w:r>
      <w:r w:rsidR="002A4943">
        <w:rPr>
          <w:lang w:val="en-ZA"/>
        </w:rPr>
        <w:t>4</w:t>
      </w:r>
      <w:r w:rsidR="006A57EB">
        <w:rPr>
          <w:lang w:val="en-ZA"/>
        </w:rPr>
        <w:t>/25</w:t>
      </w:r>
      <w:r w:rsidR="00A024FB">
        <w:rPr>
          <w:lang w:val="en-ZA"/>
        </w:rPr>
        <w:t xml:space="preserve"> financial year</w:t>
      </w:r>
      <w:r w:rsidR="00245493" w:rsidRPr="005A669B">
        <w:rPr>
          <w:lang w:val="en-ZA"/>
        </w:rPr>
        <w:t xml:space="preserve">. </w:t>
      </w:r>
      <w:r w:rsidR="00A024FB">
        <w:rPr>
          <w:lang w:val="en-ZA"/>
        </w:rPr>
        <w:t>T</w:t>
      </w:r>
      <w:r w:rsidR="00395D68" w:rsidRPr="005A669B">
        <w:rPr>
          <w:lang w:val="en-ZA"/>
        </w:rPr>
        <w:t xml:space="preserve">he </w:t>
      </w:r>
      <w:r w:rsidR="00A024FB">
        <w:rPr>
          <w:lang w:val="en-ZA"/>
        </w:rPr>
        <w:t xml:space="preserve">process entailed scrutiny of </w:t>
      </w:r>
      <w:r w:rsidRPr="005A669B">
        <w:rPr>
          <w:lang w:val="en-ZA"/>
        </w:rPr>
        <w:t xml:space="preserve">the </w:t>
      </w:r>
      <w:r w:rsidR="005B5EED" w:rsidRPr="005A669B">
        <w:rPr>
          <w:lang w:val="en-ZA"/>
        </w:rPr>
        <w:t>20</w:t>
      </w:r>
      <w:r w:rsidR="00384F46" w:rsidRPr="005A669B">
        <w:rPr>
          <w:lang w:val="en-ZA"/>
        </w:rPr>
        <w:t>2</w:t>
      </w:r>
      <w:r w:rsidR="002A4943">
        <w:rPr>
          <w:lang w:val="en-ZA"/>
        </w:rPr>
        <w:t>2</w:t>
      </w:r>
      <w:r w:rsidR="006A57EB">
        <w:rPr>
          <w:lang w:val="en-ZA"/>
        </w:rPr>
        <w:t>/23</w:t>
      </w:r>
      <w:r w:rsidR="005B5EED" w:rsidRPr="005A669B">
        <w:rPr>
          <w:lang w:val="en-ZA"/>
        </w:rPr>
        <w:t xml:space="preserve"> </w:t>
      </w:r>
      <w:r w:rsidR="00575152" w:rsidRPr="005A669B">
        <w:rPr>
          <w:lang w:val="en-ZA"/>
        </w:rPr>
        <w:t>Annual Performance Plans</w:t>
      </w:r>
      <w:r w:rsidR="00D77A89" w:rsidRPr="005A669B">
        <w:rPr>
          <w:lang w:val="en-ZA"/>
        </w:rPr>
        <w:t xml:space="preserve"> (APPs)</w:t>
      </w:r>
      <w:r w:rsidR="00235394" w:rsidRPr="005A669B">
        <w:rPr>
          <w:lang w:val="en-ZA"/>
        </w:rPr>
        <w:t xml:space="preserve"> and </w:t>
      </w:r>
      <w:r w:rsidR="00476FC4" w:rsidRPr="005A669B">
        <w:rPr>
          <w:lang w:val="en-ZA"/>
        </w:rPr>
        <w:t>B</w:t>
      </w:r>
      <w:r w:rsidR="00B54C3C" w:rsidRPr="005A669B">
        <w:rPr>
          <w:lang w:val="en-ZA"/>
        </w:rPr>
        <w:t xml:space="preserve">udgets </w:t>
      </w:r>
      <w:r w:rsidR="00CA6D24" w:rsidRPr="005A669B">
        <w:rPr>
          <w:lang w:val="en-ZA"/>
        </w:rPr>
        <w:t xml:space="preserve">of the Department of Agriculture, Land Reform and Rural Development (hereinafter referred to as the Department), </w:t>
      </w:r>
      <w:r w:rsidR="002D2832" w:rsidRPr="005A669B">
        <w:rPr>
          <w:lang w:val="en-ZA"/>
        </w:rPr>
        <w:t>and the</w:t>
      </w:r>
      <w:r w:rsidR="00575152" w:rsidRPr="005A669B">
        <w:rPr>
          <w:lang w:val="en-ZA"/>
        </w:rPr>
        <w:t xml:space="preserve"> </w:t>
      </w:r>
      <w:r w:rsidR="00CA6D24" w:rsidRPr="005A669B">
        <w:rPr>
          <w:lang w:val="en-ZA"/>
        </w:rPr>
        <w:t xml:space="preserve">relevant </w:t>
      </w:r>
      <w:r w:rsidR="00D23E4B">
        <w:rPr>
          <w:lang w:val="en-ZA"/>
        </w:rPr>
        <w:t xml:space="preserve">National </w:t>
      </w:r>
      <w:r w:rsidR="00E643E1" w:rsidRPr="005A669B">
        <w:rPr>
          <w:lang w:val="en-ZA"/>
        </w:rPr>
        <w:t>Public Entities</w:t>
      </w:r>
      <w:r w:rsidR="005D624B" w:rsidRPr="005A669B">
        <w:rPr>
          <w:lang w:val="en-ZA"/>
        </w:rPr>
        <w:t xml:space="preserve"> </w:t>
      </w:r>
      <w:r w:rsidR="00AE093D">
        <w:rPr>
          <w:lang w:val="en-ZA"/>
        </w:rPr>
        <w:t xml:space="preserve">during briefings held on </w:t>
      </w:r>
      <w:r w:rsidR="006A57EB">
        <w:rPr>
          <w:lang w:val="en-ZA"/>
        </w:rPr>
        <w:t xml:space="preserve">19, 20 and 22 April </w:t>
      </w:r>
      <w:r w:rsidR="006B74DA">
        <w:rPr>
          <w:lang w:val="en-ZA"/>
        </w:rPr>
        <w:t xml:space="preserve">and on 03 May </w:t>
      </w:r>
      <w:r w:rsidR="006A57EB">
        <w:rPr>
          <w:lang w:val="en-ZA"/>
        </w:rPr>
        <w:t>2</w:t>
      </w:r>
      <w:r w:rsidR="00AE093D">
        <w:rPr>
          <w:lang w:val="en-ZA"/>
        </w:rPr>
        <w:t>0</w:t>
      </w:r>
      <w:r w:rsidR="00AC48E2">
        <w:rPr>
          <w:lang w:val="en-ZA"/>
        </w:rPr>
        <w:t>2</w:t>
      </w:r>
      <w:r w:rsidR="006A57EB">
        <w:rPr>
          <w:lang w:val="en-ZA"/>
        </w:rPr>
        <w:t>2</w:t>
      </w:r>
      <w:r w:rsidR="00D23E4B">
        <w:rPr>
          <w:lang w:val="en-ZA"/>
        </w:rPr>
        <w:t>.</w:t>
      </w:r>
      <w:r w:rsidR="00CA6D24" w:rsidRPr="005A669B">
        <w:rPr>
          <w:lang w:val="en-ZA"/>
        </w:rPr>
        <w:t xml:space="preserve"> </w:t>
      </w:r>
      <w:r w:rsidR="00776EB0">
        <w:rPr>
          <w:lang w:val="en-ZA"/>
        </w:rPr>
        <w:t>T</w:t>
      </w:r>
      <w:r w:rsidR="004801CC" w:rsidRPr="005A669B">
        <w:rPr>
          <w:lang w:val="en-ZA"/>
        </w:rPr>
        <w:t>he</w:t>
      </w:r>
      <w:r w:rsidR="00776EB0">
        <w:rPr>
          <w:lang w:val="en-ZA"/>
        </w:rPr>
        <w:t>refore, the</w:t>
      </w:r>
      <w:r w:rsidR="004801CC" w:rsidRPr="005A669B">
        <w:rPr>
          <w:lang w:val="en-ZA"/>
        </w:rPr>
        <w:t xml:space="preserve"> </w:t>
      </w:r>
      <w:r w:rsidR="00D23E4B">
        <w:rPr>
          <w:lang w:val="en-ZA"/>
        </w:rPr>
        <w:t xml:space="preserve">Portfolio </w:t>
      </w:r>
      <w:r w:rsidR="004801CC" w:rsidRPr="005A669B">
        <w:rPr>
          <w:lang w:val="en-ZA"/>
        </w:rPr>
        <w:t>Committee</w:t>
      </w:r>
      <w:r w:rsidRPr="005A669B">
        <w:rPr>
          <w:lang w:val="en-ZA"/>
        </w:rPr>
        <w:t xml:space="preserve"> reports as follows:</w:t>
      </w:r>
      <w:r w:rsidR="0099124E" w:rsidRPr="005A669B">
        <w:rPr>
          <w:lang w:val="en-ZA"/>
        </w:rPr>
        <w:t xml:space="preserve"> </w:t>
      </w:r>
    </w:p>
    <w:p w:rsidR="0099124E" w:rsidRPr="005A669B" w:rsidRDefault="0099124E" w:rsidP="00AE093D">
      <w:pPr>
        <w:spacing w:line="360" w:lineRule="auto"/>
        <w:jc w:val="both"/>
        <w:rPr>
          <w:lang w:val="en-ZA"/>
        </w:rPr>
      </w:pPr>
    </w:p>
    <w:p w:rsidR="00031473" w:rsidRPr="005A669B" w:rsidRDefault="00031473" w:rsidP="00AE093D">
      <w:pPr>
        <w:tabs>
          <w:tab w:val="left" w:pos="567"/>
        </w:tabs>
        <w:spacing w:line="360" w:lineRule="auto"/>
        <w:rPr>
          <w:b/>
          <w:lang w:val="en-ZA"/>
        </w:rPr>
      </w:pPr>
      <w:r w:rsidRPr="005A669B">
        <w:rPr>
          <w:b/>
          <w:lang w:val="en-ZA"/>
        </w:rPr>
        <w:t xml:space="preserve">1. </w:t>
      </w:r>
      <w:r w:rsidR="00575152" w:rsidRPr="005A669B">
        <w:rPr>
          <w:b/>
          <w:lang w:val="en-ZA"/>
        </w:rPr>
        <w:tab/>
      </w:r>
      <w:r w:rsidRPr="005A669B">
        <w:rPr>
          <w:b/>
          <w:lang w:val="en-ZA"/>
        </w:rPr>
        <w:t>Introduction</w:t>
      </w:r>
      <w:r w:rsidR="00F407E3" w:rsidRPr="005A669B">
        <w:rPr>
          <w:b/>
          <w:lang w:val="en-ZA"/>
        </w:rPr>
        <w:t xml:space="preserve"> </w:t>
      </w:r>
    </w:p>
    <w:p w:rsidR="00031473" w:rsidRPr="005A669B" w:rsidRDefault="00031473" w:rsidP="00AE093D">
      <w:pPr>
        <w:spacing w:line="360" w:lineRule="auto"/>
        <w:rPr>
          <w:lang w:val="en-ZA"/>
        </w:rPr>
      </w:pPr>
    </w:p>
    <w:p w:rsidR="00765A26" w:rsidRDefault="001312A0" w:rsidP="00AE093D">
      <w:pPr>
        <w:spacing w:line="360" w:lineRule="auto"/>
        <w:jc w:val="both"/>
        <w:rPr>
          <w:lang w:val="en-ZA"/>
        </w:rPr>
      </w:pPr>
      <w:r w:rsidRPr="005A669B">
        <w:rPr>
          <w:lang w:val="en-ZA"/>
        </w:rPr>
        <w:t>Th</w:t>
      </w:r>
      <w:r w:rsidR="00765A26" w:rsidRPr="005A669B">
        <w:rPr>
          <w:lang w:val="en-ZA"/>
        </w:rPr>
        <w:t>is r</w:t>
      </w:r>
      <w:r w:rsidR="00F407E3" w:rsidRPr="005A669B">
        <w:rPr>
          <w:lang w:val="en-ZA"/>
        </w:rPr>
        <w:t>eport account</w:t>
      </w:r>
      <w:r w:rsidR="00F4333F">
        <w:rPr>
          <w:lang w:val="en-ZA"/>
        </w:rPr>
        <w:t>s</w:t>
      </w:r>
      <w:r w:rsidR="00F407E3" w:rsidRPr="005A669B">
        <w:rPr>
          <w:lang w:val="en-ZA"/>
        </w:rPr>
        <w:t xml:space="preserve"> </w:t>
      </w:r>
      <w:r w:rsidR="00F4333F">
        <w:rPr>
          <w:lang w:val="en-ZA"/>
        </w:rPr>
        <w:t xml:space="preserve">for </w:t>
      </w:r>
      <w:r w:rsidR="00F407E3" w:rsidRPr="005A669B">
        <w:rPr>
          <w:lang w:val="en-ZA"/>
        </w:rPr>
        <w:t xml:space="preserve">the </w:t>
      </w:r>
      <w:r w:rsidR="00F4333F">
        <w:rPr>
          <w:lang w:val="en-ZA"/>
        </w:rPr>
        <w:t xml:space="preserve">process embarked upon by </w:t>
      </w:r>
      <w:r w:rsidR="00F407E3" w:rsidRPr="005A669B">
        <w:rPr>
          <w:lang w:val="en-ZA"/>
        </w:rPr>
        <w:t>the Portfolio Committee on Agriculture, Land Reform and Rural Development</w:t>
      </w:r>
      <w:r w:rsidR="00765A26" w:rsidRPr="005A669B">
        <w:rPr>
          <w:lang w:val="en-ZA"/>
        </w:rPr>
        <w:t xml:space="preserve"> </w:t>
      </w:r>
      <w:r w:rsidR="00F4333F">
        <w:rPr>
          <w:lang w:val="en-ZA"/>
        </w:rPr>
        <w:t xml:space="preserve">to consider </w:t>
      </w:r>
      <w:r w:rsidR="006F5497">
        <w:rPr>
          <w:lang w:val="en-ZA"/>
        </w:rPr>
        <w:t>Vote 29</w:t>
      </w:r>
      <w:r w:rsidR="00B53C0D">
        <w:rPr>
          <w:lang w:val="en-ZA"/>
        </w:rPr>
        <w:t xml:space="preserve">: </w:t>
      </w:r>
      <w:r w:rsidR="00B53C0D" w:rsidRPr="005A669B">
        <w:rPr>
          <w:lang w:val="en-ZA"/>
        </w:rPr>
        <w:t>Agriculture, Land Reform and Rural Development</w:t>
      </w:r>
      <w:r w:rsidR="006F5497">
        <w:rPr>
          <w:lang w:val="en-ZA"/>
        </w:rPr>
        <w:t xml:space="preserve"> </w:t>
      </w:r>
      <w:r w:rsidR="00B53C0D">
        <w:rPr>
          <w:lang w:val="en-ZA"/>
        </w:rPr>
        <w:t xml:space="preserve">as tabled by the Minister of Finance, and </w:t>
      </w:r>
      <w:r w:rsidR="00F4333F">
        <w:rPr>
          <w:lang w:val="en-ZA"/>
        </w:rPr>
        <w:t xml:space="preserve">the Five-Year Strategic Plans and Annual Performance Plans of </w:t>
      </w:r>
      <w:r w:rsidR="00765A26" w:rsidRPr="005A669B">
        <w:rPr>
          <w:lang w:val="en-ZA"/>
        </w:rPr>
        <w:t xml:space="preserve">the Department of Agriculture, Land Reform and Rural Development (hereinafter referred to as the Department), and </w:t>
      </w:r>
      <w:r w:rsidR="00F4333F">
        <w:rPr>
          <w:lang w:val="en-ZA"/>
        </w:rPr>
        <w:t xml:space="preserve">relevant </w:t>
      </w:r>
      <w:r w:rsidR="00765A26" w:rsidRPr="005A669B">
        <w:rPr>
          <w:lang w:val="en-ZA"/>
        </w:rPr>
        <w:t xml:space="preserve">public entities as listed </w:t>
      </w:r>
      <w:r w:rsidR="00F4333F">
        <w:rPr>
          <w:lang w:val="en-ZA"/>
        </w:rPr>
        <w:t>in Table 1</w:t>
      </w:r>
      <w:r w:rsidR="006F5497">
        <w:rPr>
          <w:lang w:val="en-ZA"/>
        </w:rPr>
        <w:t xml:space="preserve">. </w:t>
      </w:r>
      <w:r w:rsidR="00F4333F">
        <w:rPr>
          <w:lang w:val="en-ZA"/>
        </w:rPr>
        <w:t xml:space="preserve"> </w:t>
      </w:r>
      <w:r w:rsidR="00F3334F" w:rsidRPr="005A669B">
        <w:rPr>
          <w:lang w:val="en-ZA"/>
        </w:rPr>
        <w:t>The</w:t>
      </w:r>
      <w:r w:rsidR="006F5497">
        <w:rPr>
          <w:lang w:val="en-ZA"/>
        </w:rPr>
        <w:t xml:space="preserve"> </w:t>
      </w:r>
      <w:r w:rsidR="005B6302">
        <w:rPr>
          <w:lang w:val="en-ZA"/>
        </w:rPr>
        <w:t xml:space="preserve">Committee </w:t>
      </w:r>
      <w:r w:rsidR="006F5497">
        <w:rPr>
          <w:lang w:val="en-ZA"/>
        </w:rPr>
        <w:t xml:space="preserve">process followed the tabling of Strategic Plans, </w:t>
      </w:r>
      <w:r w:rsidR="0057037B" w:rsidRPr="005A669B">
        <w:rPr>
          <w:lang w:val="en-ZA"/>
        </w:rPr>
        <w:t>APPs</w:t>
      </w:r>
      <w:r w:rsidR="00575152" w:rsidRPr="005A669B">
        <w:rPr>
          <w:lang w:val="en-ZA"/>
        </w:rPr>
        <w:t xml:space="preserve"> and </w:t>
      </w:r>
      <w:r w:rsidR="006F5497">
        <w:rPr>
          <w:lang w:val="en-ZA"/>
        </w:rPr>
        <w:t>b</w:t>
      </w:r>
      <w:r w:rsidR="00575152" w:rsidRPr="005A669B">
        <w:rPr>
          <w:lang w:val="en-ZA"/>
        </w:rPr>
        <w:t>udget</w:t>
      </w:r>
      <w:r w:rsidR="006F5497">
        <w:rPr>
          <w:lang w:val="en-ZA"/>
        </w:rPr>
        <w:t xml:space="preserve"> allocations by </w:t>
      </w:r>
      <w:r w:rsidR="00765A26" w:rsidRPr="005A669B">
        <w:rPr>
          <w:lang w:val="en-ZA"/>
        </w:rPr>
        <w:t xml:space="preserve">the Department </w:t>
      </w:r>
      <w:r w:rsidRPr="005A669B">
        <w:rPr>
          <w:lang w:val="en-ZA"/>
        </w:rPr>
        <w:t xml:space="preserve">and its </w:t>
      </w:r>
      <w:r w:rsidR="006F5497">
        <w:rPr>
          <w:lang w:val="en-ZA"/>
        </w:rPr>
        <w:t xml:space="preserve">national </w:t>
      </w:r>
      <w:r w:rsidR="00765A26" w:rsidRPr="005A669B">
        <w:rPr>
          <w:lang w:val="en-ZA"/>
        </w:rPr>
        <w:t>public e</w:t>
      </w:r>
      <w:r w:rsidRPr="005A669B">
        <w:rPr>
          <w:lang w:val="en-ZA"/>
        </w:rPr>
        <w:t xml:space="preserve">ntities </w:t>
      </w:r>
      <w:r w:rsidR="00507156" w:rsidRPr="005A669B">
        <w:rPr>
          <w:lang w:val="en-ZA"/>
        </w:rPr>
        <w:t>in Parliament</w:t>
      </w:r>
      <w:r w:rsidR="003769BC" w:rsidRPr="005A669B">
        <w:rPr>
          <w:lang w:val="en-ZA"/>
        </w:rPr>
        <w:t xml:space="preserve"> as required in terms of the Public Finance Management Act (PFMA), 1999 (Act No. 1 of 1999)</w:t>
      </w:r>
      <w:r w:rsidR="006F5497">
        <w:rPr>
          <w:lang w:val="en-ZA"/>
        </w:rPr>
        <w:t xml:space="preserve">. </w:t>
      </w:r>
      <w:r w:rsidR="00B53C0D" w:rsidRPr="005A669B">
        <w:rPr>
          <w:lang w:val="en-ZA"/>
        </w:rPr>
        <w:t>The APPs outline the annual plans in line with Strategic Plan</w:t>
      </w:r>
      <w:r w:rsidR="005A38C6">
        <w:rPr>
          <w:lang w:val="en-ZA"/>
        </w:rPr>
        <w:t>s</w:t>
      </w:r>
      <w:r w:rsidR="00B53C0D" w:rsidRPr="005A669B">
        <w:rPr>
          <w:lang w:val="en-ZA"/>
        </w:rPr>
        <w:t xml:space="preserve"> and the allocated budget </w:t>
      </w:r>
      <w:r w:rsidR="00B53C0D">
        <w:rPr>
          <w:lang w:val="en-ZA"/>
        </w:rPr>
        <w:t>as per the Estimates of National Expenditure</w:t>
      </w:r>
      <w:r w:rsidR="00E639E9">
        <w:rPr>
          <w:lang w:val="en-ZA"/>
        </w:rPr>
        <w:t xml:space="preserve"> </w:t>
      </w:r>
      <w:r w:rsidR="00B53C0D">
        <w:rPr>
          <w:lang w:val="en-ZA"/>
        </w:rPr>
        <w:t xml:space="preserve">(ENE) </w:t>
      </w:r>
      <w:r w:rsidR="00B53C0D" w:rsidRPr="005A669B">
        <w:rPr>
          <w:lang w:val="en-ZA"/>
        </w:rPr>
        <w:t xml:space="preserve">tabled by the Minister of Finance. </w:t>
      </w:r>
      <w:r w:rsidR="006F5497">
        <w:rPr>
          <w:lang w:val="en-ZA"/>
        </w:rPr>
        <w:t xml:space="preserve">These </w:t>
      </w:r>
      <w:r w:rsidR="00B53C0D">
        <w:rPr>
          <w:lang w:val="en-ZA"/>
        </w:rPr>
        <w:t xml:space="preserve">planning </w:t>
      </w:r>
      <w:r w:rsidR="006F5497">
        <w:rPr>
          <w:lang w:val="en-ZA"/>
        </w:rPr>
        <w:t xml:space="preserve">documents were </w:t>
      </w:r>
      <w:r w:rsidR="006F5497" w:rsidRPr="00004F3D">
        <w:rPr>
          <w:lang w:val="en-ZA"/>
        </w:rPr>
        <w:t xml:space="preserve">tabled </w:t>
      </w:r>
      <w:r w:rsidR="006A57EB" w:rsidRPr="00004F3D">
        <w:rPr>
          <w:lang w:val="en-ZA"/>
        </w:rPr>
        <w:t xml:space="preserve">in </w:t>
      </w:r>
      <w:r w:rsidR="00C93C7A" w:rsidRPr="00004F3D">
        <w:rPr>
          <w:lang w:val="en-ZA"/>
        </w:rPr>
        <w:t xml:space="preserve">March </w:t>
      </w:r>
      <w:r w:rsidR="006A57EB" w:rsidRPr="00004F3D">
        <w:rPr>
          <w:lang w:val="en-ZA"/>
        </w:rPr>
        <w:t xml:space="preserve">and April </w:t>
      </w:r>
      <w:r w:rsidR="00C93C7A" w:rsidRPr="00004F3D">
        <w:rPr>
          <w:lang w:val="en-ZA"/>
        </w:rPr>
        <w:t>202</w:t>
      </w:r>
      <w:r w:rsidR="006A57EB" w:rsidRPr="00004F3D">
        <w:rPr>
          <w:lang w:val="en-ZA"/>
        </w:rPr>
        <w:t>2</w:t>
      </w:r>
      <w:r w:rsidR="00C93C7A" w:rsidRPr="00004F3D">
        <w:rPr>
          <w:lang w:val="en-ZA"/>
        </w:rPr>
        <w:t xml:space="preserve">; </w:t>
      </w:r>
      <w:r w:rsidR="00AC48E2">
        <w:rPr>
          <w:lang w:val="en-ZA"/>
        </w:rPr>
        <w:t xml:space="preserve">and presented at </w:t>
      </w:r>
      <w:r w:rsidR="006F5497">
        <w:rPr>
          <w:lang w:val="en-ZA"/>
        </w:rPr>
        <w:t xml:space="preserve">briefing sessions </w:t>
      </w:r>
      <w:r w:rsidR="00F6416E">
        <w:rPr>
          <w:lang w:val="en-ZA"/>
        </w:rPr>
        <w:t xml:space="preserve">on </w:t>
      </w:r>
      <w:r w:rsidR="006A57EB">
        <w:rPr>
          <w:lang w:val="en-ZA"/>
        </w:rPr>
        <w:t xml:space="preserve">19, 20 and 22 April </w:t>
      </w:r>
      <w:r w:rsidR="006F5497">
        <w:rPr>
          <w:lang w:val="en-ZA"/>
        </w:rPr>
        <w:t>as shown in Table 1</w:t>
      </w:r>
      <w:r w:rsidR="00F6416E">
        <w:rPr>
          <w:lang w:val="en-ZA"/>
        </w:rPr>
        <w:t xml:space="preserve"> of this report</w:t>
      </w:r>
      <w:r w:rsidR="00AC48E2">
        <w:rPr>
          <w:lang w:val="en-ZA"/>
        </w:rPr>
        <w:t>.</w:t>
      </w:r>
      <w:r w:rsidR="00C464CC">
        <w:rPr>
          <w:lang w:val="en-ZA"/>
        </w:rPr>
        <w:t xml:space="preserve"> </w:t>
      </w:r>
    </w:p>
    <w:p w:rsidR="00C464CC" w:rsidRPr="005A669B" w:rsidRDefault="00C464CC" w:rsidP="00AE093D">
      <w:pPr>
        <w:spacing w:line="360" w:lineRule="auto"/>
        <w:jc w:val="both"/>
        <w:rPr>
          <w:lang w:val="en-ZA"/>
        </w:rPr>
      </w:pPr>
    </w:p>
    <w:p w:rsidR="00C464CC" w:rsidRDefault="00CA6D24" w:rsidP="00EC33C2">
      <w:pPr>
        <w:spacing w:line="280" w:lineRule="exact"/>
        <w:jc w:val="both"/>
        <w:rPr>
          <w:sz w:val="22"/>
          <w:szCs w:val="22"/>
          <w:lang w:val="en-ZA"/>
        </w:rPr>
      </w:pPr>
      <w:r w:rsidRPr="00EC33C2">
        <w:rPr>
          <w:b/>
          <w:sz w:val="22"/>
          <w:szCs w:val="22"/>
          <w:lang w:val="en-ZA"/>
        </w:rPr>
        <w:t xml:space="preserve">Table </w:t>
      </w:r>
      <w:r w:rsidR="005D624B" w:rsidRPr="00EC33C2">
        <w:rPr>
          <w:b/>
          <w:sz w:val="22"/>
          <w:szCs w:val="22"/>
          <w:lang w:val="en-ZA"/>
        </w:rPr>
        <w:t xml:space="preserve">1: </w:t>
      </w:r>
      <w:r w:rsidR="005A38C6" w:rsidRPr="00381E72">
        <w:rPr>
          <w:sz w:val="22"/>
          <w:szCs w:val="22"/>
          <w:lang w:val="en-ZA"/>
        </w:rPr>
        <w:t xml:space="preserve">Briefing </w:t>
      </w:r>
      <w:r w:rsidR="0051099D" w:rsidRPr="00381E72">
        <w:rPr>
          <w:sz w:val="22"/>
          <w:szCs w:val="22"/>
          <w:lang w:val="en-ZA"/>
        </w:rPr>
        <w:t>S</w:t>
      </w:r>
      <w:r w:rsidR="005A38C6" w:rsidRPr="00381E72">
        <w:rPr>
          <w:sz w:val="22"/>
          <w:szCs w:val="22"/>
          <w:lang w:val="en-ZA"/>
        </w:rPr>
        <w:t xml:space="preserve">essions by the Department and its </w:t>
      </w:r>
      <w:r w:rsidR="005D624B" w:rsidRPr="00381E72">
        <w:rPr>
          <w:sz w:val="22"/>
          <w:szCs w:val="22"/>
          <w:lang w:val="en-ZA"/>
        </w:rPr>
        <w:t>Public Entities</w:t>
      </w:r>
      <w:r w:rsidR="00C464CC" w:rsidRPr="00381E72">
        <w:rPr>
          <w:sz w:val="22"/>
          <w:szCs w:val="22"/>
          <w:lang w:val="en-ZA"/>
        </w:rPr>
        <w:t xml:space="preserve"> </w:t>
      </w:r>
    </w:p>
    <w:p w:rsidR="00D75B9F" w:rsidRPr="00381E72" w:rsidRDefault="00D75B9F" w:rsidP="00EC33C2">
      <w:pPr>
        <w:spacing w:line="280" w:lineRule="exact"/>
        <w:jc w:val="both"/>
        <w:rPr>
          <w:sz w:val="22"/>
          <w:szCs w:val="22"/>
          <w:lang w:val="en-ZA"/>
        </w:rPr>
      </w:pPr>
    </w:p>
    <w:tbl>
      <w:tblPr>
        <w:tblStyle w:val="GridTable1Light"/>
        <w:tblW w:w="0" w:type="auto"/>
        <w:tblLook w:val="04A0" w:firstRow="1" w:lastRow="0" w:firstColumn="1" w:lastColumn="0" w:noHBand="0" w:noVBand="1"/>
      </w:tblPr>
      <w:tblGrid>
        <w:gridCol w:w="6516"/>
        <w:gridCol w:w="2834"/>
      </w:tblGrid>
      <w:tr w:rsidR="005D624B" w:rsidRPr="00962D55" w:rsidTr="00EC3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9D9D9" w:themeFill="background1" w:themeFillShade="D9"/>
          </w:tcPr>
          <w:p w:rsidR="005D624B" w:rsidRPr="001D64F2" w:rsidRDefault="0051099D" w:rsidP="003319E4">
            <w:pPr>
              <w:spacing w:line="360" w:lineRule="auto"/>
              <w:jc w:val="both"/>
              <w:rPr>
                <w:b w:val="0"/>
                <w:sz w:val="22"/>
                <w:szCs w:val="22"/>
                <w:lang w:val="en-ZA"/>
              </w:rPr>
            </w:pPr>
            <w:r w:rsidRPr="00EC33C2">
              <w:rPr>
                <w:sz w:val="22"/>
                <w:szCs w:val="22"/>
                <w:lang w:val="en-ZA"/>
              </w:rPr>
              <w:lastRenderedPageBreak/>
              <w:t xml:space="preserve">Department and </w:t>
            </w:r>
            <w:r w:rsidR="005D624B" w:rsidRPr="001D64F2">
              <w:rPr>
                <w:sz w:val="22"/>
                <w:szCs w:val="22"/>
                <w:lang w:val="en-ZA"/>
              </w:rPr>
              <w:t>Public Entit</w:t>
            </w:r>
            <w:r w:rsidR="004D4FD4" w:rsidRPr="001D64F2">
              <w:rPr>
                <w:sz w:val="22"/>
                <w:szCs w:val="22"/>
                <w:lang w:val="en-ZA"/>
              </w:rPr>
              <w:t>ies under Vote 29</w:t>
            </w:r>
          </w:p>
        </w:tc>
        <w:tc>
          <w:tcPr>
            <w:tcW w:w="2834" w:type="dxa"/>
            <w:shd w:val="clear" w:color="auto" w:fill="D9D9D9" w:themeFill="background1" w:themeFillShade="D9"/>
          </w:tcPr>
          <w:p w:rsidR="005D624B" w:rsidRPr="001D64F2" w:rsidRDefault="005D624B" w:rsidP="00962D55">
            <w:pPr>
              <w:spacing w:line="360" w:lineRule="auto"/>
              <w:jc w:val="both"/>
              <w:cnfStyle w:val="100000000000" w:firstRow="1" w:lastRow="0" w:firstColumn="0" w:lastColumn="0" w:oddVBand="0" w:evenVBand="0" w:oddHBand="0" w:evenHBand="0" w:firstRowFirstColumn="0" w:firstRowLastColumn="0" w:lastRowFirstColumn="0" w:lastRowLastColumn="0"/>
              <w:rPr>
                <w:b w:val="0"/>
                <w:sz w:val="22"/>
                <w:szCs w:val="22"/>
                <w:lang w:val="en-ZA"/>
              </w:rPr>
            </w:pPr>
            <w:r w:rsidRPr="001D64F2">
              <w:rPr>
                <w:sz w:val="22"/>
                <w:szCs w:val="22"/>
                <w:lang w:val="en-ZA"/>
              </w:rPr>
              <w:t xml:space="preserve">Date of briefing </w:t>
            </w:r>
          </w:p>
        </w:tc>
      </w:tr>
      <w:tr w:rsidR="00AC48E2" w:rsidRPr="00962D55" w:rsidTr="00EC33C2">
        <w:tc>
          <w:tcPr>
            <w:cnfStyle w:val="001000000000" w:firstRow="0" w:lastRow="0" w:firstColumn="1" w:lastColumn="0" w:oddVBand="0" w:evenVBand="0" w:oddHBand="0" w:evenHBand="0" w:firstRowFirstColumn="0" w:firstRowLastColumn="0" w:lastRowFirstColumn="0" w:lastRowLastColumn="0"/>
            <w:tcW w:w="6516" w:type="dxa"/>
          </w:tcPr>
          <w:p w:rsidR="00AC48E2" w:rsidRPr="003D6127" w:rsidRDefault="00AC48E2" w:rsidP="00EC33C2">
            <w:pPr>
              <w:spacing w:line="360" w:lineRule="auto"/>
              <w:jc w:val="both"/>
              <w:rPr>
                <w:b w:val="0"/>
                <w:sz w:val="22"/>
                <w:szCs w:val="22"/>
                <w:lang w:val="en-ZA"/>
              </w:rPr>
            </w:pPr>
            <w:r w:rsidRPr="007624B0">
              <w:rPr>
                <w:sz w:val="22"/>
                <w:szCs w:val="22"/>
                <w:lang w:val="en-ZA"/>
              </w:rPr>
              <w:t>Department of Agriculture</w:t>
            </w:r>
            <w:r w:rsidR="0051099D" w:rsidRPr="007624B0">
              <w:rPr>
                <w:sz w:val="22"/>
                <w:szCs w:val="22"/>
                <w:lang w:val="en-ZA"/>
              </w:rPr>
              <w:t>,</w:t>
            </w:r>
            <w:r w:rsidRPr="007624B0">
              <w:rPr>
                <w:sz w:val="22"/>
                <w:szCs w:val="22"/>
                <w:lang w:val="en-ZA"/>
              </w:rPr>
              <w:t xml:space="preserve"> Land Reform and Rural Development </w:t>
            </w:r>
          </w:p>
        </w:tc>
        <w:tc>
          <w:tcPr>
            <w:tcW w:w="2834" w:type="dxa"/>
          </w:tcPr>
          <w:p w:rsidR="00AC48E2" w:rsidRPr="001D64F2" w:rsidRDefault="006A57EB" w:rsidP="003F0328">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lang w:val="en-ZA"/>
              </w:rPr>
            </w:pPr>
            <w:r>
              <w:rPr>
                <w:sz w:val="22"/>
                <w:szCs w:val="22"/>
                <w:lang w:val="en-ZA"/>
              </w:rPr>
              <w:t>20 April 2022</w:t>
            </w:r>
          </w:p>
        </w:tc>
      </w:tr>
      <w:tr w:rsidR="006A57EB" w:rsidRPr="00962D55" w:rsidTr="00EC33C2">
        <w:tc>
          <w:tcPr>
            <w:cnfStyle w:val="001000000000" w:firstRow="0" w:lastRow="0" w:firstColumn="1" w:lastColumn="0" w:oddVBand="0" w:evenVBand="0" w:oddHBand="0" w:evenHBand="0" w:firstRowFirstColumn="0" w:firstRowLastColumn="0" w:lastRowFirstColumn="0" w:lastRowLastColumn="0"/>
            <w:tcW w:w="6516" w:type="dxa"/>
          </w:tcPr>
          <w:p w:rsidR="006A57EB" w:rsidRPr="003D6127" w:rsidRDefault="006A57EB" w:rsidP="006A57EB">
            <w:pPr>
              <w:spacing w:line="360" w:lineRule="auto"/>
              <w:jc w:val="both"/>
              <w:rPr>
                <w:b w:val="0"/>
                <w:sz w:val="22"/>
                <w:szCs w:val="22"/>
                <w:lang w:val="en-ZA"/>
              </w:rPr>
            </w:pPr>
            <w:r w:rsidRPr="007624B0">
              <w:rPr>
                <w:sz w:val="22"/>
                <w:szCs w:val="22"/>
                <w:lang w:val="en-ZA"/>
              </w:rPr>
              <w:t>Commission on Restitution of Land Rights</w:t>
            </w:r>
          </w:p>
        </w:tc>
        <w:tc>
          <w:tcPr>
            <w:tcW w:w="2834" w:type="dxa"/>
          </w:tcPr>
          <w:p w:rsidR="006A57EB" w:rsidRPr="001D64F2" w:rsidRDefault="006A57EB" w:rsidP="006A57EB">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lang w:val="en-ZA"/>
              </w:rPr>
            </w:pPr>
            <w:r w:rsidRPr="000E1017">
              <w:rPr>
                <w:sz w:val="22"/>
                <w:szCs w:val="22"/>
                <w:lang w:val="en-ZA"/>
              </w:rPr>
              <w:t>20 April 2022</w:t>
            </w:r>
          </w:p>
        </w:tc>
      </w:tr>
      <w:tr w:rsidR="006A57EB" w:rsidRPr="00962D55" w:rsidTr="00EC33C2">
        <w:tc>
          <w:tcPr>
            <w:cnfStyle w:val="001000000000" w:firstRow="0" w:lastRow="0" w:firstColumn="1" w:lastColumn="0" w:oddVBand="0" w:evenVBand="0" w:oddHBand="0" w:evenHBand="0" w:firstRowFirstColumn="0" w:firstRowLastColumn="0" w:lastRowFirstColumn="0" w:lastRowLastColumn="0"/>
            <w:tcW w:w="6516" w:type="dxa"/>
          </w:tcPr>
          <w:p w:rsidR="006A57EB" w:rsidRPr="003D6127" w:rsidRDefault="006A57EB" w:rsidP="006A57EB">
            <w:pPr>
              <w:spacing w:line="360" w:lineRule="auto"/>
              <w:jc w:val="both"/>
              <w:rPr>
                <w:b w:val="0"/>
                <w:sz w:val="22"/>
                <w:szCs w:val="22"/>
                <w:lang w:val="en-ZA"/>
              </w:rPr>
            </w:pPr>
            <w:r w:rsidRPr="007624B0">
              <w:rPr>
                <w:sz w:val="22"/>
                <w:szCs w:val="22"/>
                <w:lang w:val="en-ZA"/>
              </w:rPr>
              <w:t xml:space="preserve">KwaZulu-Natal Ingonyama Trust Board </w:t>
            </w:r>
          </w:p>
        </w:tc>
        <w:tc>
          <w:tcPr>
            <w:tcW w:w="2834" w:type="dxa"/>
          </w:tcPr>
          <w:p w:rsidR="006A57EB" w:rsidRPr="001D64F2" w:rsidRDefault="002061FE" w:rsidP="00004F3D">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lang w:val="en-ZA"/>
              </w:rPr>
            </w:pPr>
            <w:r w:rsidRPr="00004F3D">
              <w:rPr>
                <w:sz w:val="22"/>
                <w:szCs w:val="22"/>
                <w:lang w:val="en-ZA"/>
              </w:rPr>
              <w:t>03 May 2022</w:t>
            </w:r>
          </w:p>
        </w:tc>
      </w:tr>
      <w:tr w:rsidR="006A57EB" w:rsidRPr="00962D55" w:rsidTr="00EC33C2">
        <w:tc>
          <w:tcPr>
            <w:cnfStyle w:val="001000000000" w:firstRow="0" w:lastRow="0" w:firstColumn="1" w:lastColumn="0" w:oddVBand="0" w:evenVBand="0" w:oddHBand="0" w:evenHBand="0" w:firstRowFirstColumn="0" w:firstRowLastColumn="0" w:lastRowFirstColumn="0" w:lastRowLastColumn="0"/>
            <w:tcW w:w="6516" w:type="dxa"/>
          </w:tcPr>
          <w:p w:rsidR="006A57EB" w:rsidRPr="003D6127" w:rsidRDefault="006A57EB" w:rsidP="006A57EB">
            <w:pPr>
              <w:spacing w:line="360" w:lineRule="auto"/>
              <w:jc w:val="both"/>
              <w:rPr>
                <w:b w:val="0"/>
                <w:sz w:val="22"/>
                <w:szCs w:val="22"/>
                <w:lang w:val="en-ZA"/>
              </w:rPr>
            </w:pPr>
            <w:r w:rsidRPr="007624B0">
              <w:rPr>
                <w:sz w:val="22"/>
                <w:szCs w:val="22"/>
                <w:lang w:val="en-ZA"/>
              </w:rPr>
              <w:t xml:space="preserve">Office of the Valuer-General </w:t>
            </w:r>
          </w:p>
        </w:tc>
        <w:tc>
          <w:tcPr>
            <w:tcW w:w="2834" w:type="dxa"/>
          </w:tcPr>
          <w:p w:rsidR="006A57EB" w:rsidRPr="001D64F2" w:rsidRDefault="006A57EB" w:rsidP="006A57EB">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lang w:val="en-ZA"/>
              </w:rPr>
            </w:pPr>
            <w:r w:rsidRPr="000E1017">
              <w:rPr>
                <w:sz w:val="22"/>
                <w:szCs w:val="22"/>
                <w:lang w:val="en-ZA"/>
              </w:rPr>
              <w:t>20 April 2022</w:t>
            </w:r>
          </w:p>
        </w:tc>
      </w:tr>
      <w:tr w:rsidR="00CA6D24" w:rsidRPr="00962D55" w:rsidTr="00EC33C2">
        <w:tc>
          <w:tcPr>
            <w:cnfStyle w:val="001000000000" w:firstRow="0" w:lastRow="0" w:firstColumn="1" w:lastColumn="0" w:oddVBand="0" w:evenVBand="0" w:oddHBand="0" w:evenHBand="0" w:firstRowFirstColumn="0" w:firstRowLastColumn="0" w:lastRowFirstColumn="0" w:lastRowLastColumn="0"/>
            <w:tcW w:w="6516" w:type="dxa"/>
          </w:tcPr>
          <w:p w:rsidR="00CA6D24" w:rsidRPr="003D6127" w:rsidRDefault="00CA6D24" w:rsidP="00EC33C2">
            <w:pPr>
              <w:spacing w:line="360" w:lineRule="auto"/>
              <w:jc w:val="both"/>
              <w:rPr>
                <w:b w:val="0"/>
                <w:sz w:val="22"/>
                <w:szCs w:val="22"/>
                <w:lang w:val="en-ZA"/>
              </w:rPr>
            </w:pPr>
            <w:r w:rsidRPr="007624B0">
              <w:rPr>
                <w:sz w:val="22"/>
                <w:szCs w:val="22"/>
                <w:lang w:val="en-ZA"/>
              </w:rPr>
              <w:t>Agricultural Research Council</w:t>
            </w:r>
          </w:p>
        </w:tc>
        <w:tc>
          <w:tcPr>
            <w:tcW w:w="2834" w:type="dxa"/>
          </w:tcPr>
          <w:p w:rsidR="00CA6D24" w:rsidRPr="001D64F2" w:rsidRDefault="006A57EB" w:rsidP="00EC33C2">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lang w:val="en-ZA"/>
              </w:rPr>
            </w:pPr>
            <w:r>
              <w:rPr>
                <w:sz w:val="22"/>
                <w:szCs w:val="22"/>
                <w:lang w:val="en-ZA"/>
              </w:rPr>
              <w:t>19 April 2022</w:t>
            </w:r>
          </w:p>
        </w:tc>
      </w:tr>
      <w:tr w:rsidR="00CA6D24" w:rsidRPr="00962D55" w:rsidTr="00EC33C2">
        <w:tc>
          <w:tcPr>
            <w:cnfStyle w:val="001000000000" w:firstRow="0" w:lastRow="0" w:firstColumn="1" w:lastColumn="0" w:oddVBand="0" w:evenVBand="0" w:oddHBand="0" w:evenHBand="0" w:firstRowFirstColumn="0" w:firstRowLastColumn="0" w:lastRowFirstColumn="0" w:lastRowLastColumn="0"/>
            <w:tcW w:w="6516" w:type="dxa"/>
          </w:tcPr>
          <w:p w:rsidR="00CA6D24" w:rsidRPr="003D6127" w:rsidRDefault="00CA6D24" w:rsidP="00EC33C2">
            <w:pPr>
              <w:spacing w:line="360" w:lineRule="auto"/>
              <w:jc w:val="both"/>
              <w:rPr>
                <w:b w:val="0"/>
                <w:sz w:val="22"/>
                <w:szCs w:val="22"/>
                <w:lang w:val="en-ZA"/>
              </w:rPr>
            </w:pPr>
            <w:r w:rsidRPr="007624B0">
              <w:rPr>
                <w:sz w:val="22"/>
                <w:szCs w:val="22"/>
                <w:lang w:val="en-ZA"/>
              </w:rPr>
              <w:t>Onderstepoort Biological Product</w:t>
            </w:r>
          </w:p>
        </w:tc>
        <w:tc>
          <w:tcPr>
            <w:tcW w:w="2834" w:type="dxa"/>
          </w:tcPr>
          <w:p w:rsidR="00CA6D24" w:rsidRPr="001D64F2" w:rsidRDefault="006A57EB" w:rsidP="00EC33C2">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lang w:val="en-ZA"/>
              </w:rPr>
            </w:pPr>
            <w:r>
              <w:rPr>
                <w:sz w:val="22"/>
                <w:szCs w:val="22"/>
                <w:lang w:val="en-ZA"/>
              </w:rPr>
              <w:t>22 April 2022</w:t>
            </w:r>
          </w:p>
        </w:tc>
      </w:tr>
      <w:tr w:rsidR="006A57EB" w:rsidRPr="00962D55" w:rsidTr="00EC33C2">
        <w:tc>
          <w:tcPr>
            <w:cnfStyle w:val="001000000000" w:firstRow="0" w:lastRow="0" w:firstColumn="1" w:lastColumn="0" w:oddVBand="0" w:evenVBand="0" w:oddHBand="0" w:evenHBand="0" w:firstRowFirstColumn="0" w:firstRowLastColumn="0" w:lastRowFirstColumn="0" w:lastRowLastColumn="0"/>
            <w:tcW w:w="6516" w:type="dxa"/>
          </w:tcPr>
          <w:p w:rsidR="006A57EB" w:rsidRPr="003D6127" w:rsidRDefault="006A57EB" w:rsidP="006A57EB">
            <w:pPr>
              <w:spacing w:line="360" w:lineRule="auto"/>
              <w:jc w:val="both"/>
              <w:rPr>
                <w:b w:val="0"/>
                <w:sz w:val="22"/>
                <w:szCs w:val="22"/>
                <w:lang w:val="en-ZA"/>
              </w:rPr>
            </w:pPr>
            <w:r w:rsidRPr="007624B0">
              <w:rPr>
                <w:sz w:val="22"/>
                <w:szCs w:val="22"/>
                <w:lang w:val="en-ZA"/>
              </w:rPr>
              <w:t>National Agricultural Marketing Council</w:t>
            </w:r>
          </w:p>
        </w:tc>
        <w:tc>
          <w:tcPr>
            <w:tcW w:w="2834" w:type="dxa"/>
          </w:tcPr>
          <w:p w:rsidR="006A57EB" w:rsidRPr="001D64F2" w:rsidRDefault="006A57EB" w:rsidP="006A57EB">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lang w:val="en-ZA"/>
              </w:rPr>
            </w:pPr>
            <w:r w:rsidRPr="00730955">
              <w:rPr>
                <w:sz w:val="22"/>
                <w:szCs w:val="22"/>
                <w:lang w:val="en-ZA"/>
              </w:rPr>
              <w:t>20 April 2022</w:t>
            </w:r>
          </w:p>
        </w:tc>
      </w:tr>
      <w:tr w:rsidR="006A57EB" w:rsidRPr="00962D55" w:rsidTr="00EC33C2">
        <w:tc>
          <w:tcPr>
            <w:cnfStyle w:val="001000000000" w:firstRow="0" w:lastRow="0" w:firstColumn="1" w:lastColumn="0" w:oddVBand="0" w:evenVBand="0" w:oddHBand="0" w:evenHBand="0" w:firstRowFirstColumn="0" w:firstRowLastColumn="0" w:lastRowFirstColumn="0" w:lastRowLastColumn="0"/>
            <w:tcW w:w="6516" w:type="dxa"/>
          </w:tcPr>
          <w:p w:rsidR="006A57EB" w:rsidRPr="003D6127" w:rsidRDefault="006A57EB" w:rsidP="006A57EB">
            <w:pPr>
              <w:spacing w:line="360" w:lineRule="auto"/>
              <w:jc w:val="both"/>
              <w:rPr>
                <w:b w:val="0"/>
                <w:sz w:val="22"/>
                <w:szCs w:val="22"/>
                <w:lang w:val="en-ZA"/>
              </w:rPr>
            </w:pPr>
            <w:r w:rsidRPr="007624B0">
              <w:rPr>
                <w:sz w:val="22"/>
                <w:szCs w:val="22"/>
                <w:lang w:val="en-ZA"/>
              </w:rPr>
              <w:t>Perishable Products Export Control Board</w:t>
            </w:r>
          </w:p>
        </w:tc>
        <w:tc>
          <w:tcPr>
            <w:tcW w:w="2834" w:type="dxa"/>
          </w:tcPr>
          <w:p w:rsidR="006A57EB" w:rsidRPr="001D64F2" w:rsidRDefault="006A57EB" w:rsidP="006A57EB">
            <w:pPr>
              <w:spacing w:line="360" w:lineRule="auto"/>
              <w:jc w:val="both"/>
              <w:cnfStyle w:val="000000000000" w:firstRow="0" w:lastRow="0" w:firstColumn="0" w:lastColumn="0" w:oddVBand="0" w:evenVBand="0" w:oddHBand="0" w:evenHBand="0" w:firstRowFirstColumn="0" w:firstRowLastColumn="0" w:lastRowFirstColumn="0" w:lastRowLastColumn="0"/>
              <w:rPr>
                <w:sz w:val="22"/>
                <w:szCs w:val="22"/>
                <w:lang w:val="en-ZA"/>
              </w:rPr>
            </w:pPr>
            <w:r w:rsidRPr="00730955">
              <w:rPr>
                <w:sz w:val="22"/>
                <w:szCs w:val="22"/>
                <w:lang w:val="en-ZA"/>
              </w:rPr>
              <w:t>20 April 2022</w:t>
            </w:r>
          </w:p>
        </w:tc>
      </w:tr>
    </w:tbl>
    <w:p w:rsidR="005D624B" w:rsidRPr="005A669B" w:rsidRDefault="005D624B" w:rsidP="00EC33C2">
      <w:pPr>
        <w:spacing w:line="360" w:lineRule="auto"/>
        <w:jc w:val="both"/>
        <w:rPr>
          <w:lang w:val="en-ZA"/>
        </w:rPr>
      </w:pPr>
    </w:p>
    <w:p w:rsidR="00F6416E" w:rsidRDefault="00B53C0D" w:rsidP="00EC33C2">
      <w:pPr>
        <w:spacing w:line="360" w:lineRule="auto"/>
        <w:jc w:val="both"/>
        <w:rPr>
          <w:lang w:val="en-ZA"/>
        </w:rPr>
      </w:pPr>
      <w:r>
        <w:rPr>
          <w:lang w:val="en-ZA"/>
        </w:rPr>
        <w:t xml:space="preserve">During the scrutiny of the Strategic Plans and </w:t>
      </w:r>
      <w:r w:rsidR="005D624B" w:rsidRPr="005A669B">
        <w:rPr>
          <w:lang w:val="en-ZA"/>
        </w:rPr>
        <w:t>the APPs</w:t>
      </w:r>
      <w:r>
        <w:rPr>
          <w:lang w:val="en-ZA"/>
        </w:rPr>
        <w:t>, the Portfolio Committee</w:t>
      </w:r>
      <w:r w:rsidR="005D624B" w:rsidRPr="005A669B">
        <w:rPr>
          <w:lang w:val="en-ZA"/>
        </w:rPr>
        <w:t xml:space="preserve"> </w:t>
      </w:r>
      <w:r>
        <w:rPr>
          <w:lang w:val="en-ZA"/>
        </w:rPr>
        <w:t xml:space="preserve">assessed whether the plans of the Department and Entities were </w:t>
      </w:r>
      <w:r w:rsidR="000F3912" w:rsidRPr="005A669B">
        <w:rPr>
          <w:lang w:val="en-ZA"/>
        </w:rPr>
        <w:t>align</w:t>
      </w:r>
      <w:r>
        <w:rPr>
          <w:lang w:val="en-ZA"/>
        </w:rPr>
        <w:t xml:space="preserve">ed to </w:t>
      </w:r>
      <w:r w:rsidR="000F3912" w:rsidRPr="005A669B">
        <w:rPr>
          <w:lang w:val="en-ZA"/>
        </w:rPr>
        <w:t>the State-of-the-Nation Address</w:t>
      </w:r>
      <w:r>
        <w:rPr>
          <w:lang w:val="en-ZA"/>
        </w:rPr>
        <w:t xml:space="preserve"> </w:t>
      </w:r>
      <w:r w:rsidR="000F3912" w:rsidRPr="005A669B">
        <w:rPr>
          <w:lang w:val="en-ZA"/>
        </w:rPr>
        <w:t>(SONA)</w:t>
      </w:r>
      <w:r w:rsidR="005D624B" w:rsidRPr="005A669B">
        <w:rPr>
          <w:lang w:val="en-ZA"/>
        </w:rPr>
        <w:t xml:space="preserve"> of </w:t>
      </w:r>
      <w:r w:rsidR="000F3912" w:rsidRPr="005A669B">
        <w:rPr>
          <w:lang w:val="en-ZA"/>
        </w:rPr>
        <w:t xml:space="preserve">February </w:t>
      </w:r>
      <w:r w:rsidR="00342BAB" w:rsidRPr="005A669B">
        <w:rPr>
          <w:lang w:val="en-ZA"/>
        </w:rPr>
        <w:t>202</w:t>
      </w:r>
      <w:r w:rsidR="006A57EB">
        <w:rPr>
          <w:lang w:val="en-ZA"/>
        </w:rPr>
        <w:t>2</w:t>
      </w:r>
      <w:r w:rsidR="000F3912" w:rsidRPr="005A669B">
        <w:rPr>
          <w:lang w:val="en-ZA"/>
        </w:rPr>
        <w:t>,</w:t>
      </w:r>
      <w:r w:rsidR="00CD4036" w:rsidRPr="005A669B">
        <w:rPr>
          <w:lang w:val="en-ZA"/>
        </w:rPr>
        <w:t xml:space="preserve"> the </w:t>
      </w:r>
      <w:r w:rsidR="000F3912" w:rsidRPr="005A669B">
        <w:rPr>
          <w:lang w:val="en-ZA"/>
        </w:rPr>
        <w:t>National Development Plan</w:t>
      </w:r>
      <w:r w:rsidR="00CD4036" w:rsidRPr="005A669B">
        <w:rPr>
          <w:lang w:val="en-ZA"/>
        </w:rPr>
        <w:t xml:space="preserve"> (NDP)</w:t>
      </w:r>
      <w:r>
        <w:rPr>
          <w:lang w:val="en-ZA"/>
        </w:rPr>
        <w:t xml:space="preserve"> policy priorities and targets</w:t>
      </w:r>
      <w:r w:rsidR="00E95F9A" w:rsidRPr="005A669B">
        <w:rPr>
          <w:lang w:val="en-ZA"/>
        </w:rPr>
        <w:t xml:space="preserve">, the </w:t>
      </w:r>
      <w:r w:rsidR="00342BAB" w:rsidRPr="005A669B">
        <w:rPr>
          <w:lang w:val="en-ZA"/>
        </w:rPr>
        <w:t>2020</w:t>
      </w:r>
      <w:r w:rsidR="00391BC5" w:rsidRPr="005A669B">
        <w:rPr>
          <w:lang w:val="en-ZA"/>
        </w:rPr>
        <w:t>-20</w:t>
      </w:r>
      <w:r w:rsidR="00342BAB" w:rsidRPr="005A669B">
        <w:rPr>
          <w:lang w:val="en-ZA"/>
        </w:rPr>
        <w:t xml:space="preserve">24 </w:t>
      </w:r>
      <w:r w:rsidR="00F84A03" w:rsidRPr="005A669B">
        <w:rPr>
          <w:lang w:val="en-ZA" w:eastAsia="en-GB"/>
        </w:rPr>
        <w:t>Medium Term Strategic Framework (MTSF)</w:t>
      </w:r>
      <w:r w:rsidR="004710D2" w:rsidRPr="005A669B">
        <w:rPr>
          <w:lang w:val="en-ZA"/>
        </w:rPr>
        <w:t xml:space="preserve"> and</w:t>
      </w:r>
      <w:r w:rsidR="00FB35EC" w:rsidRPr="005A669B">
        <w:rPr>
          <w:lang w:val="en-ZA"/>
        </w:rPr>
        <w:t xml:space="preserve"> other key </w:t>
      </w:r>
      <w:r w:rsidR="00F40E6C">
        <w:rPr>
          <w:lang w:val="en-ZA"/>
        </w:rPr>
        <w:t xml:space="preserve">government </w:t>
      </w:r>
      <w:r w:rsidR="00FB35EC" w:rsidRPr="005A669B">
        <w:rPr>
          <w:lang w:val="en-ZA"/>
        </w:rPr>
        <w:t>policy priorities</w:t>
      </w:r>
      <w:r w:rsidR="00F40E6C">
        <w:rPr>
          <w:lang w:val="en-ZA"/>
        </w:rPr>
        <w:t xml:space="preserve">. </w:t>
      </w:r>
    </w:p>
    <w:p w:rsidR="00D018F6" w:rsidRDefault="00D018F6" w:rsidP="00EC33C2">
      <w:pPr>
        <w:spacing w:line="360" w:lineRule="auto"/>
        <w:jc w:val="both"/>
        <w:rPr>
          <w:lang w:val="en-ZA"/>
        </w:rPr>
      </w:pPr>
    </w:p>
    <w:p w:rsidR="00F27C16" w:rsidRPr="005A669B" w:rsidRDefault="006277E6" w:rsidP="000B7E0D">
      <w:pPr>
        <w:pStyle w:val="ListParagraph"/>
        <w:numPr>
          <w:ilvl w:val="0"/>
          <w:numId w:val="1"/>
        </w:numPr>
        <w:spacing w:line="360" w:lineRule="auto"/>
        <w:ind w:left="567" w:hanging="567"/>
        <w:jc w:val="both"/>
        <w:rPr>
          <w:b/>
        </w:rPr>
      </w:pPr>
      <w:r>
        <w:rPr>
          <w:b/>
        </w:rPr>
        <w:t>Overview of the Strategic Focus of the Department of Agriculture, Land Reform and Rural Development, 202</w:t>
      </w:r>
      <w:r w:rsidR="00D018F6">
        <w:rPr>
          <w:b/>
        </w:rPr>
        <w:t>2</w:t>
      </w:r>
      <w:r w:rsidR="006A57EB">
        <w:rPr>
          <w:b/>
        </w:rPr>
        <w:t>/23</w:t>
      </w:r>
      <w:r>
        <w:rPr>
          <w:b/>
        </w:rPr>
        <w:t xml:space="preserve"> </w:t>
      </w:r>
      <w:r w:rsidR="00F27C16" w:rsidRPr="005A669B">
        <w:rPr>
          <w:b/>
        </w:rPr>
        <w:t xml:space="preserve">Annual Performance Plan and Budget </w:t>
      </w:r>
      <w:r>
        <w:rPr>
          <w:b/>
        </w:rPr>
        <w:t xml:space="preserve">Allocation </w:t>
      </w:r>
    </w:p>
    <w:p w:rsidR="00F27C16" w:rsidRPr="005A669B" w:rsidRDefault="00F27C16" w:rsidP="00EC33C2">
      <w:pPr>
        <w:autoSpaceDE w:val="0"/>
        <w:autoSpaceDN w:val="0"/>
        <w:adjustRightInd w:val="0"/>
        <w:spacing w:line="360" w:lineRule="auto"/>
        <w:jc w:val="both"/>
        <w:rPr>
          <w:b/>
          <w:lang w:val="en-ZA"/>
        </w:rPr>
      </w:pPr>
    </w:p>
    <w:p w:rsidR="00F27C16" w:rsidRPr="005A669B" w:rsidRDefault="00F27C16" w:rsidP="00EC33C2">
      <w:pPr>
        <w:autoSpaceDE w:val="0"/>
        <w:autoSpaceDN w:val="0"/>
        <w:adjustRightInd w:val="0"/>
        <w:spacing w:line="360" w:lineRule="auto"/>
        <w:ind w:left="567" w:hanging="567"/>
        <w:jc w:val="both"/>
        <w:rPr>
          <w:b/>
          <w:lang w:val="en-ZA"/>
        </w:rPr>
      </w:pPr>
      <w:r w:rsidRPr="005A669B">
        <w:rPr>
          <w:b/>
          <w:lang w:val="en-ZA"/>
        </w:rPr>
        <w:t>3.1</w:t>
      </w:r>
      <w:r w:rsidR="00C40CC0" w:rsidRPr="005A669B">
        <w:rPr>
          <w:b/>
          <w:lang w:val="en-ZA"/>
        </w:rPr>
        <w:tab/>
      </w:r>
      <w:r w:rsidRPr="005A669B">
        <w:rPr>
          <w:b/>
          <w:lang w:val="en-ZA"/>
        </w:rPr>
        <w:t>The Department of Agriculture, Land Reform and Rural Development and its Core Functions</w:t>
      </w:r>
    </w:p>
    <w:p w:rsidR="00F27C16" w:rsidRPr="005A669B" w:rsidRDefault="00F27C16" w:rsidP="00EC33C2">
      <w:pPr>
        <w:autoSpaceDE w:val="0"/>
        <w:autoSpaceDN w:val="0"/>
        <w:adjustRightInd w:val="0"/>
        <w:spacing w:line="360" w:lineRule="auto"/>
        <w:jc w:val="both"/>
        <w:rPr>
          <w:b/>
          <w:lang w:val="en-ZA"/>
        </w:rPr>
      </w:pPr>
    </w:p>
    <w:p w:rsidR="00F27C16" w:rsidRDefault="00F27C16" w:rsidP="00EC33C2">
      <w:pPr>
        <w:autoSpaceDE w:val="0"/>
        <w:autoSpaceDN w:val="0"/>
        <w:adjustRightInd w:val="0"/>
        <w:spacing w:line="360" w:lineRule="auto"/>
        <w:jc w:val="both"/>
        <w:rPr>
          <w:lang w:val="en-ZA"/>
        </w:rPr>
      </w:pPr>
      <w:r w:rsidRPr="005A669B">
        <w:rPr>
          <w:lang w:val="en-ZA" w:eastAsia="en-ZA"/>
        </w:rPr>
        <w:t xml:space="preserve">The main aim of the Department of Agriculture, Land Reform and Rural Development is to provide equitable access to land, integrated rural development, sustainable agriculture and food security for all. The </w:t>
      </w:r>
      <w:r w:rsidRPr="005A669B">
        <w:rPr>
          <w:iCs/>
          <w:lang w:val="en-ZA"/>
        </w:rPr>
        <w:t xml:space="preserve">Department’s legislative mandate is derived from </w:t>
      </w:r>
      <w:r w:rsidR="00196DDB">
        <w:rPr>
          <w:iCs/>
          <w:lang w:val="en-ZA"/>
        </w:rPr>
        <w:t>S</w:t>
      </w:r>
      <w:r w:rsidRPr="005A669B">
        <w:rPr>
          <w:iCs/>
          <w:lang w:val="en-ZA"/>
        </w:rPr>
        <w:t xml:space="preserve">ections </w:t>
      </w:r>
      <w:r w:rsidR="00F6416E">
        <w:rPr>
          <w:iCs/>
          <w:lang w:val="en-ZA"/>
        </w:rPr>
        <w:t xml:space="preserve">24(b)(iii), 25, and 27(1) </w:t>
      </w:r>
      <w:r w:rsidRPr="005A669B">
        <w:rPr>
          <w:iCs/>
          <w:lang w:val="en-ZA"/>
        </w:rPr>
        <w:t>of the Constitution of the Republic of South Africa</w:t>
      </w:r>
      <w:r w:rsidR="006C154D">
        <w:rPr>
          <w:iCs/>
          <w:lang w:val="en-ZA"/>
        </w:rPr>
        <w:t xml:space="preserve"> (</w:t>
      </w:r>
      <w:r w:rsidR="00365F45">
        <w:rPr>
          <w:iCs/>
          <w:lang w:val="en-ZA"/>
        </w:rPr>
        <w:t>1996</w:t>
      </w:r>
      <w:r w:rsidR="006C154D">
        <w:rPr>
          <w:iCs/>
          <w:lang w:val="en-ZA"/>
        </w:rPr>
        <w:t>)</w:t>
      </w:r>
      <w:r w:rsidR="00F6416E">
        <w:rPr>
          <w:iCs/>
          <w:lang w:val="en-ZA"/>
        </w:rPr>
        <w:t xml:space="preserve"> that deal with </w:t>
      </w:r>
      <w:r w:rsidRPr="005A669B">
        <w:rPr>
          <w:lang w:val="en-ZA" w:eastAsia="en-ZA"/>
        </w:rPr>
        <w:t>environment and natural resources clause</w:t>
      </w:r>
      <w:r w:rsidR="00F6416E">
        <w:rPr>
          <w:lang w:val="en-ZA" w:eastAsia="en-ZA"/>
        </w:rPr>
        <w:t>; property rights and land reform</w:t>
      </w:r>
      <w:r w:rsidR="006E4718">
        <w:rPr>
          <w:lang w:val="en-ZA" w:eastAsia="en-ZA"/>
        </w:rPr>
        <w:t xml:space="preserve"> clause</w:t>
      </w:r>
      <w:r w:rsidR="00F6416E">
        <w:rPr>
          <w:lang w:val="en-ZA" w:eastAsia="en-ZA"/>
        </w:rPr>
        <w:t xml:space="preserve">; and </w:t>
      </w:r>
      <w:r w:rsidRPr="005A669B">
        <w:rPr>
          <w:lang w:val="en-ZA" w:eastAsia="en-ZA"/>
        </w:rPr>
        <w:t>health care, food, water and social security clause</w:t>
      </w:r>
      <w:r w:rsidR="00F6416E">
        <w:rPr>
          <w:lang w:val="en-ZA" w:eastAsia="en-ZA"/>
        </w:rPr>
        <w:t xml:space="preserve"> - a</w:t>
      </w:r>
      <w:r w:rsidRPr="005A669B">
        <w:rPr>
          <w:lang w:val="en-ZA" w:eastAsia="en-ZA"/>
        </w:rPr>
        <w:t xml:space="preserve"> framework for comprehensive rural development.</w:t>
      </w:r>
      <w:r w:rsidR="00776EB0">
        <w:rPr>
          <w:lang w:val="en-ZA" w:eastAsia="en-ZA"/>
        </w:rPr>
        <w:t xml:space="preserve"> </w:t>
      </w:r>
      <w:r w:rsidR="00D87670">
        <w:rPr>
          <w:lang w:val="en-ZA"/>
        </w:rPr>
        <w:t>T</w:t>
      </w:r>
      <w:r w:rsidR="005A26D4">
        <w:rPr>
          <w:lang w:val="en-ZA"/>
        </w:rPr>
        <w:t xml:space="preserve">he </w:t>
      </w:r>
      <w:r w:rsidR="005A26D4" w:rsidRPr="005A669B">
        <w:rPr>
          <w:lang w:val="en-ZA"/>
        </w:rPr>
        <w:t>strategic focus</w:t>
      </w:r>
      <w:r w:rsidR="00AE093D">
        <w:rPr>
          <w:lang w:val="en-ZA"/>
        </w:rPr>
        <w:t xml:space="preserve"> o</w:t>
      </w:r>
      <w:r w:rsidR="005A26D4">
        <w:rPr>
          <w:lang w:val="en-ZA"/>
        </w:rPr>
        <w:t xml:space="preserve">f the </w:t>
      </w:r>
      <w:r w:rsidR="005A26D4" w:rsidRPr="005A669B">
        <w:rPr>
          <w:lang w:val="en-ZA"/>
        </w:rPr>
        <w:t>Department</w:t>
      </w:r>
      <w:r w:rsidR="005A26D4">
        <w:rPr>
          <w:lang w:val="en-ZA"/>
        </w:rPr>
        <w:t xml:space="preserve"> in the current </w:t>
      </w:r>
      <w:r w:rsidRPr="005A669B">
        <w:rPr>
          <w:lang w:val="en-ZA"/>
        </w:rPr>
        <w:t xml:space="preserve">five-year strategic framework period is to accelerate land reform, catalyse rural development and improve agricultural production to stimulate economic development and food security. </w:t>
      </w:r>
      <w:r w:rsidR="00776EB0">
        <w:rPr>
          <w:lang w:val="en-ZA"/>
        </w:rPr>
        <w:t xml:space="preserve">The </w:t>
      </w:r>
      <w:r w:rsidRPr="005A669B">
        <w:rPr>
          <w:lang w:val="en-ZA"/>
        </w:rPr>
        <w:t xml:space="preserve">seven Strategic Outcomes for the </w:t>
      </w:r>
      <w:r w:rsidR="005A26D4">
        <w:rPr>
          <w:lang w:val="en-ZA"/>
        </w:rPr>
        <w:t xml:space="preserve">current </w:t>
      </w:r>
      <w:r w:rsidRPr="005A669B">
        <w:rPr>
          <w:lang w:val="en-ZA"/>
        </w:rPr>
        <w:t>MTSF</w:t>
      </w:r>
      <w:r w:rsidR="005A26D4">
        <w:rPr>
          <w:lang w:val="en-ZA"/>
        </w:rPr>
        <w:t xml:space="preserve"> period </w:t>
      </w:r>
      <w:r w:rsidR="00776EB0">
        <w:rPr>
          <w:lang w:val="en-ZA"/>
        </w:rPr>
        <w:t xml:space="preserve">are </w:t>
      </w:r>
      <w:r w:rsidR="00D87670">
        <w:rPr>
          <w:lang w:val="en-ZA"/>
        </w:rPr>
        <w:t xml:space="preserve">aligned to MTSF priorities </w:t>
      </w:r>
      <w:r w:rsidR="005A26D4">
        <w:rPr>
          <w:lang w:val="en-ZA"/>
        </w:rPr>
        <w:t xml:space="preserve">as shown in Table 2 below. </w:t>
      </w:r>
      <w:r w:rsidR="00D75B9F">
        <w:rPr>
          <w:lang w:val="en-ZA"/>
        </w:rPr>
        <w:t xml:space="preserve"> </w:t>
      </w:r>
    </w:p>
    <w:p w:rsidR="00D75B9F" w:rsidRDefault="00D75B9F" w:rsidP="00EC33C2">
      <w:pPr>
        <w:autoSpaceDE w:val="0"/>
        <w:autoSpaceDN w:val="0"/>
        <w:adjustRightInd w:val="0"/>
        <w:spacing w:line="360" w:lineRule="auto"/>
        <w:jc w:val="both"/>
        <w:rPr>
          <w:lang w:val="en-ZA"/>
        </w:rPr>
      </w:pPr>
    </w:p>
    <w:p w:rsidR="00AD306F" w:rsidRPr="00381E72" w:rsidRDefault="00F27C16" w:rsidP="00D741B4">
      <w:pPr>
        <w:autoSpaceDE w:val="0"/>
        <w:autoSpaceDN w:val="0"/>
        <w:adjustRightInd w:val="0"/>
        <w:spacing w:line="360" w:lineRule="auto"/>
        <w:jc w:val="both"/>
        <w:rPr>
          <w:sz w:val="22"/>
          <w:szCs w:val="22"/>
          <w:lang w:val="en-ZA"/>
        </w:rPr>
      </w:pPr>
      <w:r w:rsidRPr="005A669B">
        <w:rPr>
          <w:lang w:val="en-ZA"/>
        </w:rPr>
        <w:lastRenderedPageBreak/>
        <w:t xml:space="preserve"> </w:t>
      </w:r>
      <w:r w:rsidR="00E723F8" w:rsidRPr="00EC33C2">
        <w:rPr>
          <w:b/>
          <w:sz w:val="22"/>
          <w:szCs w:val="22"/>
          <w:lang w:val="en-ZA"/>
        </w:rPr>
        <w:t>Table 2:</w:t>
      </w:r>
      <w:r w:rsidR="00E723F8" w:rsidRPr="00381E72">
        <w:rPr>
          <w:sz w:val="22"/>
          <w:szCs w:val="22"/>
          <w:lang w:val="en-ZA"/>
        </w:rPr>
        <w:t xml:space="preserve"> </w:t>
      </w:r>
      <w:r w:rsidR="00BE30E8" w:rsidRPr="00381E72">
        <w:rPr>
          <w:sz w:val="22"/>
          <w:szCs w:val="22"/>
          <w:lang w:val="en-ZA"/>
        </w:rPr>
        <w:t xml:space="preserve">Alignment of Department Outcomes and </w:t>
      </w:r>
      <w:r w:rsidR="002A6673" w:rsidRPr="00381E72">
        <w:rPr>
          <w:sz w:val="22"/>
          <w:szCs w:val="22"/>
          <w:lang w:val="en-ZA"/>
        </w:rPr>
        <w:t xml:space="preserve">the 2020-2024 </w:t>
      </w:r>
      <w:r w:rsidR="00BE30E8" w:rsidRPr="00381E72">
        <w:rPr>
          <w:sz w:val="22"/>
          <w:szCs w:val="22"/>
          <w:lang w:val="en-ZA"/>
        </w:rPr>
        <w:t xml:space="preserve">MTSF Priorities </w:t>
      </w:r>
    </w:p>
    <w:tbl>
      <w:tblPr>
        <w:tblStyle w:val="GridTable1Light"/>
        <w:tblW w:w="5000" w:type="pct"/>
        <w:tblLook w:val="04A0" w:firstRow="1" w:lastRow="0" w:firstColumn="1" w:lastColumn="0" w:noHBand="0" w:noVBand="1"/>
      </w:tblPr>
      <w:tblGrid>
        <w:gridCol w:w="4957"/>
        <w:gridCol w:w="4393"/>
      </w:tblGrid>
      <w:tr w:rsidR="00F27C16" w:rsidRPr="00AD306F" w:rsidTr="00D741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pct"/>
            <w:shd w:val="clear" w:color="auto" w:fill="D9D9D9" w:themeFill="background1" w:themeFillShade="D9"/>
          </w:tcPr>
          <w:p w:rsidR="00F27C16" w:rsidRPr="00AD306F" w:rsidRDefault="00F27C16" w:rsidP="00EC33C2">
            <w:pPr>
              <w:autoSpaceDE w:val="0"/>
              <w:autoSpaceDN w:val="0"/>
              <w:adjustRightInd w:val="0"/>
              <w:spacing w:line="360" w:lineRule="auto"/>
              <w:jc w:val="both"/>
              <w:rPr>
                <w:b w:val="0"/>
                <w:sz w:val="22"/>
                <w:szCs w:val="22"/>
                <w:lang w:val="en-ZA"/>
              </w:rPr>
            </w:pPr>
            <w:r w:rsidRPr="00AD306F">
              <w:rPr>
                <w:sz w:val="22"/>
                <w:szCs w:val="22"/>
                <w:lang w:val="en-ZA"/>
              </w:rPr>
              <w:t>Department Outcome</w:t>
            </w:r>
            <w:r w:rsidR="007C512D" w:rsidRPr="00EC33C2">
              <w:rPr>
                <w:sz w:val="22"/>
                <w:szCs w:val="22"/>
                <w:lang w:val="en-ZA"/>
              </w:rPr>
              <w:t xml:space="preserve"> (OC)</w:t>
            </w:r>
          </w:p>
        </w:tc>
        <w:tc>
          <w:tcPr>
            <w:tcW w:w="2349" w:type="pct"/>
            <w:shd w:val="clear" w:color="auto" w:fill="D9D9D9" w:themeFill="background1" w:themeFillShade="D9"/>
          </w:tcPr>
          <w:p w:rsidR="00F27C16" w:rsidRPr="00AD306F" w:rsidRDefault="00F27C16" w:rsidP="00EC33C2">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b w:val="0"/>
                <w:sz w:val="22"/>
                <w:szCs w:val="22"/>
                <w:lang w:val="en-ZA"/>
              </w:rPr>
            </w:pPr>
            <w:r w:rsidRPr="00AD306F">
              <w:rPr>
                <w:sz w:val="22"/>
                <w:szCs w:val="22"/>
                <w:lang w:val="en-ZA"/>
              </w:rPr>
              <w:t>MTSF Priority (P)</w:t>
            </w:r>
          </w:p>
        </w:tc>
      </w:tr>
      <w:tr w:rsidR="00F27C16" w:rsidRPr="00AD306F" w:rsidTr="00D741B4">
        <w:tc>
          <w:tcPr>
            <w:cnfStyle w:val="001000000000" w:firstRow="0" w:lastRow="0" w:firstColumn="1" w:lastColumn="0" w:oddVBand="0" w:evenVBand="0" w:oddHBand="0" w:evenHBand="0" w:firstRowFirstColumn="0" w:firstRowLastColumn="0" w:lastRowFirstColumn="0" w:lastRowLastColumn="0"/>
            <w:tcW w:w="2651" w:type="pct"/>
          </w:tcPr>
          <w:p w:rsidR="00F27C16" w:rsidRPr="003D6127" w:rsidRDefault="007C512D" w:rsidP="00EC33C2">
            <w:pPr>
              <w:spacing w:line="360" w:lineRule="auto"/>
              <w:rPr>
                <w:b w:val="0"/>
                <w:sz w:val="22"/>
                <w:szCs w:val="22"/>
              </w:rPr>
            </w:pPr>
            <w:r w:rsidRPr="007624B0">
              <w:rPr>
                <w:rFonts w:cs="Arial"/>
                <w:sz w:val="22"/>
                <w:szCs w:val="22"/>
              </w:rPr>
              <w:t xml:space="preserve">1. </w:t>
            </w:r>
            <w:r w:rsidR="00F27C16" w:rsidRPr="007624B0">
              <w:rPr>
                <w:rFonts w:cs="Arial"/>
                <w:sz w:val="22"/>
                <w:szCs w:val="22"/>
              </w:rPr>
              <w:t xml:space="preserve">Improved governance and service excellence </w:t>
            </w:r>
          </w:p>
        </w:tc>
        <w:tc>
          <w:tcPr>
            <w:tcW w:w="2349" w:type="pct"/>
          </w:tcPr>
          <w:p w:rsidR="00F27C16" w:rsidRPr="00AD306F" w:rsidRDefault="00F27C16" w:rsidP="00EC33C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22"/>
                <w:szCs w:val="22"/>
                <w:lang w:val="en-ZA"/>
              </w:rPr>
            </w:pPr>
            <w:r w:rsidRPr="00AD306F">
              <w:rPr>
                <w:sz w:val="22"/>
                <w:szCs w:val="22"/>
                <w:lang w:val="en-ZA"/>
              </w:rPr>
              <w:t>P1</w:t>
            </w:r>
            <w:r w:rsidR="007C512D" w:rsidRPr="00EC33C2">
              <w:rPr>
                <w:sz w:val="22"/>
                <w:szCs w:val="22"/>
                <w:lang w:val="en-ZA"/>
              </w:rPr>
              <w:t>:</w:t>
            </w:r>
            <w:r w:rsidR="00E424B3" w:rsidRPr="00AD306F">
              <w:rPr>
                <w:sz w:val="22"/>
                <w:szCs w:val="22"/>
                <w:lang w:val="en-ZA"/>
              </w:rPr>
              <w:t xml:space="preserve"> </w:t>
            </w:r>
            <w:r w:rsidRPr="00AD306F">
              <w:rPr>
                <w:sz w:val="22"/>
                <w:szCs w:val="22"/>
                <w:lang w:val="en-ZA"/>
              </w:rPr>
              <w:t xml:space="preserve">A capable, ethical and developmental state </w:t>
            </w:r>
          </w:p>
        </w:tc>
      </w:tr>
      <w:tr w:rsidR="00F27C16" w:rsidRPr="00AD306F" w:rsidTr="00D741B4">
        <w:tc>
          <w:tcPr>
            <w:cnfStyle w:val="001000000000" w:firstRow="0" w:lastRow="0" w:firstColumn="1" w:lastColumn="0" w:oddVBand="0" w:evenVBand="0" w:oddHBand="0" w:evenHBand="0" w:firstRowFirstColumn="0" w:firstRowLastColumn="0" w:lastRowFirstColumn="0" w:lastRowLastColumn="0"/>
            <w:tcW w:w="2651" w:type="pct"/>
          </w:tcPr>
          <w:p w:rsidR="00F27C16" w:rsidRPr="003D6127" w:rsidRDefault="007C512D" w:rsidP="00776EB0">
            <w:pPr>
              <w:spacing w:line="360" w:lineRule="auto"/>
              <w:rPr>
                <w:rFonts w:cs="Arial"/>
                <w:b w:val="0"/>
                <w:sz w:val="22"/>
                <w:szCs w:val="22"/>
              </w:rPr>
            </w:pPr>
            <w:r w:rsidRPr="007624B0">
              <w:rPr>
                <w:rFonts w:cs="Arial"/>
                <w:sz w:val="22"/>
                <w:szCs w:val="22"/>
              </w:rPr>
              <w:t xml:space="preserve">2. </w:t>
            </w:r>
            <w:r w:rsidR="00F27C16" w:rsidRPr="007624B0">
              <w:rPr>
                <w:rFonts w:cs="Arial"/>
                <w:sz w:val="22"/>
                <w:szCs w:val="22"/>
              </w:rPr>
              <w:t>Spatial transformation and effective land</w:t>
            </w:r>
            <w:r w:rsidR="00E52AB1" w:rsidRPr="007624B0">
              <w:rPr>
                <w:rFonts w:cs="Arial"/>
                <w:sz w:val="22"/>
                <w:szCs w:val="22"/>
              </w:rPr>
              <w:t xml:space="preserve"> </w:t>
            </w:r>
            <w:r w:rsidR="00F27C16" w:rsidRPr="007624B0">
              <w:rPr>
                <w:rFonts w:cs="Arial"/>
                <w:sz w:val="22"/>
                <w:szCs w:val="22"/>
              </w:rPr>
              <w:t>administration</w:t>
            </w:r>
          </w:p>
        </w:tc>
        <w:tc>
          <w:tcPr>
            <w:tcW w:w="2349" w:type="pct"/>
          </w:tcPr>
          <w:p w:rsidR="00F27C16" w:rsidRPr="00AD306F" w:rsidRDefault="00F27C16" w:rsidP="00EC33C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22"/>
                <w:szCs w:val="22"/>
                <w:lang w:val="en-ZA"/>
              </w:rPr>
            </w:pPr>
            <w:r w:rsidRPr="00AD306F">
              <w:rPr>
                <w:sz w:val="22"/>
                <w:szCs w:val="22"/>
                <w:lang w:val="en-ZA"/>
              </w:rPr>
              <w:t>P5</w:t>
            </w:r>
            <w:r w:rsidR="007C512D" w:rsidRPr="00EC33C2">
              <w:rPr>
                <w:sz w:val="22"/>
                <w:szCs w:val="22"/>
                <w:lang w:val="en-ZA"/>
              </w:rPr>
              <w:t>:</w:t>
            </w:r>
            <w:r w:rsidR="00E424B3" w:rsidRPr="00AD306F">
              <w:rPr>
                <w:sz w:val="22"/>
                <w:szCs w:val="22"/>
                <w:lang w:val="en-ZA"/>
              </w:rPr>
              <w:t xml:space="preserve"> </w:t>
            </w:r>
            <w:r w:rsidRPr="00AD306F">
              <w:rPr>
                <w:sz w:val="22"/>
                <w:szCs w:val="22"/>
                <w:lang w:val="en-ZA"/>
              </w:rPr>
              <w:t>Spatial integration, human settlements &amp; local government</w:t>
            </w:r>
          </w:p>
        </w:tc>
      </w:tr>
      <w:tr w:rsidR="00F27C16" w:rsidRPr="00AD306F" w:rsidTr="00D741B4">
        <w:tc>
          <w:tcPr>
            <w:cnfStyle w:val="001000000000" w:firstRow="0" w:lastRow="0" w:firstColumn="1" w:lastColumn="0" w:oddVBand="0" w:evenVBand="0" w:oddHBand="0" w:evenHBand="0" w:firstRowFirstColumn="0" w:firstRowLastColumn="0" w:lastRowFirstColumn="0" w:lastRowLastColumn="0"/>
            <w:tcW w:w="2651" w:type="pct"/>
          </w:tcPr>
          <w:p w:rsidR="00F27C16" w:rsidRPr="003D6127" w:rsidRDefault="007C512D" w:rsidP="00776EB0">
            <w:pPr>
              <w:spacing w:line="360" w:lineRule="auto"/>
              <w:rPr>
                <w:rFonts w:cs="Arial"/>
                <w:b w:val="0"/>
                <w:sz w:val="22"/>
                <w:szCs w:val="22"/>
              </w:rPr>
            </w:pPr>
            <w:r w:rsidRPr="007624B0">
              <w:rPr>
                <w:rFonts w:cs="Arial"/>
                <w:sz w:val="22"/>
                <w:szCs w:val="22"/>
              </w:rPr>
              <w:t xml:space="preserve">3.  </w:t>
            </w:r>
            <w:r w:rsidR="00F27C16" w:rsidRPr="007624B0">
              <w:rPr>
                <w:rFonts w:cs="Arial"/>
                <w:sz w:val="22"/>
                <w:szCs w:val="22"/>
              </w:rPr>
              <w:t xml:space="preserve">Redress and equitable access to land and producer support </w:t>
            </w:r>
          </w:p>
        </w:tc>
        <w:tc>
          <w:tcPr>
            <w:tcW w:w="2349" w:type="pct"/>
          </w:tcPr>
          <w:p w:rsidR="00F27C16" w:rsidRPr="00AD306F" w:rsidRDefault="00F27C16" w:rsidP="00EC33C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22"/>
                <w:szCs w:val="22"/>
                <w:lang w:val="en-ZA"/>
              </w:rPr>
            </w:pPr>
            <w:r w:rsidRPr="00AD306F">
              <w:rPr>
                <w:sz w:val="22"/>
                <w:szCs w:val="22"/>
                <w:lang w:val="en-ZA"/>
              </w:rPr>
              <w:t>P2</w:t>
            </w:r>
            <w:r w:rsidR="007C512D" w:rsidRPr="00EC33C2">
              <w:rPr>
                <w:sz w:val="22"/>
                <w:szCs w:val="22"/>
                <w:lang w:val="en-ZA"/>
              </w:rPr>
              <w:t>:</w:t>
            </w:r>
            <w:r w:rsidR="00E424B3" w:rsidRPr="00AD306F">
              <w:rPr>
                <w:sz w:val="22"/>
                <w:szCs w:val="22"/>
                <w:lang w:val="en-ZA"/>
              </w:rPr>
              <w:t xml:space="preserve"> </w:t>
            </w:r>
            <w:r w:rsidRPr="00AD306F">
              <w:rPr>
                <w:sz w:val="22"/>
                <w:szCs w:val="22"/>
                <w:lang w:val="en-ZA"/>
              </w:rPr>
              <w:t>Economic transformation &amp; job creation</w:t>
            </w:r>
            <w:r w:rsidR="007C512D" w:rsidRPr="00EC33C2">
              <w:rPr>
                <w:sz w:val="22"/>
                <w:szCs w:val="22"/>
                <w:lang w:val="en-ZA"/>
              </w:rPr>
              <w:t xml:space="preserve"> </w:t>
            </w:r>
            <w:r w:rsidRPr="00AD306F">
              <w:rPr>
                <w:sz w:val="22"/>
                <w:szCs w:val="22"/>
                <w:lang w:val="en-ZA"/>
              </w:rPr>
              <w:t>and P5</w:t>
            </w:r>
          </w:p>
        </w:tc>
      </w:tr>
      <w:tr w:rsidR="00F27C16" w:rsidRPr="00AD306F" w:rsidTr="00D741B4">
        <w:trPr>
          <w:trHeight w:val="207"/>
        </w:trPr>
        <w:tc>
          <w:tcPr>
            <w:cnfStyle w:val="001000000000" w:firstRow="0" w:lastRow="0" w:firstColumn="1" w:lastColumn="0" w:oddVBand="0" w:evenVBand="0" w:oddHBand="0" w:evenHBand="0" w:firstRowFirstColumn="0" w:firstRowLastColumn="0" w:lastRowFirstColumn="0" w:lastRowLastColumn="0"/>
            <w:tcW w:w="2651" w:type="pct"/>
          </w:tcPr>
          <w:p w:rsidR="00F27C16" w:rsidRPr="00381E72" w:rsidRDefault="00776EB0" w:rsidP="00776EB0">
            <w:pPr>
              <w:spacing w:line="360" w:lineRule="auto"/>
              <w:rPr>
                <w:rFonts w:cs="Arial"/>
                <w:b w:val="0"/>
                <w:sz w:val="22"/>
                <w:szCs w:val="22"/>
              </w:rPr>
            </w:pPr>
            <w:r w:rsidRPr="007624B0">
              <w:rPr>
                <w:rFonts w:cs="Arial"/>
                <w:sz w:val="22"/>
                <w:szCs w:val="22"/>
              </w:rPr>
              <w:t>4</w:t>
            </w:r>
            <w:r w:rsidR="007C512D" w:rsidRPr="007624B0">
              <w:rPr>
                <w:rFonts w:cs="Arial"/>
                <w:sz w:val="22"/>
                <w:szCs w:val="22"/>
              </w:rPr>
              <w:t xml:space="preserve">. </w:t>
            </w:r>
            <w:r w:rsidR="00F27C16" w:rsidRPr="007624B0">
              <w:rPr>
                <w:rFonts w:cs="Arial"/>
                <w:sz w:val="22"/>
                <w:szCs w:val="22"/>
              </w:rPr>
              <w:t>Increased production in the agricultural sector</w:t>
            </w:r>
          </w:p>
        </w:tc>
        <w:tc>
          <w:tcPr>
            <w:tcW w:w="2349" w:type="pct"/>
          </w:tcPr>
          <w:p w:rsidR="00F27C16" w:rsidRPr="00AD306F" w:rsidRDefault="00F27C16" w:rsidP="00EC33C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22"/>
                <w:szCs w:val="22"/>
                <w:lang w:val="en-ZA"/>
              </w:rPr>
            </w:pPr>
            <w:r w:rsidRPr="00AD306F">
              <w:rPr>
                <w:sz w:val="22"/>
                <w:szCs w:val="22"/>
                <w:lang w:val="en-ZA"/>
              </w:rPr>
              <w:t xml:space="preserve">P2 </w:t>
            </w:r>
            <w:r w:rsidR="00E424B3" w:rsidRPr="00AD306F">
              <w:rPr>
                <w:sz w:val="22"/>
                <w:szCs w:val="22"/>
                <w:lang w:val="en-ZA"/>
              </w:rPr>
              <w:t xml:space="preserve">and </w:t>
            </w:r>
            <w:r w:rsidRPr="00AD306F">
              <w:rPr>
                <w:sz w:val="22"/>
                <w:szCs w:val="22"/>
                <w:lang w:val="en-ZA"/>
              </w:rPr>
              <w:t>P3</w:t>
            </w:r>
            <w:r w:rsidR="007C512D" w:rsidRPr="00EC33C2">
              <w:rPr>
                <w:sz w:val="22"/>
                <w:szCs w:val="22"/>
                <w:lang w:val="en-ZA"/>
              </w:rPr>
              <w:t>:</w:t>
            </w:r>
            <w:r w:rsidR="00E424B3" w:rsidRPr="00AD306F">
              <w:rPr>
                <w:sz w:val="22"/>
                <w:szCs w:val="22"/>
                <w:lang w:val="en-ZA"/>
              </w:rPr>
              <w:t xml:space="preserve"> </w:t>
            </w:r>
            <w:r w:rsidRPr="00AD306F">
              <w:rPr>
                <w:sz w:val="22"/>
                <w:szCs w:val="22"/>
                <w:lang w:val="en-ZA"/>
              </w:rPr>
              <w:t xml:space="preserve">Education, skills and health </w:t>
            </w:r>
          </w:p>
        </w:tc>
      </w:tr>
      <w:tr w:rsidR="00F27C16" w:rsidRPr="00AD306F" w:rsidTr="00D741B4">
        <w:tc>
          <w:tcPr>
            <w:cnfStyle w:val="001000000000" w:firstRow="0" w:lastRow="0" w:firstColumn="1" w:lastColumn="0" w:oddVBand="0" w:evenVBand="0" w:oddHBand="0" w:evenHBand="0" w:firstRowFirstColumn="0" w:firstRowLastColumn="0" w:lastRowFirstColumn="0" w:lastRowLastColumn="0"/>
            <w:tcW w:w="2651" w:type="pct"/>
          </w:tcPr>
          <w:p w:rsidR="00F27C16" w:rsidRPr="00381E72" w:rsidRDefault="00776EB0" w:rsidP="00776EB0">
            <w:pPr>
              <w:spacing w:line="360" w:lineRule="auto"/>
              <w:rPr>
                <w:rFonts w:cs="Arial"/>
                <w:b w:val="0"/>
                <w:sz w:val="22"/>
                <w:szCs w:val="22"/>
              </w:rPr>
            </w:pPr>
            <w:r w:rsidRPr="007624B0">
              <w:rPr>
                <w:rFonts w:cs="Arial"/>
                <w:sz w:val="22"/>
                <w:szCs w:val="22"/>
              </w:rPr>
              <w:t>5</w:t>
            </w:r>
            <w:r w:rsidR="007C512D" w:rsidRPr="007624B0">
              <w:rPr>
                <w:rFonts w:cs="Arial"/>
                <w:sz w:val="22"/>
                <w:szCs w:val="22"/>
              </w:rPr>
              <w:t xml:space="preserve">. </w:t>
            </w:r>
            <w:r w:rsidR="00F27C16" w:rsidRPr="007624B0">
              <w:rPr>
                <w:rFonts w:cs="Arial"/>
                <w:sz w:val="22"/>
                <w:szCs w:val="22"/>
              </w:rPr>
              <w:t xml:space="preserve">Increased market access and maintenance of existing markets </w:t>
            </w:r>
          </w:p>
        </w:tc>
        <w:tc>
          <w:tcPr>
            <w:tcW w:w="2349" w:type="pct"/>
          </w:tcPr>
          <w:p w:rsidR="00F27C16" w:rsidRPr="00AD306F" w:rsidRDefault="00F27C16" w:rsidP="00EC33C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22"/>
                <w:szCs w:val="22"/>
                <w:lang w:val="en-ZA"/>
              </w:rPr>
            </w:pPr>
            <w:r w:rsidRPr="00AD306F">
              <w:rPr>
                <w:sz w:val="22"/>
                <w:szCs w:val="22"/>
                <w:lang w:val="en-ZA"/>
              </w:rPr>
              <w:t xml:space="preserve">P2 </w:t>
            </w:r>
            <w:r w:rsidR="00E424B3" w:rsidRPr="00AD306F">
              <w:rPr>
                <w:sz w:val="22"/>
                <w:szCs w:val="22"/>
                <w:lang w:val="en-ZA"/>
              </w:rPr>
              <w:t xml:space="preserve">and </w:t>
            </w:r>
            <w:r w:rsidRPr="00AD306F">
              <w:rPr>
                <w:sz w:val="22"/>
                <w:szCs w:val="22"/>
                <w:lang w:val="en-ZA"/>
              </w:rPr>
              <w:t>P7</w:t>
            </w:r>
            <w:r w:rsidR="00E424B3" w:rsidRPr="00AD306F">
              <w:rPr>
                <w:sz w:val="22"/>
                <w:szCs w:val="22"/>
                <w:lang w:val="en-ZA"/>
              </w:rPr>
              <w:t xml:space="preserve">. </w:t>
            </w:r>
            <w:r w:rsidRPr="00AD306F">
              <w:rPr>
                <w:sz w:val="22"/>
                <w:szCs w:val="22"/>
                <w:lang w:val="en-ZA"/>
              </w:rPr>
              <w:t>A better Africa &amp; world</w:t>
            </w:r>
          </w:p>
        </w:tc>
      </w:tr>
      <w:tr w:rsidR="00F27C16" w:rsidRPr="00AD306F" w:rsidTr="00D741B4">
        <w:tc>
          <w:tcPr>
            <w:cnfStyle w:val="001000000000" w:firstRow="0" w:lastRow="0" w:firstColumn="1" w:lastColumn="0" w:oddVBand="0" w:evenVBand="0" w:oddHBand="0" w:evenHBand="0" w:firstRowFirstColumn="0" w:firstRowLastColumn="0" w:lastRowFirstColumn="0" w:lastRowLastColumn="0"/>
            <w:tcW w:w="2651" w:type="pct"/>
          </w:tcPr>
          <w:p w:rsidR="00F27C16" w:rsidRPr="003D6127" w:rsidRDefault="007C512D" w:rsidP="00776EB0">
            <w:pPr>
              <w:spacing w:line="360" w:lineRule="auto"/>
              <w:rPr>
                <w:rFonts w:cs="Arial"/>
                <w:b w:val="0"/>
                <w:sz w:val="22"/>
                <w:szCs w:val="22"/>
              </w:rPr>
            </w:pPr>
            <w:r w:rsidRPr="007624B0">
              <w:rPr>
                <w:rFonts w:cs="Arial"/>
                <w:sz w:val="22"/>
                <w:szCs w:val="22"/>
              </w:rPr>
              <w:t xml:space="preserve">6. </w:t>
            </w:r>
            <w:r w:rsidR="00F27C16" w:rsidRPr="007624B0">
              <w:rPr>
                <w:rFonts w:cs="Arial"/>
                <w:sz w:val="22"/>
                <w:szCs w:val="22"/>
              </w:rPr>
              <w:t xml:space="preserve">Integrated and inclusive rural economy </w:t>
            </w:r>
          </w:p>
        </w:tc>
        <w:tc>
          <w:tcPr>
            <w:tcW w:w="2349" w:type="pct"/>
          </w:tcPr>
          <w:p w:rsidR="00F27C16" w:rsidRPr="00AD306F" w:rsidRDefault="00F27C16" w:rsidP="00EC33C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22"/>
                <w:szCs w:val="22"/>
                <w:lang w:val="en-ZA"/>
              </w:rPr>
            </w:pPr>
            <w:r w:rsidRPr="00AD306F">
              <w:rPr>
                <w:sz w:val="22"/>
                <w:szCs w:val="22"/>
                <w:lang w:val="en-ZA"/>
              </w:rPr>
              <w:t>P2 and P5</w:t>
            </w:r>
          </w:p>
        </w:tc>
      </w:tr>
      <w:tr w:rsidR="00F27C16" w:rsidRPr="00AD306F" w:rsidTr="00D741B4">
        <w:tc>
          <w:tcPr>
            <w:cnfStyle w:val="001000000000" w:firstRow="0" w:lastRow="0" w:firstColumn="1" w:lastColumn="0" w:oddVBand="0" w:evenVBand="0" w:oddHBand="0" w:evenHBand="0" w:firstRowFirstColumn="0" w:firstRowLastColumn="0" w:lastRowFirstColumn="0" w:lastRowLastColumn="0"/>
            <w:tcW w:w="2651" w:type="pct"/>
          </w:tcPr>
          <w:p w:rsidR="00F27C16" w:rsidRPr="003D6127" w:rsidRDefault="007C512D" w:rsidP="00776EB0">
            <w:pPr>
              <w:spacing w:line="360" w:lineRule="auto"/>
              <w:rPr>
                <w:rFonts w:cs="Arial"/>
                <w:b w:val="0"/>
                <w:sz w:val="22"/>
                <w:szCs w:val="22"/>
              </w:rPr>
            </w:pPr>
            <w:r w:rsidRPr="007624B0">
              <w:rPr>
                <w:rFonts w:cs="Arial"/>
                <w:sz w:val="22"/>
                <w:szCs w:val="22"/>
              </w:rPr>
              <w:t xml:space="preserve">7. </w:t>
            </w:r>
            <w:r w:rsidR="00F27C16" w:rsidRPr="007624B0">
              <w:rPr>
                <w:rFonts w:cs="Arial"/>
                <w:sz w:val="22"/>
                <w:szCs w:val="22"/>
              </w:rPr>
              <w:t xml:space="preserve">Enhanced biosecurity and effective disaster risk reduction  </w:t>
            </w:r>
          </w:p>
        </w:tc>
        <w:tc>
          <w:tcPr>
            <w:tcW w:w="2349" w:type="pct"/>
          </w:tcPr>
          <w:p w:rsidR="00F27C16" w:rsidRPr="00AD306F" w:rsidRDefault="00F27C16" w:rsidP="00EC33C2">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22"/>
                <w:szCs w:val="22"/>
                <w:lang w:val="en-ZA"/>
              </w:rPr>
            </w:pPr>
            <w:r w:rsidRPr="00AD306F">
              <w:rPr>
                <w:sz w:val="22"/>
                <w:szCs w:val="22"/>
                <w:lang w:val="en-ZA"/>
              </w:rPr>
              <w:t>P5</w:t>
            </w:r>
          </w:p>
        </w:tc>
      </w:tr>
    </w:tbl>
    <w:p w:rsidR="00962D55" w:rsidRDefault="00962D55" w:rsidP="00D741B4">
      <w:pPr>
        <w:spacing w:line="360" w:lineRule="auto"/>
        <w:jc w:val="both"/>
      </w:pPr>
    </w:p>
    <w:p w:rsidR="00F05B78" w:rsidRDefault="00F05B78">
      <w:pPr>
        <w:spacing w:line="360" w:lineRule="auto"/>
        <w:jc w:val="both"/>
      </w:pPr>
      <w:r>
        <w:t xml:space="preserve">The </w:t>
      </w:r>
      <w:r w:rsidR="00EC11AD">
        <w:t>Department’s</w:t>
      </w:r>
      <w:r>
        <w:t xml:space="preserve"> plans for the 2022/23 financial year are further informed by the following key issues that have been highlighted by the President in the State of the Nation Address (SONA): </w:t>
      </w:r>
    </w:p>
    <w:p w:rsidR="00D75B9F" w:rsidRDefault="00D75B9F">
      <w:pPr>
        <w:spacing w:line="360" w:lineRule="auto"/>
        <w:jc w:val="both"/>
      </w:pPr>
    </w:p>
    <w:p w:rsidR="00F05B78" w:rsidRDefault="00CC0F7E" w:rsidP="000B7E0D">
      <w:pPr>
        <w:pStyle w:val="ListParagraph"/>
        <w:numPr>
          <w:ilvl w:val="0"/>
          <w:numId w:val="4"/>
        </w:numPr>
        <w:spacing w:line="360" w:lineRule="auto"/>
        <w:jc w:val="both"/>
      </w:pPr>
      <w:r>
        <w:t>Anticipated approval of the Expropriation Bill to speed up land reform and expand access to land</w:t>
      </w:r>
      <w:r w:rsidR="00926C0B">
        <w:t>; and f</w:t>
      </w:r>
      <w:r w:rsidR="00F05B78">
        <w:t>inalising the e</w:t>
      </w:r>
      <w:r w:rsidR="00F05B78" w:rsidRPr="00F05B78">
        <w:t xml:space="preserve">stablishment of </w:t>
      </w:r>
      <w:r w:rsidR="00F05B78">
        <w:t xml:space="preserve">the </w:t>
      </w:r>
      <w:r>
        <w:t xml:space="preserve">Agriculture and </w:t>
      </w:r>
      <w:r w:rsidR="00F05B78">
        <w:t xml:space="preserve">Land </w:t>
      </w:r>
      <w:r>
        <w:t xml:space="preserve">Reform </w:t>
      </w:r>
      <w:r w:rsidR="00F05B78" w:rsidRPr="00F05B78">
        <w:t>Development Agency</w:t>
      </w:r>
      <w:r w:rsidR="00926C0B">
        <w:t xml:space="preserve"> that is expected to play a central role in coordinating land reform and farmer support initiatives</w:t>
      </w:r>
      <w:r>
        <w:t xml:space="preserve">. </w:t>
      </w:r>
      <w:r w:rsidR="00F05B78">
        <w:t xml:space="preserve"> </w:t>
      </w:r>
    </w:p>
    <w:p w:rsidR="00F05B78" w:rsidRDefault="00F05B78" w:rsidP="000B7E0D">
      <w:pPr>
        <w:pStyle w:val="ListParagraph"/>
        <w:numPr>
          <w:ilvl w:val="0"/>
          <w:numId w:val="4"/>
        </w:numPr>
        <w:spacing w:line="360" w:lineRule="auto"/>
        <w:jc w:val="both"/>
      </w:pPr>
      <w:r>
        <w:t>Regulatory f</w:t>
      </w:r>
      <w:r w:rsidRPr="00F05B78">
        <w:t xml:space="preserve">ramework for industrial hemp and </w:t>
      </w:r>
      <w:r w:rsidR="0068147A">
        <w:t>C</w:t>
      </w:r>
      <w:r w:rsidRPr="00F05B78">
        <w:t>annabis</w:t>
      </w:r>
      <w:r w:rsidR="00CC0F7E">
        <w:t xml:space="preserve"> sectors</w:t>
      </w:r>
      <w:r w:rsidRPr="00F05B78">
        <w:t xml:space="preserve"> for potential job creation</w:t>
      </w:r>
      <w:r w:rsidR="00CC0F7E">
        <w:t xml:space="preserve"> (approximately 130 000 potential jobs)</w:t>
      </w:r>
      <w:r w:rsidRPr="00F05B78">
        <w:t xml:space="preserve"> and investment</w:t>
      </w:r>
      <w:r w:rsidR="0068147A">
        <w:t>.</w:t>
      </w:r>
    </w:p>
    <w:p w:rsidR="0068147A" w:rsidRDefault="0068147A" w:rsidP="000B7E0D">
      <w:pPr>
        <w:pStyle w:val="ListParagraph"/>
        <w:numPr>
          <w:ilvl w:val="0"/>
          <w:numId w:val="4"/>
        </w:numPr>
        <w:spacing w:line="360" w:lineRule="auto"/>
        <w:jc w:val="both"/>
      </w:pPr>
      <w:r>
        <w:t xml:space="preserve">The Sugar and Poultry Master Plans </w:t>
      </w:r>
      <w:r w:rsidRPr="00F05B78">
        <w:t>to increase investment, improve production and transformation</w:t>
      </w:r>
      <w:r>
        <w:t xml:space="preserve"> in the two industries.</w:t>
      </w:r>
      <w:r w:rsidR="00CC0F7E">
        <w:t xml:space="preserve"> </w:t>
      </w:r>
    </w:p>
    <w:p w:rsidR="00F05B78" w:rsidRPr="00004F3D" w:rsidRDefault="00926C0B" w:rsidP="000B7E0D">
      <w:pPr>
        <w:pStyle w:val="ListParagraph"/>
        <w:numPr>
          <w:ilvl w:val="0"/>
          <w:numId w:val="4"/>
        </w:numPr>
        <w:spacing w:line="360" w:lineRule="auto"/>
        <w:jc w:val="both"/>
      </w:pPr>
      <w:r>
        <w:t>Prioritisation of infrastructure projects under the R100 billion Infrastructure Fund</w:t>
      </w:r>
      <w:r w:rsidR="00EC11AD">
        <w:t>,</w:t>
      </w:r>
      <w:r>
        <w:t xml:space="preserve"> wherein Government plans to make an initial investment of R</w:t>
      </w:r>
      <w:r w:rsidR="00F05B78" w:rsidRPr="00F05B78">
        <w:t>1.8 billion in bulk infrastructure</w:t>
      </w:r>
      <w:r>
        <w:t xml:space="preserve">, which will </w:t>
      </w:r>
      <w:r w:rsidR="00F05B78" w:rsidRPr="00F05B78">
        <w:t>unlock seven private</w:t>
      </w:r>
      <w:r>
        <w:t xml:space="preserve"> sector</w:t>
      </w:r>
      <w:r w:rsidR="00F05B78" w:rsidRPr="00F05B78">
        <w:t xml:space="preserve"> infrastructure projects</w:t>
      </w:r>
      <w:r>
        <w:t xml:space="preserve"> valued at R133 billion</w:t>
      </w:r>
      <w:r w:rsidR="00F05B78" w:rsidRPr="00F05B78">
        <w:t>.</w:t>
      </w:r>
      <w:r>
        <w:t xml:space="preserve"> </w:t>
      </w:r>
    </w:p>
    <w:p w:rsidR="00F05B78" w:rsidRPr="00004F3D" w:rsidRDefault="00845153" w:rsidP="000B7E0D">
      <w:pPr>
        <w:pStyle w:val="ListParagraph"/>
        <w:numPr>
          <w:ilvl w:val="0"/>
          <w:numId w:val="5"/>
        </w:numPr>
        <w:spacing w:line="360" w:lineRule="auto"/>
        <w:jc w:val="both"/>
      </w:pPr>
      <w:r>
        <w:t>Su</w:t>
      </w:r>
      <w:r w:rsidR="00CC0F7E">
        <w:t>pporting small</w:t>
      </w:r>
      <w:r w:rsidR="00CC0F7E" w:rsidRPr="00F05B78">
        <w:t>scale farmers and integrat</w:t>
      </w:r>
      <w:r w:rsidR="00CC0F7E">
        <w:t>ing</w:t>
      </w:r>
      <w:r w:rsidR="00CC0F7E" w:rsidRPr="00F05B78">
        <w:t xml:space="preserve"> them in the value chain.</w:t>
      </w:r>
      <w:r w:rsidR="00CC0F7E">
        <w:t xml:space="preserve"> </w:t>
      </w:r>
      <w:r w:rsidR="00F05B78" w:rsidRPr="00F05B78">
        <w:t xml:space="preserve">Over 100 000 farmers </w:t>
      </w:r>
      <w:r w:rsidR="0068147A">
        <w:t xml:space="preserve">that have already </w:t>
      </w:r>
      <w:r w:rsidR="00F05B78" w:rsidRPr="00F05B78">
        <w:t xml:space="preserve">received </w:t>
      </w:r>
      <w:r w:rsidR="0068147A">
        <w:t xml:space="preserve">production </w:t>
      </w:r>
      <w:r w:rsidR="00F05B78" w:rsidRPr="00F05B78">
        <w:t>input</w:t>
      </w:r>
      <w:r w:rsidR="0068147A">
        <w:t>s</w:t>
      </w:r>
      <w:r w:rsidR="00F05B78" w:rsidRPr="00F05B78">
        <w:t xml:space="preserve"> vouchers to expand their production through </w:t>
      </w:r>
      <w:r w:rsidR="00F05B78">
        <w:t xml:space="preserve">the Presidential </w:t>
      </w:r>
      <w:r w:rsidR="0068147A">
        <w:t>E</w:t>
      </w:r>
      <w:r w:rsidR="00F05B78">
        <w:t xml:space="preserve">conomic Stimulus </w:t>
      </w:r>
      <w:r w:rsidR="00EC11AD">
        <w:t>Initiative</w:t>
      </w:r>
      <w:r w:rsidR="00F05B78">
        <w:t xml:space="preserve"> (</w:t>
      </w:r>
      <w:r w:rsidR="00F05B78" w:rsidRPr="00F05B78">
        <w:t>PES</w:t>
      </w:r>
      <w:r w:rsidR="0068147A">
        <w:t>I</w:t>
      </w:r>
      <w:r w:rsidR="00F05B78">
        <w:t>)</w:t>
      </w:r>
      <w:r w:rsidR="0068147A">
        <w:t xml:space="preserve">; and the plans to expand the issuance of the </w:t>
      </w:r>
      <w:r w:rsidR="00F05B78" w:rsidRPr="00F05B78">
        <w:t>inputs</w:t>
      </w:r>
      <w:r w:rsidR="0068147A">
        <w:t xml:space="preserve"> </w:t>
      </w:r>
      <w:r w:rsidR="00F05B78" w:rsidRPr="00F05B78">
        <w:t xml:space="preserve">vouchers so that 250 000 smallscale farmers </w:t>
      </w:r>
      <w:r w:rsidR="0068147A">
        <w:t xml:space="preserve">can be reached </w:t>
      </w:r>
      <w:r w:rsidR="00F05B78" w:rsidRPr="00F05B78">
        <w:t>this financial year.</w:t>
      </w:r>
      <w:r w:rsidR="00926C0B">
        <w:t xml:space="preserve"> </w:t>
      </w:r>
      <w:r w:rsidR="00D75B9F">
        <w:t xml:space="preserve"> </w:t>
      </w:r>
    </w:p>
    <w:p w:rsidR="00F05B78" w:rsidRPr="00F05B78" w:rsidRDefault="00F05B78" w:rsidP="00004F3D">
      <w:pPr>
        <w:spacing w:line="360" w:lineRule="auto"/>
        <w:jc w:val="both"/>
        <w:rPr>
          <w:lang w:val="en-ZA"/>
        </w:rPr>
      </w:pPr>
    </w:p>
    <w:p w:rsidR="00F27C16" w:rsidRPr="005A669B" w:rsidRDefault="00F27C16" w:rsidP="00004F3D">
      <w:pPr>
        <w:tabs>
          <w:tab w:val="left" w:pos="567"/>
          <w:tab w:val="left" w:pos="2012"/>
        </w:tabs>
        <w:autoSpaceDE w:val="0"/>
        <w:autoSpaceDN w:val="0"/>
        <w:adjustRightInd w:val="0"/>
        <w:spacing w:line="360" w:lineRule="auto"/>
        <w:ind w:left="567" w:hanging="567"/>
        <w:jc w:val="both"/>
        <w:rPr>
          <w:b/>
          <w:lang w:val="en-ZA"/>
        </w:rPr>
      </w:pPr>
      <w:r w:rsidRPr="005A669B">
        <w:rPr>
          <w:b/>
          <w:lang w:val="en-ZA"/>
        </w:rPr>
        <w:t>3.2</w:t>
      </w:r>
      <w:r w:rsidR="00C40CC0" w:rsidRPr="005A669B">
        <w:rPr>
          <w:b/>
          <w:lang w:val="en-ZA"/>
        </w:rPr>
        <w:tab/>
      </w:r>
      <w:r w:rsidRPr="005A669B">
        <w:rPr>
          <w:b/>
          <w:lang w:val="en-ZA"/>
        </w:rPr>
        <w:t>Overview of the 202</w:t>
      </w:r>
      <w:r w:rsidR="00D018F6">
        <w:rPr>
          <w:b/>
          <w:lang w:val="en-ZA"/>
        </w:rPr>
        <w:t>2</w:t>
      </w:r>
      <w:r w:rsidR="006A57EB">
        <w:rPr>
          <w:b/>
          <w:lang w:val="en-ZA"/>
        </w:rPr>
        <w:t>/23</w:t>
      </w:r>
      <w:r w:rsidRPr="005A669B">
        <w:rPr>
          <w:b/>
          <w:lang w:val="en-ZA"/>
        </w:rPr>
        <w:t xml:space="preserve"> Budget Allocation and the Medium Term Expenditure</w:t>
      </w:r>
      <w:r w:rsidR="00C40CC0" w:rsidRPr="005A669B">
        <w:rPr>
          <w:b/>
          <w:lang w:val="en-ZA"/>
        </w:rPr>
        <w:t xml:space="preserve"> </w:t>
      </w:r>
      <w:r w:rsidRPr="005A669B">
        <w:rPr>
          <w:b/>
          <w:lang w:val="en-ZA"/>
        </w:rPr>
        <w:t>Framework Estimates of the Department</w:t>
      </w:r>
    </w:p>
    <w:p w:rsidR="00962D55" w:rsidRDefault="00962D55">
      <w:pPr>
        <w:tabs>
          <w:tab w:val="left" w:pos="284"/>
          <w:tab w:val="left" w:pos="2012"/>
        </w:tabs>
        <w:autoSpaceDE w:val="0"/>
        <w:autoSpaceDN w:val="0"/>
        <w:adjustRightInd w:val="0"/>
        <w:spacing w:line="360" w:lineRule="auto"/>
        <w:jc w:val="both"/>
        <w:rPr>
          <w:lang w:val="en-ZA"/>
        </w:rPr>
      </w:pPr>
    </w:p>
    <w:p w:rsidR="004B4E02" w:rsidRDefault="00962D55">
      <w:pPr>
        <w:tabs>
          <w:tab w:val="left" w:pos="567"/>
          <w:tab w:val="left" w:pos="2012"/>
        </w:tabs>
        <w:autoSpaceDE w:val="0"/>
        <w:autoSpaceDN w:val="0"/>
        <w:adjustRightInd w:val="0"/>
        <w:spacing w:line="360" w:lineRule="auto"/>
        <w:jc w:val="both"/>
        <w:rPr>
          <w:lang w:val="en-ZA"/>
        </w:rPr>
      </w:pPr>
      <w:r w:rsidRPr="005A669B">
        <w:rPr>
          <w:lang w:val="en-ZA"/>
        </w:rPr>
        <w:t>The Department</w:t>
      </w:r>
      <w:r w:rsidR="005854F6">
        <w:rPr>
          <w:lang w:val="en-ZA"/>
        </w:rPr>
        <w:t xml:space="preserve">’s </w:t>
      </w:r>
      <w:r w:rsidR="000042F4">
        <w:rPr>
          <w:lang w:val="en-ZA"/>
        </w:rPr>
        <w:t xml:space="preserve">budget will be decreasing over the medium term, its </w:t>
      </w:r>
      <w:r w:rsidR="005854F6">
        <w:rPr>
          <w:lang w:val="en-ZA"/>
        </w:rPr>
        <w:t>appropriation for the 20</w:t>
      </w:r>
      <w:r w:rsidR="000D12BD">
        <w:rPr>
          <w:lang w:val="en-ZA"/>
        </w:rPr>
        <w:t>2</w:t>
      </w:r>
      <w:r w:rsidR="008565A1">
        <w:rPr>
          <w:lang w:val="en-ZA"/>
        </w:rPr>
        <w:t>2</w:t>
      </w:r>
      <w:r w:rsidR="005854F6">
        <w:rPr>
          <w:lang w:val="en-ZA"/>
        </w:rPr>
        <w:t xml:space="preserve">/23 </w:t>
      </w:r>
      <w:r w:rsidR="000D12BD">
        <w:rPr>
          <w:lang w:val="en-ZA"/>
        </w:rPr>
        <w:t xml:space="preserve">financial year is </w:t>
      </w:r>
      <w:r w:rsidR="000E1FB8">
        <w:rPr>
          <w:lang w:val="en-ZA"/>
        </w:rPr>
        <w:t>R1</w:t>
      </w:r>
      <w:r w:rsidR="008565A1">
        <w:rPr>
          <w:lang w:val="en-ZA"/>
        </w:rPr>
        <w:t xml:space="preserve">7.3 </w:t>
      </w:r>
      <w:r w:rsidR="000E1FB8">
        <w:rPr>
          <w:lang w:val="en-ZA"/>
        </w:rPr>
        <w:t>billion</w:t>
      </w:r>
      <w:r w:rsidR="000042F4">
        <w:rPr>
          <w:lang w:val="en-ZA"/>
        </w:rPr>
        <w:t xml:space="preserve">, which is less than the R18 billion that was the </w:t>
      </w:r>
      <w:r w:rsidR="00AF042C">
        <w:rPr>
          <w:lang w:val="en-ZA"/>
        </w:rPr>
        <w:t>adjusted</w:t>
      </w:r>
      <w:r w:rsidR="000042F4">
        <w:rPr>
          <w:lang w:val="en-ZA"/>
        </w:rPr>
        <w:t xml:space="preserve"> appropriation for 2021/22</w:t>
      </w:r>
      <w:r w:rsidR="008565A1">
        <w:rPr>
          <w:lang w:val="en-ZA"/>
        </w:rPr>
        <w:t xml:space="preserve">. </w:t>
      </w:r>
      <w:r w:rsidR="00AF042C">
        <w:rPr>
          <w:lang w:val="en-ZA"/>
        </w:rPr>
        <w:t xml:space="preserve">The decline in budget over the medium term expenditure framework (MTEF) period is across all Programmes except </w:t>
      </w:r>
      <w:r w:rsidR="00F86CB3">
        <w:rPr>
          <w:lang w:val="en-ZA"/>
        </w:rPr>
        <w:t xml:space="preserve">in </w:t>
      </w:r>
      <w:r w:rsidR="00AF042C">
        <w:rPr>
          <w:lang w:val="en-ZA"/>
        </w:rPr>
        <w:t>Administration</w:t>
      </w:r>
      <w:r w:rsidR="00F86CB3">
        <w:rPr>
          <w:lang w:val="en-ZA"/>
        </w:rPr>
        <w:t>, which sees</w:t>
      </w:r>
      <w:r w:rsidR="00AF042C">
        <w:rPr>
          <w:lang w:val="en-ZA"/>
        </w:rPr>
        <w:t xml:space="preserve"> an average growth rate of 9 per cent over the medium term. </w:t>
      </w:r>
      <w:r w:rsidR="00CC4D15">
        <w:rPr>
          <w:lang w:val="en-ZA"/>
        </w:rPr>
        <w:t>As the Department constitutes both national and concurrent functions, approximately 5</w:t>
      </w:r>
      <w:r w:rsidR="008565A1">
        <w:rPr>
          <w:lang w:val="en-ZA"/>
        </w:rPr>
        <w:t>3</w:t>
      </w:r>
      <w:r w:rsidR="00CC4D15">
        <w:rPr>
          <w:lang w:val="en-ZA"/>
        </w:rPr>
        <w:t xml:space="preserve"> per cent of the total vote appropriation</w:t>
      </w:r>
      <w:r w:rsidR="008565A1">
        <w:rPr>
          <w:lang w:val="en-ZA"/>
        </w:rPr>
        <w:t xml:space="preserve"> (R9.1 billion)</w:t>
      </w:r>
      <w:r w:rsidR="00CC4D15">
        <w:rPr>
          <w:lang w:val="en-ZA"/>
        </w:rPr>
        <w:t xml:space="preserve"> </w:t>
      </w:r>
      <w:r w:rsidR="00BE055A">
        <w:rPr>
          <w:lang w:val="en-ZA"/>
        </w:rPr>
        <w:t>goes to</w:t>
      </w:r>
      <w:r w:rsidR="00CC4D15">
        <w:rPr>
          <w:lang w:val="en-ZA"/>
        </w:rPr>
        <w:t xml:space="preserve"> transfers and subsidies</w:t>
      </w:r>
      <w:r w:rsidR="008565A1">
        <w:rPr>
          <w:lang w:val="en-ZA"/>
        </w:rPr>
        <w:t>, which include transfers to some of the Department’s entities</w:t>
      </w:r>
      <w:r w:rsidR="00127910">
        <w:rPr>
          <w:lang w:val="en-ZA"/>
        </w:rPr>
        <w:t>, land reform grants</w:t>
      </w:r>
      <w:r w:rsidR="008565A1">
        <w:rPr>
          <w:lang w:val="en-ZA"/>
        </w:rPr>
        <w:t xml:space="preserve"> and </w:t>
      </w:r>
      <w:r w:rsidR="00127910">
        <w:rPr>
          <w:lang w:val="en-ZA"/>
        </w:rPr>
        <w:t xml:space="preserve">transfers </w:t>
      </w:r>
      <w:r w:rsidR="008565A1">
        <w:rPr>
          <w:lang w:val="en-ZA"/>
        </w:rPr>
        <w:t xml:space="preserve">to provinces as conditional grants.  </w:t>
      </w:r>
      <w:r w:rsidR="004354A3">
        <w:rPr>
          <w:lang w:val="en-ZA"/>
        </w:rPr>
        <w:t>More</w:t>
      </w:r>
      <w:r w:rsidR="00701A22">
        <w:rPr>
          <w:lang w:val="en-ZA"/>
        </w:rPr>
        <w:t xml:space="preserve"> than half of the Department’s total appropriation will be allocated to Programme 3: </w:t>
      </w:r>
      <w:r w:rsidR="00701A22" w:rsidRPr="005A669B">
        <w:rPr>
          <w:lang w:val="en-ZA"/>
        </w:rPr>
        <w:t>Food Security, Land Reform and Restitution</w:t>
      </w:r>
      <w:r w:rsidR="00A24AA8">
        <w:rPr>
          <w:lang w:val="en-ZA"/>
        </w:rPr>
        <w:t xml:space="preserve"> during 2022/23</w:t>
      </w:r>
      <w:r w:rsidR="00701A22">
        <w:rPr>
          <w:lang w:val="en-ZA"/>
        </w:rPr>
        <w:t xml:space="preserve">. </w:t>
      </w:r>
    </w:p>
    <w:p w:rsidR="004B4E02" w:rsidRDefault="004B4E02">
      <w:pPr>
        <w:tabs>
          <w:tab w:val="left" w:pos="567"/>
          <w:tab w:val="left" w:pos="2012"/>
        </w:tabs>
        <w:autoSpaceDE w:val="0"/>
        <w:autoSpaceDN w:val="0"/>
        <w:adjustRightInd w:val="0"/>
        <w:spacing w:line="360" w:lineRule="auto"/>
        <w:jc w:val="both"/>
        <w:rPr>
          <w:lang w:val="en-ZA"/>
        </w:rPr>
      </w:pPr>
    </w:p>
    <w:p w:rsidR="000D12BD" w:rsidRDefault="005378A4">
      <w:pPr>
        <w:tabs>
          <w:tab w:val="left" w:pos="567"/>
          <w:tab w:val="left" w:pos="2012"/>
        </w:tabs>
        <w:autoSpaceDE w:val="0"/>
        <w:autoSpaceDN w:val="0"/>
        <w:adjustRightInd w:val="0"/>
        <w:spacing w:line="360" w:lineRule="auto"/>
        <w:jc w:val="both"/>
        <w:rPr>
          <w:lang w:val="en-ZA"/>
        </w:rPr>
      </w:pPr>
      <w:r>
        <w:rPr>
          <w:lang w:val="en-ZA"/>
        </w:rPr>
        <w:t>As it has been the case in the previous financial year and d</w:t>
      </w:r>
      <w:r w:rsidR="00F11503">
        <w:rPr>
          <w:lang w:val="en-ZA"/>
        </w:rPr>
        <w:t>espite its important and central role in agricultural production, biosecurity</w:t>
      </w:r>
      <w:r w:rsidR="00D1108E">
        <w:rPr>
          <w:lang w:val="en-ZA"/>
        </w:rPr>
        <w:t xml:space="preserve"> and</w:t>
      </w:r>
      <w:r w:rsidR="00F11503">
        <w:rPr>
          <w:lang w:val="en-ZA"/>
        </w:rPr>
        <w:t xml:space="preserve"> </w:t>
      </w:r>
      <w:r w:rsidR="00BE055A">
        <w:rPr>
          <w:lang w:val="en-ZA"/>
        </w:rPr>
        <w:t xml:space="preserve">management of </w:t>
      </w:r>
      <w:r w:rsidR="00F11503">
        <w:rPr>
          <w:lang w:val="en-ZA"/>
        </w:rPr>
        <w:t>agricultural disaster</w:t>
      </w:r>
      <w:r w:rsidR="00BE055A">
        <w:rPr>
          <w:lang w:val="en-ZA"/>
        </w:rPr>
        <w:t xml:space="preserve">s, </w:t>
      </w:r>
      <w:r w:rsidR="00F11503">
        <w:rPr>
          <w:lang w:val="en-ZA"/>
        </w:rPr>
        <w:t xml:space="preserve">Programme 2 will be allocated </w:t>
      </w:r>
      <w:r>
        <w:rPr>
          <w:lang w:val="en-ZA"/>
        </w:rPr>
        <w:t>14</w:t>
      </w:r>
      <w:r w:rsidR="00F11503">
        <w:rPr>
          <w:lang w:val="en-ZA"/>
        </w:rPr>
        <w:t xml:space="preserve"> per cent of the Department’s </w:t>
      </w:r>
      <w:r w:rsidR="009C7662">
        <w:rPr>
          <w:lang w:val="en-ZA"/>
        </w:rPr>
        <w:t xml:space="preserve">total </w:t>
      </w:r>
      <w:r w:rsidR="00F11503">
        <w:rPr>
          <w:lang w:val="en-ZA"/>
        </w:rPr>
        <w:t xml:space="preserve">appropriation while the Administration Programme will </w:t>
      </w:r>
      <w:r w:rsidR="00D1108E">
        <w:rPr>
          <w:lang w:val="en-ZA"/>
        </w:rPr>
        <w:t xml:space="preserve">receive approximately </w:t>
      </w:r>
      <w:r w:rsidR="00A24AA8">
        <w:rPr>
          <w:lang w:val="en-ZA"/>
        </w:rPr>
        <w:t>21</w:t>
      </w:r>
      <w:r w:rsidR="00F11503">
        <w:rPr>
          <w:lang w:val="en-ZA"/>
        </w:rPr>
        <w:t xml:space="preserve"> per cent</w:t>
      </w:r>
      <w:r w:rsidR="00D1108E">
        <w:rPr>
          <w:lang w:val="en-ZA"/>
        </w:rPr>
        <w:t xml:space="preserve"> of the total vote</w:t>
      </w:r>
      <w:r w:rsidR="00A24AA8">
        <w:rPr>
          <w:lang w:val="en-ZA"/>
        </w:rPr>
        <w:t>, which is 5 per cent more than in the previous financial year</w:t>
      </w:r>
      <w:r w:rsidR="00F11503">
        <w:rPr>
          <w:lang w:val="en-ZA"/>
        </w:rPr>
        <w:t>.</w:t>
      </w:r>
      <w:r w:rsidR="00917E93">
        <w:rPr>
          <w:lang w:val="en-ZA"/>
        </w:rPr>
        <w:t xml:space="preserve"> Approximately R4 billion of the Department’s total appropriation, which is just under a quarter of its total budget allocation will go to compensation of employees (COE) during 2022/23. Of the R4 billion for COE, half will go to the Administration Programme (R2 billion), which also has the highest staff complement of 3 536 employees</w:t>
      </w:r>
      <w:r w:rsidR="007D0DA2">
        <w:rPr>
          <w:lang w:val="en-ZA"/>
        </w:rPr>
        <w:t xml:space="preserve"> (inclusive of 749 </w:t>
      </w:r>
      <w:r w:rsidR="00917E93">
        <w:rPr>
          <w:lang w:val="en-ZA"/>
        </w:rPr>
        <w:t>vacancies</w:t>
      </w:r>
      <w:r w:rsidR="007D0DA2">
        <w:rPr>
          <w:lang w:val="en-ZA"/>
        </w:rPr>
        <w:t>)</w:t>
      </w:r>
      <w:r w:rsidR="00917E93">
        <w:rPr>
          <w:lang w:val="en-ZA"/>
        </w:rPr>
        <w:t>. Th</w:t>
      </w:r>
      <w:r w:rsidR="00643A05">
        <w:rPr>
          <w:lang w:val="en-ZA"/>
        </w:rPr>
        <w:t xml:space="preserve">e Administration positions constitute </w:t>
      </w:r>
      <w:r w:rsidR="00917E93">
        <w:rPr>
          <w:lang w:val="en-ZA"/>
        </w:rPr>
        <w:t>46 per cent of the Department’s approved total staff complement of 7 629 positions.</w:t>
      </w:r>
      <w:r w:rsidR="007D0DA2">
        <w:rPr>
          <w:lang w:val="en-ZA"/>
        </w:rPr>
        <w:t xml:space="preserve"> The latter total includes 1 504 vacancies (19.7 per cent vacancy rate) for the entire Department. </w:t>
      </w:r>
      <w:r w:rsidR="00917E93">
        <w:rPr>
          <w:lang w:val="en-ZA"/>
        </w:rPr>
        <w:t xml:space="preserve"> </w:t>
      </w:r>
    </w:p>
    <w:p w:rsidR="00A24AA8" w:rsidRDefault="00A24AA8" w:rsidP="00962D55">
      <w:pPr>
        <w:tabs>
          <w:tab w:val="left" w:pos="567"/>
          <w:tab w:val="left" w:pos="2012"/>
        </w:tabs>
        <w:autoSpaceDE w:val="0"/>
        <w:autoSpaceDN w:val="0"/>
        <w:adjustRightInd w:val="0"/>
        <w:spacing w:line="360" w:lineRule="auto"/>
        <w:jc w:val="both"/>
        <w:rPr>
          <w:lang w:val="en-ZA"/>
        </w:rPr>
      </w:pPr>
    </w:p>
    <w:p w:rsidR="00CA48BA" w:rsidRPr="00206AAE" w:rsidRDefault="00AE093D" w:rsidP="00005CDE">
      <w:pPr>
        <w:spacing w:line="280" w:lineRule="exact"/>
        <w:rPr>
          <w:rFonts w:cs="Arial"/>
          <w:b/>
          <w:sz w:val="20"/>
          <w:szCs w:val="20"/>
        </w:rPr>
      </w:pPr>
      <w:r w:rsidRPr="00206AAE">
        <w:rPr>
          <w:rFonts w:cs="Arial"/>
          <w:b/>
          <w:sz w:val="20"/>
          <w:szCs w:val="20"/>
        </w:rPr>
        <w:t>Table 3</w:t>
      </w:r>
      <w:r w:rsidR="00CA48BA" w:rsidRPr="00206AAE">
        <w:rPr>
          <w:rFonts w:cs="Arial"/>
          <w:b/>
          <w:sz w:val="20"/>
          <w:szCs w:val="20"/>
        </w:rPr>
        <w:t xml:space="preserve">: Medium-Term Expenditure Framework </w:t>
      </w:r>
      <w:r w:rsidR="00F11503">
        <w:rPr>
          <w:rFonts w:cs="Arial"/>
          <w:b/>
          <w:sz w:val="20"/>
          <w:szCs w:val="20"/>
        </w:rPr>
        <w:t>including 2021</w:t>
      </w:r>
      <w:r w:rsidR="004817E8">
        <w:rPr>
          <w:rFonts w:cs="Arial"/>
          <w:b/>
          <w:sz w:val="20"/>
          <w:szCs w:val="20"/>
        </w:rPr>
        <w:t>/22</w:t>
      </w:r>
      <w:r w:rsidR="00F11503">
        <w:rPr>
          <w:rFonts w:cs="Arial"/>
          <w:b/>
          <w:sz w:val="20"/>
          <w:szCs w:val="20"/>
        </w:rPr>
        <w:t xml:space="preserve"> Adjusted Appropriation</w:t>
      </w:r>
    </w:p>
    <w:tbl>
      <w:tblPr>
        <w:tblStyle w:val="TableGridLight"/>
        <w:tblW w:w="5000" w:type="pct"/>
        <w:tblLook w:val="0600" w:firstRow="0" w:lastRow="0" w:firstColumn="0" w:lastColumn="0" w:noHBand="1" w:noVBand="1"/>
      </w:tblPr>
      <w:tblGrid>
        <w:gridCol w:w="4535"/>
        <w:gridCol w:w="1283"/>
        <w:gridCol w:w="1131"/>
        <w:gridCol w:w="1172"/>
        <w:gridCol w:w="1229"/>
      </w:tblGrid>
      <w:tr w:rsidR="00701A22" w:rsidRPr="00206AAE" w:rsidTr="00206AAE">
        <w:trPr>
          <w:trHeight w:val="264"/>
        </w:trPr>
        <w:tc>
          <w:tcPr>
            <w:tcW w:w="2425" w:type="pct"/>
            <w:vMerge w:val="restart"/>
            <w:shd w:val="clear" w:color="auto" w:fill="E2EFD9" w:themeFill="accent6" w:themeFillTint="33"/>
            <w:hideMark/>
          </w:tcPr>
          <w:p w:rsidR="00701A22" w:rsidRPr="00206AAE" w:rsidRDefault="00701A22" w:rsidP="00776EB0">
            <w:pPr>
              <w:rPr>
                <w:rFonts w:eastAsiaTheme="minorHAnsi"/>
                <w:sz w:val="20"/>
                <w:szCs w:val="20"/>
              </w:rPr>
            </w:pPr>
            <w:r w:rsidRPr="00206AAE">
              <w:rPr>
                <w:rFonts w:eastAsiaTheme="minorHAnsi"/>
                <w:b/>
                <w:bCs/>
                <w:sz w:val="20"/>
                <w:szCs w:val="20"/>
              </w:rPr>
              <w:t xml:space="preserve">Programme/Branch </w:t>
            </w:r>
          </w:p>
        </w:tc>
        <w:tc>
          <w:tcPr>
            <w:tcW w:w="686" w:type="pct"/>
            <w:shd w:val="clear" w:color="auto" w:fill="E2EFD9" w:themeFill="accent6" w:themeFillTint="33"/>
          </w:tcPr>
          <w:p w:rsidR="00701A22" w:rsidRPr="00206AAE" w:rsidRDefault="004C3960">
            <w:pPr>
              <w:rPr>
                <w:rFonts w:eastAsiaTheme="minorHAnsi"/>
                <w:b/>
                <w:bCs/>
                <w:sz w:val="20"/>
                <w:szCs w:val="20"/>
              </w:rPr>
            </w:pPr>
            <w:r>
              <w:rPr>
                <w:rFonts w:eastAsiaTheme="minorHAnsi"/>
                <w:b/>
                <w:bCs/>
                <w:sz w:val="20"/>
                <w:szCs w:val="20"/>
              </w:rPr>
              <w:t>2021</w:t>
            </w:r>
            <w:r w:rsidR="00FC7763">
              <w:rPr>
                <w:rFonts w:eastAsiaTheme="minorHAnsi"/>
                <w:b/>
                <w:bCs/>
                <w:sz w:val="20"/>
                <w:szCs w:val="20"/>
              </w:rPr>
              <w:t>/22</w:t>
            </w:r>
            <w:r>
              <w:rPr>
                <w:rFonts w:eastAsiaTheme="minorHAnsi"/>
                <w:b/>
                <w:bCs/>
                <w:sz w:val="20"/>
                <w:szCs w:val="20"/>
              </w:rPr>
              <w:t xml:space="preserve"> </w:t>
            </w:r>
          </w:p>
        </w:tc>
        <w:tc>
          <w:tcPr>
            <w:tcW w:w="605" w:type="pct"/>
            <w:shd w:val="clear" w:color="auto" w:fill="E2EFD9" w:themeFill="accent6" w:themeFillTint="33"/>
            <w:hideMark/>
          </w:tcPr>
          <w:p w:rsidR="00701A22" w:rsidRPr="00206AAE" w:rsidRDefault="00701A22">
            <w:pPr>
              <w:rPr>
                <w:rFonts w:eastAsiaTheme="minorHAnsi"/>
                <w:sz w:val="20"/>
                <w:szCs w:val="20"/>
              </w:rPr>
            </w:pPr>
            <w:r w:rsidRPr="00206AAE">
              <w:rPr>
                <w:rFonts w:eastAsiaTheme="minorHAnsi"/>
                <w:b/>
                <w:bCs/>
                <w:sz w:val="20"/>
                <w:szCs w:val="20"/>
              </w:rPr>
              <w:t>2022</w:t>
            </w:r>
            <w:r w:rsidR="00FC7763">
              <w:rPr>
                <w:rFonts w:eastAsiaTheme="minorHAnsi"/>
                <w:b/>
                <w:bCs/>
                <w:sz w:val="20"/>
                <w:szCs w:val="20"/>
              </w:rPr>
              <w:t>/23</w:t>
            </w:r>
          </w:p>
        </w:tc>
        <w:tc>
          <w:tcPr>
            <w:tcW w:w="627" w:type="pct"/>
            <w:shd w:val="clear" w:color="auto" w:fill="E2EFD9" w:themeFill="accent6" w:themeFillTint="33"/>
            <w:hideMark/>
          </w:tcPr>
          <w:p w:rsidR="00701A22" w:rsidRPr="00206AAE" w:rsidRDefault="00701A22">
            <w:pPr>
              <w:rPr>
                <w:rFonts w:eastAsiaTheme="minorHAnsi"/>
                <w:sz w:val="20"/>
                <w:szCs w:val="20"/>
              </w:rPr>
            </w:pPr>
            <w:r w:rsidRPr="00206AAE">
              <w:rPr>
                <w:rFonts w:eastAsiaTheme="minorHAnsi"/>
                <w:b/>
                <w:bCs/>
                <w:sz w:val="20"/>
                <w:szCs w:val="20"/>
              </w:rPr>
              <w:t>2023</w:t>
            </w:r>
            <w:r w:rsidR="00FC7763">
              <w:rPr>
                <w:rFonts w:eastAsiaTheme="minorHAnsi"/>
                <w:b/>
                <w:bCs/>
                <w:sz w:val="20"/>
                <w:szCs w:val="20"/>
              </w:rPr>
              <w:t>/24</w:t>
            </w:r>
          </w:p>
        </w:tc>
        <w:tc>
          <w:tcPr>
            <w:tcW w:w="657" w:type="pct"/>
            <w:shd w:val="clear" w:color="auto" w:fill="E2EFD9" w:themeFill="accent6" w:themeFillTint="33"/>
            <w:hideMark/>
          </w:tcPr>
          <w:p w:rsidR="00701A22" w:rsidRPr="00206AAE" w:rsidRDefault="00701A22">
            <w:pPr>
              <w:rPr>
                <w:rFonts w:eastAsiaTheme="minorHAnsi"/>
                <w:sz w:val="20"/>
                <w:szCs w:val="20"/>
              </w:rPr>
            </w:pPr>
            <w:r w:rsidRPr="00206AAE">
              <w:rPr>
                <w:rFonts w:eastAsiaTheme="minorHAnsi"/>
                <w:b/>
                <w:bCs/>
                <w:sz w:val="20"/>
                <w:szCs w:val="20"/>
              </w:rPr>
              <w:t>2024</w:t>
            </w:r>
            <w:r w:rsidR="00FC7763">
              <w:rPr>
                <w:rFonts w:eastAsiaTheme="minorHAnsi"/>
                <w:b/>
                <w:bCs/>
                <w:sz w:val="20"/>
                <w:szCs w:val="20"/>
              </w:rPr>
              <w:t>/25</w:t>
            </w:r>
          </w:p>
        </w:tc>
      </w:tr>
      <w:tr w:rsidR="00701A22" w:rsidRPr="00206AAE" w:rsidTr="00206AAE">
        <w:trPr>
          <w:trHeight w:val="264"/>
        </w:trPr>
        <w:tc>
          <w:tcPr>
            <w:tcW w:w="2425" w:type="pct"/>
            <w:vMerge/>
            <w:shd w:val="clear" w:color="auto" w:fill="E2EFD9" w:themeFill="accent6" w:themeFillTint="33"/>
            <w:hideMark/>
          </w:tcPr>
          <w:p w:rsidR="00701A22" w:rsidRPr="00DB50B6" w:rsidRDefault="00701A22" w:rsidP="00776EB0">
            <w:pPr>
              <w:rPr>
                <w:sz w:val="20"/>
                <w:szCs w:val="20"/>
              </w:rPr>
            </w:pPr>
          </w:p>
        </w:tc>
        <w:tc>
          <w:tcPr>
            <w:tcW w:w="686" w:type="pct"/>
            <w:shd w:val="clear" w:color="auto" w:fill="E2EFD9" w:themeFill="accent6" w:themeFillTint="33"/>
          </w:tcPr>
          <w:p w:rsidR="00701A22" w:rsidRPr="00206AAE" w:rsidRDefault="004C3960" w:rsidP="00776EB0">
            <w:pPr>
              <w:rPr>
                <w:rFonts w:eastAsiaTheme="minorHAnsi"/>
                <w:b/>
                <w:bCs/>
                <w:sz w:val="20"/>
                <w:szCs w:val="20"/>
              </w:rPr>
            </w:pPr>
            <w:r>
              <w:rPr>
                <w:rFonts w:eastAsiaTheme="minorHAnsi"/>
                <w:b/>
                <w:bCs/>
                <w:sz w:val="20"/>
                <w:szCs w:val="20"/>
              </w:rPr>
              <w:t>R’000</w:t>
            </w:r>
          </w:p>
        </w:tc>
        <w:tc>
          <w:tcPr>
            <w:tcW w:w="605" w:type="pct"/>
            <w:shd w:val="clear" w:color="auto" w:fill="E2EFD9" w:themeFill="accent6" w:themeFillTint="33"/>
            <w:hideMark/>
          </w:tcPr>
          <w:p w:rsidR="00701A22" w:rsidRPr="00206AAE" w:rsidRDefault="00701A22" w:rsidP="00776EB0">
            <w:pPr>
              <w:rPr>
                <w:rFonts w:eastAsiaTheme="minorHAnsi"/>
                <w:sz w:val="20"/>
                <w:szCs w:val="20"/>
              </w:rPr>
            </w:pPr>
            <w:r w:rsidRPr="00206AAE">
              <w:rPr>
                <w:rFonts w:eastAsiaTheme="minorHAnsi"/>
                <w:b/>
                <w:bCs/>
                <w:sz w:val="20"/>
                <w:szCs w:val="20"/>
              </w:rPr>
              <w:t>R'000</w:t>
            </w:r>
          </w:p>
        </w:tc>
        <w:tc>
          <w:tcPr>
            <w:tcW w:w="627" w:type="pct"/>
            <w:shd w:val="clear" w:color="auto" w:fill="E2EFD9" w:themeFill="accent6" w:themeFillTint="33"/>
            <w:hideMark/>
          </w:tcPr>
          <w:p w:rsidR="00701A22" w:rsidRPr="00206AAE" w:rsidRDefault="00701A22" w:rsidP="00776EB0">
            <w:pPr>
              <w:rPr>
                <w:rFonts w:eastAsiaTheme="minorHAnsi"/>
                <w:sz w:val="20"/>
                <w:szCs w:val="20"/>
              </w:rPr>
            </w:pPr>
            <w:r w:rsidRPr="00206AAE">
              <w:rPr>
                <w:rFonts w:eastAsiaTheme="minorHAnsi"/>
                <w:b/>
                <w:bCs/>
                <w:sz w:val="20"/>
                <w:szCs w:val="20"/>
              </w:rPr>
              <w:t>R'000</w:t>
            </w:r>
          </w:p>
        </w:tc>
        <w:tc>
          <w:tcPr>
            <w:tcW w:w="657" w:type="pct"/>
            <w:shd w:val="clear" w:color="auto" w:fill="E2EFD9" w:themeFill="accent6" w:themeFillTint="33"/>
            <w:hideMark/>
          </w:tcPr>
          <w:p w:rsidR="00701A22" w:rsidRPr="00206AAE" w:rsidRDefault="00701A22" w:rsidP="00776EB0">
            <w:pPr>
              <w:rPr>
                <w:rFonts w:eastAsiaTheme="minorHAnsi"/>
                <w:sz w:val="20"/>
                <w:szCs w:val="20"/>
              </w:rPr>
            </w:pPr>
            <w:r w:rsidRPr="00206AAE">
              <w:rPr>
                <w:rFonts w:eastAsiaTheme="minorHAnsi"/>
                <w:b/>
                <w:bCs/>
                <w:sz w:val="20"/>
                <w:szCs w:val="20"/>
              </w:rPr>
              <w:t>R'000</w:t>
            </w:r>
          </w:p>
        </w:tc>
      </w:tr>
      <w:tr w:rsidR="00701A22" w:rsidRPr="00206AAE" w:rsidTr="00004F3D">
        <w:trPr>
          <w:trHeight w:val="55"/>
        </w:trPr>
        <w:tc>
          <w:tcPr>
            <w:tcW w:w="2425" w:type="pct"/>
            <w:hideMark/>
          </w:tcPr>
          <w:p w:rsidR="00701A22" w:rsidRPr="00206AAE" w:rsidRDefault="00701A22" w:rsidP="00776EB0">
            <w:pPr>
              <w:jc w:val="both"/>
              <w:rPr>
                <w:rFonts w:eastAsiaTheme="minorHAnsi"/>
                <w:sz w:val="20"/>
                <w:szCs w:val="20"/>
              </w:rPr>
            </w:pPr>
            <w:r w:rsidRPr="00206AAE">
              <w:rPr>
                <w:rFonts w:eastAsiaTheme="minorHAnsi"/>
                <w:b/>
                <w:bCs/>
                <w:sz w:val="20"/>
                <w:szCs w:val="20"/>
              </w:rPr>
              <w:t xml:space="preserve"> 1. Administration </w:t>
            </w:r>
          </w:p>
        </w:tc>
        <w:tc>
          <w:tcPr>
            <w:tcW w:w="686" w:type="pct"/>
          </w:tcPr>
          <w:p w:rsidR="00701A22" w:rsidRPr="00206AAE" w:rsidRDefault="00D914D3" w:rsidP="00004F3D">
            <w:pPr>
              <w:pStyle w:val="Default"/>
              <w:jc w:val="right"/>
              <w:rPr>
                <w:rFonts w:ascii="Times New Roman" w:hAnsi="Times New Roman" w:cs="Times New Roman"/>
                <w:b/>
                <w:bCs/>
                <w:sz w:val="20"/>
                <w:szCs w:val="20"/>
              </w:rPr>
            </w:pPr>
            <w:r>
              <w:rPr>
                <w:rFonts w:ascii="Times New Roman" w:hAnsi="Times New Roman" w:cs="Times New Roman"/>
                <w:b/>
                <w:bCs/>
                <w:sz w:val="20"/>
                <w:szCs w:val="20"/>
              </w:rPr>
              <w:t>2 904 058</w:t>
            </w:r>
          </w:p>
        </w:tc>
        <w:tc>
          <w:tcPr>
            <w:tcW w:w="605" w:type="pct"/>
            <w:shd w:val="clear" w:color="auto" w:fill="F2F8EE"/>
          </w:tcPr>
          <w:p w:rsidR="00701A22" w:rsidRPr="00206AAE" w:rsidRDefault="00FC7763" w:rsidP="00004F3D">
            <w:pPr>
              <w:pStyle w:val="Default"/>
              <w:jc w:val="right"/>
              <w:rPr>
                <w:rFonts w:ascii="Times New Roman" w:eastAsiaTheme="minorHAnsi" w:hAnsi="Times New Roman" w:cs="Times New Roman"/>
                <w:sz w:val="20"/>
                <w:szCs w:val="20"/>
              </w:rPr>
            </w:pPr>
            <w:r>
              <w:rPr>
                <w:rFonts w:ascii="Times New Roman" w:hAnsi="Times New Roman" w:cs="Times New Roman"/>
                <w:b/>
                <w:bCs/>
                <w:sz w:val="20"/>
                <w:szCs w:val="20"/>
              </w:rPr>
              <w:t>3 562 423</w:t>
            </w:r>
          </w:p>
        </w:tc>
        <w:tc>
          <w:tcPr>
            <w:tcW w:w="627" w:type="pct"/>
          </w:tcPr>
          <w:p w:rsidR="00701A22" w:rsidRPr="00206AAE" w:rsidRDefault="004C1BD2" w:rsidP="00004F3D">
            <w:pPr>
              <w:pStyle w:val="Default"/>
              <w:jc w:val="right"/>
              <w:rPr>
                <w:rFonts w:ascii="Times New Roman" w:eastAsiaTheme="minorHAnsi" w:hAnsi="Times New Roman" w:cs="Times New Roman"/>
                <w:sz w:val="20"/>
                <w:szCs w:val="20"/>
              </w:rPr>
            </w:pPr>
            <w:r>
              <w:rPr>
                <w:rFonts w:ascii="Times New Roman" w:hAnsi="Times New Roman" w:cs="Times New Roman"/>
                <w:b/>
                <w:bCs/>
                <w:sz w:val="20"/>
                <w:szCs w:val="20"/>
              </w:rPr>
              <w:t>3 676 732</w:t>
            </w:r>
          </w:p>
        </w:tc>
        <w:tc>
          <w:tcPr>
            <w:tcW w:w="657" w:type="pct"/>
          </w:tcPr>
          <w:p w:rsidR="00701A22" w:rsidRPr="00206AAE" w:rsidRDefault="004C1BD2" w:rsidP="00004F3D">
            <w:pPr>
              <w:pStyle w:val="Default"/>
              <w:jc w:val="right"/>
              <w:rPr>
                <w:rFonts w:ascii="Times New Roman" w:eastAsiaTheme="minorHAnsi" w:hAnsi="Times New Roman" w:cs="Times New Roman"/>
                <w:sz w:val="20"/>
                <w:szCs w:val="20"/>
              </w:rPr>
            </w:pPr>
            <w:r>
              <w:rPr>
                <w:rFonts w:ascii="Times New Roman" w:hAnsi="Times New Roman" w:cs="Times New Roman"/>
                <w:b/>
                <w:bCs/>
                <w:sz w:val="20"/>
                <w:szCs w:val="20"/>
              </w:rPr>
              <w:t>3 756 885</w:t>
            </w:r>
          </w:p>
        </w:tc>
      </w:tr>
      <w:tr w:rsidR="00701A22" w:rsidRPr="00206AAE" w:rsidTr="00206AAE">
        <w:trPr>
          <w:trHeight w:val="264"/>
        </w:trPr>
        <w:tc>
          <w:tcPr>
            <w:tcW w:w="2425" w:type="pct"/>
            <w:hideMark/>
          </w:tcPr>
          <w:p w:rsidR="00701A22" w:rsidRPr="00206AAE" w:rsidRDefault="00701A22" w:rsidP="00776EB0">
            <w:pPr>
              <w:jc w:val="right"/>
              <w:rPr>
                <w:rFonts w:eastAsiaTheme="minorHAnsi"/>
                <w:i/>
                <w:sz w:val="20"/>
                <w:szCs w:val="20"/>
              </w:rPr>
            </w:pPr>
            <w:r w:rsidRPr="00206AAE">
              <w:rPr>
                <w:rFonts w:eastAsiaTheme="minorHAnsi"/>
                <w:i/>
                <w:sz w:val="20"/>
                <w:szCs w:val="20"/>
              </w:rPr>
              <w:t xml:space="preserve"> Ministry</w:t>
            </w:r>
          </w:p>
        </w:tc>
        <w:tc>
          <w:tcPr>
            <w:tcW w:w="686" w:type="pct"/>
          </w:tcPr>
          <w:p w:rsidR="00701A22" w:rsidRPr="009C7662" w:rsidRDefault="00D914D3">
            <w:pPr>
              <w:pStyle w:val="Default"/>
              <w:jc w:val="right"/>
              <w:rPr>
                <w:rFonts w:ascii="Times New Roman" w:hAnsi="Times New Roman" w:cs="Times New Roman"/>
                <w:i/>
                <w:sz w:val="20"/>
                <w:szCs w:val="20"/>
              </w:rPr>
            </w:pPr>
            <w:r>
              <w:rPr>
                <w:rFonts w:ascii="Times New Roman" w:hAnsi="Times New Roman" w:cs="Times New Roman"/>
                <w:i/>
                <w:sz w:val="20"/>
                <w:szCs w:val="20"/>
              </w:rPr>
              <w:t>71 820</w:t>
            </w:r>
          </w:p>
        </w:tc>
        <w:tc>
          <w:tcPr>
            <w:tcW w:w="605" w:type="pct"/>
            <w:shd w:val="clear" w:color="auto" w:fill="F2F8EE"/>
          </w:tcPr>
          <w:p w:rsidR="00701A22" w:rsidRPr="00206AAE" w:rsidRDefault="00FC7763" w:rsidP="00776EB0">
            <w:pPr>
              <w:jc w:val="right"/>
              <w:rPr>
                <w:rFonts w:eastAsiaTheme="minorHAnsi"/>
                <w:i/>
                <w:sz w:val="20"/>
                <w:szCs w:val="20"/>
              </w:rPr>
            </w:pPr>
            <w:r>
              <w:rPr>
                <w:i/>
                <w:sz w:val="20"/>
                <w:szCs w:val="20"/>
              </w:rPr>
              <w:t>66 968</w:t>
            </w:r>
          </w:p>
        </w:tc>
        <w:tc>
          <w:tcPr>
            <w:tcW w:w="627" w:type="pct"/>
          </w:tcPr>
          <w:p w:rsidR="00701A22" w:rsidRPr="00206AAE" w:rsidRDefault="004C1BD2" w:rsidP="00776EB0">
            <w:pPr>
              <w:jc w:val="right"/>
              <w:rPr>
                <w:rFonts w:eastAsiaTheme="minorHAnsi"/>
                <w:i/>
                <w:sz w:val="20"/>
                <w:szCs w:val="20"/>
              </w:rPr>
            </w:pPr>
            <w:r>
              <w:rPr>
                <w:i/>
                <w:sz w:val="20"/>
                <w:szCs w:val="20"/>
              </w:rPr>
              <w:t>59 739</w:t>
            </w:r>
          </w:p>
        </w:tc>
        <w:tc>
          <w:tcPr>
            <w:tcW w:w="657" w:type="pct"/>
          </w:tcPr>
          <w:p w:rsidR="00701A22" w:rsidRPr="00206AAE" w:rsidRDefault="004C1BD2" w:rsidP="00776EB0">
            <w:pPr>
              <w:jc w:val="right"/>
              <w:rPr>
                <w:rFonts w:eastAsiaTheme="minorHAnsi"/>
                <w:i/>
                <w:sz w:val="20"/>
                <w:szCs w:val="20"/>
              </w:rPr>
            </w:pPr>
            <w:r>
              <w:rPr>
                <w:i/>
                <w:sz w:val="20"/>
                <w:szCs w:val="20"/>
              </w:rPr>
              <w:t>69 620</w:t>
            </w:r>
          </w:p>
        </w:tc>
      </w:tr>
      <w:tr w:rsidR="00DF446B" w:rsidRPr="00701A22" w:rsidTr="00206AAE">
        <w:trPr>
          <w:trHeight w:val="264"/>
        </w:trPr>
        <w:tc>
          <w:tcPr>
            <w:tcW w:w="2425" w:type="pct"/>
            <w:hideMark/>
          </w:tcPr>
          <w:p w:rsidR="00DF446B" w:rsidRPr="00206AAE" w:rsidRDefault="00DF446B" w:rsidP="00DF446B">
            <w:pPr>
              <w:jc w:val="right"/>
              <w:rPr>
                <w:rFonts w:eastAsiaTheme="minorHAnsi"/>
                <w:i/>
                <w:sz w:val="20"/>
                <w:szCs w:val="20"/>
              </w:rPr>
            </w:pPr>
            <w:r w:rsidRPr="00206AAE">
              <w:rPr>
                <w:rFonts w:eastAsiaTheme="minorHAnsi"/>
                <w:i/>
                <w:sz w:val="20"/>
                <w:szCs w:val="20"/>
              </w:rPr>
              <w:t xml:space="preserve"> Department Management </w:t>
            </w:r>
          </w:p>
        </w:tc>
        <w:tc>
          <w:tcPr>
            <w:tcW w:w="686" w:type="pct"/>
          </w:tcPr>
          <w:p w:rsidR="00DF446B" w:rsidRPr="00206AAE" w:rsidRDefault="006E5055" w:rsidP="00004F3D">
            <w:pPr>
              <w:jc w:val="right"/>
              <w:rPr>
                <w:i/>
                <w:sz w:val="20"/>
                <w:szCs w:val="20"/>
              </w:rPr>
            </w:pPr>
            <w:r>
              <w:rPr>
                <w:i/>
                <w:sz w:val="20"/>
                <w:szCs w:val="20"/>
              </w:rPr>
              <w:t xml:space="preserve">        </w:t>
            </w:r>
            <w:r w:rsidR="00D914D3">
              <w:rPr>
                <w:i/>
                <w:sz w:val="20"/>
                <w:szCs w:val="20"/>
              </w:rPr>
              <w:t xml:space="preserve">153 </w:t>
            </w:r>
            <w:r>
              <w:rPr>
                <w:i/>
                <w:sz w:val="20"/>
                <w:szCs w:val="20"/>
              </w:rPr>
              <w:t>050</w:t>
            </w:r>
          </w:p>
        </w:tc>
        <w:tc>
          <w:tcPr>
            <w:tcW w:w="605" w:type="pct"/>
            <w:shd w:val="clear" w:color="auto" w:fill="F2F8EE"/>
          </w:tcPr>
          <w:p w:rsidR="00DF446B" w:rsidRPr="00206AAE" w:rsidRDefault="00FC7763" w:rsidP="00DF446B">
            <w:pPr>
              <w:jc w:val="right"/>
              <w:rPr>
                <w:rFonts w:eastAsiaTheme="minorHAnsi"/>
                <w:i/>
                <w:sz w:val="20"/>
                <w:szCs w:val="20"/>
              </w:rPr>
            </w:pPr>
            <w:r>
              <w:rPr>
                <w:i/>
                <w:sz w:val="20"/>
                <w:szCs w:val="20"/>
              </w:rPr>
              <w:t>145 073</w:t>
            </w:r>
          </w:p>
        </w:tc>
        <w:tc>
          <w:tcPr>
            <w:tcW w:w="627" w:type="pct"/>
          </w:tcPr>
          <w:p w:rsidR="00DF446B" w:rsidRPr="00206AAE" w:rsidRDefault="004C1BD2" w:rsidP="00DF446B">
            <w:pPr>
              <w:jc w:val="right"/>
              <w:rPr>
                <w:rFonts w:eastAsiaTheme="minorHAnsi"/>
                <w:i/>
                <w:sz w:val="20"/>
                <w:szCs w:val="20"/>
              </w:rPr>
            </w:pPr>
            <w:r>
              <w:rPr>
                <w:i/>
                <w:sz w:val="20"/>
                <w:szCs w:val="20"/>
              </w:rPr>
              <w:t>126 997</w:t>
            </w:r>
          </w:p>
        </w:tc>
        <w:tc>
          <w:tcPr>
            <w:tcW w:w="657" w:type="pct"/>
          </w:tcPr>
          <w:p w:rsidR="00DF446B" w:rsidRPr="00206AAE" w:rsidRDefault="004C1BD2" w:rsidP="00DF446B">
            <w:pPr>
              <w:jc w:val="right"/>
              <w:rPr>
                <w:rFonts w:eastAsiaTheme="minorHAnsi"/>
                <w:i/>
                <w:sz w:val="20"/>
                <w:szCs w:val="20"/>
              </w:rPr>
            </w:pPr>
            <w:r>
              <w:rPr>
                <w:i/>
                <w:sz w:val="20"/>
                <w:szCs w:val="20"/>
              </w:rPr>
              <w:t>139 401</w:t>
            </w:r>
          </w:p>
        </w:tc>
      </w:tr>
      <w:tr w:rsidR="00DF446B" w:rsidRPr="00206AAE" w:rsidTr="00206AAE">
        <w:trPr>
          <w:trHeight w:val="302"/>
        </w:trPr>
        <w:tc>
          <w:tcPr>
            <w:tcW w:w="2425" w:type="pct"/>
            <w:hideMark/>
          </w:tcPr>
          <w:p w:rsidR="00DF446B" w:rsidRPr="00DB50B6" w:rsidRDefault="00DF446B" w:rsidP="00DF446B">
            <w:pPr>
              <w:jc w:val="right"/>
              <w:rPr>
                <w:rFonts w:eastAsiaTheme="minorHAnsi"/>
                <w:i/>
                <w:sz w:val="20"/>
                <w:szCs w:val="20"/>
              </w:rPr>
            </w:pPr>
            <w:r w:rsidRPr="00DB50B6">
              <w:rPr>
                <w:rFonts w:eastAsiaTheme="minorHAnsi"/>
                <w:i/>
                <w:sz w:val="20"/>
                <w:szCs w:val="20"/>
              </w:rPr>
              <w:lastRenderedPageBreak/>
              <w:t xml:space="preserve"> Internal Audit </w:t>
            </w:r>
          </w:p>
        </w:tc>
        <w:tc>
          <w:tcPr>
            <w:tcW w:w="686" w:type="pct"/>
          </w:tcPr>
          <w:p w:rsidR="00DF446B" w:rsidRPr="00206AAE" w:rsidRDefault="006E5055">
            <w:pPr>
              <w:pStyle w:val="Default"/>
              <w:jc w:val="right"/>
              <w:rPr>
                <w:rFonts w:ascii="Times New Roman" w:hAnsi="Times New Roman" w:cs="Times New Roman"/>
                <w:i/>
                <w:sz w:val="20"/>
                <w:szCs w:val="20"/>
              </w:rPr>
            </w:pPr>
            <w:r>
              <w:rPr>
                <w:rFonts w:ascii="Times New Roman" w:hAnsi="Times New Roman" w:cs="Times New Roman"/>
                <w:i/>
                <w:sz w:val="20"/>
                <w:szCs w:val="20"/>
              </w:rPr>
              <w:t>60 092</w:t>
            </w:r>
          </w:p>
        </w:tc>
        <w:tc>
          <w:tcPr>
            <w:tcW w:w="605" w:type="pct"/>
            <w:shd w:val="clear" w:color="auto" w:fill="F2F8EE"/>
          </w:tcPr>
          <w:p w:rsidR="00DF446B" w:rsidRPr="00206AAE" w:rsidRDefault="00FC7763" w:rsidP="00DF446B">
            <w:pPr>
              <w:jc w:val="right"/>
              <w:rPr>
                <w:rFonts w:eastAsiaTheme="minorHAnsi"/>
                <w:i/>
                <w:sz w:val="20"/>
                <w:szCs w:val="20"/>
              </w:rPr>
            </w:pPr>
            <w:r>
              <w:rPr>
                <w:i/>
                <w:sz w:val="20"/>
                <w:szCs w:val="20"/>
              </w:rPr>
              <w:t>57 672</w:t>
            </w:r>
          </w:p>
        </w:tc>
        <w:tc>
          <w:tcPr>
            <w:tcW w:w="627" w:type="pct"/>
          </w:tcPr>
          <w:p w:rsidR="00DF446B" w:rsidRPr="00206AAE" w:rsidRDefault="004C1BD2">
            <w:pPr>
              <w:jc w:val="right"/>
              <w:rPr>
                <w:rFonts w:eastAsiaTheme="minorHAnsi"/>
                <w:i/>
                <w:sz w:val="20"/>
                <w:szCs w:val="20"/>
              </w:rPr>
            </w:pPr>
            <w:r>
              <w:rPr>
                <w:i/>
                <w:sz w:val="20"/>
                <w:szCs w:val="20"/>
              </w:rPr>
              <w:t>51 167</w:t>
            </w:r>
          </w:p>
        </w:tc>
        <w:tc>
          <w:tcPr>
            <w:tcW w:w="657" w:type="pct"/>
          </w:tcPr>
          <w:p w:rsidR="00DF446B" w:rsidRPr="00206AAE" w:rsidRDefault="004C1BD2" w:rsidP="00DF446B">
            <w:pPr>
              <w:jc w:val="right"/>
              <w:rPr>
                <w:rFonts w:eastAsiaTheme="minorHAnsi"/>
                <w:i/>
                <w:sz w:val="20"/>
                <w:szCs w:val="20"/>
              </w:rPr>
            </w:pPr>
            <w:r>
              <w:rPr>
                <w:i/>
                <w:sz w:val="20"/>
                <w:szCs w:val="20"/>
              </w:rPr>
              <w:t>55 939</w:t>
            </w:r>
          </w:p>
        </w:tc>
      </w:tr>
      <w:tr w:rsidR="00DF446B" w:rsidRPr="00206AAE" w:rsidTr="00206AAE">
        <w:trPr>
          <w:trHeight w:val="264"/>
        </w:trPr>
        <w:tc>
          <w:tcPr>
            <w:tcW w:w="2425" w:type="pct"/>
            <w:hideMark/>
          </w:tcPr>
          <w:p w:rsidR="00DF446B" w:rsidRPr="00206AAE" w:rsidRDefault="00DF446B" w:rsidP="00DF446B">
            <w:pPr>
              <w:jc w:val="right"/>
              <w:rPr>
                <w:rFonts w:eastAsiaTheme="minorHAnsi"/>
                <w:i/>
                <w:sz w:val="20"/>
                <w:szCs w:val="20"/>
              </w:rPr>
            </w:pPr>
            <w:r w:rsidRPr="00206AAE">
              <w:rPr>
                <w:rFonts w:eastAsiaTheme="minorHAnsi"/>
                <w:i/>
                <w:sz w:val="20"/>
                <w:szCs w:val="20"/>
              </w:rPr>
              <w:t xml:space="preserve"> Financial Management  </w:t>
            </w:r>
          </w:p>
        </w:tc>
        <w:tc>
          <w:tcPr>
            <w:tcW w:w="686" w:type="pct"/>
          </w:tcPr>
          <w:p w:rsidR="00DF446B" w:rsidRPr="00206AAE" w:rsidRDefault="00D05E4F" w:rsidP="00004F3D">
            <w:pPr>
              <w:jc w:val="right"/>
              <w:rPr>
                <w:i/>
                <w:sz w:val="20"/>
                <w:szCs w:val="20"/>
              </w:rPr>
            </w:pPr>
            <w:r>
              <w:rPr>
                <w:i/>
                <w:sz w:val="20"/>
                <w:szCs w:val="20"/>
              </w:rPr>
              <w:t xml:space="preserve">        297 853</w:t>
            </w:r>
          </w:p>
        </w:tc>
        <w:tc>
          <w:tcPr>
            <w:tcW w:w="605" w:type="pct"/>
            <w:shd w:val="clear" w:color="auto" w:fill="F2F8EE"/>
          </w:tcPr>
          <w:p w:rsidR="00DF446B" w:rsidRPr="00206AAE" w:rsidRDefault="00FC7763" w:rsidP="00DF446B">
            <w:pPr>
              <w:jc w:val="right"/>
              <w:rPr>
                <w:rFonts w:eastAsiaTheme="minorHAnsi"/>
                <w:i/>
                <w:sz w:val="20"/>
                <w:szCs w:val="20"/>
              </w:rPr>
            </w:pPr>
            <w:r>
              <w:rPr>
                <w:i/>
                <w:sz w:val="20"/>
                <w:szCs w:val="20"/>
              </w:rPr>
              <w:t>266 123</w:t>
            </w:r>
          </w:p>
        </w:tc>
        <w:tc>
          <w:tcPr>
            <w:tcW w:w="627" w:type="pct"/>
          </w:tcPr>
          <w:p w:rsidR="00DF446B" w:rsidRPr="00206AAE" w:rsidRDefault="004C1BD2" w:rsidP="00DF446B">
            <w:pPr>
              <w:jc w:val="right"/>
              <w:rPr>
                <w:rFonts w:eastAsiaTheme="minorHAnsi"/>
                <w:i/>
                <w:sz w:val="20"/>
                <w:szCs w:val="20"/>
              </w:rPr>
            </w:pPr>
            <w:r>
              <w:rPr>
                <w:i/>
                <w:sz w:val="20"/>
                <w:szCs w:val="20"/>
              </w:rPr>
              <w:t>231 217</w:t>
            </w:r>
          </w:p>
        </w:tc>
        <w:tc>
          <w:tcPr>
            <w:tcW w:w="657" w:type="pct"/>
          </w:tcPr>
          <w:p w:rsidR="00DF446B" w:rsidRPr="00206AAE" w:rsidRDefault="004C1BD2" w:rsidP="00DF446B">
            <w:pPr>
              <w:jc w:val="right"/>
              <w:rPr>
                <w:rFonts w:eastAsiaTheme="minorHAnsi"/>
                <w:i/>
                <w:sz w:val="20"/>
                <w:szCs w:val="20"/>
              </w:rPr>
            </w:pPr>
            <w:r>
              <w:rPr>
                <w:i/>
                <w:sz w:val="20"/>
                <w:szCs w:val="20"/>
              </w:rPr>
              <w:t>244 288</w:t>
            </w:r>
          </w:p>
        </w:tc>
      </w:tr>
      <w:tr w:rsidR="00DF446B" w:rsidRPr="00206AAE" w:rsidTr="00206AAE">
        <w:trPr>
          <w:trHeight w:val="264"/>
        </w:trPr>
        <w:tc>
          <w:tcPr>
            <w:tcW w:w="2425" w:type="pct"/>
            <w:hideMark/>
          </w:tcPr>
          <w:p w:rsidR="00DF446B" w:rsidRPr="00206AAE" w:rsidRDefault="00DF446B" w:rsidP="00DF446B">
            <w:pPr>
              <w:jc w:val="right"/>
              <w:rPr>
                <w:rFonts w:eastAsiaTheme="minorHAnsi"/>
                <w:i/>
                <w:sz w:val="20"/>
                <w:szCs w:val="20"/>
              </w:rPr>
            </w:pPr>
            <w:r w:rsidRPr="00206AAE">
              <w:rPr>
                <w:rFonts w:eastAsiaTheme="minorHAnsi"/>
                <w:i/>
                <w:sz w:val="20"/>
                <w:szCs w:val="20"/>
              </w:rPr>
              <w:t xml:space="preserve"> Corporate Services </w:t>
            </w:r>
          </w:p>
        </w:tc>
        <w:tc>
          <w:tcPr>
            <w:tcW w:w="686" w:type="pct"/>
          </w:tcPr>
          <w:p w:rsidR="00DF446B" w:rsidRPr="00206AAE" w:rsidRDefault="00D05E4F" w:rsidP="00004F3D">
            <w:pPr>
              <w:jc w:val="right"/>
              <w:rPr>
                <w:i/>
                <w:sz w:val="20"/>
                <w:szCs w:val="20"/>
              </w:rPr>
            </w:pPr>
            <w:r>
              <w:rPr>
                <w:i/>
                <w:sz w:val="20"/>
                <w:szCs w:val="20"/>
              </w:rPr>
              <w:t xml:space="preserve">        821 827</w:t>
            </w:r>
          </w:p>
        </w:tc>
        <w:tc>
          <w:tcPr>
            <w:tcW w:w="605" w:type="pct"/>
            <w:shd w:val="clear" w:color="auto" w:fill="F2F8EE"/>
          </w:tcPr>
          <w:p w:rsidR="00DF446B" w:rsidRPr="00206AAE" w:rsidRDefault="00FC7763" w:rsidP="00DF446B">
            <w:pPr>
              <w:jc w:val="right"/>
              <w:rPr>
                <w:rFonts w:eastAsiaTheme="minorHAnsi"/>
                <w:i/>
                <w:sz w:val="20"/>
                <w:szCs w:val="20"/>
              </w:rPr>
            </w:pPr>
            <w:r>
              <w:rPr>
                <w:i/>
                <w:sz w:val="20"/>
                <w:szCs w:val="20"/>
              </w:rPr>
              <w:t>1 022 893</w:t>
            </w:r>
          </w:p>
        </w:tc>
        <w:tc>
          <w:tcPr>
            <w:tcW w:w="627" w:type="pct"/>
          </w:tcPr>
          <w:p w:rsidR="00DF446B" w:rsidRPr="00206AAE" w:rsidRDefault="004C1BD2" w:rsidP="00DF446B">
            <w:pPr>
              <w:jc w:val="right"/>
              <w:rPr>
                <w:rFonts w:eastAsiaTheme="minorHAnsi"/>
                <w:i/>
                <w:sz w:val="20"/>
                <w:szCs w:val="20"/>
              </w:rPr>
            </w:pPr>
            <w:r>
              <w:rPr>
                <w:i/>
                <w:sz w:val="20"/>
                <w:szCs w:val="20"/>
              </w:rPr>
              <w:t>841 520</w:t>
            </w:r>
          </w:p>
        </w:tc>
        <w:tc>
          <w:tcPr>
            <w:tcW w:w="657" w:type="pct"/>
          </w:tcPr>
          <w:p w:rsidR="00DF446B" w:rsidRPr="00206AAE" w:rsidRDefault="004C1BD2" w:rsidP="00DF446B">
            <w:pPr>
              <w:jc w:val="right"/>
              <w:rPr>
                <w:rFonts w:eastAsiaTheme="minorHAnsi"/>
                <w:i/>
                <w:sz w:val="20"/>
                <w:szCs w:val="20"/>
              </w:rPr>
            </w:pPr>
            <w:r>
              <w:rPr>
                <w:i/>
                <w:sz w:val="20"/>
                <w:szCs w:val="20"/>
              </w:rPr>
              <w:t>886 427</w:t>
            </w:r>
          </w:p>
        </w:tc>
      </w:tr>
      <w:tr w:rsidR="00DF446B" w:rsidRPr="00206AAE" w:rsidTr="00206AAE">
        <w:trPr>
          <w:trHeight w:val="264"/>
        </w:trPr>
        <w:tc>
          <w:tcPr>
            <w:tcW w:w="2425" w:type="pct"/>
            <w:hideMark/>
          </w:tcPr>
          <w:p w:rsidR="00DF446B" w:rsidRPr="00206AAE" w:rsidRDefault="00DF446B" w:rsidP="00DF446B">
            <w:pPr>
              <w:jc w:val="right"/>
              <w:rPr>
                <w:rFonts w:eastAsiaTheme="minorHAnsi"/>
                <w:i/>
                <w:sz w:val="20"/>
                <w:szCs w:val="20"/>
              </w:rPr>
            </w:pPr>
            <w:r w:rsidRPr="00206AAE">
              <w:rPr>
                <w:rFonts w:eastAsiaTheme="minorHAnsi"/>
                <w:i/>
                <w:sz w:val="20"/>
                <w:szCs w:val="20"/>
              </w:rPr>
              <w:t xml:space="preserve"> Provincial Operations </w:t>
            </w:r>
          </w:p>
        </w:tc>
        <w:tc>
          <w:tcPr>
            <w:tcW w:w="686" w:type="pct"/>
          </w:tcPr>
          <w:p w:rsidR="00DF446B" w:rsidRPr="00206AAE" w:rsidRDefault="00D05E4F" w:rsidP="00004F3D">
            <w:pPr>
              <w:jc w:val="right"/>
              <w:rPr>
                <w:i/>
                <w:sz w:val="20"/>
                <w:szCs w:val="20"/>
              </w:rPr>
            </w:pPr>
            <w:r>
              <w:rPr>
                <w:i/>
                <w:sz w:val="20"/>
                <w:szCs w:val="20"/>
              </w:rPr>
              <w:t xml:space="preserve">        537 239</w:t>
            </w:r>
          </w:p>
        </w:tc>
        <w:tc>
          <w:tcPr>
            <w:tcW w:w="605" w:type="pct"/>
            <w:shd w:val="clear" w:color="auto" w:fill="F2F8EE"/>
          </w:tcPr>
          <w:p w:rsidR="00DF446B" w:rsidRPr="00206AAE" w:rsidRDefault="00FC7763" w:rsidP="00DF446B">
            <w:pPr>
              <w:jc w:val="right"/>
              <w:rPr>
                <w:rFonts w:eastAsiaTheme="minorHAnsi"/>
                <w:i/>
                <w:sz w:val="20"/>
                <w:szCs w:val="20"/>
              </w:rPr>
            </w:pPr>
            <w:r>
              <w:rPr>
                <w:i/>
                <w:sz w:val="20"/>
                <w:szCs w:val="20"/>
              </w:rPr>
              <w:t>1 302 302</w:t>
            </w:r>
          </w:p>
        </w:tc>
        <w:tc>
          <w:tcPr>
            <w:tcW w:w="627" w:type="pct"/>
          </w:tcPr>
          <w:p w:rsidR="00DF446B" w:rsidRPr="00206AAE" w:rsidRDefault="004C1BD2" w:rsidP="00DF446B">
            <w:pPr>
              <w:jc w:val="right"/>
              <w:rPr>
                <w:rFonts w:eastAsiaTheme="minorHAnsi"/>
                <w:i/>
                <w:sz w:val="20"/>
                <w:szCs w:val="20"/>
              </w:rPr>
            </w:pPr>
            <w:r>
              <w:rPr>
                <w:i/>
                <w:sz w:val="20"/>
                <w:szCs w:val="20"/>
              </w:rPr>
              <w:t>1 398 183</w:t>
            </w:r>
          </w:p>
        </w:tc>
        <w:tc>
          <w:tcPr>
            <w:tcW w:w="657" w:type="pct"/>
          </w:tcPr>
          <w:p w:rsidR="00DF446B" w:rsidRPr="00206AAE" w:rsidRDefault="004C1BD2" w:rsidP="00DF446B">
            <w:pPr>
              <w:jc w:val="right"/>
              <w:rPr>
                <w:rFonts w:eastAsiaTheme="minorHAnsi"/>
                <w:i/>
                <w:sz w:val="20"/>
                <w:szCs w:val="20"/>
              </w:rPr>
            </w:pPr>
            <w:r>
              <w:rPr>
                <w:i/>
                <w:sz w:val="20"/>
                <w:szCs w:val="20"/>
              </w:rPr>
              <w:t>1 465 046</w:t>
            </w:r>
          </w:p>
        </w:tc>
      </w:tr>
      <w:tr w:rsidR="00DF446B" w:rsidRPr="00206AAE" w:rsidTr="00206AAE">
        <w:trPr>
          <w:trHeight w:val="264"/>
        </w:trPr>
        <w:tc>
          <w:tcPr>
            <w:tcW w:w="2425" w:type="pct"/>
            <w:hideMark/>
          </w:tcPr>
          <w:p w:rsidR="00DF446B" w:rsidRPr="00206AAE" w:rsidRDefault="00DF446B" w:rsidP="00DF446B">
            <w:pPr>
              <w:jc w:val="right"/>
              <w:rPr>
                <w:rFonts w:eastAsiaTheme="minorHAnsi"/>
                <w:i/>
                <w:sz w:val="20"/>
                <w:szCs w:val="20"/>
              </w:rPr>
            </w:pPr>
            <w:r w:rsidRPr="00206AAE">
              <w:rPr>
                <w:rFonts w:eastAsiaTheme="minorHAnsi"/>
                <w:i/>
                <w:sz w:val="20"/>
                <w:szCs w:val="20"/>
              </w:rPr>
              <w:t xml:space="preserve"> Office Accommodation </w:t>
            </w:r>
          </w:p>
        </w:tc>
        <w:tc>
          <w:tcPr>
            <w:tcW w:w="686" w:type="pct"/>
          </w:tcPr>
          <w:p w:rsidR="00DF446B" w:rsidRPr="00206AAE" w:rsidRDefault="00D05E4F">
            <w:pPr>
              <w:pStyle w:val="Default"/>
              <w:jc w:val="right"/>
              <w:rPr>
                <w:rFonts w:ascii="Times New Roman" w:hAnsi="Times New Roman" w:cs="Times New Roman"/>
                <w:i/>
                <w:sz w:val="20"/>
                <w:szCs w:val="20"/>
              </w:rPr>
            </w:pPr>
            <w:r>
              <w:rPr>
                <w:rFonts w:ascii="Times New Roman" w:hAnsi="Times New Roman" w:cs="Times New Roman"/>
                <w:i/>
                <w:sz w:val="20"/>
                <w:szCs w:val="20"/>
              </w:rPr>
              <w:t>962 177</w:t>
            </w:r>
          </w:p>
        </w:tc>
        <w:tc>
          <w:tcPr>
            <w:tcW w:w="605" w:type="pct"/>
            <w:shd w:val="clear" w:color="auto" w:fill="F2F8EE"/>
          </w:tcPr>
          <w:p w:rsidR="00DF446B" w:rsidRPr="00206AAE" w:rsidRDefault="00FC7763" w:rsidP="00DF446B">
            <w:pPr>
              <w:jc w:val="right"/>
              <w:rPr>
                <w:rFonts w:eastAsiaTheme="minorHAnsi"/>
                <w:i/>
                <w:sz w:val="20"/>
                <w:szCs w:val="20"/>
              </w:rPr>
            </w:pPr>
            <w:r>
              <w:rPr>
                <w:i/>
                <w:sz w:val="20"/>
                <w:szCs w:val="20"/>
              </w:rPr>
              <w:t>701 392</w:t>
            </w:r>
          </w:p>
        </w:tc>
        <w:tc>
          <w:tcPr>
            <w:tcW w:w="627" w:type="pct"/>
          </w:tcPr>
          <w:p w:rsidR="00DF446B" w:rsidRPr="00206AAE" w:rsidRDefault="004C1BD2" w:rsidP="00DF446B">
            <w:pPr>
              <w:jc w:val="right"/>
              <w:rPr>
                <w:rFonts w:eastAsiaTheme="minorHAnsi"/>
                <w:i/>
                <w:sz w:val="20"/>
                <w:szCs w:val="20"/>
              </w:rPr>
            </w:pPr>
            <w:r>
              <w:rPr>
                <w:i/>
                <w:sz w:val="20"/>
                <w:szCs w:val="20"/>
              </w:rPr>
              <w:t>967 909</w:t>
            </w:r>
          </w:p>
        </w:tc>
        <w:tc>
          <w:tcPr>
            <w:tcW w:w="657" w:type="pct"/>
          </w:tcPr>
          <w:p w:rsidR="00DF446B" w:rsidRPr="00206AAE" w:rsidRDefault="004C1BD2" w:rsidP="00DF446B">
            <w:pPr>
              <w:jc w:val="right"/>
              <w:rPr>
                <w:rFonts w:eastAsiaTheme="minorHAnsi"/>
                <w:i/>
                <w:sz w:val="20"/>
                <w:szCs w:val="20"/>
              </w:rPr>
            </w:pPr>
            <w:r>
              <w:rPr>
                <w:i/>
                <w:sz w:val="20"/>
                <w:szCs w:val="20"/>
              </w:rPr>
              <w:t>896 164</w:t>
            </w:r>
          </w:p>
        </w:tc>
      </w:tr>
      <w:tr w:rsidR="00DF446B" w:rsidRPr="00206AAE" w:rsidTr="00206AAE">
        <w:trPr>
          <w:trHeight w:val="528"/>
        </w:trPr>
        <w:tc>
          <w:tcPr>
            <w:tcW w:w="2425" w:type="pct"/>
            <w:shd w:val="clear" w:color="auto" w:fill="E2EFD9" w:themeFill="accent6" w:themeFillTint="33"/>
            <w:hideMark/>
          </w:tcPr>
          <w:p w:rsidR="00DF446B" w:rsidRPr="00206AAE" w:rsidRDefault="00DF446B">
            <w:pPr>
              <w:rPr>
                <w:rFonts w:eastAsiaTheme="minorHAnsi"/>
                <w:sz w:val="20"/>
                <w:szCs w:val="20"/>
              </w:rPr>
            </w:pPr>
            <w:r w:rsidRPr="00206AAE">
              <w:rPr>
                <w:rFonts w:eastAsiaTheme="minorHAnsi"/>
                <w:b/>
                <w:bCs/>
                <w:sz w:val="20"/>
                <w:szCs w:val="20"/>
              </w:rPr>
              <w:t xml:space="preserve"> 2. Agricultural Production, Biosecurity </w:t>
            </w:r>
            <w:r>
              <w:rPr>
                <w:rFonts w:eastAsiaTheme="minorHAnsi"/>
                <w:b/>
                <w:bCs/>
                <w:sz w:val="20"/>
                <w:szCs w:val="20"/>
              </w:rPr>
              <w:t>&amp;</w:t>
            </w:r>
            <w:r w:rsidRPr="00206AAE">
              <w:rPr>
                <w:rFonts w:eastAsiaTheme="minorHAnsi"/>
                <w:b/>
                <w:bCs/>
                <w:sz w:val="20"/>
                <w:szCs w:val="20"/>
              </w:rPr>
              <w:t xml:space="preserve"> Resources Management </w:t>
            </w:r>
          </w:p>
        </w:tc>
        <w:tc>
          <w:tcPr>
            <w:tcW w:w="686" w:type="pct"/>
            <w:shd w:val="clear" w:color="auto" w:fill="E2EFD9" w:themeFill="accent6" w:themeFillTint="33"/>
          </w:tcPr>
          <w:p w:rsidR="00DF446B" w:rsidRPr="00206AAE" w:rsidRDefault="00F05DB5" w:rsidP="00004F3D">
            <w:pPr>
              <w:jc w:val="right"/>
              <w:rPr>
                <w:b/>
                <w:bCs/>
                <w:sz w:val="20"/>
                <w:szCs w:val="20"/>
              </w:rPr>
            </w:pPr>
            <w:r>
              <w:rPr>
                <w:b/>
                <w:bCs/>
                <w:sz w:val="20"/>
                <w:szCs w:val="20"/>
              </w:rPr>
              <w:t>2 613 010</w:t>
            </w:r>
          </w:p>
        </w:tc>
        <w:tc>
          <w:tcPr>
            <w:tcW w:w="605" w:type="pct"/>
            <w:shd w:val="clear" w:color="auto" w:fill="E2EFD9" w:themeFill="accent6" w:themeFillTint="33"/>
          </w:tcPr>
          <w:p w:rsidR="00DF446B" w:rsidRPr="00206AAE" w:rsidRDefault="00FC7763" w:rsidP="00004F3D">
            <w:pPr>
              <w:jc w:val="right"/>
              <w:rPr>
                <w:rFonts w:eastAsiaTheme="minorHAnsi"/>
                <w:sz w:val="20"/>
                <w:szCs w:val="20"/>
              </w:rPr>
            </w:pPr>
            <w:r>
              <w:rPr>
                <w:b/>
                <w:bCs/>
                <w:sz w:val="20"/>
                <w:szCs w:val="20"/>
              </w:rPr>
              <w:t>2 501 203</w:t>
            </w:r>
          </w:p>
        </w:tc>
        <w:tc>
          <w:tcPr>
            <w:tcW w:w="627" w:type="pct"/>
            <w:shd w:val="clear" w:color="auto" w:fill="E2EFD9" w:themeFill="accent6" w:themeFillTint="33"/>
          </w:tcPr>
          <w:p w:rsidR="00DF446B" w:rsidRPr="00206AAE" w:rsidRDefault="00011C30" w:rsidP="00004F3D">
            <w:pPr>
              <w:jc w:val="right"/>
              <w:rPr>
                <w:rFonts w:eastAsiaTheme="minorHAnsi"/>
                <w:sz w:val="20"/>
                <w:szCs w:val="20"/>
              </w:rPr>
            </w:pPr>
            <w:r>
              <w:rPr>
                <w:b/>
                <w:bCs/>
                <w:sz w:val="20"/>
                <w:szCs w:val="20"/>
              </w:rPr>
              <w:t>2 403 287</w:t>
            </w:r>
          </w:p>
        </w:tc>
        <w:tc>
          <w:tcPr>
            <w:tcW w:w="657" w:type="pct"/>
            <w:shd w:val="clear" w:color="auto" w:fill="E2EFD9" w:themeFill="accent6" w:themeFillTint="33"/>
          </w:tcPr>
          <w:p w:rsidR="00DF446B" w:rsidRPr="00206AAE" w:rsidRDefault="00011C30" w:rsidP="00004F3D">
            <w:pPr>
              <w:jc w:val="right"/>
              <w:rPr>
                <w:rFonts w:eastAsiaTheme="minorHAnsi"/>
                <w:sz w:val="20"/>
                <w:szCs w:val="20"/>
              </w:rPr>
            </w:pPr>
            <w:r>
              <w:rPr>
                <w:b/>
                <w:bCs/>
                <w:sz w:val="20"/>
                <w:szCs w:val="20"/>
              </w:rPr>
              <w:t>2 528 412</w:t>
            </w:r>
          </w:p>
        </w:tc>
      </w:tr>
      <w:tr w:rsidR="00ED68FC" w:rsidRPr="00206AAE" w:rsidTr="00206AAE">
        <w:trPr>
          <w:trHeight w:val="264"/>
        </w:trPr>
        <w:tc>
          <w:tcPr>
            <w:tcW w:w="2425" w:type="pct"/>
            <w:hideMark/>
          </w:tcPr>
          <w:p w:rsidR="00ED68FC" w:rsidRPr="00206AAE" w:rsidRDefault="00ED68FC" w:rsidP="00ED68FC">
            <w:pPr>
              <w:jc w:val="right"/>
              <w:rPr>
                <w:rFonts w:eastAsiaTheme="minorHAnsi"/>
                <w:i/>
                <w:sz w:val="20"/>
                <w:szCs w:val="20"/>
              </w:rPr>
            </w:pPr>
            <w:r w:rsidRPr="00206AAE">
              <w:rPr>
                <w:rFonts w:eastAsiaTheme="minorHAnsi"/>
                <w:i/>
                <w:sz w:val="20"/>
                <w:szCs w:val="20"/>
              </w:rPr>
              <w:t xml:space="preserve"> Inspection and Quarantine Services </w:t>
            </w:r>
          </w:p>
        </w:tc>
        <w:tc>
          <w:tcPr>
            <w:tcW w:w="686" w:type="pct"/>
          </w:tcPr>
          <w:p w:rsidR="00ED68FC" w:rsidRPr="00206AAE" w:rsidRDefault="00F05DB5" w:rsidP="00004F3D">
            <w:pPr>
              <w:jc w:val="right"/>
              <w:rPr>
                <w:i/>
                <w:sz w:val="20"/>
                <w:szCs w:val="20"/>
              </w:rPr>
            </w:pPr>
            <w:r>
              <w:rPr>
                <w:i/>
                <w:sz w:val="20"/>
                <w:szCs w:val="20"/>
              </w:rPr>
              <w:t xml:space="preserve">        470 287</w:t>
            </w:r>
          </w:p>
        </w:tc>
        <w:tc>
          <w:tcPr>
            <w:tcW w:w="605" w:type="pct"/>
            <w:shd w:val="clear" w:color="auto" w:fill="F2F8EE"/>
          </w:tcPr>
          <w:p w:rsidR="00ED68FC" w:rsidRPr="00206AAE" w:rsidRDefault="00FC7763" w:rsidP="00ED68FC">
            <w:pPr>
              <w:jc w:val="right"/>
              <w:rPr>
                <w:rFonts w:eastAsiaTheme="minorHAnsi"/>
                <w:i/>
                <w:sz w:val="20"/>
                <w:szCs w:val="20"/>
              </w:rPr>
            </w:pPr>
            <w:r>
              <w:rPr>
                <w:i/>
                <w:sz w:val="20"/>
                <w:szCs w:val="20"/>
              </w:rPr>
              <w:t>459 344</w:t>
            </w:r>
          </w:p>
        </w:tc>
        <w:tc>
          <w:tcPr>
            <w:tcW w:w="627" w:type="pct"/>
          </w:tcPr>
          <w:p w:rsidR="00ED68FC" w:rsidRPr="00206AAE" w:rsidRDefault="00011C30" w:rsidP="00ED68FC">
            <w:pPr>
              <w:jc w:val="right"/>
              <w:rPr>
                <w:rFonts w:eastAsiaTheme="minorHAnsi"/>
                <w:i/>
                <w:sz w:val="20"/>
                <w:szCs w:val="20"/>
              </w:rPr>
            </w:pPr>
            <w:r>
              <w:rPr>
                <w:i/>
                <w:sz w:val="20"/>
                <w:szCs w:val="20"/>
              </w:rPr>
              <w:t>418 873</w:t>
            </w:r>
          </w:p>
        </w:tc>
        <w:tc>
          <w:tcPr>
            <w:tcW w:w="657" w:type="pct"/>
          </w:tcPr>
          <w:p w:rsidR="00ED68FC" w:rsidRPr="00206AAE" w:rsidRDefault="00011C30" w:rsidP="00ED68FC">
            <w:pPr>
              <w:jc w:val="right"/>
              <w:rPr>
                <w:rFonts w:eastAsiaTheme="minorHAnsi"/>
                <w:i/>
                <w:sz w:val="20"/>
                <w:szCs w:val="20"/>
              </w:rPr>
            </w:pPr>
            <w:r>
              <w:rPr>
                <w:i/>
                <w:sz w:val="20"/>
                <w:szCs w:val="20"/>
              </w:rPr>
              <w:t>440 228</w:t>
            </w:r>
          </w:p>
        </w:tc>
      </w:tr>
      <w:tr w:rsidR="00ED68FC" w:rsidRPr="00701A22" w:rsidTr="00206AAE">
        <w:trPr>
          <w:trHeight w:val="264"/>
        </w:trPr>
        <w:tc>
          <w:tcPr>
            <w:tcW w:w="2425" w:type="pct"/>
            <w:hideMark/>
          </w:tcPr>
          <w:p w:rsidR="00ED68FC" w:rsidRPr="00206AAE" w:rsidRDefault="00ED68FC" w:rsidP="00ED68FC">
            <w:pPr>
              <w:jc w:val="right"/>
              <w:rPr>
                <w:rFonts w:eastAsiaTheme="minorHAnsi"/>
                <w:i/>
                <w:sz w:val="20"/>
                <w:szCs w:val="20"/>
              </w:rPr>
            </w:pPr>
            <w:r w:rsidRPr="00206AAE">
              <w:rPr>
                <w:rFonts w:eastAsiaTheme="minorHAnsi"/>
                <w:i/>
                <w:sz w:val="20"/>
                <w:szCs w:val="20"/>
              </w:rPr>
              <w:t xml:space="preserve"> Plant Production and Health </w:t>
            </w:r>
          </w:p>
        </w:tc>
        <w:tc>
          <w:tcPr>
            <w:tcW w:w="686" w:type="pct"/>
          </w:tcPr>
          <w:p w:rsidR="00ED68FC" w:rsidRPr="00206AAE" w:rsidRDefault="00F05DB5" w:rsidP="00004F3D">
            <w:pPr>
              <w:jc w:val="right"/>
              <w:rPr>
                <w:i/>
                <w:sz w:val="20"/>
                <w:szCs w:val="20"/>
              </w:rPr>
            </w:pPr>
            <w:r>
              <w:rPr>
                <w:i/>
                <w:sz w:val="20"/>
                <w:szCs w:val="20"/>
              </w:rPr>
              <w:t xml:space="preserve">       162 901</w:t>
            </w:r>
          </w:p>
        </w:tc>
        <w:tc>
          <w:tcPr>
            <w:tcW w:w="605" w:type="pct"/>
            <w:shd w:val="clear" w:color="auto" w:fill="F2F8EE"/>
          </w:tcPr>
          <w:p w:rsidR="00ED68FC" w:rsidRPr="00206AAE" w:rsidRDefault="00FC7763" w:rsidP="00ED68FC">
            <w:pPr>
              <w:jc w:val="right"/>
              <w:rPr>
                <w:rFonts w:eastAsiaTheme="minorHAnsi"/>
                <w:i/>
                <w:sz w:val="20"/>
                <w:szCs w:val="20"/>
              </w:rPr>
            </w:pPr>
            <w:r>
              <w:rPr>
                <w:i/>
                <w:sz w:val="20"/>
                <w:szCs w:val="20"/>
              </w:rPr>
              <w:t>202 963</w:t>
            </w:r>
          </w:p>
        </w:tc>
        <w:tc>
          <w:tcPr>
            <w:tcW w:w="627" w:type="pct"/>
          </w:tcPr>
          <w:p w:rsidR="00ED68FC" w:rsidRPr="00206AAE" w:rsidRDefault="00011C30" w:rsidP="00ED68FC">
            <w:pPr>
              <w:jc w:val="right"/>
              <w:rPr>
                <w:rFonts w:eastAsiaTheme="minorHAnsi"/>
                <w:i/>
                <w:sz w:val="20"/>
                <w:szCs w:val="20"/>
              </w:rPr>
            </w:pPr>
            <w:r>
              <w:rPr>
                <w:i/>
                <w:sz w:val="20"/>
                <w:szCs w:val="20"/>
              </w:rPr>
              <w:t>195 623</w:t>
            </w:r>
          </w:p>
        </w:tc>
        <w:tc>
          <w:tcPr>
            <w:tcW w:w="657" w:type="pct"/>
          </w:tcPr>
          <w:p w:rsidR="00ED68FC" w:rsidRPr="00206AAE" w:rsidRDefault="00011C30" w:rsidP="00ED68FC">
            <w:pPr>
              <w:jc w:val="right"/>
              <w:rPr>
                <w:rFonts w:eastAsiaTheme="minorHAnsi"/>
                <w:i/>
                <w:sz w:val="20"/>
                <w:szCs w:val="20"/>
              </w:rPr>
            </w:pPr>
            <w:r>
              <w:rPr>
                <w:i/>
                <w:sz w:val="20"/>
                <w:szCs w:val="20"/>
              </w:rPr>
              <w:t>209 744</w:t>
            </w:r>
          </w:p>
        </w:tc>
      </w:tr>
      <w:tr w:rsidR="00ED68FC" w:rsidRPr="00701A22" w:rsidTr="00206AAE">
        <w:trPr>
          <w:trHeight w:val="264"/>
        </w:trPr>
        <w:tc>
          <w:tcPr>
            <w:tcW w:w="2425" w:type="pct"/>
            <w:hideMark/>
          </w:tcPr>
          <w:p w:rsidR="00ED68FC" w:rsidRPr="00DB50B6" w:rsidRDefault="00ED68FC" w:rsidP="00ED68FC">
            <w:pPr>
              <w:jc w:val="right"/>
              <w:rPr>
                <w:rFonts w:eastAsiaTheme="minorHAnsi"/>
                <w:i/>
                <w:sz w:val="20"/>
                <w:szCs w:val="20"/>
              </w:rPr>
            </w:pPr>
            <w:r w:rsidRPr="00DB50B6">
              <w:rPr>
                <w:rFonts w:eastAsiaTheme="minorHAnsi"/>
                <w:i/>
                <w:sz w:val="20"/>
                <w:szCs w:val="20"/>
              </w:rPr>
              <w:t xml:space="preserve"> Animal Production and Health </w:t>
            </w:r>
          </w:p>
        </w:tc>
        <w:tc>
          <w:tcPr>
            <w:tcW w:w="686" w:type="pct"/>
          </w:tcPr>
          <w:p w:rsidR="00ED68FC" w:rsidRPr="00DB50B6" w:rsidRDefault="00F05DB5" w:rsidP="00004F3D">
            <w:pPr>
              <w:jc w:val="right"/>
              <w:rPr>
                <w:i/>
                <w:sz w:val="20"/>
                <w:szCs w:val="20"/>
              </w:rPr>
            </w:pPr>
            <w:r>
              <w:rPr>
                <w:i/>
                <w:sz w:val="20"/>
                <w:szCs w:val="20"/>
              </w:rPr>
              <w:t xml:space="preserve">      350 342</w:t>
            </w:r>
          </w:p>
        </w:tc>
        <w:tc>
          <w:tcPr>
            <w:tcW w:w="605" w:type="pct"/>
            <w:shd w:val="clear" w:color="auto" w:fill="F2F8EE"/>
          </w:tcPr>
          <w:p w:rsidR="00ED68FC" w:rsidRPr="00DB50B6" w:rsidRDefault="00FC7763" w:rsidP="00ED68FC">
            <w:pPr>
              <w:jc w:val="right"/>
              <w:rPr>
                <w:rFonts w:eastAsiaTheme="minorHAnsi"/>
                <w:i/>
                <w:sz w:val="20"/>
                <w:szCs w:val="20"/>
              </w:rPr>
            </w:pPr>
            <w:r>
              <w:rPr>
                <w:i/>
                <w:sz w:val="20"/>
                <w:szCs w:val="20"/>
              </w:rPr>
              <w:t>359 274</w:t>
            </w:r>
          </w:p>
        </w:tc>
        <w:tc>
          <w:tcPr>
            <w:tcW w:w="627" w:type="pct"/>
          </w:tcPr>
          <w:p w:rsidR="00ED68FC" w:rsidRPr="00DB50B6" w:rsidRDefault="00011C30" w:rsidP="00ED68FC">
            <w:pPr>
              <w:jc w:val="right"/>
              <w:rPr>
                <w:rFonts w:eastAsiaTheme="minorHAnsi"/>
                <w:i/>
                <w:sz w:val="20"/>
                <w:szCs w:val="20"/>
              </w:rPr>
            </w:pPr>
            <w:r>
              <w:rPr>
                <w:i/>
                <w:sz w:val="20"/>
                <w:szCs w:val="20"/>
              </w:rPr>
              <w:t>332 237</w:t>
            </w:r>
          </w:p>
        </w:tc>
        <w:tc>
          <w:tcPr>
            <w:tcW w:w="657" w:type="pct"/>
          </w:tcPr>
          <w:p w:rsidR="00ED68FC" w:rsidRPr="00DB50B6" w:rsidRDefault="00011C30" w:rsidP="00ED68FC">
            <w:pPr>
              <w:jc w:val="right"/>
              <w:rPr>
                <w:rFonts w:eastAsiaTheme="minorHAnsi"/>
                <w:i/>
                <w:sz w:val="20"/>
                <w:szCs w:val="20"/>
              </w:rPr>
            </w:pPr>
            <w:r>
              <w:rPr>
                <w:i/>
                <w:sz w:val="20"/>
                <w:szCs w:val="20"/>
              </w:rPr>
              <w:t>354 927</w:t>
            </w:r>
          </w:p>
        </w:tc>
      </w:tr>
      <w:tr w:rsidR="00ED68FC" w:rsidRPr="00701A22" w:rsidTr="00206AAE">
        <w:trPr>
          <w:trHeight w:val="264"/>
        </w:trPr>
        <w:tc>
          <w:tcPr>
            <w:tcW w:w="2425" w:type="pct"/>
            <w:hideMark/>
          </w:tcPr>
          <w:p w:rsidR="00ED68FC" w:rsidRPr="00DB50B6" w:rsidRDefault="00ED68FC">
            <w:pPr>
              <w:jc w:val="right"/>
              <w:rPr>
                <w:rFonts w:eastAsiaTheme="minorHAnsi"/>
                <w:i/>
                <w:sz w:val="20"/>
                <w:szCs w:val="20"/>
              </w:rPr>
            </w:pPr>
            <w:r w:rsidRPr="00DB50B6">
              <w:rPr>
                <w:rFonts w:eastAsiaTheme="minorHAnsi"/>
                <w:i/>
                <w:sz w:val="20"/>
                <w:szCs w:val="20"/>
              </w:rPr>
              <w:t xml:space="preserve"> Resources and Disaster Management </w:t>
            </w:r>
          </w:p>
        </w:tc>
        <w:tc>
          <w:tcPr>
            <w:tcW w:w="686" w:type="pct"/>
          </w:tcPr>
          <w:p w:rsidR="00ED68FC" w:rsidRPr="00DB50B6" w:rsidRDefault="00F05DB5" w:rsidP="00004F3D">
            <w:pPr>
              <w:jc w:val="right"/>
              <w:rPr>
                <w:i/>
                <w:sz w:val="20"/>
                <w:szCs w:val="20"/>
              </w:rPr>
            </w:pPr>
            <w:r>
              <w:rPr>
                <w:i/>
                <w:sz w:val="20"/>
                <w:szCs w:val="20"/>
              </w:rPr>
              <w:t xml:space="preserve">     342 667</w:t>
            </w:r>
          </w:p>
        </w:tc>
        <w:tc>
          <w:tcPr>
            <w:tcW w:w="605" w:type="pct"/>
            <w:shd w:val="clear" w:color="auto" w:fill="F2F8EE"/>
          </w:tcPr>
          <w:p w:rsidR="00ED68FC" w:rsidRPr="00DB50B6" w:rsidRDefault="00FC7763" w:rsidP="00ED68FC">
            <w:pPr>
              <w:jc w:val="right"/>
              <w:rPr>
                <w:rFonts w:eastAsiaTheme="minorHAnsi"/>
                <w:i/>
                <w:sz w:val="20"/>
                <w:szCs w:val="20"/>
              </w:rPr>
            </w:pPr>
            <w:r>
              <w:rPr>
                <w:i/>
                <w:sz w:val="20"/>
                <w:szCs w:val="20"/>
              </w:rPr>
              <w:t>287 008</w:t>
            </w:r>
          </w:p>
        </w:tc>
        <w:tc>
          <w:tcPr>
            <w:tcW w:w="627" w:type="pct"/>
          </w:tcPr>
          <w:p w:rsidR="00ED68FC" w:rsidRPr="00DB50B6" w:rsidRDefault="00011C30" w:rsidP="00ED68FC">
            <w:pPr>
              <w:jc w:val="right"/>
              <w:rPr>
                <w:rFonts w:eastAsiaTheme="minorHAnsi"/>
                <w:i/>
                <w:sz w:val="20"/>
                <w:szCs w:val="20"/>
              </w:rPr>
            </w:pPr>
            <w:r>
              <w:rPr>
                <w:i/>
                <w:sz w:val="20"/>
                <w:szCs w:val="20"/>
              </w:rPr>
              <w:t>261 664</w:t>
            </w:r>
          </w:p>
        </w:tc>
        <w:tc>
          <w:tcPr>
            <w:tcW w:w="657" w:type="pct"/>
          </w:tcPr>
          <w:p w:rsidR="00ED68FC" w:rsidRPr="00DB50B6" w:rsidRDefault="00011C30" w:rsidP="00ED68FC">
            <w:pPr>
              <w:jc w:val="right"/>
              <w:rPr>
                <w:rFonts w:eastAsiaTheme="minorHAnsi"/>
                <w:i/>
                <w:sz w:val="20"/>
                <w:szCs w:val="20"/>
              </w:rPr>
            </w:pPr>
            <w:r>
              <w:rPr>
                <w:i/>
                <w:sz w:val="20"/>
                <w:szCs w:val="20"/>
              </w:rPr>
              <w:t>274 965</w:t>
            </w:r>
          </w:p>
        </w:tc>
      </w:tr>
      <w:tr w:rsidR="00ED68FC" w:rsidRPr="00701A22" w:rsidTr="00206AAE">
        <w:trPr>
          <w:trHeight w:val="264"/>
        </w:trPr>
        <w:tc>
          <w:tcPr>
            <w:tcW w:w="2425" w:type="pct"/>
          </w:tcPr>
          <w:p w:rsidR="00ED68FC" w:rsidRPr="00DB50B6" w:rsidRDefault="00ED68FC" w:rsidP="00ED68FC">
            <w:pPr>
              <w:jc w:val="right"/>
              <w:rPr>
                <w:rFonts w:eastAsiaTheme="minorHAnsi"/>
                <w:i/>
                <w:sz w:val="20"/>
                <w:szCs w:val="20"/>
              </w:rPr>
            </w:pPr>
            <w:r w:rsidRPr="00DB50B6">
              <w:rPr>
                <w:rFonts w:eastAsiaTheme="minorHAnsi"/>
                <w:i/>
                <w:sz w:val="20"/>
                <w:szCs w:val="20"/>
              </w:rPr>
              <w:t>Biosecurity</w:t>
            </w:r>
          </w:p>
        </w:tc>
        <w:tc>
          <w:tcPr>
            <w:tcW w:w="686" w:type="pct"/>
          </w:tcPr>
          <w:p w:rsidR="00ED68FC" w:rsidRPr="00DB50B6" w:rsidRDefault="00F05DB5" w:rsidP="00004F3D">
            <w:pPr>
              <w:jc w:val="right"/>
              <w:rPr>
                <w:i/>
                <w:sz w:val="20"/>
                <w:szCs w:val="20"/>
              </w:rPr>
            </w:pPr>
            <w:r>
              <w:rPr>
                <w:i/>
                <w:sz w:val="20"/>
                <w:szCs w:val="20"/>
              </w:rPr>
              <w:t>4 181</w:t>
            </w:r>
          </w:p>
        </w:tc>
        <w:tc>
          <w:tcPr>
            <w:tcW w:w="605" w:type="pct"/>
            <w:shd w:val="clear" w:color="auto" w:fill="F2F8EE"/>
          </w:tcPr>
          <w:p w:rsidR="00ED68FC" w:rsidRPr="00DB50B6" w:rsidRDefault="00FC7763" w:rsidP="00ED68FC">
            <w:pPr>
              <w:jc w:val="right"/>
              <w:rPr>
                <w:i/>
                <w:sz w:val="20"/>
                <w:szCs w:val="20"/>
              </w:rPr>
            </w:pPr>
            <w:r>
              <w:rPr>
                <w:i/>
                <w:sz w:val="20"/>
                <w:szCs w:val="20"/>
              </w:rPr>
              <w:t>3 294</w:t>
            </w:r>
          </w:p>
        </w:tc>
        <w:tc>
          <w:tcPr>
            <w:tcW w:w="627" w:type="pct"/>
          </w:tcPr>
          <w:p w:rsidR="00ED68FC" w:rsidRPr="00DB50B6" w:rsidRDefault="00011C30">
            <w:pPr>
              <w:jc w:val="right"/>
              <w:rPr>
                <w:i/>
                <w:sz w:val="20"/>
                <w:szCs w:val="20"/>
              </w:rPr>
            </w:pPr>
            <w:r>
              <w:rPr>
                <w:i/>
                <w:sz w:val="20"/>
                <w:szCs w:val="20"/>
              </w:rPr>
              <w:t>3 334</w:t>
            </w:r>
          </w:p>
        </w:tc>
        <w:tc>
          <w:tcPr>
            <w:tcW w:w="657" w:type="pct"/>
          </w:tcPr>
          <w:p w:rsidR="00ED68FC" w:rsidRPr="00DB50B6" w:rsidRDefault="00011C30" w:rsidP="00ED68FC">
            <w:pPr>
              <w:jc w:val="right"/>
              <w:rPr>
                <w:i/>
                <w:sz w:val="20"/>
                <w:szCs w:val="20"/>
              </w:rPr>
            </w:pPr>
            <w:r>
              <w:rPr>
                <w:i/>
                <w:sz w:val="20"/>
                <w:szCs w:val="20"/>
              </w:rPr>
              <w:t>3 480</w:t>
            </w:r>
          </w:p>
        </w:tc>
      </w:tr>
      <w:tr w:rsidR="00ED68FC" w:rsidRPr="00701A22" w:rsidTr="00206AAE">
        <w:trPr>
          <w:trHeight w:val="264"/>
        </w:trPr>
        <w:tc>
          <w:tcPr>
            <w:tcW w:w="2425" w:type="pct"/>
            <w:hideMark/>
          </w:tcPr>
          <w:p w:rsidR="00ED68FC" w:rsidRPr="00DB50B6" w:rsidRDefault="00ED68FC" w:rsidP="00ED68FC">
            <w:pPr>
              <w:jc w:val="right"/>
              <w:rPr>
                <w:rFonts w:eastAsiaTheme="minorHAnsi"/>
                <w:i/>
                <w:sz w:val="20"/>
                <w:szCs w:val="20"/>
              </w:rPr>
            </w:pPr>
            <w:r w:rsidRPr="00DB50B6">
              <w:rPr>
                <w:rFonts w:eastAsiaTheme="minorHAnsi"/>
                <w:i/>
                <w:sz w:val="20"/>
                <w:szCs w:val="20"/>
              </w:rPr>
              <w:t xml:space="preserve"> Agricultural Research Council </w:t>
            </w:r>
          </w:p>
        </w:tc>
        <w:tc>
          <w:tcPr>
            <w:tcW w:w="686" w:type="pct"/>
          </w:tcPr>
          <w:p w:rsidR="00ED68FC" w:rsidRPr="00DB50B6" w:rsidRDefault="00F05DB5" w:rsidP="00004F3D">
            <w:pPr>
              <w:jc w:val="right"/>
              <w:rPr>
                <w:i/>
                <w:sz w:val="20"/>
                <w:szCs w:val="20"/>
              </w:rPr>
            </w:pPr>
            <w:r>
              <w:rPr>
                <w:i/>
                <w:sz w:val="20"/>
                <w:szCs w:val="20"/>
              </w:rPr>
              <w:t>1 282 632</w:t>
            </w:r>
          </w:p>
        </w:tc>
        <w:tc>
          <w:tcPr>
            <w:tcW w:w="605" w:type="pct"/>
            <w:shd w:val="clear" w:color="auto" w:fill="F2F8EE"/>
          </w:tcPr>
          <w:p w:rsidR="00ED68FC" w:rsidRPr="00DB50B6" w:rsidRDefault="00FC7763" w:rsidP="00ED68FC">
            <w:pPr>
              <w:jc w:val="right"/>
              <w:rPr>
                <w:rFonts w:eastAsiaTheme="minorHAnsi"/>
                <w:i/>
                <w:sz w:val="20"/>
                <w:szCs w:val="20"/>
              </w:rPr>
            </w:pPr>
            <w:r>
              <w:rPr>
                <w:i/>
                <w:sz w:val="20"/>
                <w:szCs w:val="20"/>
              </w:rPr>
              <w:t>1 189 320</w:t>
            </w:r>
          </w:p>
        </w:tc>
        <w:tc>
          <w:tcPr>
            <w:tcW w:w="627" w:type="pct"/>
          </w:tcPr>
          <w:p w:rsidR="00ED68FC" w:rsidRPr="00DB50B6" w:rsidRDefault="00011C30" w:rsidP="00ED68FC">
            <w:pPr>
              <w:jc w:val="right"/>
              <w:rPr>
                <w:rFonts w:eastAsiaTheme="minorHAnsi"/>
                <w:i/>
                <w:sz w:val="20"/>
                <w:szCs w:val="20"/>
              </w:rPr>
            </w:pPr>
            <w:r>
              <w:rPr>
                <w:i/>
                <w:sz w:val="20"/>
                <w:szCs w:val="20"/>
              </w:rPr>
              <w:t>1 191 556</w:t>
            </w:r>
          </w:p>
        </w:tc>
        <w:tc>
          <w:tcPr>
            <w:tcW w:w="657" w:type="pct"/>
          </w:tcPr>
          <w:p w:rsidR="00ED68FC" w:rsidRPr="00DB50B6" w:rsidRDefault="00011C30" w:rsidP="00ED68FC">
            <w:pPr>
              <w:jc w:val="right"/>
              <w:rPr>
                <w:rFonts w:eastAsiaTheme="minorHAnsi"/>
                <w:i/>
                <w:sz w:val="20"/>
                <w:szCs w:val="20"/>
              </w:rPr>
            </w:pPr>
            <w:r>
              <w:rPr>
                <w:i/>
                <w:sz w:val="20"/>
                <w:szCs w:val="20"/>
              </w:rPr>
              <w:t>1 245 068</w:t>
            </w:r>
          </w:p>
        </w:tc>
      </w:tr>
      <w:tr w:rsidR="00ED68FC" w:rsidRPr="00701A22" w:rsidTr="00206AAE">
        <w:trPr>
          <w:trHeight w:val="264"/>
        </w:trPr>
        <w:tc>
          <w:tcPr>
            <w:tcW w:w="2425" w:type="pct"/>
            <w:shd w:val="clear" w:color="auto" w:fill="E2EFD9" w:themeFill="accent6" w:themeFillTint="33"/>
            <w:hideMark/>
          </w:tcPr>
          <w:p w:rsidR="00ED68FC" w:rsidRPr="00DB50B6" w:rsidRDefault="00ED68FC" w:rsidP="00ED68FC">
            <w:pPr>
              <w:rPr>
                <w:rFonts w:eastAsiaTheme="minorHAnsi"/>
                <w:sz w:val="20"/>
                <w:szCs w:val="20"/>
              </w:rPr>
            </w:pPr>
            <w:r w:rsidRPr="00DB50B6">
              <w:rPr>
                <w:rFonts w:eastAsiaTheme="minorHAnsi"/>
                <w:b/>
                <w:bCs/>
                <w:sz w:val="20"/>
                <w:szCs w:val="20"/>
              </w:rPr>
              <w:t xml:space="preserve"> 3. Food Security, Land Reform</w:t>
            </w:r>
            <w:r w:rsidRPr="00DB50B6">
              <w:rPr>
                <w:b/>
                <w:bCs/>
                <w:sz w:val="20"/>
                <w:szCs w:val="20"/>
              </w:rPr>
              <w:t xml:space="preserve"> </w:t>
            </w:r>
            <w:r>
              <w:rPr>
                <w:b/>
                <w:bCs/>
                <w:sz w:val="20"/>
                <w:szCs w:val="20"/>
              </w:rPr>
              <w:t>&amp;</w:t>
            </w:r>
            <w:r w:rsidRPr="00DB50B6">
              <w:rPr>
                <w:rFonts w:eastAsiaTheme="minorHAnsi"/>
                <w:b/>
                <w:bCs/>
                <w:sz w:val="20"/>
                <w:szCs w:val="20"/>
              </w:rPr>
              <w:t xml:space="preserve"> Restitution </w:t>
            </w:r>
          </w:p>
        </w:tc>
        <w:tc>
          <w:tcPr>
            <w:tcW w:w="686" w:type="pct"/>
            <w:shd w:val="clear" w:color="auto" w:fill="E2EFD9" w:themeFill="accent6" w:themeFillTint="33"/>
          </w:tcPr>
          <w:p w:rsidR="00ED68FC" w:rsidRPr="00DB50B6" w:rsidRDefault="00527378" w:rsidP="00004F3D">
            <w:pPr>
              <w:pStyle w:val="Default"/>
              <w:jc w:val="right"/>
              <w:rPr>
                <w:b/>
                <w:bCs/>
                <w:sz w:val="20"/>
                <w:szCs w:val="20"/>
              </w:rPr>
            </w:pPr>
            <w:r>
              <w:rPr>
                <w:rFonts w:ascii="Times New Roman" w:hAnsi="Times New Roman" w:cs="Times New Roman"/>
                <w:b/>
                <w:bCs/>
                <w:sz w:val="20"/>
                <w:szCs w:val="20"/>
              </w:rPr>
              <w:t>9 806 538</w:t>
            </w:r>
          </w:p>
        </w:tc>
        <w:tc>
          <w:tcPr>
            <w:tcW w:w="605" w:type="pct"/>
            <w:shd w:val="clear" w:color="auto" w:fill="E2EFD9" w:themeFill="accent6" w:themeFillTint="33"/>
          </w:tcPr>
          <w:p w:rsidR="00ED68FC" w:rsidRPr="00DB50B6" w:rsidRDefault="00296F17" w:rsidP="00004F3D">
            <w:pPr>
              <w:jc w:val="right"/>
              <w:rPr>
                <w:rFonts w:eastAsiaTheme="minorHAnsi"/>
                <w:sz w:val="20"/>
                <w:szCs w:val="20"/>
              </w:rPr>
            </w:pPr>
            <w:r>
              <w:rPr>
                <w:b/>
                <w:bCs/>
                <w:sz w:val="20"/>
                <w:szCs w:val="20"/>
              </w:rPr>
              <w:t>8 995 294</w:t>
            </w:r>
          </w:p>
        </w:tc>
        <w:tc>
          <w:tcPr>
            <w:tcW w:w="627" w:type="pct"/>
            <w:shd w:val="clear" w:color="auto" w:fill="E2EFD9" w:themeFill="accent6" w:themeFillTint="33"/>
          </w:tcPr>
          <w:p w:rsidR="00ED68FC" w:rsidRPr="00DB50B6" w:rsidRDefault="00527378" w:rsidP="00004F3D">
            <w:pPr>
              <w:jc w:val="right"/>
              <w:rPr>
                <w:rFonts w:eastAsiaTheme="minorHAnsi"/>
                <w:sz w:val="20"/>
                <w:szCs w:val="20"/>
              </w:rPr>
            </w:pPr>
            <w:r>
              <w:rPr>
                <w:b/>
                <w:bCs/>
                <w:sz w:val="20"/>
                <w:szCs w:val="20"/>
              </w:rPr>
              <w:t>9 079 579</w:t>
            </w:r>
          </w:p>
        </w:tc>
        <w:tc>
          <w:tcPr>
            <w:tcW w:w="657" w:type="pct"/>
            <w:shd w:val="clear" w:color="auto" w:fill="E2EFD9" w:themeFill="accent6" w:themeFillTint="33"/>
          </w:tcPr>
          <w:p w:rsidR="00ED68FC" w:rsidRPr="00DB50B6" w:rsidRDefault="00527378" w:rsidP="00004F3D">
            <w:pPr>
              <w:jc w:val="right"/>
              <w:rPr>
                <w:rFonts w:eastAsiaTheme="minorHAnsi"/>
                <w:sz w:val="20"/>
                <w:szCs w:val="20"/>
              </w:rPr>
            </w:pPr>
            <w:r>
              <w:rPr>
                <w:b/>
                <w:bCs/>
                <w:sz w:val="20"/>
                <w:szCs w:val="20"/>
              </w:rPr>
              <w:t>9 535 061</w:t>
            </w:r>
          </w:p>
        </w:tc>
      </w:tr>
      <w:tr w:rsidR="00253EBB" w:rsidRPr="00701A22" w:rsidTr="00206AAE">
        <w:trPr>
          <w:trHeight w:val="264"/>
        </w:trPr>
        <w:tc>
          <w:tcPr>
            <w:tcW w:w="2425" w:type="pct"/>
            <w:hideMark/>
          </w:tcPr>
          <w:p w:rsidR="00253EBB" w:rsidRPr="00DB50B6" w:rsidRDefault="00253EBB" w:rsidP="00253EBB">
            <w:pPr>
              <w:jc w:val="right"/>
              <w:rPr>
                <w:rFonts w:eastAsiaTheme="minorHAnsi"/>
                <w:i/>
                <w:sz w:val="20"/>
                <w:szCs w:val="20"/>
              </w:rPr>
            </w:pPr>
            <w:r w:rsidRPr="00DB50B6">
              <w:rPr>
                <w:rFonts w:eastAsiaTheme="minorHAnsi"/>
                <w:i/>
                <w:sz w:val="20"/>
                <w:szCs w:val="20"/>
              </w:rPr>
              <w:t xml:space="preserve"> Food Security</w:t>
            </w:r>
            <w:r w:rsidR="00DC0E90">
              <w:rPr>
                <w:rFonts w:eastAsiaTheme="minorHAnsi"/>
                <w:i/>
                <w:sz w:val="20"/>
                <w:szCs w:val="20"/>
              </w:rPr>
              <w:t xml:space="preserve"> &amp; Agrarian Reform</w:t>
            </w:r>
            <w:r w:rsidRPr="00DB50B6">
              <w:rPr>
                <w:rFonts w:eastAsiaTheme="minorHAnsi"/>
                <w:i/>
                <w:sz w:val="20"/>
                <w:szCs w:val="20"/>
              </w:rPr>
              <w:t xml:space="preserve"> </w:t>
            </w:r>
          </w:p>
        </w:tc>
        <w:tc>
          <w:tcPr>
            <w:tcW w:w="686" w:type="pct"/>
          </w:tcPr>
          <w:p w:rsidR="00253EBB" w:rsidRPr="00DB50B6" w:rsidRDefault="00527378" w:rsidP="00004F3D">
            <w:pPr>
              <w:jc w:val="right"/>
              <w:rPr>
                <w:i/>
                <w:sz w:val="20"/>
                <w:szCs w:val="20"/>
              </w:rPr>
            </w:pPr>
            <w:r>
              <w:rPr>
                <w:i/>
                <w:sz w:val="20"/>
                <w:szCs w:val="20"/>
              </w:rPr>
              <w:t>3 070 465</w:t>
            </w:r>
          </w:p>
        </w:tc>
        <w:tc>
          <w:tcPr>
            <w:tcW w:w="605" w:type="pct"/>
            <w:shd w:val="clear" w:color="auto" w:fill="F2F8EE"/>
          </w:tcPr>
          <w:p w:rsidR="00253EBB" w:rsidRPr="00DB50B6" w:rsidRDefault="00296F17">
            <w:pPr>
              <w:jc w:val="right"/>
              <w:rPr>
                <w:rFonts w:eastAsiaTheme="minorHAnsi"/>
                <w:i/>
                <w:sz w:val="20"/>
                <w:szCs w:val="20"/>
              </w:rPr>
            </w:pPr>
            <w:r>
              <w:rPr>
                <w:i/>
                <w:sz w:val="20"/>
                <w:szCs w:val="20"/>
              </w:rPr>
              <w:t>2 062 506</w:t>
            </w:r>
          </w:p>
        </w:tc>
        <w:tc>
          <w:tcPr>
            <w:tcW w:w="627" w:type="pct"/>
          </w:tcPr>
          <w:p w:rsidR="00253EBB" w:rsidRPr="00DB50B6" w:rsidRDefault="00527378">
            <w:pPr>
              <w:jc w:val="right"/>
              <w:rPr>
                <w:rFonts w:eastAsiaTheme="minorHAnsi"/>
                <w:i/>
                <w:sz w:val="20"/>
                <w:szCs w:val="20"/>
              </w:rPr>
            </w:pPr>
            <w:r>
              <w:rPr>
                <w:i/>
                <w:sz w:val="20"/>
                <w:szCs w:val="20"/>
              </w:rPr>
              <w:t>2 106 337</w:t>
            </w:r>
          </w:p>
        </w:tc>
        <w:tc>
          <w:tcPr>
            <w:tcW w:w="657" w:type="pct"/>
          </w:tcPr>
          <w:p w:rsidR="00253EBB" w:rsidRPr="00DB50B6" w:rsidRDefault="00527378">
            <w:pPr>
              <w:jc w:val="right"/>
              <w:rPr>
                <w:rFonts w:eastAsiaTheme="minorHAnsi"/>
                <w:i/>
                <w:sz w:val="20"/>
                <w:szCs w:val="20"/>
              </w:rPr>
            </w:pPr>
            <w:r>
              <w:rPr>
                <w:i/>
                <w:sz w:val="20"/>
                <w:szCs w:val="20"/>
              </w:rPr>
              <w:t>2 202 435</w:t>
            </w:r>
          </w:p>
        </w:tc>
      </w:tr>
      <w:tr w:rsidR="00253EBB" w:rsidRPr="00701A22" w:rsidTr="00206AAE">
        <w:trPr>
          <w:trHeight w:val="264"/>
        </w:trPr>
        <w:tc>
          <w:tcPr>
            <w:tcW w:w="2425" w:type="pct"/>
            <w:hideMark/>
          </w:tcPr>
          <w:p w:rsidR="00253EBB" w:rsidRPr="00DB50B6" w:rsidRDefault="00253EBB" w:rsidP="00253EBB">
            <w:pPr>
              <w:jc w:val="right"/>
              <w:rPr>
                <w:rFonts w:eastAsiaTheme="minorHAnsi"/>
                <w:i/>
                <w:sz w:val="20"/>
                <w:szCs w:val="20"/>
              </w:rPr>
            </w:pPr>
            <w:r w:rsidRPr="00DB50B6">
              <w:rPr>
                <w:rFonts w:eastAsiaTheme="minorHAnsi"/>
                <w:i/>
                <w:sz w:val="20"/>
                <w:szCs w:val="20"/>
              </w:rPr>
              <w:t xml:space="preserve"> Land Redistribution and Tenure Reform </w:t>
            </w:r>
          </w:p>
        </w:tc>
        <w:tc>
          <w:tcPr>
            <w:tcW w:w="686" w:type="pct"/>
          </w:tcPr>
          <w:p w:rsidR="00253EBB" w:rsidRPr="00DB50B6" w:rsidRDefault="00527378" w:rsidP="00004F3D">
            <w:pPr>
              <w:jc w:val="right"/>
              <w:rPr>
                <w:i/>
                <w:sz w:val="20"/>
                <w:szCs w:val="20"/>
              </w:rPr>
            </w:pPr>
            <w:r>
              <w:rPr>
                <w:i/>
                <w:sz w:val="20"/>
                <w:szCs w:val="20"/>
              </w:rPr>
              <w:t>949 009</w:t>
            </w:r>
          </w:p>
        </w:tc>
        <w:tc>
          <w:tcPr>
            <w:tcW w:w="605" w:type="pct"/>
            <w:shd w:val="clear" w:color="auto" w:fill="F2F8EE"/>
          </w:tcPr>
          <w:p w:rsidR="00253EBB" w:rsidRPr="00DB50B6" w:rsidRDefault="00296F17">
            <w:pPr>
              <w:jc w:val="right"/>
              <w:rPr>
                <w:rFonts w:eastAsiaTheme="minorHAnsi"/>
                <w:i/>
                <w:sz w:val="20"/>
                <w:szCs w:val="20"/>
              </w:rPr>
            </w:pPr>
            <w:r>
              <w:rPr>
                <w:i/>
                <w:sz w:val="20"/>
                <w:szCs w:val="20"/>
              </w:rPr>
              <w:t>949 977</w:t>
            </w:r>
          </w:p>
        </w:tc>
        <w:tc>
          <w:tcPr>
            <w:tcW w:w="627" w:type="pct"/>
          </w:tcPr>
          <w:p w:rsidR="00253EBB" w:rsidRPr="00DB50B6" w:rsidRDefault="00527378">
            <w:pPr>
              <w:jc w:val="right"/>
              <w:rPr>
                <w:rFonts w:eastAsiaTheme="minorHAnsi"/>
                <w:i/>
                <w:sz w:val="20"/>
                <w:szCs w:val="20"/>
              </w:rPr>
            </w:pPr>
            <w:r>
              <w:rPr>
                <w:i/>
                <w:sz w:val="20"/>
                <w:szCs w:val="20"/>
              </w:rPr>
              <w:t>807 778</w:t>
            </w:r>
          </w:p>
        </w:tc>
        <w:tc>
          <w:tcPr>
            <w:tcW w:w="657" w:type="pct"/>
          </w:tcPr>
          <w:p w:rsidR="00253EBB" w:rsidRPr="00DB50B6" w:rsidRDefault="00527378">
            <w:pPr>
              <w:jc w:val="right"/>
              <w:rPr>
                <w:rFonts w:eastAsiaTheme="minorHAnsi"/>
                <w:i/>
                <w:sz w:val="20"/>
                <w:szCs w:val="20"/>
              </w:rPr>
            </w:pPr>
            <w:r>
              <w:rPr>
                <w:i/>
                <w:sz w:val="20"/>
                <w:szCs w:val="20"/>
              </w:rPr>
              <w:t>863 445</w:t>
            </w:r>
          </w:p>
        </w:tc>
      </w:tr>
      <w:tr w:rsidR="002D4F55" w:rsidRPr="00701A22" w:rsidTr="00206AAE">
        <w:trPr>
          <w:trHeight w:val="264"/>
        </w:trPr>
        <w:tc>
          <w:tcPr>
            <w:tcW w:w="2425" w:type="pct"/>
            <w:hideMark/>
          </w:tcPr>
          <w:p w:rsidR="002D4F55" w:rsidRPr="00DB50B6" w:rsidRDefault="002D4F55" w:rsidP="002D4F55">
            <w:pPr>
              <w:jc w:val="right"/>
              <w:rPr>
                <w:rFonts w:eastAsiaTheme="minorHAnsi"/>
                <w:i/>
                <w:sz w:val="20"/>
                <w:szCs w:val="20"/>
              </w:rPr>
            </w:pPr>
            <w:r w:rsidRPr="00DB50B6">
              <w:rPr>
                <w:i/>
                <w:sz w:val="20"/>
                <w:szCs w:val="20"/>
              </w:rPr>
              <w:t xml:space="preserve"> Nat</w:t>
            </w:r>
            <w:r>
              <w:rPr>
                <w:i/>
                <w:sz w:val="20"/>
                <w:szCs w:val="20"/>
              </w:rPr>
              <w:t xml:space="preserve">. </w:t>
            </w:r>
            <w:r w:rsidRPr="00DB50B6">
              <w:rPr>
                <w:rFonts w:eastAsiaTheme="minorHAnsi"/>
                <w:i/>
                <w:sz w:val="20"/>
                <w:szCs w:val="20"/>
              </w:rPr>
              <w:t xml:space="preserve"> Ext</w:t>
            </w:r>
            <w:r>
              <w:rPr>
                <w:rFonts w:eastAsiaTheme="minorHAnsi"/>
                <w:i/>
                <w:sz w:val="20"/>
                <w:szCs w:val="20"/>
              </w:rPr>
              <w:t>.</w:t>
            </w:r>
            <w:r>
              <w:rPr>
                <w:i/>
                <w:sz w:val="20"/>
                <w:szCs w:val="20"/>
              </w:rPr>
              <w:t xml:space="preserve"> </w:t>
            </w:r>
            <w:r w:rsidRPr="00CA433E">
              <w:rPr>
                <w:i/>
                <w:sz w:val="20"/>
                <w:szCs w:val="20"/>
              </w:rPr>
              <w:t xml:space="preserve">Services </w:t>
            </w:r>
            <w:r>
              <w:rPr>
                <w:i/>
                <w:sz w:val="20"/>
                <w:szCs w:val="20"/>
              </w:rPr>
              <w:t xml:space="preserve">&amp; </w:t>
            </w:r>
            <w:r w:rsidRPr="00DB50B6">
              <w:rPr>
                <w:rFonts w:eastAsiaTheme="minorHAnsi"/>
                <w:i/>
                <w:sz w:val="20"/>
                <w:szCs w:val="20"/>
              </w:rPr>
              <w:t xml:space="preserve">Sector Capacity Development </w:t>
            </w:r>
          </w:p>
        </w:tc>
        <w:tc>
          <w:tcPr>
            <w:tcW w:w="686" w:type="pct"/>
          </w:tcPr>
          <w:p w:rsidR="002D4F55" w:rsidRPr="00DB50B6" w:rsidRDefault="00527378" w:rsidP="00004F3D">
            <w:pPr>
              <w:jc w:val="right"/>
              <w:rPr>
                <w:i/>
                <w:sz w:val="20"/>
                <w:szCs w:val="20"/>
              </w:rPr>
            </w:pPr>
            <w:r>
              <w:rPr>
                <w:i/>
                <w:sz w:val="20"/>
                <w:szCs w:val="20"/>
              </w:rPr>
              <w:t>575 003</w:t>
            </w:r>
          </w:p>
        </w:tc>
        <w:tc>
          <w:tcPr>
            <w:tcW w:w="605" w:type="pct"/>
            <w:shd w:val="clear" w:color="auto" w:fill="F2F8EE"/>
          </w:tcPr>
          <w:p w:rsidR="002D4F55" w:rsidRPr="00DB50B6" w:rsidRDefault="00296F17">
            <w:pPr>
              <w:jc w:val="right"/>
              <w:rPr>
                <w:rFonts w:eastAsiaTheme="minorHAnsi"/>
                <w:i/>
                <w:sz w:val="20"/>
                <w:szCs w:val="20"/>
              </w:rPr>
            </w:pPr>
            <w:r>
              <w:rPr>
                <w:i/>
                <w:sz w:val="20"/>
                <w:szCs w:val="20"/>
              </w:rPr>
              <w:t>573 977</w:t>
            </w:r>
          </w:p>
        </w:tc>
        <w:tc>
          <w:tcPr>
            <w:tcW w:w="627" w:type="pct"/>
          </w:tcPr>
          <w:p w:rsidR="002D4F55" w:rsidRPr="00DB50B6" w:rsidRDefault="00527378">
            <w:pPr>
              <w:jc w:val="right"/>
              <w:rPr>
                <w:rFonts w:eastAsiaTheme="minorHAnsi"/>
                <w:i/>
                <w:sz w:val="20"/>
                <w:szCs w:val="20"/>
              </w:rPr>
            </w:pPr>
            <w:r>
              <w:rPr>
                <w:i/>
                <w:sz w:val="20"/>
                <w:szCs w:val="20"/>
              </w:rPr>
              <w:t>552 725</w:t>
            </w:r>
          </w:p>
        </w:tc>
        <w:tc>
          <w:tcPr>
            <w:tcW w:w="657" w:type="pct"/>
          </w:tcPr>
          <w:p w:rsidR="002D4F55" w:rsidRPr="00DB50B6" w:rsidRDefault="00527378">
            <w:pPr>
              <w:jc w:val="right"/>
              <w:rPr>
                <w:rFonts w:eastAsiaTheme="minorHAnsi"/>
                <w:i/>
                <w:sz w:val="20"/>
                <w:szCs w:val="20"/>
              </w:rPr>
            </w:pPr>
            <w:r>
              <w:rPr>
                <w:i/>
                <w:sz w:val="20"/>
                <w:szCs w:val="20"/>
              </w:rPr>
              <w:t>580 650</w:t>
            </w:r>
          </w:p>
        </w:tc>
      </w:tr>
      <w:tr w:rsidR="002D4F55" w:rsidRPr="00701A22" w:rsidTr="00206AAE">
        <w:trPr>
          <w:trHeight w:val="264"/>
        </w:trPr>
        <w:tc>
          <w:tcPr>
            <w:tcW w:w="2425" w:type="pct"/>
            <w:hideMark/>
          </w:tcPr>
          <w:p w:rsidR="002D4F55" w:rsidRPr="00DB50B6" w:rsidRDefault="002D4F55">
            <w:pPr>
              <w:jc w:val="right"/>
              <w:rPr>
                <w:rFonts w:eastAsiaTheme="minorHAnsi"/>
                <w:i/>
                <w:sz w:val="20"/>
                <w:szCs w:val="20"/>
              </w:rPr>
            </w:pPr>
            <w:r w:rsidRPr="00DB50B6">
              <w:rPr>
                <w:rFonts w:eastAsiaTheme="minorHAnsi"/>
                <w:i/>
                <w:sz w:val="20"/>
                <w:szCs w:val="20"/>
              </w:rPr>
              <w:t xml:space="preserve"> </w:t>
            </w:r>
            <w:r w:rsidR="00DC0E90">
              <w:rPr>
                <w:rFonts w:eastAsiaTheme="minorHAnsi"/>
                <w:i/>
                <w:sz w:val="20"/>
                <w:szCs w:val="20"/>
              </w:rPr>
              <w:t>Land Dev &amp; Post Settlement</w:t>
            </w:r>
            <w:r w:rsidRPr="00DB50B6">
              <w:rPr>
                <w:rFonts w:eastAsiaTheme="minorHAnsi"/>
                <w:i/>
                <w:sz w:val="20"/>
                <w:szCs w:val="20"/>
              </w:rPr>
              <w:t xml:space="preserve"> Support  </w:t>
            </w:r>
          </w:p>
        </w:tc>
        <w:tc>
          <w:tcPr>
            <w:tcW w:w="686" w:type="pct"/>
          </w:tcPr>
          <w:p w:rsidR="002D4F55" w:rsidRPr="00DB50B6" w:rsidRDefault="00527378" w:rsidP="00004F3D">
            <w:pPr>
              <w:jc w:val="right"/>
              <w:rPr>
                <w:i/>
                <w:sz w:val="20"/>
                <w:szCs w:val="20"/>
              </w:rPr>
            </w:pPr>
            <w:r>
              <w:rPr>
                <w:i/>
                <w:sz w:val="20"/>
                <w:szCs w:val="20"/>
              </w:rPr>
              <w:t>612 564</w:t>
            </w:r>
          </w:p>
        </w:tc>
        <w:tc>
          <w:tcPr>
            <w:tcW w:w="605" w:type="pct"/>
            <w:shd w:val="clear" w:color="auto" w:fill="F2F8EE"/>
          </w:tcPr>
          <w:p w:rsidR="002D4F55" w:rsidRPr="00DB50B6" w:rsidRDefault="00296F17">
            <w:pPr>
              <w:jc w:val="right"/>
              <w:rPr>
                <w:rFonts w:eastAsiaTheme="minorHAnsi"/>
                <w:i/>
                <w:sz w:val="20"/>
                <w:szCs w:val="20"/>
              </w:rPr>
            </w:pPr>
            <w:r>
              <w:rPr>
                <w:i/>
                <w:sz w:val="20"/>
                <w:szCs w:val="20"/>
              </w:rPr>
              <w:t>626 292</w:t>
            </w:r>
          </w:p>
        </w:tc>
        <w:tc>
          <w:tcPr>
            <w:tcW w:w="627" w:type="pct"/>
          </w:tcPr>
          <w:p w:rsidR="002D4F55" w:rsidRPr="00DB50B6" w:rsidRDefault="00527378">
            <w:pPr>
              <w:jc w:val="right"/>
              <w:rPr>
                <w:rFonts w:eastAsiaTheme="minorHAnsi"/>
                <w:i/>
                <w:sz w:val="20"/>
                <w:szCs w:val="20"/>
              </w:rPr>
            </w:pPr>
            <w:r>
              <w:rPr>
                <w:i/>
                <w:sz w:val="20"/>
                <w:szCs w:val="20"/>
              </w:rPr>
              <w:t>636 190</w:t>
            </w:r>
          </w:p>
        </w:tc>
        <w:tc>
          <w:tcPr>
            <w:tcW w:w="657" w:type="pct"/>
          </w:tcPr>
          <w:p w:rsidR="002D4F55" w:rsidRPr="00DB50B6" w:rsidRDefault="00527378">
            <w:pPr>
              <w:jc w:val="right"/>
              <w:rPr>
                <w:rFonts w:eastAsiaTheme="minorHAnsi"/>
                <w:i/>
                <w:sz w:val="20"/>
                <w:szCs w:val="20"/>
              </w:rPr>
            </w:pPr>
            <w:r>
              <w:rPr>
                <w:i/>
                <w:sz w:val="20"/>
                <w:szCs w:val="20"/>
              </w:rPr>
              <w:t>664 761</w:t>
            </w:r>
          </w:p>
        </w:tc>
      </w:tr>
      <w:tr w:rsidR="00DC0E90" w:rsidRPr="00701A22" w:rsidTr="00206AAE">
        <w:trPr>
          <w:trHeight w:val="264"/>
        </w:trPr>
        <w:tc>
          <w:tcPr>
            <w:tcW w:w="2425" w:type="pct"/>
          </w:tcPr>
          <w:p w:rsidR="00DC0E90" w:rsidRPr="00DB50B6" w:rsidRDefault="00DC0E90">
            <w:pPr>
              <w:jc w:val="right"/>
              <w:rPr>
                <w:rFonts w:eastAsiaTheme="minorHAnsi"/>
                <w:i/>
                <w:sz w:val="20"/>
                <w:szCs w:val="20"/>
              </w:rPr>
            </w:pPr>
            <w:r>
              <w:rPr>
                <w:rFonts w:eastAsiaTheme="minorHAnsi"/>
                <w:i/>
                <w:sz w:val="20"/>
                <w:szCs w:val="20"/>
              </w:rPr>
              <w:t>Commission on Restitution of Land Rights</w:t>
            </w:r>
          </w:p>
        </w:tc>
        <w:tc>
          <w:tcPr>
            <w:tcW w:w="686" w:type="pct"/>
          </w:tcPr>
          <w:p w:rsidR="00DC0E90" w:rsidDel="00DC0E90" w:rsidRDefault="00527378" w:rsidP="00004F3D">
            <w:pPr>
              <w:jc w:val="right"/>
              <w:rPr>
                <w:i/>
                <w:sz w:val="20"/>
                <w:szCs w:val="20"/>
              </w:rPr>
            </w:pPr>
            <w:r>
              <w:rPr>
                <w:i/>
                <w:sz w:val="20"/>
                <w:szCs w:val="20"/>
              </w:rPr>
              <w:t>-</w:t>
            </w:r>
          </w:p>
        </w:tc>
        <w:tc>
          <w:tcPr>
            <w:tcW w:w="605" w:type="pct"/>
            <w:shd w:val="clear" w:color="auto" w:fill="F2F8EE"/>
          </w:tcPr>
          <w:p w:rsidR="00DC0E90" w:rsidRPr="00DB50B6" w:rsidDel="00DC0E90" w:rsidRDefault="00DC0E90">
            <w:pPr>
              <w:jc w:val="right"/>
              <w:rPr>
                <w:i/>
                <w:sz w:val="20"/>
                <w:szCs w:val="20"/>
              </w:rPr>
            </w:pPr>
            <w:r>
              <w:rPr>
                <w:i/>
                <w:sz w:val="20"/>
                <w:szCs w:val="20"/>
              </w:rPr>
              <w:t>20 680</w:t>
            </w:r>
          </w:p>
        </w:tc>
        <w:tc>
          <w:tcPr>
            <w:tcW w:w="627" w:type="pct"/>
          </w:tcPr>
          <w:p w:rsidR="00DC0E90" w:rsidRPr="00DB50B6" w:rsidDel="00DC0E90" w:rsidRDefault="00527378">
            <w:pPr>
              <w:jc w:val="right"/>
              <w:rPr>
                <w:i/>
                <w:sz w:val="20"/>
                <w:szCs w:val="20"/>
              </w:rPr>
            </w:pPr>
            <w:r>
              <w:rPr>
                <w:i/>
                <w:sz w:val="20"/>
                <w:szCs w:val="20"/>
              </w:rPr>
              <w:t>18 371</w:t>
            </w:r>
          </w:p>
        </w:tc>
        <w:tc>
          <w:tcPr>
            <w:tcW w:w="657" w:type="pct"/>
          </w:tcPr>
          <w:p w:rsidR="00DC0E90" w:rsidRPr="00DB50B6" w:rsidDel="00DC0E90" w:rsidRDefault="00527378">
            <w:pPr>
              <w:jc w:val="right"/>
              <w:rPr>
                <w:i/>
                <w:sz w:val="20"/>
                <w:szCs w:val="20"/>
              </w:rPr>
            </w:pPr>
            <w:r>
              <w:rPr>
                <w:i/>
                <w:sz w:val="20"/>
                <w:szCs w:val="20"/>
              </w:rPr>
              <w:t>17 665</w:t>
            </w:r>
          </w:p>
        </w:tc>
      </w:tr>
      <w:tr w:rsidR="002D4F55" w:rsidRPr="00701A22" w:rsidTr="00206AAE">
        <w:trPr>
          <w:trHeight w:val="264"/>
        </w:trPr>
        <w:tc>
          <w:tcPr>
            <w:tcW w:w="2425" w:type="pct"/>
            <w:hideMark/>
          </w:tcPr>
          <w:p w:rsidR="002D4F55" w:rsidRPr="00DB50B6" w:rsidRDefault="002D4F55" w:rsidP="002D4F55">
            <w:pPr>
              <w:jc w:val="right"/>
              <w:rPr>
                <w:rFonts w:eastAsiaTheme="minorHAnsi"/>
                <w:i/>
                <w:sz w:val="20"/>
                <w:szCs w:val="20"/>
              </w:rPr>
            </w:pPr>
            <w:r w:rsidRPr="00DB50B6">
              <w:rPr>
                <w:rFonts w:eastAsiaTheme="minorHAnsi"/>
                <w:i/>
                <w:sz w:val="20"/>
                <w:szCs w:val="20"/>
              </w:rPr>
              <w:t xml:space="preserve"> Restitution</w:t>
            </w:r>
          </w:p>
        </w:tc>
        <w:tc>
          <w:tcPr>
            <w:tcW w:w="686" w:type="pct"/>
          </w:tcPr>
          <w:p w:rsidR="002D4F55" w:rsidRPr="00DB50B6" w:rsidRDefault="00B67E78" w:rsidP="00004F3D">
            <w:pPr>
              <w:jc w:val="right"/>
              <w:rPr>
                <w:i/>
                <w:sz w:val="20"/>
                <w:szCs w:val="20"/>
              </w:rPr>
            </w:pPr>
            <w:r>
              <w:rPr>
                <w:i/>
                <w:sz w:val="20"/>
                <w:szCs w:val="20"/>
              </w:rPr>
              <w:t>3 506 150</w:t>
            </w:r>
          </w:p>
        </w:tc>
        <w:tc>
          <w:tcPr>
            <w:tcW w:w="605" w:type="pct"/>
            <w:shd w:val="clear" w:color="auto" w:fill="F2F8EE"/>
          </w:tcPr>
          <w:p w:rsidR="002D4F55" w:rsidRPr="00DB50B6" w:rsidRDefault="00DC0E90">
            <w:pPr>
              <w:jc w:val="right"/>
              <w:rPr>
                <w:rFonts w:eastAsiaTheme="minorHAnsi"/>
                <w:i/>
                <w:sz w:val="20"/>
                <w:szCs w:val="20"/>
              </w:rPr>
            </w:pPr>
            <w:r>
              <w:rPr>
                <w:i/>
                <w:sz w:val="20"/>
                <w:szCs w:val="20"/>
              </w:rPr>
              <w:t>3 664 440</w:t>
            </w:r>
          </w:p>
        </w:tc>
        <w:tc>
          <w:tcPr>
            <w:tcW w:w="627" w:type="pct"/>
          </w:tcPr>
          <w:p w:rsidR="002D4F55" w:rsidRPr="00DB50B6" w:rsidRDefault="00B67E78">
            <w:pPr>
              <w:jc w:val="right"/>
              <w:rPr>
                <w:rFonts w:eastAsiaTheme="minorHAnsi"/>
                <w:i/>
                <w:sz w:val="20"/>
                <w:szCs w:val="20"/>
              </w:rPr>
            </w:pPr>
            <w:r>
              <w:rPr>
                <w:i/>
                <w:sz w:val="20"/>
                <w:szCs w:val="20"/>
              </w:rPr>
              <w:t>3 794 184</w:t>
            </w:r>
          </w:p>
        </w:tc>
        <w:tc>
          <w:tcPr>
            <w:tcW w:w="657" w:type="pct"/>
          </w:tcPr>
          <w:p w:rsidR="002D4F55" w:rsidRPr="00DB50B6" w:rsidRDefault="00B67E78">
            <w:pPr>
              <w:jc w:val="right"/>
              <w:rPr>
                <w:rFonts w:eastAsiaTheme="minorHAnsi"/>
                <w:i/>
                <w:sz w:val="20"/>
                <w:szCs w:val="20"/>
              </w:rPr>
            </w:pPr>
            <w:r>
              <w:rPr>
                <w:i/>
                <w:sz w:val="20"/>
                <w:szCs w:val="20"/>
              </w:rPr>
              <w:t>3 989 837</w:t>
            </w:r>
          </w:p>
        </w:tc>
      </w:tr>
      <w:tr w:rsidR="002D4F55" w:rsidRPr="00701A22" w:rsidTr="00206AAE">
        <w:trPr>
          <w:trHeight w:val="264"/>
        </w:trPr>
        <w:tc>
          <w:tcPr>
            <w:tcW w:w="2425" w:type="pct"/>
          </w:tcPr>
          <w:p w:rsidR="002D4F55" w:rsidRPr="00DB50B6" w:rsidRDefault="002D4F55" w:rsidP="002D4F55">
            <w:pPr>
              <w:jc w:val="right"/>
              <w:rPr>
                <w:rFonts w:eastAsiaTheme="minorHAnsi"/>
                <w:i/>
                <w:sz w:val="20"/>
                <w:szCs w:val="20"/>
              </w:rPr>
            </w:pPr>
            <w:r w:rsidRPr="00DB50B6">
              <w:rPr>
                <w:rFonts w:eastAsiaTheme="minorHAnsi"/>
                <w:i/>
                <w:sz w:val="20"/>
                <w:szCs w:val="20"/>
              </w:rPr>
              <w:t>Agricultural Land Holdings Account</w:t>
            </w:r>
          </w:p>
        </w:tc>
        <w:tc>
          <w:tcPr>
            <w:tcW w:w="686" w:type="pct"/>
          </w:tcPr>
          <w:p w:rsidR="002D4F55" w:rsidRPr="00DB50B6" w:rsidRDefault="00B67E78" w:rsidP="00004F3D">
            <w:pPr>
              <w:jc w:val="right"/>
              <w:rPr>
                <w:i/>
                <w:sz w:val="20"/>
                <w:szCs w:val="20"/>
              </w:rPr>
            </w:pPr>
            <w:r>
              <w:rPr>
                <w:i/>
                <w:sz w:val="20"/>
                <w:szCs w:val="20"/>
              </w:rPr>
              <w:t>937 986</w:t>
            </w:r>
          </w:p>
        </w:tc>
        <w:tc>
          <w:tcPr>
            <w:tcW w:w="605" w:type="pct"/>
            <w:shd w:val="clear" w:color="auto" w:fill="F2F8EE"/>
          </w:tcPr>
          <w:p w:rsidR="002D4F55" w:rsidRPr="00DB50B6" w:rsidRDefault="003261F6">
            <w:pPr>
              <w:jc w:val="right"/>
              <w:rPr>
                <w:i/>
                <w:sz w:val="20"/>
                <w:szCs w:val="20"/>
              </w:rPr>
            </w:pPr>
            <w:r>
              <w:rPr>
                <w:i/>
                <w:sz w:val="20"/>
                <w:szCs w:val="20"/>
              </w:rPr>
              <w:t>965 860</w:t>
            </w:r>
          </w:p>
        </w:tc>
        <w:tc>
          <w:tcPr>
            <w:tcW w:w="627" w:type="pct"/>
          </w:tcPr>
          <w:p w:rsidR="002D4F55" w:rsidRPr="00DB50B6" w:rsidRDefault="00B67E78">
            <w:pPr>
              <w:jc w:val="right"/>
              <w:rPr>
                <w:i/>
                <w:sz w:val="20"/>
                <w:szCs w:val="20"/>
              </w:rPr>
            </w:pPr>
            <w:r>
              <w:rPr>
                <w:i/>
                <w:sz w:val="20"/>
                <w:szCs w:val="20"/>
              </w:rPr>
              <w:t>984 942</w:t>
            </w:r>
          </w:p>
        </w:tc>
        <w:tc>
          <w:tcPr>
            <w:tcW w:w="657" w:type="pct"/>
          </w:tcPr>
          <w:p w:rsidR="002D4F55" w:rsidRPr="00DB50B6" w:rsidRDefault="00B67E78">
            <w:pPr>
              <w:jc w:val="right"/>
              <w:rPr>
                <w:i/>
                <w:sz w:val="20"/>
                <w:szCs w:val="20"/>
              </w:rPr>
            </w:pPr>
            <w:r>
              <w:rPr>
                <w:i/>
                <w:sz w:val="20"/>
                <w:szCs w:val="20"/>
              </w:rPr>
              <w:t>1 029 175</w:t>
            </w:r>
          </w:p>
        </w:tc>
      </w:tr>
      <w:tr w:rsidR="002D4F55" w:rsidRPr="00701A22" w:rsidTr="00206AAE">
        <w:trPr>
          <w:trHeight w:val="264"/>
        </w:trPr>
        <w:tc>
          <w:tcPr>
            <w:tcW w:w="2425" w:type="pct"/>
          </w:tcPr>
          <w:p w:rsidR="002D4F55" w:rsidRPr="00DB50B6" w:rsidRDefault="002D4F55" w:rsidP="002D4F55">
            <w:pPr>
              <w:jc w:val="right"/>
              <w:rPr>
                <w:rFonts w:eastAsiaTheme="minorHAnsi"/>
                <w:i/>
                <w:sz w:val="20"/>
                <w:szCs w:val="20"/>
              </w:rPr>
            </w:pPr>
            <w:r w:rsidRPr="00DB50B6">
              <w:rPr>
                <w:rFonts w:eastAsiaTheme="minorHAnsi"/>
                <w:i/>
                <w:sz w:val="20"/>
                <w:szCs w:val="20"/>
              </w:rPr>
              <w:t>Ingonyama Trust Board</w:t>
            </w:r>
          </w:p>
        </w:tc>
        <w:tc>
          <w:tcPr>
            <w:tcW w:w="686" w:type="pct"/>
          </w:tcPr>
          <w:p w:rsidR="002D4F55" w:rsidRPr="00DB50B6" w:rsidRDefault="00B67E78" w:rsidP="00004F3D">
            <w:pPr>
              <w:jc w:val="right"/>
              <w:rPr>
                <w:i/>
                <w:sz w:val="20"/>
                <w:szCs w:val="20"/>
              </w:rPr>
            </w:pPr>
            <w:r>
              <w:rPr>
                <w:i/>
                <w:sz w:val="20"/>
                <w:szCs w:val="20"/>
              </w:rPr>
              <w:t>23 517</w:t>
            </w:r>
          </w:p>
        </w:tc>
        <w:tc>
          <w:tcPr>
            <w:tcW w:w="605" w:type="pct"/>
            <w:shd w:val="clear" w:color="auto" w:fill="F2F8EE"/>
          </w:tcPr>
          <w:p w:rsidR="002D4F55" w:rsidRPr="00DB50B6" w:rsidRDefault="003261F6">
            <w:pPr>
              <w:jc w:val="right"/>
              <w:rPr>
                <w:i/>
                <w:sz w:val="20"/>
                <w:szCs w:val="20"/>
              </w:rPr>
            </w:pPr>
            <w:r>
              <w:rPr>
                <w:i/>
                <w:sz w:val="20"/>
                <w:szCs w:val="20"/>
              </w:rPr>
              <w:t>24 391</w:t>
            </w:r>
          </w:p>
        </w:tc>
        <w:tc>
          <w:tcPr>
            <w:tcW w:w="627" w:type="pct"/>
          </w:tcPr>
          <w:p w:rsidR="002D4F55" w:rsidRPr="00DB50B6" w:rsidRDefault="00B67E78">
            <w:pPr>
              <w:jc w:val="right"/>
              <w:rPr>
                <w:i/>
                <w:sz w:val="20"/>
                <w:szCs w:val="20"/>
              </w:rPr>
            </w:pPr>
            <w:r>
              <w:rPr>
                <w:i/>
                <w:sz w:val="20"/>
                <w:szCs w:val="20"/>
              </w:rPr>
              <w:t>23 781</w:t>
            </w:r>
          </w:p>
        </w:tc>
        <w:tc>
          <w:tcPr>
            <w:tcW w:w="657" w:type="pct"/>
          </w:tcPr>
          <w:p w:rsidR="002D4F55" w:rsidRPr="00DB50B6" w:rsidRDefault="00B67E78">
            <w:pPr>
              <w:jc w:val="right"/>
              <w:rPr>
                <w:i/>
                <w:sz w:val="20"/>
                <w:szCs w:val="20"/>
              </w:rPr>
            </w:pPr>
            <w:r>
              <w:rPr>
                <w:i/>
                <w:sz w:val="20"/>
                <w:szCs w:val="20"/>
              </w:rPr>
              <w:t>24 849</w:t>
            </w:r>
          </w:p>
        </w:tc>
      </w:tr>
      <w:tr w:rsidR="002D4F55" w:rsidRPr="00701A22" w:rsidTr="00206AAE">
        <w:trPr>
          <w:trHeight w:val="264"/>
        </w:trPr>
        <w:tc>
          <w:tcPr>
            <w:tcW w:w="2425" w:type="pct"/>
            <w:hideMark/>
          </w:tcPr>
          <w:p w:rsidR="002D4F55" w:rsidRPr="00DB50B6" w:rsidRDefault="002D4F55" w:rsidP="002D4F55">
            <w:pPr>
              <w:jc w:val="right"/>
              <w:rPr>
                <w:rFonts w:eastAsiaTheme="minorHAnsi"/>
                <w:i/>
                <w:sz w:val="20"/>
                <w:szCs w:val="20"/>
              </w:rPr>
            </w:pPr>
            <w:r w:rsidRPr="00DB50B6">
              <w:rPr>
                <w:rFonts w:eastAsiaTheme="minorHAnsi"/>
                <w:i/>
                <w:sz w:val="20"/>
                <w:szCs w:val="20"/>
              </w:rPr>
              <w:t xml:space="preserve">Office of the Valuer-General </w:t>
            </w:r>
          </w:p>
        </w:tc>
        <w:tc>
          <w:tcPr>
            <w:tcW w:w="686" w:type="pct"/>
          </w:tcPr>
          <w:p w:rsidR="002D4F55" w:rsidRPr="00DB50B6" w:rsidRDefault="00B67E78" w:rsidP="00004F3D">
            <w:pPr>
              <w:jc w:val="right"/>
              <w:rPr>
                <w:i/>
                <w:sz w:val="20"/>
                <w:szCs w:val="20"/>
              </w:rPr>
            </w:pPr>
            <w:r>
              <w:rPr>
                <w:i/>
                <w:sz w:val="20"/>
                <w:szCs w:val="20"/>
              </w:rPr>
              <w:t>131 844</w:t>
            </w:r>
          </w:p>
        </w:tc>
        <w:tc>
          <w:tcPr>
            <w:tcW w:w="605" w:type="pct"/>
            <w:shd w:val="clear" w:color="auto" w:fill="F2F8EE"/>
          </w:tcPr>
          <w:p w:rsidR="002D4F55" w:rsidRPr="00DB50B6" w:rsidRDefault="003261F6">
            <w:pPr>
              <w:jc w:val="right"/>
              <w:rPr>
                <w:rFonts w:eastAsiaTheme="minorHAnsi"/>
                <w:i/>
                <w:sz w:val="20"/>
                <w:szCs w:val="20"/>
              </w:rPr>
            </w:pPr>
            <w:r>
              <w:rPr>
                <w:i/>
                <w:sz w:val="20"/>
                <w:szCs w:val="20"/>
              </w:rPr>
              <w:t>107 171</w:t>
            </w:r>
          </w:p>
        </w:tc>
        <w:tc>
          <w:tcPr>
            <w:tcW w:w="627" w:type="pct"/>
          </w:tcPr>
          <w:p w:rsidR="002D4F55" w:rsidRPr="00DB50B6" w:rsidRDefault="00B67E78">
            <w:pPr>
              <w:jc w:val="right"/>
              <w:rPr>
                <w:rFonts w:eastAsiaTheme="minorHAnsi"/>
                <w:i/>
                <w:sz w:val="20"/>
                <w:szCs w:val="20"/>
              </w:rPr>
            </w:pPr>
            <w:r>
              <w:rPr>
                <w:i/>
                <w:sz w:val="20"/>
                <w:szCs w:val="20"/>
              </w:rPr>
              <w:t>155 271</w:t>
            </w:r>
          </w:p>
        </w:tc>
        <w:tc>
          <w:tcPr>
            <w:tcW w:w="657" w:type="pct"/>
          </w:tcPr>
          <w:p w:rsidR="002D4F55" w:rsidRPr="00DB50B6" w:rsidRDefault="00B67E78">
            <w:pPr>
              <w:jc w:val="right"/>
              <w:rPr>
                <w:rFonts w:eastAsiaTheme="minorHAnsi"/>
                <w:i/>
                <w:sz w:val="20"/>
                <w:szCs w:val="20"/>
              </w:rPr>
            </w:pPr>
            <w:r>
              <w:rPr>
                <w:i/>
                <w:sz w:val="20"/>
                <w:szCs w:val="20"/>
              </w:rPr>
              <w:t>162 244</w:t>
            </w:r>
          </w:p>
        </w:tc>
      </w:tr>
      <w:tr w:rsidR="002D4F55" w:rsidRPr="00701A22" w:rsidTr="00206AAE">
        <w:trPr>
          <w:trHeight w:val="264"/>
        </w:trPr>
        <w:tc>
          <w:tcPr>
            <w:tcW w:w="2425" w:type="pct"/>
            <w:shd w:val="clear" w:color="auto" w:fill="E2EFD9" w:themeFill="accent6" w:themeFillTint="33"/>
            <w:hideMark/>
          </w:tcPr>
          <w:p w:rsidR="002D4F55" w:rsidRPr="00DB50B6" w:rsidRDefault="002D4F55" w:rsidP="002D4F55">
            <w:pPr>
              <w:jc w:val="both"/>
              <w:rPr>
                <w:rFonts w:eastAsiaTheme="minorHAnsi"/>
                <w:sz w:val="20"/>
                <w:szCs w:val="20"/>
              </w:rPr>
            </w:pPr>
            <w:r w:rsidRPr="00DB50B6">
              <w:rPr>
                <w:rFonts w:eastAsiaTheme="minorHAnsi"/>
                <w:b/>
                <w:bCs/>
                <w:sz w:val="20"/>
                <w:szCs w:val="20"/>
              </w:rPr>
              <w:t xml:space="preserve"> 4. Rural Development </w:t>
            </w:r>
          </w:p>
        </w:tc>
        <w:tc>
          <w:tcPr>
            <w:tcW w:w="686" w:type="pct"/>
            <w:shd w:val="clear" w:color="auto" w:fill="E2EFD9" w:themeFill="accent6" w:themeFillTint="33"/>
          </w:tcPr>
          <w:p w:rsidR="002D4F55" w:rsidRPr="00DB50B6" w:rsidRDefault="002425D1" w:rsidP="00004F3D">
            <w:pPr>
              <w:pStyle w:val="Default"/>
              <w:jc w:val="right"/>
              <w:rPr>
                <w:b/>
                <w:bCs/>
                <w:sz w:val="20"/>
                <w:szCs w:val="20"/>
              </w:rPr>
            </w:pPr>
            <w:r>
              <w:rPr>
                <w:rFonts w:ascii="Times New Roman" w:hAnsi="Times New Roman" w:cs="Times New Roman"/>
                <w:b/>
                <w:bCs/>
                <w:i/>
                <w:sz w:val="20"/>
                <w:szCs w:val="20"/>
              </w:rPr>
              <w:t>1 077 756</w:t>
            </w:r>
          </w:p>
        </w:tc>
        <w:tc>
          <w:tcPr>
            <w:tcW w:w="605" w:type="pct"/>
            <w:shd w:val="clear" w:color="auto" w:fill="E2EFD9" w:themeFill="accent6" w:themeFillTint="33"/>
          </w:tcPr>
          <w:p w:rsidR="002D4F55" w:rsidRPr="00DB50B6" w:rsidRDefault="00DC0E90" w:rsidP="00004F3D">
            <w:pPr>
              <w:jc w:val="right"/>
              <w:rPr>
                <w:rFonts w:eastAsiaTheme="minorHAnsi"/>
                <w:sz w:val="20"/>
                <w:szCs w:val="20"/>
              </w:rPr>
            </w:pPr>
            <w:r>
              <w:rPr>
                <w:b/>
                <w:bCs/>
                <w:sz w:val="20"/>
                <w:szCs w:val="20"/>
              </w:rPr>
              <w:t>821 384</w:t>
            </w:r>
          </w:p>
        </w:tc>
        <w:tc>
          <w:tcPr>
            <w:tcW w:w="627" w:type="pct"/>
            <w:shd w:val="clear" w:color="auto" w:fill="E2EFD9" w:themeFill="accent6" w:themeFillTint="33"/>
          </w:tcPr>
          <w:p w:rsidR="002D4F55" w:rsidRPr="00DB50B6" w:rsidRDefault="002425D1" w:rsidP="00004F3D">
            <w:pPr>
              <w:jc w:val="right"/>
              <w:rPr>
                <w:rFonts w:eastAsiaTheme="minorHAnsi"/>
                <w:sz w:val="20"/>
                <w:szCs w:val="20"/>
              </w:rPr>
            </w:pPr>
            <w:r>
              <w:rPr>
                <w:b/>
                <w:bCs/>
                <w:sz w:val="20"/>
                <w:szCs w:val="20"/>
              </w:rPr>
              <w:t>843 389</w:t>
            </w:r>
          </w:p>
        </w:tc>
        <w:tc>
          <w:tcPr>
            <w:tcW w:w="657" w:type="pct"/>
            <w:shd w:val="clear" w:color="auto" w:fill="E2EFD9" w:themeFill="accent6" w:themeFillTint="33"/>
          </w:tcPr>
          <w:p w:rsidR="002D4F55" w:rsidRPr="00DB50B6" w:rsidRDefault="002425D1" w:rsidP="00004F3D">
            <w:pPr>
              <w:jc w:val="right"/>
              <w:rPr>
                <w:rFonts w:eastAsiaTheme="minorHAnsi"/>
                <w:sz w:val="20"/>
                <w:szCs w:val="20"/>
              </w:rPr>
            </w:pPr>
            <w:r>
              <w:rPr>
                <w:b/>
                <w:bCs/>
                <w:sz w:val="20"/>
                <w:szCs w:val="20"/>
              </w:rPr>
              <w:t>883 703</w:t>
            </w:r>
          </w:p>
        </w:tc>
      </w:tr>
      <w:tr w:rsidR="00965190" w:rsidRPr="00701A22" w:rsidTr="00206AAE">
        <w:trPr>
          <w:trHeight w:val="264"/>
        </w:trPr>
        <w:tc>
          <w:tcPr>
            <w:tcW w:w="2425" w:type="pct"/>
            <w:hideMark/>
          </w:tcPr>
          <w:p w:rsidR="00965190" w:rsidRPr="00DB50B6" w:rsidRDefault="00965190" w:rsidP="00965190">
            <w:pPr>
              <w:jc w:val="right"/>
              <w:rPr>
                <w:rFonts w:eastAsiaTheme="minorHAnsi"/>
                <w:i/>
                <w:sz w:val="20"/>
                <w:szCs w:val="20"/>
              </w:rPr>
            </w:pPr>
            <w:r w:rsidRPr="00DB50B6">
              <w:rPr>
                <w:rFonts w:eastAsiaTheme="minorHAnsi"/>
                <w:i/>
                <w:sz w:val="20"/>
                <w:szCs w:val="20"/>
              </w:rPr>
              <w:t xml:space="preserve"> National Rural Youth Service Corps (NARYSEC) </w:t>
            </w:r>
          </w:p>
        </w:tc>
        <w:tc>
          <w:tcPr>
            <w:tcW w:w="686" w:type="pct"/>
          </w:tcPr>
          <w:p w:rsidR="00965190" w:rsidRPr="00DB50B6" w:rsidRDefault="002425D1" w:rsidP="00004F3D">
            <w:pPr>
              <w:jc w:val="right"/>
              <w:rPr>
                <w:i/>
                <w:sz w:val="20"/>
                <w:szCs w:val="20"/>
              </w:rPr>
            </w:pPr>
            <w:r>
              <w:rPr>
                <w:i/>
                <w:sz w:val="20"/>
                <w:szCs w:val="20"/>
              </w:rPr>
              <w:t>220 440</w:t>
            </w:r>
          </w:p>
        </w:tc>
        <w:tc>
          <w:tcPr>
            <w:tcW w:w="605" w:type="pct"/>
            <w:shd w:val="clear" w:color="auto" w:fill="F2F8EE"/>
          </w:tcPr>
          <w:p w:rsidR="00965190" w:rsidRPr="00DB50B6" w:rsidRDefault="00DC0E90">
            <w:pPr>
              <w:jc w:val="right"/>
              <w:rPr>
                <w:rFonts w:eastAsiaTheme="minorHAnsi"/>
                <w:i/>
                <w:sz w:val="20"/>
                <w:szCs w:val="20"/>
              </w:rPr>
            </w:pPr>
            <w:r>
              <w:rPr>
                <w:i/>
                <w:sz w:val="20"/>
                <w:szCs w:val="20"/>
              </w:rPr>
              <w:t>129 116</w:t>
            </w:r>
          </w:p>
        </w:tc>
        <w:tc>
          <w:tcPr>
            <w:tcW w:w="627" w:type="pct"/>
          </w:tcPr>
          <w:p w:rsidR="00965190" w:rsidRPr="00DB50B6" w:rsidRDefault="002425D1">
            <w:pPr>
              <w:jc w:val="right"/>
              <w:rPr>
                <w:rFonts w:eastAsiaTheme="minorHAnsi"/>
                <w:i/>
                <w:sz w:val="20"/>
                <w:szCs w:val="20"/>
              </w:rPr>
            </w:pPr>
            <w:r>
              <w:rPr>
                <w:i/>
                <w:sz w:val="20"/>
                <w:szCs w:val="20"/>
              </w:rPr>
              <w:t>131 270</w:t>
            </w:r>
          </w:p>
        </w:tc>
        <w:tc>
          <w:tcPr>
            <w:tcW w:w="657" w:type="pct"/>
          </w:tcPr>
          <w:p w:rsidR="00965190" w:rsidRPr="00DB50B6" w:rsidRDefault="002425D1">
            <w:pPr>
              <w:jc w:val="right"/>
              <w:rPr>
                <w:rFonts w:eastAsiaTheme="minorHAnsi"/>
                <w:i/>
                <w:sz w:val="20"/>
                <w:szCs w:val="20"/>
              </w:rPr>
            </w:pPr>
            <w:r>
              <w:rPr>
                <w:i/>
                <w:sz w:val="20"/>
                <w:szCs w:val="20"/>
              </w:rPr>
              <w:t>139 066</w:t>
            </w:r>
          </w:p>
        </w:tc>
      </w:tr>
      <w:tr w:rsidR="00965190" w:rsidRPr="00701A22" w:rsidTr="00206AAE">
        <w:trPr>
          <w:trHeight w:val="264"/>
        </w:trPr>
        <w:tc>
          <w:tcPr>
            <w:tcW w:w="2425" w:type="pct"/>
            <w:hideMark/>
          </w:tcPr>
          <w:p w:rsidR="00965190" w:rsidRPr="00DB50B6" w:rsidRDefault="00965190" w:rsidP="00965190">
            <w:pPr>
              <w:jc w:val="right"/>
              <w:rPr>
                <w:rFonts w:eastAsiaTheme="minorHAnsi"/>
                <w:i/>
                <w:sz w:val="20"/>
                <w:szCs w:val="20"/>
              </w:rPr>
            </w:pPr>
            <w:r w:rsidRPr="00DB50B6">
              <w:rPr>
                <w:rFonts w:eastAsiaTheme="minorHAnsi"/>
                <w:i/>
                <w:sz w:val="20"/>
                <w:szCs w:val="20"/>
              </w:rPr>
              <w:t xml:space="preserve"> Rural Infrastructure Development </w:t>
            </w:r>
          </w:p>
        </w:tc>
        <w:tc>
          <w:tcPr>
            <w:tcW w:w="686" w:type="pct"/>
          </w:tcPr>
          <w:p w:rsidR="00965190" w:rsidRPr="00DB50B6" w:rsidRDefault="002425D1" w:rsidP="00004F3D">
            <w:pPr>
              <w:jc w:val="right"/>
              <w:rPr>
                <w:i/>
                <w:sz w:val="20"/>
                <w:szCs w:val="20"/>
              </w:rPr>
            </w:pPr>
            <w:r>
              <w:rPr>
                <w:i/>
                <w:sz w:val="20"/>
                <w:szCs w:val="20"/>
              </w:rPr>
              <w:t>831 164</w:t>
            </w:r>
          </w:p>
        </w:tc>
        <w:tc>
          <w:tcPr>
            <w:tcW w:w="605" w:type="pct"/>
            <w:shd w:val="clear" w:color="auto" w:fill="F2F8EE"/>
          </w:tcPr>
          <w:p w:rsidR="00965190" w:rsidRPr="00DB50B6" w:rsidRDefault="00DC0E90">
            <w:pPr>
              <w:jc w:val="right"/>
              <w:rPr>
                <w:rFonts w:eastAsiaTheme="minorHAnsi"/>
                <w:i/>
                <w:sz w:val="20"/>
                <w:szCs w:val="20"/>
              </w:rPr>
            </w:pPr>
            <w:r>
              <w:rPr>
                <w:i/>
                <w:sz w:val="20"/>
                <w:szCs w:val="20"/>
              </w:rPr>
              <w:t>677 810</w:t>
            </w:r>
          </w:p>
        </w:tc>
        <w:tc>
          <w:tcPr>
            <w:tcW w:w="627" w:type="pct"/>
          </w:tcPr>
          <w:p w:rsidR="00965190" w:rsidRPr="00DB50B6" w:rsidRDefault="002425D1">
            <w:pPr>
              <w:jc w:val="right"/>
              <w:rPr>
                <w:rFonts w:eastAsiaTheme="minorHAnsi"/>
                <w:i/>
                <w:sz w:val="20"/>
                <w:szCs w:val="20"/>
              </w:rPr>
            </w:pPr>
            <w:r>
              <w:rPr>
                <w:i/>
                <w:sz w:val="20"/>
                <w:szCs w:val="20"/>
              </w:rPr>
              <w:t>691 661</w:t>
            </w:r>
          </w:p>
        </w:tc>
        <w:tc>
          <w:tcPr>
            <w:tcW w:w="657" w:type="pct"/>
          </w:tcPr>
          <w:p w:rsidR="00965190" w:rsidRPr="00DB50B6" w:rsidRDefault="002425D1">
            <w:pPr>
              <w:jc w:val="right"/>
              <w:rPr>
                <w:rFonts w:eastAsiaTheme="minorHAnsi"/>
                <w:i/>
                <w:sz w:val="20"/>
                <w:szCs w:val="20"/>
              </w:rPr>
            </w:pPr>
            <w:r>
              <w:rPr>
                <w:i/>
                <w:sz w:val="20"/>
                <w:szCs w:val="20"/>
              </w:rPr>
              <w:t>722 976</w:t>
            </w:r>
          </w:p>
        </w:tc>
      </w:tr>
      <w:tr w:rsidR="00965190" w:rsidRPr="00701A22" w:rsidTr="00206AAE">
        <w:trPr>
          <w:trHeight w:val="264"/>
        </w:trPr>
        <w:tc>
          <w:tcPr>
            <w:tcW w:w="2425" w:type="pct"/>
            <w:hideMark/>
          </w:tcPr>
          <w:p w:rsidR="00965190" w:rsidRPr="00DB50B6" w:rsidRDefault="00965190" w:rsidP="00965190">
            <w:pPr>
              <w:jc w:val="right"/>
              <w:rPr>
                <w:rFonts w:eastAsiaTheme="minorHAnsi"/>
                <w:i/>
                <w:sz w:val="20"/>
                <w:szCs w:val="20"/>
              </w:rPr>
            </w:pPr>
            <w:r w:rsidRPr="00DB50B6">
              <w:rPr>
                <w:rFonts w:eastAsiaTheme="minorHAnsi"/>
                <w:i/>
                <w:sz w:val="20"/>
                <w:szCs w:val="20"/>
              </w:rPr>
              <w:t xml:space="preserve"> Technology Research and Development </w:t>
            </w:r>
          </w:p>
        </w:tc>
        <w:tc>
          <w:tcPr>
            <w:tcW w:w="686" w:type="pct"/>
          </w:tcPr>
          <w:p w:rsidR="00965190" w:rsidRPr="00004F3D" w:rsidRDefault="002425D1" w:rsidP="00004F3D">
            <w:pPr>
              <w:jc w:val="right"/>
              <w:rPr>
                <w:sz w:val="20"/>
                <w:szCs w:val="20"/>
              </w:rPr>
            </w:pPr>
            <w:r>
              <w:rPr>
                <w:sz w:val="20"/>
                <w:szCs w:val="20"/>
              </w:rPr>
              <w:t>26 152</w:t>
            </w:r>
          </w:p>
        </w:tc>
        <w:tc>
          <w:tcPr>
            <w:tcW w:w="605" w:type="pct"/>
            <w:shd w:val="clear" w:color="auto" w:fill="F2F8EE"/>
          </w:tcPr>
          <w:p w:rsidR="00965190" w:rsidRPr="00004F3D" w:rsidRDefault="00DC0E90">
            <w:pPr>
              <w:jc w:val="right"/>
              <w:rPr>
                <w:rFonts w:eastAsiaTheme="minorHAnsi"/>
                <w:sz w:val="20"/>
                <w:szCs w:val="20"/>
              </w:rPr>
            </w:pPr>
            <w:r w:rsidRPr="00004F3D">
              <w:rPr>
                <w:sz w:val="20"/>
                <w:szCs w:val="20"/>
              </w:rPr>
              <w:t>14 458</w:t>
            </w:r>
          </w:p>
        </w:tc>
        <w:tc>
          <w:tcPr>
            <w:tcW w:w="627" w:type="pct"/>
          </w:tcPr>
          <w:p w:rsidR="00965190" w:rsidRPr="00DB50B6" w:rsidRDefault="002425D1">
            <w:pPr>
              <w:jc w:val="right"/>
              <w:rPr>
                <w:rFonts w:eastAsiaTheme="minorHAnsi"/>
                <w:i/>
                <w:sz w:val="20"/>
                <w:szCs w:val="20"/>
              </w:rPr>
            </w:pPr>
            <w:r>
              <w:rPr>
                <w:i/>
                <w:sz w:val="20"/>
                <w:szCs w:val="20"/>
              </w:rPr>
              <w:t>20 458</w:t>
            </w:r>
          </w:p>
        </w:tc>
        <w:tc>
          <w:tcPr>
            <w:tcW w:w="657" w:type="pct"/>
          </w:tcPr>
          <w:p w:rsidR="00965190" w:rsidRPr="00DB50B6" w:rsidRDefault="002425D1">
            <w:pPr>
              <w:jc w:val="right"/>
              <w:rPr>
                <w:rFonts w:eastAsiaTheme="minorHAnsi"/>
                <w:i/>
                <w:sz w:val="20"/>
                <w:szCs w:val="20"/>
              </w:rPr>
            </w:pPr>
            <w:r>
              <w:rPr>
                <w:i/>
                <w:sz w:val="20"/>
                <w:szCs w:val="20"/>
              </w:rPr>
              <w:t>21 661</w:t>
            </w:r>
          </w:p>
        </w:tc>
      </w:tr>
      <w:tr w:rsidR="00965190" w:rsidRPr="00591BFC" w:rsidTr="00206AAE">
        <w:trPr>
          <w:trHeight w:val="264"/>
        </w:trPr>
        <w:tc>
          <w:tcPr>
            <w:tcW w:w="2425" w:type="pct"/>
            <w:shd w:val="clear" w:color="auto" w:fill="E2EFD9" w:themeFill="accent6" w:themeFillTint="33"/>
            <w:hideMark/>
          </w:tcPr>
          <w:p w:rsidR="00965190" w:rsidRPr="00591BFC" w:rsidRDefault="00965190" w:rsidP="00965190">
            <w:pPr>
              <w:jc w:val="both"/>
              <w:rPr>
                <w:rFonts w:eastAsiaTheme="minorHAnsi"/>
                <w:sz w:val="20"/>
                <w:szCs w:val="20"/>
              </w:rPr>
            </w:pPr>
            <w:r w:rsidRPr="00591BFC">
              <w:rPr>
                <w:rFonts w:eastAsiaTheme="minorHAnsi"/>
                <w:b/>
                <w:bCs/>
                <w:sz w:val="20"/>
                <w:szCs w:val="20"/>
              </w:rPr>
              <w:t xml:space="preserve"> 5. Economic Development, Trade </w:t>
            </w:r>
            <w:r>
              <w:rPr>
                <w:rFonts w:eastAsiaTheme="minorHAnsi"/>
                <w:b/>
                <w:bCs/>
                <w:sz w:val="20"/>
                <w:szCs w:val="20"/>
              </w:rPr>
              <w:t>&amp; M</w:t>
            </w:r>
            <w:r w:rsidRPr="00591BFC">
              <w:rPr>
                <w:rFonts w:eastAsiaTheme="minorHAnsi"/>
                <w:b/>
                <w:bCs/>
                <w:sz w:val="20"/>
                <w:szCs w:val="20"/>
              </w:rPr>
              <w:t xml:space="preserve">arketing </w:t>
            </w:r>
          </w:p>
        </w:tc>
        <w:tc>
          <w:tcPr>
            <w:tcW w:w="686" w:type="pct"/>
            <w:shd w:val="clear" w:color="auto" w:fill="E2EFD9" w:themeFill="accent6" w:themeFillTint="33"/>
          </w:tcPr>
          <w:p w:rsidR="00965190" w:rsidRPr="00004F3D" w:rsidRDefault="0087498B" w:rsidP="00004F3D">
            <w:pPr>
              <w:pStyle w:val="Default"/>
              <w:jc w:val="right"/>
              <w:rPr>
                <w:rFonts w:ascii="Times New Roman" w:hAnsi="Times New Roman" w:cs="Times New Roman"/>
                <w:b/>
                <w:bCs/>
                <w:sz w:val="20"/>
                <w:szCs w:val="20"/>
              </w:rPr>
            </w:pPr>
            <w:r w:rsidRPr="00004F3D">
              <w:rPr>
                <w:rFonts w:ascii="Times New Roman" w:hAnsi="Times New Roman" w:cs="Times New Roman"/>
                <w:b/>
                <w:bCs/>
                <w:sz w:val="20"/>
                <w:szCs w:val="20"/>
              </w:rPr>
              <w:t>859</w:t>
            </w:r>
            <w:r w:rsidRPr="0087498B">
              <w:rPr>
                <w:rFonts w:ascii="Times New Roman" w:hAnsi="Times New Roman" w:cs="Times New Roman"/>
                <w:b/>
                <w:bCs/>
                <w:sz w:val="20"/>
                <w:szCs w:val="20"/>
              </w:rPr>
              <w:t xml:space="preserve"> 286</w:t>
            </w:r>
          </w:p>
        </w:tc>
        <w:tc>
          <w:tcPr>
            <w:tcW w:w="605" w:type="pct"/>
            <w:shd w:val="clear" w:color="auto" w:fill="E2EFD9" w:themeFill="accent6" w:themeFillTint="33"/>
          </w:tcPr>
          <w:p w:rsidR="00965190" w:rsidRPr="0087498B" w:rsidRDefault="006C4F4B" w:rsidP="00004F3D">
            <w:pPr>
              <w:jc w:val="right"/>
              <w:rPr>
                <w:rFonts w:eastAsiaTheme="minorHAnsi"/>
                <w:sz w:val="20"/>
                <w:szCs w:val="20"/>
              </w:rPr>
            </w:pPr>
            <w:r w:rsidRPr="0087498B">
              <w:rPr>
                <w:b/>
                <w:bCs/>
                <w:sz w:val="20"/>
                <w:szCs w:val="20"/>
              </w:rPr>
              <w:t>698 739</w:t>
            </w:r>
          </w:p>
        </w:tc>
        <w:tc>
          <w:tcPr>
            <w:tcW w:w="627" w:type="pct"/>
            <w:shd w:val="clear" w:color="auto" w:fill="E2EFD9" w:themeFill="accent6" w:themeFillTint="33"/>
          </w:tcPr>
          <w:p w:rsidR="00965190" w:rsidRPr="0087498B" w:rsidRDefault="0087498B" w:rsidP="00004F3D">
            <w:pPr>
              <w:jc w:val="right"/>
              <w:rPr>
                <w:rFonts w:eastAsiaTheme="minorHAnsi"/>
                <w:sz w:val="20"/>
                <w:szCs w:val="20"/>
              </w:rPr>
            </w:pPr>
            <w:r w:rsidRPr="0087498B">
              <w:rPr>
                <w:b/>
                <w:bCs/>
                <w:sz w:val="20"/>
                <w:szCs w:val="20"/>
              </w:rPr>
              <w:t>728 747</w:t>
            </w:r>
          </w:p>
        </w:tc>
        <w:tc>
          <w:tcPr>
            <w:tcW w:w="657" w:type="pct"/>
            <w:shd w:val="clear" w:color="auto" w:fill="E2EFD9" w:themeFill="accent6" w:themeFillTint="33"/>
          </w:tcPr>
          <w:p w:rsidR="00965190" w:rsidRPr="0087498B" w:rsidRDefault="0087498B" w:rsidP="00004F3D">
            <w:pPr>
              <w:jc w:val="right"/>
              <w:rPr>
                <w:rFonts w:eastAsiaTheme="minorHAnsi"/>
                <w:sz w:val="20"/>
                <w:szCs w:val="20"/>
              </w:rPr>
            </w:pPr>
            <w:r w:rsidRPr="0087498B">
              <w:rPr>
                <w:b/>
                <w:bCs/>
                <w:sz w:val="20"/>
                <w:szCs w:val="20"/>
              </w:rPr>
              <w:t>772 157</w:t>
            </w:r>
          </w:p>
        </w:tc>
      </w:tr>
      <w:tr w:rsidR="00D806CA" w:rsidRPr="00591BFC" w:rsidTr="00206AAE">
        <w:trPr>
          <w:trHeight w:val="264"/>
        </w:trPr>
        <w:tc>
          <w:tcPr>
            <w:tcW w:w="2425" w:type="pct"/>
            <w:hideMark/>
          </w:tcPr>
          <w:p w:rsidR="00D806CA" w:rsidRPr="00591BFC" w:rsidRDefault="00D806CA" w:rsidP="00D806CA">
            <w:pPr>
              <w:jc w:val="right"/>
              <w:rPr>
                <w:rFonts w:eastAsiaTheme="minorHAnsi"/>
                <w:i/>
                <w:sz w:val="20"/>
                <w:szCs w:val="20"/>
              </w:rPr>
            </w:pPr>
            <w:r w:rsidRPr="00591BFC">
              <w:rPr>
                <w:rFonts w:eastAsiaTheme="minorHAnsi"/>
                <w:i/>
                <w:sz w:val="20"/>
                <w:szCs w:val="20"/>
              </w:rPr>
              <w:t xml:space="preserve"> International Relations and Trade </w:t>
            </w:r>
          </w:p>
        </w:tc>
        <w:tc>
          <w:tcPr>
            <w:tcW w:w="686" w:type="pct"/>
          </w:tcPr>
          <w:p w:rsidR="00D806CA" w:rsidRPr="0067252F" w:rsidRDefault="0067252F" w:rsidP="00004F3D">
            <w:pPr>
              <w:jc w:val="right"/>
              <w:rPr>
                <w:i/>
                <w:sz w:val="20"/>
                <w:szCs w:val="20"/>
              </w:rPr>
            </w:pPr>
            <w:r w:rsidRPr="00004F3D">
              <w:rPr>
                <w:i/>
                <w:sz w:val="20"/>
                <w:szCs w:val="20"/>
              </w:rPr>
              <w:t>213 730</w:t>
            </w:r>
          </w:p>
        </w:tc>
        <w:tc>
          <w:tcPr>
            <w:tcW w:w="605" w:type="pct"/>
            <w:shd w:val="clear" w:color="auto" w:fill="F2F8EE"/>
          </w:tcPr>
          <w:p w:rsidR="00D806CA" w:rsidRPr="0067252F" w:rsidRDefault="00B23BB4">
            <w:pPr>
              <w:jc w:val="right"/>
              <w:rPr>
                <w:rFonts w:eastAsiaTheme="minorHAnsi"/>
                <w:i/>
                <w:sz w:val="20"/>
                <w:szCs w:val="20"/>
              </w:rPr>
            </w:pPr>
            <w:r w:rsidRPr="0067252F">
              <w:rPr>
                <w:i/>
                <w:sz w:val="20"/>
                <w:szCs w:val="20"/>
              </w:rPr>
              <w:t>138 493</w:t>
            </w:r>
          </w:p>
        </w:tc>
        <w:tc>
          <w:tcPr>
            <w:tcW w:w="627" w:type="pct"/>
          </w:tcPr>
          <w:p w:rsidR="00D806CA" w:rsidRPr="0067252F" w:rsidRDefault="0067252F">
            <w:pPr>
              <w:jc w:val="right"/>
              <w:rPr>
                <w:rFonts w:eastAsiaTheme="minorHAnsi"/>
                <w:i/>
                <w:sz w:val="20"/>
                <w:szCs w:val="20"/>
              </w:rPr>
            </w:pPr>
            <w:r>
              <w:rPr>
                <w:i/>
                <w:sz w:val="20"/>
                <w:szCs w:val="20"/>
              </w:rPr>
              <w:t>134 157</w:t>
            </w:r>
          </w:p>
        </w:tc>
        <w:tc>
          <w:tcPr>
            <w:tcW w:w="657" w:type="pct"/>
          </w:tcPr>
          <w:p w:rsidR="00D806CA" w:rsidRPr="0067252F" w:rsidRDefault="0067252F">
            <w:pPr>
              <w:jc w:val="right"/>
              <w:rPr>
                <w:rFonts w:eastAsiaTheme="minorHAnsi"/>
                <w:i/>
                <w:sz w:val="20"/>
                <w:szCs w:val="20"/>
              </w:rPr>
            </w:pPr>
            <w:r>
              <w:rPr>
                <w:i/>
                <w:sz w:val="20"/>
                <w:szCs w:val="20"/>
              </w:rPr>
              <w:t>143 130</w:t>
            </w:r>
          </w:p>
        </w:tc>
      </w:tr>
      <w:tr w:rsidR="00D806CA" w:rsidRPr="00591BFC" w:rsidTr="00206AAE">
        <w:trPr>
          <w:trHeight w:val="264"/>
        </w:trPr>
        <w:tc>
          <w:tcPr>
            <w:tcW w:w="2425" w:type="pct"/>
            <w:hideMark/>
          </w:tcPr>
          <w:p w:rsidR="00D806CA" w:rsidRPr="00591BFC" w:rsidRDefault="00D806CA" w:rsidP="00D806CA">
            <w:pPr>
              <w:jc w:val="right"/>
              <w:rPr>
                <w:rFonts w:eastAsiaTheme="minorHAnsi"/>
                <w:i/>
                <w:sz w:val="20"/>
                <w:szCs w:val="20"/>
              </w:rPr>
            </w:pPr>
            <w:r w:rsidRPr="00591BFC">
              <w:rPr>
                <w:rFonts w:eastAsiaTheme="minorHAnsi"/>
                <w:i/>
                <w:sz w:val="20"/>
                <w:szCs w:val="20"/>
              </w:rPr>
              <w:t xml:space="preserve"> Cooperatives Development </w:t>
            </w:r>
          </w:p>
        </w:tc>
        <w:tc>
          <w:tcPr>
            <w:tcW w:w="686" w:type="pct"/>
          </w:tcPr>
          <w:p w:rsidR="00D806CA" w:rsidRPr="0067252F" w:rsidRDefault="0067252F" w:rsidP="00004F3D">
            <w:pPr>
              <w:jc w:val="right"/>
              <w:rPr>
                <w:i/>
                <w:sz w:val="20"/>
                <w:szCs w:val="20"/>
              </w:rPr>
            </w:pPr>
            <w:r>
              <w:rPr>
                <w:i/>
                <w:sz w:val="20"/>
                <w:szCs w:val="20"/>
              </w:rPr>
              <w:t>80 314</w:t>
            </w:r>
          </w:p>
        </w:tc>
        <w:tc>
          <w:tcPr>
            <w:tcW w:w="605" w:type="pct"/>
            <w:shd w:val="clear" w:color="auto" w:fill="F2F8EE"/>
          </w:tcPr>
          <w:p w:rsidR="00D806CA" w:rsidRPr="0067252F" w:rsidRDefault="00B23BB4">
            <w:pPr>
              <w:jc w:val="right"/>
              <w:rPr>
                <w:rFonts w:eastAsiaTheme="minorHAnsi"/>
                <w:i/>
                <w:sz w:val="20"/>
                <w:szCs w:val="20"/>
              </w:rPr>
            </w:pPr>
            <w:r w:rsidRPr="0067252F">
              <w:rPr>
                <w:i/>
                <w:sz w:val="20"/>
                <w:szCs w:val="20"/>
              </w:rPr>
              <w:t>70 149</w:t>
            </w:r>
          </w:p>
        </w:tc>
        <w:tc>
          <w:tcPr>
            <w:tcW w:w="627" w:type="pct"/>
          </w:tcPr>
          <w:p w:rsidR="00D806CA" w:rsidRPr="0067252F" w:rsidRDefault="0067252F">
            <w:pPr>
              <w:jc w:val="right"/>
              <w:rPr>
                <w:rFonts w:eastAsiaTheme="minorHAnsi"/>
                <w:i/>
                <w:sz w:val="20"/>
                <w:szCs w:val="20"/>
              </w:rPr>
            </w:pPr>
            <w:r>
              <w:rPr>
                <w:i/>
                <w:sz w:val="20"/>
                <w:szCs w:val="20"/>
              </w:rPr>
              <w:t>69 171</w:t>
            </w:r>
          </w:p>
        </w:tc>
        <w:tc>
          <w:tcPr>
            <w:tcW w:w="657" w:type="pct"/>
          </w:tcPr>
          <w:p w:rsidR="00D806CA" w:rsidRPr="0067252F" w:rsidRDefault="0067252F">
            <w:pPr>
              <w:jc w:val="right"/>
              <w:rPr>
                <w:rFonts w:eastAsiaTheme="minorHAnsi"/>
                <w:i/>
                <w:sz w:val="20"/>
                <w:szCs w:val="20"/>
              </w:rPr>
            </w:pPr>
            <w:r>
              <w:rPr>
                <w:i/>
                <w:sz w:val="20"/>
                <w:szCs w:val="20"/>
              </w:rPr>
              <w:t>73 113</w:t>
            </w:r>
          </w:p>
        </w:tc>
      </w:tr>
      <w:tr w:rsidR="00D806CA" w:rsidRPr="00591BFC" w:rsidTr="00206AAE">
        <w:trPr>
          <w:trHeight w:val="264"/>
        </w:trPr>
        <w:tc>
          <w:tcPr>
            <w:tcW w:w="2425" w:type="pct"/>
            <w:hideMark/>
          </w:tcPr>
          <w:p w:rsidR="00D806CA" w:rsidRPr="00591BFC" w:rsidRDefault="00D806CA" w:rsidP="00D806CA">
            <w:pPr>
              <w:jc w:val="right"/>
              <w:rPr>
                <w:rFonts w:eastAsiaTheme="minorHAnsi"/>
                <w:i/>
                <w:sz w:val="20"/>
                <w:szCs w:val="20"/>
              </w:rPr>
            </w:pPr>
            <w:r w:rsidRPr="00591BFC">
              <w:rPr>
                <w:rFonts w:eastAsiaTheme="minorHAnsi"/>
                <w:i/>
                <w:sz w:val="20"/>
                <w:szCs w:val="20"/>
              </w:rPr>
              <w:t xml:space="preserve"> Agroprocessing, Marketing </w:t>
            </w:r>
            <w:r>
              <w:rPr>
                <w:rFonts w:eastAsiaTheme="minorHAnsi"/>
                <w:i/>
                <w:sz w:val="20"/>
                <w:szCs w:val="20"/>
              </w:rPr>
              <w:t>&amp;</w:t>
            </w:r>
            <w:r w:rsidRPr="00591BFC">
              <w:rPr>
                <w:rFonts w:eastAsiaTheme="minorHAnsi"/>
                <w:i/>
                <w:sz w:val="20"/>
                <w:szCs w:val="20"/>
              </w:rPr>
              <w:t xml:space="preserve"> Rural Industrial Dev</w:t>
            </w:r>
          </w:p>
        </w:tc>
        <w:tc>
          <w:tcPr>
            <w:tcW w:w="686" w:type="pct"/>
          </w:tcPr>
          <w:p w:rsidR="00D806CA" w:rsidRPr="0067252F" w:rsidRDefault="0067252F" w:rsidP="00004F3D">
            <w:pPr>
              <w:jc w:val="right"/>
              <w:rPr>
                <w:i/>
                <w:sz w:val="20"/>
                <w:szCs w:val="20"/>
              </w:rPr>
            </w:pPr>
            <w:r>
              <w:rPr>
                <w:i/>
                <w:sz w:val="20"/>
                <w:szCs w:val="20"/>
              </w:rPr>
              <w:t>518 298</w:t>
            </w:r>
          </w:p>
        </w:tc>
        <w:tc>
          <w:tcPr>
            <w:tcW w:w="605" w:type="pct"/>
            <w:shd w:val="clear" w:color="auto" w:fill="F2F8EE"/>
          </w:tcPr>
          <w:p w:rsidR="00D806CA" w:rsidRPr="0067252F" w:rsidRDefault="00B23BB4">
            <w:pPr>
              <w:jc w:val="right"/>
              <w:rPr>
                <w:rFonts w:eastAsiaTheme="minorHAnsi"/>
                <w:i/>
                <w:sz w:val="20"/>
                <w:szCs w:val="20"/>
              </w:rPr>
            </w:pPr>
            <w:r w:rsidRPr="0067252F">
              <w:rPr>
                <w:i/>
                <w:sz w:val="20"/>
                <w:szCs w:val="20"/>
              </w:rPr>
              <w:t>441 562</w:t>
            </w:r>
          </w:p>
        </w:tc>
        <w:tc>
          <w:tcPr>
            <w:tcW w:w="627" w:type="pct"/>
          </w:tcPr>
          <w:p w:rsidR="00D806CA" w:rsidRPr="0067252F" w:rsidRDefault="0067252F">
            <w:pPr>
              <w:jc w:val="right"/>
              <w:rPr>
                <w:rFonts w:eastAsiaTheme="minorHAnsi"/>
                <w:i/>
                <w:sz w:val="20"/>
                <w:szCs w:val="20"/>
              </w:rPr>
            </w:pPr>
            <w:r>
              <w:rPr>
                <w:i/>
                <w:sz w:val="20"/>
                <w:szCs w:val="20"/>
              </w:rPr>
              <w:t>475 648</w:t>
            </w:r>
          </w:p>
        </w:tc>
        <w:tc>
          <w:tcPr>
            <w:tcW w:w="657" w:type="pct"/>
          </w:tcPr>
          <w:p w:rsidR="00D806CA" w:rsidRPr="0067252F" w:rsidRDefault="0067252F">
            <w:pPr>
              <w:jc w:val="right"/>
              <w:rPr>
                <w:rFonts w:eastAsiaTheme="minorHAnsi"/>
                <w:i/>
                <w:sz w:val="20"/>
                <w:szCs w:val="20"/>
              </w:rPr>
            </w:pPr>
            <w:r>
              <w:rPr>
                <w:i/>
                <w:sz w:val="20"/>
                <w:szCs w:val="20"/>
              </w:rPr>
              <w:t>503 908</w:t>
            </w:r>
          </w:p>
        </w:tc>
      </w:tr>
      <w:tr w:rsidR="00D806CA" w:rsidRPr="00701A22" w:rsidTr="00206AAE">
        <w:trPr>
          <w:trHeight w:val="264"/>
        </w:trPr>
        <w:tc>
          <w:tcPr>
            <w:tcW w:w="2425" w:type="pct"/>
          </w:tcPr>
          <w:p w:rsidR="00D806CA" w:rsidRPr="00DB50B6" w:rsidRDefault="00D806CA">
            <w:pPr>
              <w:jc w:val="right"/>
              <w:rPr>
                <w:rFonts w:eastAsiaTheme="minorHAnsi"/>
                <w:i/>
                <w:sz w:val="20"/>
                <w:szCs w:val="20"/>
              </w:rPr>
            </w:pPr>
            <w:r w:rsidRPr="00DB50B6">
              <w:rPr>
                <w:rFonts w:eastAsiaTheme="minorHAnsi"/>
                <w:i/>
                <w:sz w:val="20"/>
                <w:szCs w:val="20"/>
              </w:rPr>
              <w:t>National Agricultural Marketing Council</w:t>
            </w:r>
          </w:p>
        </w:tc>
        <w:tc>
          <w:tcPr>
            <w:tcW w:w="686" w:type="pct"/>
          </w:tcPr>
          <w:p w:rsidR="00D806CA" w:rsidRPr="0067252F" w:rsidRDefault="0067252F" w:rsidP="00004F3D">
            <w:pPr>
              <w:jc w:val="right"/>
              <w:rPr>
                <w:i/>
                <w:sz w:val="20"/>
                <w:szCs w:val="20"/>
              </w:rPr>
            </w:pPr>
            <w:r>
              <w:rPr>
                <w:i/>
                <w:sz w:val="20"/>
                <w:szCs w:val="20"/>
              </w:rPr>
              <w:t>46 944</w:t>
            </w:r>
          </w:p>
        </w:tc>
        <w:tc>
          <w:tcPr>
            <w:tcW w:w="605" w:type="pct"/>
            <w:shd w:val="clear" w:color="auto" w:fill="F2F8EE"/>
          </w:tcPr>
          <w:p w:rsidR="00D806CA" w:rsidRPr="0067252F" w:rsidRDefault="00B23BB4">
            <w:pPr>
              <w:jc w:val="right"/>
              <w:rPr>
                <w:rFonts w:eastAsiaTheme="minorHAnsi"/>
                <w:i/>
                <w:sz w:val="20"/>
                <w:szCs w:val="20"/>
              </w:rPr>
            </w:pPr>
            <w:r w:rsidRPr="0067252F">
              <w:rPr>
                <w:i/>
                <w:sz w:val="20"/>
                <w:szCs w:val="20"/>
              </w:rPr>
              <w:t>48 535</w:t>
            </w:r>
          </w:p>
        </w:tc>
        <w:tc>
          <w:tcPr>
            <w:tcW w:w="627" w:type="pct"/>
          </w:tcPr>
          <w:p w:rsidR="00D806CA" w:rsidRPr="0067252F" w:rsidRDefault="0067252F">
            <w:pPr>
              <w:jc w:val="right"/>
              <w:rPr>
                <w:rFonts w:eastAsiaTheme="minorHAnsi"/>
                <w:i/>
                <w:sz w:val="20"/>
                <w:szCs w:val="20"/>
              </w:rPr>
            </w:pPr>
            <w:r>
              <w:rPr>
                <w:i/>
                <w:sz w:val="20"/>
                <w:szCs w:val="20"/>
              </w:rPr>
              <w:t>49 771</w:t>
            </w:r>
          </w:p>
        </w:tc>
        <w:tc>
          <w:tcPr>
            <w:tcW w:w="657" w:type="pct"/>
          </w:tcPr>
          <w:p w:rsidR="00D806CA" w:rsidRPr="0067252F" w:rsidRDefault="0067252F">
            <w:pPr>
              <w:jc w:val="right"/>
              <w:rPr>
                <w:rFonts w:eastAsiaTheme="minorHAnsi"/>
                <w:i/>
                <w:sz w:val="20"/>
                <w:szCs w:val="20"/>
              </w:rPr>
            </w:pPr>
            <w:r>
              <w:rPr>
                <w:i/>
                <w:sz w:val="20"/>
                <w:szCs w:val="20"/>
              </w:rPr>
              <w:t>52 006</w:t>
            </w:r>
          </w:p>
        </w:tc>
      </w:tr>
      <w:tr w:rsidR="00D806CA" w:rsidRPr="00701A22" w:rsidTr="00206AAE">
        <w:trPr>
          <w:trHeight w:val="264"/>
        </w:trPr>
        <w:tc>
          <w:tcPr>
            <w:tcW w:w="2425" w:type="pct"/>
            <w:shd w:val="clear" w:color="auto" w:fill="E2EFD9" w:themeFill="accent6" w:themeFillTint="33"/>
            <w:hideMark/>
          </w:tcPr>
          <w:p w:rsidR="00D806CA" w:rsidRPr="00DB50B6" w:rsidRDefault="00D806CA" w:rsidP="00D806CA">
            <w:pPr>
              <w:jc w:val="both"/>
              <w:rPr>
                <w:rFonts w:eastAsiaTheme="minorHAnsi"/>
                <w:sz w:val="20"/>
                <w:szCs w:val="20"/>
              </w:rPr>
            </w:pPr>
            <w:r w:rsidRPr="00DB50B6">
              <w:rPr>
                <w:rFonts w:eastAsiaTheme="minorHAnsi"/>
                <w:b/>
                <w:bCs/>
                <w:sz w:val="20"/>
                <w:szCs w:val="20"/>
              </w:rPr>
              <w:t xml:space="preserve"> 6. Land </w:t>
            </w:r>
            <w:r w:rsidRPr="00DB50B6">
              <w:rPr>
                <w:b/>
                <w:bCs/>
                <w:sz w:val="20"/>
                <w:szCs w:val="20"/>
              </w:rPr>
              <w:t>Administration</w:t>
            </w:r>
            <w:r w:rsidRPr="00DB50B6">
              <w:rPr>
                <w:rFonts w:eastAsiaTheme="minorHAnsi"/>
                <w:b/>
                <w:bCs/>
                <w:sz w:val="20"/>
                <w:szCs w:val="20"/>
              </w:rPr>
              <w:t xml:space="preserve"> </w:t>
            </w:r>
          </w:p>
        </w:tc>
        <w:tc>
          <w:tcPr>
            <w:tcW w:w="686" w:type="pct"/>
            <w:shd w:val="clear" w:color="auto" w:fill="E2EFD9" w:themeFill="accent6" w:themeFillTint="33"/>
          </w:tcPr>
          <w:p w:rsidR="00D806CA" w:rsidRPr="00DB50B6" w:rsidRDefault="0067252F" w:rsidP="00004F3D">
            <w:pPr>
              <w:pStyle w:val="Default"/>
              <w:jc w:val="right"/>
              <w:rPr>
                <w:b/>
                <w:bCs/>
                <w:sz w:val="20"/>
                <w:szCs w:val="20"/>
              </w:rPr>
            </w:pPr>
            <w:r>
              <w:rPr>
                <w:rFonts w:ascii="Times New Roman" w:hAnsi="Times New Roman" w:cs="Times New Roman"/>
                <w:b/>
                <w:bCs/>
                <w:sz w:val="20"/>
                <w:szCs w:val="20"/>
              </w:rPr>
              <w:t>762 612</w:t>
            </w:r>
          </w:p>
        </w:tc>
        <w:tc>
          <w:tcPr>
            <w:tcW w:w="605" w:type="pct"/>
            <w:shd w:val="clear" w:color="auto" w:fill="E2EFD9" w:themeFill="accent6" w:themeFillTint="33"/>
          </w:tcPr>
          <w:p w:rsidR="00D806CA" w:rsidRPr="00DB50B6" w:rsidRDefault="00B23BB4" w:rsidP="00004F3D">
            <w:pPr>
              <w:jc w:val="right"/>
              <w:rPr>
                <w:rFonts w:eastAsiaTheme="minorHAnsi"/>
                <w:sz w:val="20"/>
                <w:szCs w:val="20"/>
              </w:rPr>
            </w:pPr>
            <w:r>
              <w:rPr>
                <w:b/>
                <w:bCs/>
                <w:sz w:val="20"/>
                <w:szCs w:val="20"/>
              </w:rPr>
              <w:t>708 655</w:t>
            </w:r>
          </w:p>
        </w:tc>
        <w:tc>
          <w:tcPr>
            <w:tcW w:w="627" w:type="pct"/>
            <w:shd w:val="clear" w:color="auto" w:fill="E2EFD9" w:themeFill="accent6" w:themeFillTint="33"/>
          </w:tcPr>
          <w:p w:rsidR="00D806CA" w:rsidRPr="00DB50B6" w:rsidRDefault="0067252F" w:rsidP="00004F3D">
            <w:pPr>
              <w:jc w:val="right"/>
              <w:rPr>
                <w:rFonts w:eastAsiaTheme="minorHAnsi"/>
                <w:sz w:val="20"/>
                <w:szCs w:val="20"/>
              </w:rPr>
            </w:pPr>
            <w:r>
              <w:rPr>
                <w:b/>
                <w:bCs/>
                <w:sz w:val="20"/>
                <w:szCs w:val="20"/>
              </w:rPr>
              <w:t>655 968</w:t>
            </w:r>
          </w:p>
        </w:tc>
        <w:tc>
          <w:tcPr>
            <w:tcW w:w="657" w:type="pct"/>
            <w:shd w:val="clear" w:color="auto" w:fill="E2EFD9" w:themeFill="accent6" w:themeFillTint="33"/>
          </w:tcPr>
          <w:p w:rsidR="00D806CA" w:rsidRPr="00DB50B6" w:rsidRDefault="0067252F" w:rsidP="00004F3D">
            <w:pPr>
              <w:jc w:val="right"/>
              <w:rPr>
                <w:rFonts w:eastAsiaTheme="minorHAnsi"/>
                <w:sz w:val="20"/>
                <w:szCs w:val="20"/>
              </w:rPr>
            </w:pPr>
            <w:r>
              <w:rPr>
                <w:b/>
                <w:bCs/>
                <w:sz w:val="20"/>
                <w:szCs w:val="20"/>
              </w:rPr>
              <w:t>692 356</w:t>
            </w:r>
          </w:p>
        </w:tc>
      </w:tr>
      <w:tr w:rsidR="0056473D" w:rsidRPr="00701A22" w:rsidTr="00206AAE">
        <w:trPr>
          <w:trHeight w:val="264"/>
        </w:trPr>
        <w:tc>
          <w:tcPr>
            <w:tcW w:w="2425" w:type="pct"/>
            <w:hideMark/>
          </w:tcPr>
          <w:p w:rsidR="0056473D" w:rsidRPr="00DB50B6" w:rsidRDefault="0056473D" w:rsidP="0056473D">
            <w:pPr>
              <w:jc w:val="right"/>
              <w:rPr>
                <w:rFonts w:eastAsiaTheme="minorHAnsi"/>
                <w:i/>
                <w:sz w:val="20"/>
                <w:szCs w:val="20"/>
              </w:rPr>
            </w:pPr>
            <w:r w:rsidRPr="00DB50B6">
              <w:rPr>
                <w:rFonts w:eastAsiaTheme="minorHAnsi"/>
                <w:i/>
                <w:sz w:val="20"/>
                <w:szCs w:val="20"/>
              </w:rPr>
              <w:t xml:space="preserve"> National Geomatics Management Services </w:t>
            </w:r>
          </w:p>
        </w:tc>
        <w:tc>
          <w:tcPr>
            <w:tcW w:w="686" w:type="pct"/>
          </w:tcPr>
          <w:p w:rsidR="0056473D" w:rsidRPr="00DB50B6" w:rsidRDefault="0067252F" w:rsidP="00004F3D">
            <w:pPr>
              <w:jc w:val="right"/>
              <w:rPr>
                <w:i/>
                <w:sz w:val="20"/>
                <w:szCs w:val="20"/>
              </w:rPr>
            </w:pPr>
            <w:r>
              <w:rPr>
                <w:i/>
                <w:sz w:val="20"/>
                <w:szCs w:val="20"/>
              </w:rPr>
              <w:t>547 658</w:t>
            </w:r>
          </w:p>
        </w:tc>
        <w:tc>
          <w:tcPr>
            <w:tcW w:w="605" w:type="pct"/>
            <w:shd w:val="clear" w:color="auto" w:fill="F2F8EE"/>
          </w:tcPr>
          <w:p w:rsidR="0056473D" w:rsidRPr="00DB50B6" w:rsidRDefault="00B23BB4">
            <w:pPr>
              <w:jc w:val="right"/>
              <w:rPr>
                <w:rFonts w:eastAsiaTheme="minorHAnsi"/>
                <w:i/>
                <w:sz w:val="20"/>
                <w:szCs w:val="20"/>
              </w:rPr>
            </w:pPr>
            <w:r>
              <w:rPr>
                <w:i/>
                <w:sz w:val="20"/>
                <w:szCs w:val="20"/>
              </w:rPr>
              <w:t>507 044</w:t>
            </w:r>
          </w:p>
        </w:tc>
        <w:tc>
          <w:tcPr>
            <w:tcW w:w="627" w:type="pct"/>
          </w:tcPr>
          <w:p w:rsidR="0056473D" w:rsidRPr="00DB50B6" w:rsidRDefault="006654F4">
            <w:pPr>
              <w:jc w:val="right"/>
              <w:rPr>
                <w:rFonts w:eastAsiaTheme="minorHAnsi"/>
                <w:i/>
                <w:sz w:val="20"/>
                <w:szCs w:val="20"/>
              </w:rPr>
            </w:pPr>
            <w:r>
              <w:rPr>
                <w:i/>
                <w:sz w:val="20"/>
                <w:szCs w:val="20"/>
              </w:rPr>
              <w:t>452 075</w:t>
            </w:r>
          </w:p>
        </w:tc>
        <w:tc>
          <w:tcPr>
            <w:tcW w:w="657" w:type="pct"/>
          </w:tcPr>
          <w:p w:rsidR="0056473D" w:rsidRPr="00DB50B6" w:rsidRDefault="006654F4">
            <w:pPr>
              <w:jc w:val="right"/>
              <w:rPr>
                <w:rFonts w:eastAsiaTheme="minorHAnsi"/>
                <w:i/>
                <w:sz w:val="20"/>
                <w:szCs w:val="20"/>
              </w:rPr>
            </w:pPr>
            <w:r>
              <w:rPr>
                <w:i/>
                <w:sz w:val="20"/>
                <w:szCs w:val="20"/>
              </w:rPr>
              <w:t>476 435</w:t>
            </w:r>
          </w:p>
        </w:tc>
      </w:tr>
      <w:tr w:rsidR="0056473D" w:rsidRPr="00701A22" w:rsidTr="00206AAE">
        <w:trPr>
          <w:trHeight w:val="264"/>
        </w:trPr>
        <w:tc>
          <w:tcPr>
            <w:tcW w:w="2425" w:type="pct"/>
            <w:hideMark/>
          </w:tcPr>
          <w:p w:rsidR="0056473D" w:rsidRPr="00DB50B6" w:rsidRDefault="0056473D" w:rsidP="0056473D">
            <w:pPr>
              <w:jc w:val="right"/>
              <w:rPr>
                <w:rFonts w:eastAsiaTheme="minorHAnsi"/>
                <w:i/>
                <w:sz w:val="20"/>
                <w:szCs w:val="20"/>
              </w:rPr>
            </w:pPr>
            <w:r w:rsidRPr="00DB50B6">
              <w:rPr>
                <w:rFonts w:eastAsiaTheme="minorHAnsi"/>
                <w:i/>
                <w:sz w:val="20"/>
                <w:szCs w:val="20"/>
              </w:rPr>
              <w:t xml:space="preserve"> Spatial Planning and Land Use Management  </w:t>
            </w:r>
          </w:p>
        </w:tc>
        <w:tc>
          <w:tcPr>
            <w:tcW w:w="686" w:type="pct"/>
          </w:tcPr>
          <w:p w:rsidR="0056473D" w:rsidRPr="00DB50B6" w:rsidRDefault="0067252F" w:rsidP="00004F3D">
            <w:pPr>
              <w:jc w:val="right"/>
              <w:rPr>
                <w:i/>
                <w:sz w:val="20"/>
                <w:szCs w:val="20"/>
              </w:rPr>
            </w:pPr>
            <w:r>
              <w:rPr>
                <w:i/>
                <w:sz w:val="20"/>
                <w:szCs w:val="20"/>
              </w:rPr>
              <w:t>204 219</w:t>
            </w:r>
          </w:p>
        </w:tc>
        <w:tc>
          <w:tcPr>
            <w:tcW w:w="605" w:type="pct"/>
            <w:shd w:val="clear" w:color="auto" w:fill="F2F8EE"/>
          </w:tcPr>
          <w:p w:rsidR="0056473D" w:rsidRPr="00DB50B6" w:rsidRDefault="00B23BB4">
            <w:pPr>
              <w:jc w:val="right"/>
              <w:rPr>
                <w:rFonts w:eastAsiaTheme="minorHAnsi"/>
                <w:i/>
                <w:sz w:val="20"/>
                <w:szCs w:val="20"/>
              </w:rPr>
            </w:pPr>
            <w:r>
              <w:rPr>
                <w:i/>
                <w:sz w:val="20"/>
                <w:szCs w:val="20"/>
              </w:rPr>
              <w:t>190 797</w:t>
            </w:r>
          </w:p>
        </w:tc>
        <w:tc>
          <w:tcPr>
            <w:tcW w:w="627" w:type="pct"/>
          </w:tcPr>
          <w:p w:rsidR="0056473D" w:rsidRPr="00DB50B6" w:rsidRDefault="006654F4">
            <w:pPr>
              <w:jc w:val="right"/>
              <w:rPr>
                <w:rFonts w:eastAsiaTheme="minorHAnsi"/>
                <w:i/>
                <w:sz w:val="20"/>
                <w:szCs w:val="20"/>
              </w:rPr>
            </w:pPr>
            <w:r>
              <w:rPr>
                <w:i/>
                <w:sz w:val="20"/>
                <w:szCs w:val="20"/>
              </w:rPr>
              <w:t>192 399</w:t>
            </w:r>
          </w:p>
        </w:tc>
        <w:tc>
          <w:tcPr>
            <w:tcW w:w="657" w:type="pct"/>
          </w:tcPr>
          <w:p w:rsidR="0056473D" w:rsidRPr="00DB50B6" w:rsidRDefault="006654F4">
            <w:pPr>
              <w:jc w:val="right"/>
              <w:rPr>
                <w:rFonts w:eastAsiaTheme="minorHAnsi"/>
                <w:i/>
                <w:sz w:val="20"/>
                <w:szCs w:val="20"/>
              </w:rPr>
            </w:pPr>
            <w:r>
              <w:rPr>
                <w:i/>
                <w:sz w:val="20"/>
                <w:szCs w:val="20"/>
              </w:rPr>
              <w:t>203 911</w:t>
            </w:r>
          </w:p>
        </w:tc>
      </w:tr>
      <w:tr w:rsidR="0056473D" w:rsidRPr="00701A22" w:rsidTr="00206AAE">
        <w:trPr>
          <w:trHeight w:val="264"/>
        </w:trPr>
        <w:tc>
          <w:tcPr>
            <w:tcW w:w="2425" w:type="pct"/>
          </w:tcPr>
          <w:p w:rsidR="0056473D" w:rsidRPr="00DB50B6" w:rsidRDefault="0056473D" w:rsidP="0056473D">
            <w:pPr>
              <w:jc w:val="right"/>
              <w:rPr>
                <w:rFonts w:eastAsiaTheme="minorHAnsi"/>
                <w:i/>
                <w:sz w:val="20"/>
                <w:szCs w:val="20"/>
              </w:rPr>
            </w:pPr>
            <w:r w:rsidRPr="00DB50B6">
              <w:rPr>
                <w:rFonts w:eastAsiaTheme="minorHAnsi"/>
                <w:i/>
                <w:sz w:val="20"/>
                <w:szCs w:val="20"/>
              </w:rPr>
              <w:t>Deeds Registration</w:t>
            </w:r>
          </w:p>
        </w:tc>
        <w:tc>
          <w:tcPr>
            <w:tcW w:w="686" w:type="pct"/>
          </w:tcPr>
          <w:p w:rsidR="0056473D" w:rsidRPr="00DB50B6" w:rsidRDefault="006654F4" w:rsidP="00004F3D">
            <w:pPr>
              <w:jc w:val="right"/>
              <w:rPr>
                <w:i/>
                <w:sz w:val="20"/>
                <w:szCs w:val="20"/>
              </w:rPr>
            </w:pPr>
            <w:r>
              <w:rPr>
                <w:i/>
                <w:sz w:val="20"/>
                <w:szCs w:val="20"/>
              </w:rPr>
              <w:t>1</w:t>
            </w:r>
          </w:p>
        </w:tc>
        <w:tc>
          <w:tcPr>
            <w:tcW w:w="605" w:type="pct"/>
            <w:shd w:val="clear" w:color="auto" w:fill="F2F8EE"/>
          </w:tcPr>
          <w:p w:rsidR="0056473D" w:rsidRPr="00DB50B6" w:rsidRDefault="00B23BB4">
            <w:pPr>
              <w:jc w:val="right"/>
              <w:rPr>
                <w:i/>
                <w:sz w:val="20"/>
                <w:szCs w:val="20"/>
              </w:rPr>
            </w:pPr>
            <w:r>
              <w:rPr>
                <w:i/>
                <w:sz w:val="20"/>
                <w:szCs w:val="20"/>
              </w:rPr>
              <w:t>1</w:t>
            </w:r>
          </w:p>
        </w:tc>
        <w:tc>
          <w:tcPr>
            <w:tcW w:w="627" w:type="pct"/>
          </w:tcPr>
          <w:p w:rsidR="0056473D" w:rsidRPr="00DB50B6" w:rsidRDefault="006654F4">
            <w:pPr>
              <w:jc w:val="right"/>
              <w:rPr>
                <w:i/>
                <w:sz w:val="20"/>
                <w:szCs w:val="20"/>
              </w:rPr>
            </w:pPr>
            <w:r>
              <w:rPr>
                <w:i/>
                <w:sz w:val="20"/>
                <w:szCs w:val="20"/>
              </w:rPr>
              <w:t>1</w:t>
            </w:r>
          </w:p>
        </w:tc>
        <w:tc>
          <w:tcPr>
            <w:tcW w:w="657" w:type="pct"/>
          </w:tcPr>
          <w:p w:rsidR="0056473D" w:rsidRPr="00DB50B6" w:rsidRDefault="006654F4">
            <w:pPr>
              <w:jc w:val="right"/>
              <w:rPr>
                <w:i/>
                <w:sz w:val="20"/>
                <w:szCs w:val="20"/>
              </w:rPr>
            </w:pPr>
            <w:r>
              <w:rPr>
                <w:i/>
                <w:sz w:val="20"/>
                <w:szCs w:val="20"/>
              </w:rPr>
              <w:t>1</w:t>
            </w:r>
          </w:p>
        </w:tc>
      </w:tr>
      <w:tr w:rsidR="0056473D" w:rsidRPr="00701A22" w:rsidTr="00206AAE">
        <w:trPr>
          <w:trHeight w:val="264"/>
        </w:trPr>
        <w:tc>
          <w:tcPr>
            <w:tcW w:w="2425" w:type="pct"/>
          </w:tcPr>
          <w:p w:rsidR="0056473D" w:rsidRPr="00DB50B6" w:rsidRDefault="0056473D" w:rsidP="0056473D">
            <w:pPr>
              <w:jc w:val="right"/>
              <w:rPr>
                <w:rFonts w:eastAsiaTheme="minorHAnsi"/>
                <w:i/>
                <w:sz w:val="20"/>
                <w:szCs w:val="20"/>
              </w:rPr>
            </w:pPr>
            <w:r w:rsidRPr="00DB50B6">
              <w:rPr>
                <w:rFonts w:eastAsiaTheme="minorHAnsi"/>
                <w:i/>
                <w:sz w:val="20"/>
                <w:szCs w:val="20"/>
              </w:rPr>
              <w:t>South African Council of Planners</w:t>
            </w:r>
          </w:p>
        </w:tc>
        <w:tc>
          <w:tcPr>
            <w:tcW w:w="686" w:type="pct"/>
          </w:tcPr>
          <w:p w:rsidR="0056473D" w:rsidRPr="00DB50B6" w:rsidRDefault="006654F4" w:rsidP="00004F3D">
            <w:pPr>
              <w:jc w:val="right"/>
              <w:rPr>
                <w:i/>
                <w:sz w:val="20"/>
                <w:szCs w:val="20"/>
              </w:rPr>
            </w:pPr>
            <w:r>
              <w:rPr>
                <w:i/>
                <w:sz w:val="20"/>
                <w:szCs w:val="20"/>
              </w:rPr>
              <w:t>4 140</w:t>
            </w:r>
          </w:p>
        </w:tc>
        <w:tc>
          <w:tcPr>
            <w:tcW w:w="605" w:type="pct"/>
            <w:shd w:val="clear" w:color="auto" w:fill="F2F8EE"/>
          </w:tcPr>
          <w:p w:rsidR="0056473D" w:rsidRPr="00DB50B6" w:rsidRDefault="00B23BB4">
            <w:pPr>
              <w:jc w:val="right"/>
              <w:rPr>
                <w:i/>
                <w:sz w:val="20"/>
                <w:szCs w:val="20"/>
              </w:rPr>
            </w:pPr>
            <w:r>
              <w:rPr>
                <w:i/>
                <w:sz w:val="20"/>
                <w:szCs w:val="20"/>
              </w:rPr>
              <w:t>4 263</w:t>
            </w:r>
          </w:p>
        </w:tc>
        <w:tc>
          <w:tcPr>
            <w:tcW w:w="627" w:type="pct"/>
          </w:tcPr>
          <w:p w:rsidR="0056473D" w:rsidRPr="00DB50B6" w:rsidRDefault="006654F4">
            <w:pPr>
              <w:jc w:val="right"/>
              <w:rPr>
                <w:i/>
                <w:sz w:val="20"/>
                <w:szCs w:val="20"/>
              </w:rPr>
            </w:pPr>
            <w:r>
              <w:rPr>
                <w:i/>
                <w:sz w:val="20"/>
                <w:szCs w:val="20"/>
              </w:rPr>
              <w:t>4 335</w:t>
            </w:r>
          </w:p>
        </w:tc>
        <w:tc>
          <w:tcPr>
            <w:tcW w:w="657" w:type="pct"/>
          </w:tcPr>
          <w:p w:rsidR="0056473D" w:rsidRPr="00DB50B6" w:rsidRDefault="006654F4">
            <w:pPr>
              <w:jc w:val="right"/>
              <w:rPr>
                <w:i/>
                <w:sz w:val="20"/>
                <w:szCs w:val="20"/>
              </w:rPr>
            </w:pPr>
            <w:r>
              <w:rPr>
                <w:i/>
                <w:sz w:val="20"/>
                <w:szCs w:val="20"/>
              </w:rPr>
              <w:t>4 530</w:t>
            </w:r>
          </w:p>
        </w:tc>
      </w:tr>
      <w:tr w:rsidR="0056473D" w:rsidRPr="00701A22" w:rsidTr="00206AAE">
        <w:trPr>
          <w:trHeight w:val="264"/>
        </w:trPr>
        <w:tc>
          <w:tcPr>
            <w:tcW w:w="2425" w:type="pct"/>
          </w:tcPr>
          <w:p w:rsidR="0056473D" w:rsidRPr="00DB50B6" w:rsidRDefault="0056473D" w:rsidP="0056473D">
            <w:pPr>
              <w:jc w:val="right"/>
              <w:rPr>
                <w:rFonts w:eastAsiaTheme="minorHAnsi"/>
                <w:i/>
                <w:sz w:val="20"/>
                <w:szCs w:val="20"/>
              </w:rPr>
            </w:pPr>
            <w:r w:rsidRPr="00DB50B6">
              <w:rPr>
                <w:rFonts w:eastAsiaTheme="minorHAnsi"/>
                <w:i/>
                <w:sz w:val="20"/>
                <w:szCs w:val="20"/>
              </w:rPr>
              <w:t>South African Geomatics Council</w:t>
            </w:r>
          </w:p>
        </w:tc>
        <w:tc>
          <w:tcPr>
            <w:tcW w:w="686" w:type="pct"/>
          </w:tcPr>
          <w:p w:rsidR="0056473D" w:rsidRPr="00DB50B6" w:rsidRDefault="006654F4" w:rsidP="00004F3D">
            <w:pPr>
              <w:jc w:val="right"/>
              <w:rPr>
                <w:i/>
                <w:sz w:val="20"/>
                <w:szCs w:val="20"/>
              </w:rPr>
            </w:pPr>
            <w:r>
              <w:rPr>
                <w:i/>
                <w:sz w:val="20"/>
                <w:szCs w:val="20"/>
              </w:rPr>
              <w:t>4 194</w:t>
            </w:r>
          </w:p>
        </w:tc>
        <w:tc>
          <w:tcPr>
            <w:tcW w:w="605" w:type="pct"/>
            <w:shd w:val="clear" w:color="auto" w:fill="F2F8EE"/>
          </w:tcPr>
          <w:p w:rsidR="0056473D" w:rsidRPr="00DB50B6" w:rsidRDefault="00B23BB4">
            <w:pPr>
              <w:jc w:val="right"/>
              <w:rPr>
                <w:i/>
                <w:sz w:val="20"/>
                <w:szCs w:val="20"/>
              </w:rPr>
            </w:pPr>
            <w:r>
              <w:rPr>
                <w:i/>
                <w:sz w:val="20"/>
                <w:szCs w:val="20"/>
              </w:rPr>
              <w:t>4 000</w:t>
            </w:r>
          </w:p>
        </w:tc>
        <w:tc>
          <w:tcPr>
            <w:tcW w:w="627" w:type="pct"/>
          </w:tcPr>
          <w:p w:rsidR="0056473D" w:rsidRPr="00DB50B6" w:rsidRDefault="006654F4">
            <w:pPr>
              <w:jc w:val="right"/>
              <w:rPr>
                <w:i/>
                <w:sz w:val="20"/>
                <w:szCs w:val="20"/>
              </w:rPr>
            </w:pPr>
            <w:r>
              <w:rPr>
                <w:i/>
                <w:sz w:val="20"/>
                <w:szCs w:val="20"/>
              </w:rPr>
              <w:t>4 655</w:t>
            </w:r>
          </w:p>
        </w:tc>
        <w:tc>
          <w:tcPr>
            <w:tcW w:w="657" w:type="pct"/>
          </w:tcPr>
          <w:p w:rsidR="0056473D" w:rsidRPr="00DB50B6" w:rsidRDefault="006654F4">
            <w:pPr>
              <w:jc w:val="right"/>
              <w:rPr>
                <w:i/>
                <w:sz w:val="20"/>
                <w:szCs w:val="20"/>
              </w:rPr>
            </w:pPr>
            <w:r>
              <w:rPr>
                <w:i/>
                <w:sz w:val="20"/>
                <w:szCs w:val="20"/>
              </w:rPr>
              <w:t>4 864</w:t>
            </w:r>
          </w:p>
        </w:tc>
      </w:tr>
      <w:tr w:rsidR="0056473D" w:rsidRPr="00701A22" w:rsidTr="00206AAE">
        <w:trPr>
          <w:trHeight w:val="264"/>
        </w:trPr>
        <w:tc>
          <w:tcPr>
            <w:tcW w:w="2425" w:type="pct"/>
          </w:tcPr>
          <w:p w:rsidR="0056473D" w:rsidRPr="00DB50B6" w:rsidRDefault="0056473D" w:rsidP="0056473D">
            <w:pPr>
              <w:jc w:val="right"/>
              <w:rPr>
                <w:rFonts w:eastAsiaTheme="minorHAnsi"/>
                <w:i/>
                <w:sz w:val="20"/>
                <w:szCs w:val="20"/>
              </w:rPr>
            </w:pPr>
            <w:r w:rsidRPr="00DB50B6">
              <w:rPr>
                <w:rFonts w:eastAsiaTheme="minorHAnsi"/>
                <w:i/>
                <w:sz w:val="20"/>
                <w:szCs w:val="20"/>
              </w:rPr>
              <w:t>Integrated Land Administration</w:t>
            </w:r>
          </w:p>
        </w:tc>
        <w:tc>
          <w:tcPr>
            <w:tcW w:w="686" w:type="pct"/>
          </w:tcPr>
          <w:p w:rsidR="0056473D" w:rsidRPr="00DB50B6" w:rsidRDefault="006654F4" w:rsidP="00004F3D">
            <w:pPr>
              <w:jc w:val="right"/>
              <w:rPr>
                <w:i/>
                <w:sz w:val="20"/>
                <w:szCs w:val="20"/>
              </w:rPr>
            </w:pPr>
            <w:r>
              <w:rPr>
                <w:i/>
                <w:sz w:val="20"/>
                <w:szCs w:val="20"/>
              </w:rPr>
              <w:t>2 400</w:t>
            </w:r>
          </w:p>
        </w:tc>
        <w:tc>
          <w:tcPr>
            <w:tcW w:w="605" w:type="pct"/>
            <w:shd w:val="clear" w:color="auto" w:fill="F2F8EE"/>
          </w:tcPr>
          <w:p w:rsidR="0056473D" w:rsidRPr="00DB50B6" w:rsidRDefault="00B23BB4">
            <w:pPr>
              <w:jc w:val="right"/>
              <w:rPr>
                <w:i/>
                <w:sz w:val="20"/>
                <w:szCs w:val="20"/>
              </w:rPr>
            </w:pPr>
            <w:r>
              <w:rPr>
                <w:i/>
                <w:sz w:val="20"/>
                <w:szCs w:val="20"/>
              </w:rPr>
              <w:t>2 550</w:t>
            </w:r>
          </w:p>
        </w:tc>
        <w:tc>
          <w:tcPr>
            <w:tcW w:w="627" w:type="pct"/>
          </w:tcPr>
          <w:p w:rsidR="0056473D" w:rsidRPr="00DB50B6" w:rsidRDefault="006654F4">
            <w:pPr>
              <w:jc w:val="right"/>
              <w:rPr>
                <w:i/>
                <w:sz w:val="20"/>
                <w:szCs w:val="20"/>
              </w:rPr>
            </w:pPr>
            <w:r>
              <w:rPr>
                <w:i/>
                <w:sz w:val="20"/>
                <w:szCs w:val="20"/>
              </w:rPr>
              <w:t>2 503</w:t>
            </w:r>
          </w:p>
        </w:tc>
        <w:tc>
          <w:tcPr>
            <w:tcW w:w="657" w:type="pct"/>
          </w:tcPr>
          <w:p w:rsidR="0056473D" w:rsidRPr="00DB50B6" w:rsidRDefault="006654F4">
            <w:pPr>
              <w:jc w:val="right"/>
              <w:rPr>
                <w:i/>
                <w:sz w:val="20"/>
                <w:szCs w:val="20"/>
              </w:rPr>
            </w:pPr>
            <w:r>
              <w:rPr>
                <w:i/>
                <w:sz w:val="20"/>
                <w:szCs w:val="20"/>
              </w:rPr>
              <w:t>2 615</w:t>
            </w:r>
          </w:p>
        </w:tc>
      </w:tr>
      <w:tr w:rsidR="0056473D" w:rsidRPr="00701A22" w:rsidTr="00206AAE">
        <w:trPr>
          <w:trHeight w:val="70"/>
        </w:trPr>
        <w:tc>
          <w:tcPr>
            <w:tcW w:w="2425" w:type="pct"/>
            <w:shd w:val="clear" w:color="auto" w:fill="E2EFD9" w:themeFill="accent6" w:themeFillTint="33"/>
            <w:hideMark/>
          </w:tcPr>
          <w:p w:rsidR="0056473D" w:rsidRPr="00DB50B6" w:rsidRDefault="0056473D" w:rsidP="0056473D">
            <w:pPr>
              <w:jc w:val="both"/>
              <w:rPr>
                <w:rFonts w:eastAsiaTheme="minorHAnsi"/>
                <w:sz w:val="20"/>
                <w:szCs w:val="20"/>
              </w:rPr>
            </w:pPr>
            <w:r w:rsidRPr="00DB50B6">
              <w:rPr>
                <w:rFonts w:eastAsiaTheme="minorHAnsi"/>
                <w:b/>
                <w:bCs/>
                <w:sz w:val="20"/>
                <w:szCs w:val="20"/>
              </w:rPr>
              <w:t xml:space="preserve"> Total </w:t>
            </w:r>
          </w:p>
        </w:tc>
        <w:tc>
          <w:tcPr>
            <w:tcW w:w="686" w:type="pct"/>
            <w:shd w:val="clear" w:color="auto" w:fill="E2EFD9" w:themeFill="accent6" w:themeFillTint="33"/>
          </w:tcPr>
          <w:p w:rsidR="0056473D" w:rsidRPr="00DB50B6" w:rsidRDefault="008B0B23" w:rsidP="00004F3D">
            <w:pPr>
              <w:jc w:val="right"/>
              <w:rPr>
                <w:b/>
                <w:bCs/>
                <w:color w:val="000000"/>
                <w:kern w:val="24"/>
                <w:sz w:val="20"/>
                <w:szCs w:val="20"/>
              </w:rPr>
            </w:pPr>
            <w:r>
              <w:rPr>
                <w:b/>
                <w:bCs/>
                <w:color w:val="000000"/>
                <w:kern w:val="24"/>
                <w:sz w:val="20"/>
                <w:szCs w:val="20"/>
              </w:rPr>
              <w:t>18 023 260</w:t>
            </w:r>
          </w:p>
        </w:tc>
        <w:tc>
          <w:tcPr>
            <w:tcW w:w="605" w:type="pct"/>
            <w:shd w:val="clear" w:color="auto" w:fill="E2EFD9" w:themeFill="accent6" w:themeFillTint="33"/>
          </w:tcPr>
          <w:p w:rsidR="0056473D" w:rsidRPr="00DB50B6" w:rsidRDefault="006A6D50" w:rsidP="00004F3D">
            <w:pPr>
              <w:jc w:val="right"/>
              <w:rPr>
                <w:rFonts w:eastAsiaTheme="minorHAnsi"/>
                <w:sz w:val="20"/>
                <w:szCs w:val="20"/>
              </w:rPr>
            </w:pPr>
            <w:r>
              <w:rPr>
                <w:b/>
                <w:bCs/>
                <w:color w:val="000000"/>
                <w:kern w:val="24"/>
                <w:sz w:val="20"/>
                <w:szCs w:val="20"/>
              </w:rPr>
              <w:t>17 287 698</w:t>
            </w:r>
          </w:p>
        </w:tc>
        <w:tc>
          <w:tcPr>
            <w:tcW w:w="627" w:type="pct"/>
            <w:shd w:val="clear" w:color="auto" w:fill="E2EFD9" w:themeFill="accent6" w:themeFillTint="33"/>
          </w:tcPr>
          <w:p w:rsidR="0056473D" w:rsidRPr="00DB50B6" w:rsidRDefault="0063574E" w:rsidP="00004F3D">
            <w:pPr>
              <w:jc w:val="right"/>
              <w:rPr>
                <w:rFonts w:eastAsiaTheme="minorHAnsi"/>
                <w:sz w:val="20"/>
                <w:szCs w:val="20"/>
              </w:rPr>
            </w:pPr>
            <w:r>
              <w:rPr>
                <w:b/>
                <w:bCs/>
                <w:color w:val="000000"/>
                <w:kern w:val="24"/>
                <w:sz w:val="20"/>
                <w:szCs w:val="20"/>
              </w:rPr>
              <w:t>17 387 702</w:t>
            </w:r>
          </w:p>
        </w:tc>
        <w:tc>
          <w:tcPr>
            <w:tcW w:w="657" w:type="pct"/>
            <w:shd w:val="clear" w:color="auto" w:fill="E2EFD9" w:themeFill="accent6" w:themeFillTint="33"/>
          </w:tcPr>
          <w:p w:rsidR="0056473D" w:rsidRPr="00DB50B6" w:rsidRDefault="00486DD4" w:rsidP="00004F3D">
            <w:pPr>
              <w:jc w:val="right"/>
              <w:rPr>
                <w:rFonts w:eastAsiaTheme="minorHAnsi"/>
                <w:sz w:val="20"/>
                <w:szCs w:val="20"/>
              </w:rPr>
            </w:pPr>
            <w:r>
              <w:rPr>
                <w:b/>
                <w:bCs/>
                <w:color w:val="000000"/>
                <w:kern w:val="24"/>
                <w:sz w:val="20"/>
                <w:szCs w:val="20"/>
              </w:rPr>
              <w:t>18 168 574</w:t>
            </w:r>
          </w:p>
        </w:tc>
      </w:tr>
    </w:tbl>
    <w:p w:rsidR="00CA48BA" w:rsidRPr="00DB50B6" w:rsidRDefault="00DF6062" w:rsidP="00005CDE">
      <w:pPr>
        <w:spacing w:line="360" w:lineRule="auto"/>
        <w:rPr>
          <w:sz w:val="20"/>
          <w:szCs w:val="20"/>
        </w:rPr>
      </w:pPr>
      <w:r w:rsidRPr="00DB50B6">
        <w:rPr>
          <w:sz w:val="20"/>
          <w:szCs w:val="20"/>
        </w:rPr>
        <w:t xml:space="preserve">Source: DALRRD – </w:t>
      </w:r>
      <w:r w:rsidR="00C37EB6" w:rsidRPr="00DB50B6">
        <w:rPr>
          <w:sz w:val="20"/>
          <w:szCs w:val="20"/>
        </w:rPr>
        <w:t xml:space="preserve">Annual Performance Plan </w:t>
      </w:r>
      <w:r w:rsidRPr="00DB50B6">
        <w:rPr>
          <w:sz w:val="20"/>
          <w:szCs w:val="20"/>
        </w:rPr>
        <w:t>20</w:t>
      </w:r>
      <w:r w:rsidR="00C37EB6" w:rsidRPr="00DB50B6">
        <w:rPr>
          <w:sz w:val="20"/>
          <w:szCs w:val="20"/>
        </w:rPr>
        <w:t>2</w:t>
      </w:r>
      <w:r w:rsidR="00A24AA8">
        <w:rPr>
          <w:sz w:val="20"/>
          <w:szCs w:val="20"/>
        </w:rPr>
        <w:t>2</w:t>
      </w:r>
      <w:r w:rsidR="00C37EB6" w:rsidRPr="00DB50B6">
        <w:rPr>
          <w:sz w:val="20"/>
          <w:szCs w:val="20"/>
        </w:rPr>
        <w:t xml:space="preserve"> </w:t>
      </w:r>
      <w:r w:rsidR="00C03101">
        <w:rPr>
          <w:sz w:val="20"/>
          <w:szCs w:val="20"/>
        </w:rPr>
        <w:t>–</w:t>
      </w:r>
      <w:r w:rsidR="00C37EB6" w:rsidRPr="00DB50B6">
        <w:rPr>
          <w:sz w:val="20"/>
          <w:szCs w:val="20"/>
        </w:rPr>
        <w:t xml:space="preserve"> 202</w:t>
      </w:r>
      <w:r w:rsidR="00A24AA8">
        <w:rPr>
          <w:sz w:val="20"/>
          <w:szCs w:val="20"/>
        </w:rPr>
        <w:t>3</w:t>
      </w:r>
      <w:r w:rsidR="00C03101">
        <w:rPr>
          <w:sz w:val="20"/>
          <w:szCs w:val="20"/>
        </w:rPr>
        <w:t xml:space="preserve"> </w:t>
      </w:r>
    </w:p>
    <w:p w:rsidR="00A24AA8" w:rsidRDefault="00A24AA8" w:rsidP="00EC33C2">
      <w:pPr>
        <w:tabs>
          <w:tab w:val="left" w:pos="567"/>
          <w:tab w:val="left" w:pos="2012"/>
        </w:tabs>
        <w:autoSpaceDE w:val="0"/>
        <w:autoSpaceDN w:val="0"/>
        <w:adjustRightInd w:val="0"/>
        <w:spacing w:line="360" w:lineRule="auto"/>
        <w:ind w:left="567" w:hanging="567"/>
        <w:jc w:val="both"/>
        <w:rPr>
          <w:b/>
          <w:lang w:val="en-ZA"/>
        </w:rPr>
      </w:pPr>
    </w:p>
    <w:p w:rsidR="00F27C16" w:rsidRPr="005A669B" w:rsidRDefault="00F27C16" w:rsidP="00EC33C2">
      <w:pPr>
        <w:tabs>
          <w:tab w:val="left" w:pos="567"/>
          <w:tab w:val="left" w:pos="2012"/>
        </w:tabs>
        <w:autoSpaceDE w:val="0"/>
        <w:autoSpaceDN w:val="0"/>
        <w:adjustRightInd w:val="0"/>
        <w:spacing w:line="360" w:lineRule="auto"/>
        <w:ind w:left="567" w:hanging="567"/>
        <w:jc w:val="both"/>
        <w:rPr>
          <w:b/>
          <w:lang w:val="en-ZA"/>
        </w:rPr>
      </w:pPr>
      <w:r w:rsidRPr="005A669B">
        <w:rPr>
          <w:b/>
          <w:lang w:val="en-ZA"/>
        </w:rPr>
        <w:t>3.3</w:t>
      </w:r>
      <w:r w:rsidR="00783D31" w:rsidRPr="005A669B">
        <w:rPr>
          <w:b/>
          <w:lang w:val="en-ZA"/>
        </w:rPr>
        <w:tab/>
      </w:r>
      <w:r w:rsidR="002C4A08">
        <w:rPr>
          <w:b/>
          <w:lang w:val="en-ZA"/>
        </w:rPr>
        <w:t>O</w:t>
      </w:r>
      <w:r w:rsidRPr="005A669B">
        <w:rPr>
          <w:b/>
          <w:lang w:val="en-ZA"/>
        </w:rPr>
        <w:t>verview of the 202</w:t>
      </w:r>
      <w:r w:rsidR="00922CDB">
        <w:rPr>
          <w:b/>
          <w:lang w:val="en-ZA"/>
        </w:rPr>
        <w:t>2</w:t>
      </w:r>
      <w:r w:rsidR="00A24AA8">
        <w:rPr>
          <w:b/>
          <w:lang w:val="en-ZA"/>
        </w:rPr>
        <w:t>/23</w:t>
      </w:r>
      <w:r w:rsidRPr="005A669B">
        <w:rPr>
          <w:b/>
          <w:lang w:val="en-ZA"/>
        </w:rPr>
        <w:t xml:space="preserve"> Budget Allocations and </w:t>
      </w:r>
      <w:r w:rsidR="00837D03">
        <w:rPr>
          <w:b/>
          <w:lang w:val="en-ZA"/>
        </w:rPr>
        <w:t xml:space="preserve">Programme </w:t>
      </w:r>
      <w:r w:rsidRPr="005A669B">
        <w:rPr>
          <w:b/>
          <w:lang w:val="en-ZA"/>
        </w:rPr>
        <w:t>Performance Plans</w:t>
      </w:r>
    </w:p>
    <w:p w:rsidR="00F27C16" w:rsidRPr="005A669B" w:rsidRDefault="00F27C16" w:rsidP="00EC33C2">
      <w:pPr>
        <w:tabs>
          <w:tab w:val="left" w:pos="567"/>
          <w:tab w:val="left" w:pos="2012"/>
        </w:tabs>
        <w:autoSpaceDE w:val="0"/>
        <w:autoSpaceDN w:val="0"/>
        <w:adjustRightInd w:val="0"/>
        <w:spacing w:line="360" w:lineRule="auto"/>
        <w:ind w:left="567" w:hanging="567"/>
        <w:jc w:val="both"/>
        <w:rPr>
          <w:b/>
          <w:lang w:val="en-ZA"/>
        </w:rPr>
      </w:pPr>
    </w:p>
    <w:p w:rsidR="00F27C16" w:rsidRPr="005A669B" w:rsidRDefault="00F27C16" w:rsidP="00EC33C2">
      <w:pPr>
        <w:tabs>
          <w:tab w:val="left" w:pos="567"/>
          <w:tab w:val="left" w:pos="2012"/>
        </w:tabs>
        <w:autoSpaceDE w:val="0"/>
        <w:autoSpaceDN w:val="0"/>
        <w:adjustRightInd w:val="0"/>
        <w:spacing w:line="360" w:lineRule="auto"/>
        <w:ind w:left="567" w:hanging="567"/>
        <w:jc w:val="both"/>
        <w:rPr>
          <w:b/>
          <w:lang w:val="en-ZA"/>
        </w:rPr>
      </w:pPr>
      <w:r w:rsidRPr="005A669B">
        <w:rPr>
          <w:b/>
          <w:lang w:val="en-ZA"/>
        </w:rPr>
        <w:t>3.3.1</w:t>
      </w:r>
      <w:r w:rsidR="000C34C2" w:rsidRPr="005A669B">
        <w:rPr>
          <w:b/>
          <w:lang w:val="en-ZA"/>
        </w:rPr>
        <w:tab/>
      </w:r>
      <w:r w:rsidRPr="005A669B">
        <w:rPr>
          <w:b/>
          <w:lang w:val="en-ZA"/>
        </w:rPr>
        <w:t>Programme 1: Administration</w:t>
      </w:r>
    </w:p>
    <w:p w:rsidR="00F27C16" w:rsidRPr="005A669B" w:rsidRDefault="00F27C16" w:rsidP="00EC33C2">
      <w:pPr>
        <w:tabs>
          <w:tab w:val="left" w:pos="567"/>
          <w:tab w:val="left" w:pos="2012"/>
        </w:tabs>
        <w:autoSpaceDE w:val="0"/>
        <w:autoSpaceDN w:val="0"/>
        <w:adjustRightInd w:val="0"/>
        <w:spacing w:line="360" w:lineRule="auto"/>
        <w:ind w:left="567" w:hanging="567"/>
        <w:jc w:val="both"/>
        <w:rPr>
          <w:lang w:val="en-ZA"/>
        </w:rPr>
      </w:pPr>
    </w:p>
    <w:p w:rsidR="00C73CD0" w:rsidRDefault="00AF5874" w:rsidP="00AF5874">
      <w:pPr>
        <w:tabs>
          <w:tab w:val="left" w:pos="0"/>
          <w:tab w:val="left" w:pos="2012"/>
        </w:tabs>
        <w:autoSpaceDE w:val="0"/>
        <w:autoSpaceDN w:val="0"/>
        <w:adjustRightInd w:val="0"/>
        <w:spacing w:line="360" w:lineRule="auto"/>
        <w:jc w:val="both"/>
        <w:rPr>
          <w:lang w:val="en-ZA"/>
        </w:rPr>
      </w:pPr>
      <w:r w:rsidRPr="005A669B">
        <w:rPr>
          <w:lang w:val="en-ZA"/>
        </w:rPr>
        <w:t xml:space="preserve">The </w:t>
      </w:r>
      <w:r>
        <w:rPr>
          <w:lang w:val="en-ZA"/>
        </w:rPr>
        <w:t xml:space="preserve">Administration Programme </w:t>
      </w:r>
      <w:r w:rsidR="00333864" w:rsidRPr="005A669B">
        <w:rPr>
          <w:lang w:val="en-ZA"/>
        </w:rPr>
        <w:t>provide</w:t>
      </w:r>
      <w:r w:rsidR="00333864">
        <w:rPr>
          <w:lang w:val="en-ZA"/>
        </w:rPr>
        <w:t>s</w:t>
      </w:r>
      <w:r w:rsidR="00333864" w:rsidRPr="005A669B">
        <w:rPr>
          <w:lang w:val="en-ZA"/>
        </w:rPr>
        <w:t xml:space="preserve"> strategic leadership, management and support services to the Department.</w:t>
      </w:r>
      <w:r w:rsidR="00333864">
        <w:rPr>
          <w:lang w:val="en-ZA"/>
        </w:rPr>
        <w:t xml:space="preserve"> It </w:t>
      </w:r>
      <w:r>
        <w:rPr>
          <w:lang w:val="en-ZA"/>
        </w:rPr>
        <w:t xml:space="preserve">received </w:t>
      </w:r>
      <w:r w:rsidR="00A24AA8">
        <w:rPr>
          <w:lang w:val="en-ZA"/>
        </w:rPr>
        <w:t>20.6</w:t>
      </w:r>
      <w:r>
        <w:rPr>
          <w:lang w:val="en-ZA"/>
        </w:rPr>
        <w:t xml:space="preserve"> per cent</w:t>
      </w:r>
      <w:r w:rsidR="00A24AA8">
        <w:rPr>
          <w:lang w:val="en-ZA"/>
        </w:rPr>
        <w:t xml:space="preserve"> of the Department’s total budget</w:t>
      </w:r>
      <w:r>
        <w:rPr>
          <w:lang w:val="en-ZA"/>
        </w:rPr>
        <w:t xml:space="preserve">, </w:t>
      </w:r>
      <w:r w:rsidR="000042F4">
        <w:rPr>
          <w:lang w:val="en-ZA"/>
        </w:rPr>
        <w:t xml:space="preserve">which is </w:t>
      </w:r>
      <w:r w:rsidR="00917E93">
        <w:rPr>
          <w:lang w:val="en-ZA"/>
        </w:rPr>
        <w:t xml:space="preserve">an increase of </w:t>
      </w:r>
      <w:r w:rsidR="00A24AA8">
        <w:rPr>
          <w:lang w:val="en-ZA"/>
        </w:rPr>
        <w:t xml:space="preserve">approximately 5 per cent </w:t>
      </w:r>
      <w:r w:rsidR="00917E93">
        <w:rPr>
          <w:lang w:val="en-ZA"/>
        </w:rPr>
        <w:t>f</w:t>
      </w:r>
      <w:r w:rsidR="00A24AA8">
        <w:rPr>
          <w:lang w:val="en-ZA"/>
        </w:rPr>
        <w:t xml:space="preserve">rom the prior year and </w:t>
      </w:r>
      <w:r>
        <w:rPr>
          <w:lang w:val="en-ZA"/>
        </w:rPr>
        <w:t>the second largest allocation of the Department’s total appropriation</w:t>
      </w:r>
      <w:r w:rsidR="000042F4">
        <w:rPr>
          <w:lang w:val="en-ZA"/>
        </w:rPr>
        <w:t xml:space="preserve"> for 2022/23</w:t>
      </w:r>
      <w:r>
        <w:rPr>
          <w:lang w:val="en-ZA"/>
        </w:rPr>
        <w:t xml:space="preserve">. </w:t>
      </w:r>
      <w:r w:rsidR="00EB0527">
        <w:rPr>
          <w:lang w:val="en-ZA"/>
        </w:rPr>
        <w:t>For a Programme that receives the second largest appropriation</w:t>
      </w:r>
      <w:r>
        <w:rPr>
          <w:lang w:val="en-ZA"/>
        </w:rPr>
        <w:t xml:space="preserve"> </w:t>
      </w:r>
      <w:r w:rsidR="00BC6C5F">
        <w:rPr>
          <w:lang w:val="en-ZA"/>
        </w:rPr>
        <w:t>from</w:t>
      </w:r>
      <w:r w:rsidR="00EB0527">
        <w:rPr>
          <w:lang w:val="en-ZA"/>
        </w:rPr>
        <w:t xml:space="preserve"> the Vote</w:t>
      </w:r>
      <w:r w:rsidR="007D0DA2">
        <w:rPr>
          <w:lang w:val="en-ZA"/>
        </w:rPr>
        <w:t xml:space="preserve"> and where 46 per cent of the Department’s </w:t>
      </w:r>
      <w:r w:rsidR="004B4493">
        <w:rPr>
          <w:lang w:val="en-ZA"/>
        </w:rPr>
        <w:t xml:space="preserve">personnel </w:t>
      </w:r>
      <w:r w:rsidR="007D0DA2">
        <w:rPr>
          <w:lang w:val="en-ZA"/>
        </w:rPr>
        <w:t>are located</w:t>
      </w:r>
      <w:r w:rsidR="00EB0527">
        <w:rPr>
          <w:lang w:val="en-ZA"/>
        </w:rPr>
        <w:t>, the performance targets for the Admin</w:t>
      </w:r>
      <w:r w:rsidR="00CC4D15">
        <w:rPr>
          <w:lang w:val="en-ZA"/>
        </w:rPr>
        <w:t>i</w:t>
      </w:r>
      <w:r w:rsidR="00EB0527">
        <w:rPr>
          <w:lang w:val="en-ZA"/>
        </w:rPr>
        <w:t xml:space="preserve">stration Programme are not aligned with the financial resources allocated. </w:t>
      </w:r>
      <w:r w:rsidR="007D0DA2">
        <w:rPr>
          <w:lang w:val="en-ZA"/>
        </w:rPr>
        <w:t>Approximately 57 per cent</w:t>
      </w:r>
      <w:r w:rsidR="004B4493">
        <w:rPr>
          <w:lang w:val="en-ZA"/>
        </w:rPr>
        <w:t xml:space="preserve"> (R2 billion)</w:t>
      </w:r>
      <w:r w:rsidR="007D0DA2">
        <w:rPr>
          <w:lang w:val="en-ZA"/>
        </w:rPr>
        <w:t xml:space="preserve"> of the Administration Programme’s total budget will go to compensation of employees</w:t>
      </w:r>
      <w:r w:rsidR="004B4493">
        <w:rPr>
          <w:lang w:val="en-ZA"/>
        </w:rPr>
        <w:t>.</w:t>
      </w:r>
      <w:r w:rsidR="007D0DA2">
        <w:rPr>
          <w:lang w:val="en-ZA"/>
        </w:rPr>
        <w:t xml:space="preserve"> </w:t>
      </w:r>
      <w:r w:rsidR="000042F4">
        <w:rPr>
          <w:lang w:val="en-ZA"/>
        </w:rPr>
        <w:t>The Programme has only two targets</w:t>
      </w:r>
      <w:r w:rsidR="004B4493">
        <w:rPr>
          <w:lang w:val="en-ZA"/>
        </w:rPr>
        <w:t>, viz</w:t>
      </w:r>
      <w:r w:rsidR="000042F4">
        <w:rPr>
          <w:lang w:val="en-ZA"/>
        </w:rPr>
        <w:t>.</w:t>
      </w:r>
      <w:r w:rsidR="004B4493">
        <w:rPr>
          <w:lang w:val="en-ZA"/>
        </w:rPr>
        <w:t xml:space="preserve"> attaining an unqualified audit opinion on financial statements and paying 100 per cent of invoices within 30 days, a target it failed to achieve in the past two years. </w:t>
      </w:r>
      <w:r w:rsidR="000042F4">
        <w:rPr>
          <w:lang w:val="en-ZA"/>
        </w:rPr>
        <w:t xml:space="preserve"> </w:t>
      </w:r>
      <w:r w:rsidR="00CC4D15">
        <w:rPr>
          <w:lang w:val="en-ZA"/>
        </w:rPr>
        <w:t xml:space="preserve">As Administration is responsible for strategic leadership, management and support services to the entire Department, </w:t>
      </w:r>
      <w:r w:rsidR="004B4493">
        <w:rPr>
          <w:lang w:val="en-ZA"/>
        </w:rPr>
        <w:t xml:space="preserve">more </w:t>
      </w:r>
      <w:r w:rsidR="00E440C4">
        <w:rPr>
          <w:lang w:val="en-ZA"/>
        </w:rPr>
        <w:t>s</w:t>
      </w:r>
      <w:r w:rsidR="00BC6C5F">
        <w:rPr>
          <w:lang w:val="en-ZA"/>
        </w:rPr>
        <w:t>pecific</w:t>
      </w:r>
      <w:r w:rsidR="004B4493">
        <w:rPr>
          <w:lang w:val="en-ZA"/>
        </w:rPr>
        <w:t xml:space="preserve"> performance indicators</w:t>
      </w:r>
      <w:r w:rsidR="00BC6C5F">
        <w:rPr>
          <w:lang w:val="en-ZA"/>
        </w:rPr>
        <w:t xml:space="preserve"> would have been </w:t>
      </w:r>
      <w:r w:rsidR="00D73F53">
        <w:rPr>
          <w:lang w:val="en-ZA"/>
        </w:rPr>
        <w:t>expected particul</w:t>
      </w:r>
      <w:r w:rsidR="00BC6C5F">
        <w:rPr>
          <w:lang w:val="en-ZA"/>
        </w:rPr>
        <w:t>a</w:t>
      </w:r>
      <w:r w:rsidR="00D73F53">
        <w:rPr>
          <w:lang w:val="en-ZA"/>
        </w:rPr>
        <w:t>r</w:t>
      </w:r>
      <w:r w:rsidR="00BC6C5F">
        <w:rPr>
          <w:lang w:val="en-ZA"/>
        </w:rPr>
        <w:t>ly</w:t>
      </w:r>
      <w:r w:rsidR="009B785A">
        <w:rPr>
          <w:lang w:val="en-ZA"/>
        </w:rPr>
        <w:t xml:space="preserve"> for </w:t>
      </w:r>
      <w:r w:rsidR="00917E93">
        <w:rPr>
          <w:lang w:val="en-ZA"/>
        </w:rPr>
        <w:t>the Provincial Operations and the Corporate Services sub-programme</w:t>
      </w:r>
      <w:r w:rsidR="004B4493">
        <w:rPr>
          <w:lang w:val="en-ZA"/>
        </w:rPr>
        <w:t>s</w:t>
      </w:r>
      <w:r w:rsidR="00917E93">
        <w:rPr>
          <w:lang w:val="en-ZA"/>
        </w:rPr>
        <w:t xml:space="preserve"> that both receive the lion’s share of the Programme’s budget</w:t>
      </w:r>
      <w:r w:rsidR="0067392D">
        <w:rPr>
          <w:lang w:val="en-ZA"/>
        </w:rPr>
        <w:t xml:space="preserve"> </w:t>
      </w:r>
      <w:r w:rsidR="00917E93">
        <w:rPr>
          <w:lang w:val="en-ZA"/>
        </w:rPr>
        <w:t xml:space="preserve">for the year under review. </w:t>
      </w:r>
      <w:r w:rsidR="0067392D">
        <w:rPr>
          <w:lang w:val="en-ZA"/>
        </w:rPr>
        <w:t xml:space="preserve">As illustrated on Table 3, the Provincial Operations sub-programme is allocated approximately 37 per cent of the Administration budget followed by Corporate Services, which </w:t>
      </w:r>
      <w:r w:rsidR="0067392D" w:rsidRPr="002C4A08">
        <w:rPr>
          <w:lang w:val="en-ZA"/>
        </w:rPr>
        <w:t>account</w:t>
      </w:r>
      <w:r w:rsidR="0067392D">
        <w:rPr>
          <w:lang w:val="en-ZA"/>
        </w:rPr>
        <w:t>s</w:t>
      </w:r>
      <w:r w:rsidR="0067392D" w:rsidRPr="002C4A08">
        <w:rPr>
          <w:lang w:val="en-ZA"/>
        </w:rPr>
        <w:t xml:space="preserve"> for</w:t>
      </w:r>
      <w:r w:rsidR="0067392D">
        <w:rPr>
          <w:lang w:val="en-ZA"/>
        </w:rPr>
        <w:t xml:space="preserve"> approximately 29 per cent of</w:t>
      </w:r>
      <w:r w:rsidR="0067392D" w:rsidRPr="002C4A08">
        <w:rPr>
          <w:lang w:val="en-ZA"/>
        </w:rPr>
        <w:t xml:space="preserve"> the</w:t>
      </w:r>
      <w:r w:rsidR="0067392D">
        <w:rPr>
          <w:lang w:val="en-ZA"/>
        </w:rPr>
        <w:t xml:space="preserve"> Programme</w:t>
      </w:r>
      <w:r w:rsidR="0067392D" w:rsidRPr="002C4A08">
        <w:rPr>
          <w:lang w:val="en-ZA"/>
        </w:rPr>
        <w:t xml:space="preserve"> budget</w:t>
      </w:r>
      <w:r w:rsidR="0067392D">
        <w:rPr>
          <w:lang w:val="en-ZA"/>
        </w:rPr>
        <w:t xml:space="preserve">.  </w:t>
      </w:r>
    </w:p>
    <w:p w:rsidR="00C73CD0" w:rsidRDefault="00C73CD0" w:rsidP="00AF5874">
      <w:pPr>
        <w:tabs>
          <w:tab w:val="left" w:pos="0"/>
          <w:tab w:val="left" w:pos="2012"/>
        </w:tabs>
        <w:autoSpaceDE w:val="0"/>
        <w:autoSpaceDN w:val="0"/>
        <w:adjustRightInd w:val="0"/>
        <w:spacing w:line="360" w:lineRule="auto"/>
        <w:jc w:val="both"/>
        <w:rPr>
          <w:lang w:val="en-ZA"/>
        </w:rPr>
      </w:pPr>
    </w:p>
    <w:p w:rsidR="00AF5874" w:rsidRDefault="00634954" w:rsidP="004B4493">
      <w:pPr>
        <w:tabs>
          <w:tab w:val="left" w:pos="0"/>
          <w:tab w:val="left" w:pos="2012"/>
        </w:tabs>
        <w:autoSpaceDE w:val="0"/>
        <w:autoSpaceDN w:val="0"/>
        <w:adjustRightInd w:val="0"/>
        <w:spacing w:line="360" w:lineRule="auto"/>
        <w:jc w:val="both"/>
        <w:rPr>
          <w:lang w:val="en-ZA"/>
        </w:rPr>
      </w:pPr>
      <w:r>
        <w:rPr>
          <w:lang w:val="en-ZA"/>
        </w:rPr>
        <w:t>F</w:t>
      </w:r>
      <w:r w:rsidR="00743E26">
        <w:rPr>
          <w:lang w:val="en-ZA"/>
        </w:rPr>
        <w:t>or the Provincial Operations sub-programme</w:t>
      </w:r>
      <w:r w:rsidR="00E60730">
        <w:rPr>
          <w:lang w:val="en-ZA"/>
        </w:rPr>
        <w:t xml:space="preserve"> that receives the </w:t>
      </w:r>
      <w:r w:rsidR="00EC11AD">
        <w:rPr>
          <w:lang w:val="en-ZA"/>
        </w:rPr>
        <w:t>largest</w:t>
      </w:r>
      <w:r w:rsidR="00E60730">
        <w:rPr>
          <w:lang w:val="en-ZA"/>
        </w:rPr>
        <w:t xml:space="preserve"> allocation of the Programme’s budget,</w:t>
      </w:r>
      <w:r w:rsidR="00743E26">
        <w:rPr>
          <w:lang w:val="en-ZA"/>
        </w:rPr>
        <w:t xml:space="preserve"> </w:t>
      </w:r>
      <w:r w:rsidR="00071592">
        <w:rPr>
          <w:lang w:val="en-ZA"/>
        </w:rPr>
        <w:t xml:space="preserve">specific targets would have been expected </w:t>
      </w:r>
      <w:r w:rsidR="00743E26">
        <w:rPr>
          <w:lang w:val="en-ZA"/>
        </w:rPr>
        <w:t>in respect of strengthening monitoring and evaluation (M&amp;E) of projects that are implemented by provinces</w:t>
      </w:r>
      <w:r w:rsidR="004816AC">
        <w:rPr>
          <w:lang w:val="en-ZA"/>
        </w:rPr>
        <w:t xml:space="preserve"> and other service providers</w:t>
      </w:r>
      <w:r w:rsidR="00071592">
        <w:rPr>
          <w:lang w:val="en-ZA"/>
        </w:rPr>
        <w:t>, a wea</w:t>
      </w:r>
      <w:r w:rsidR="00481881">
        <w:rPr>
          <w:lang w:val="en-ZA"/>
        </w:rPr>
        <w:t>kness that has also been</w:t>
      </w:r>
      <w:r w:rsidR="00E60730">
        <w:rPr>
          <w:lang w:val="en-ZA"/>
        </w:rPr>
        <w:t xml:space="preserve"> previously </w:t>
      </w:r>
      <w:r w:rsidR="00481881">
        <w:rPr>
          <w:lang w:val="en-ZA"/>
        </w:rPr>
        <w:t>acknow</w:t>
      </w:r>
      <w:r w:rsidR="00071592">
        <w:rPr>
          <w:lang w:val="en-ZA"/>
        </w:rPr>
        <w:t>ledged by</w:t>
      </w:r>
      <w:r w:rsidR="00E60730">
        <w:rPr>
          <w:lang w:val="en-ZA"/>
        </w:rPr>
        <w:t xml:space="preserve"> both the Committee and</w:t>
      </w:r>
      <w:r w:rsidR="00071592">
        <w:rPr>
          <w:lang w:val="en-ZA"/>
        </w:rPr>
        <w:t xml:space="preserve"> the Executive Authority</w:t>
      </w:r>
      <w:r w:rsidR="00CC4D15">
        <w:rPr>
          <w:lang w:val="en-ZA"/>
        </w:rPr>
        <w:t xml:space="preserve">. </w:t>
      </w:r>
      <w:r w:rsidR="00BC6C5F">
        <w:rPr>
          <w:lang w:val="en-ZA"/>
        </w:rPr>
        <w:t xml:space="preserve"> </w:t>
      </w:r>
      <w:r w:rsidR="00C73CD0">
        <w:rPr>
          <w:lang w:val="en-ZA"/>
        </w:rPr>
        <w:t xml:space="preserve">The Committee emphasised a need for stringent M&amp;E </w:t>
      </w:r>
      <w:r w:rsidR="00497454">
        <w:rPr>
          <w:lang w:val="en-ZA"/>
        </w:rPr>
        <w:t xml:space="preserve">mechanism </w:t>
      </w:r>
      <w:r w:rsidR="00C73CD0">
        <w:rPr>
          <w:lang w:val="en-ZA"/>
        </w:rPr>
        <w:t>with a renewed focus on project management, including monitoring of u</w:t>
      </w:r>
      <w:r w:rsidR="00497454">
        <w:rPr>
          <w:lang w:val="en-ZA"/>
        </w:rPr>
        <w:t xml:space="preserve">tilisation </w:t>
      </w:r>
      <w:r w:rsidR="00C73CD0">
        <w:rPr>
          <w:lang w:val="en-ZA"/>
        </w:rPr>
        <w:t>of grant funding awarded to projects a</w:t>
      </w:r>
      <w:r w:rsidR="00497454">
        <w:rPr>
          <w:lang w:val="en-ZA"/>
        </w:rPr>
        <w:t xml:space="preserve">s well as </w:t>
      </w:r>
      <w:r w:rsidR="00C73CD0">
        <w:rPr>
          <w:lang w:val="en-ZA"/>
        </w:rPr>
        <w:t xml:space="preserve">assessment of </w:t>
      </w:r>
      <w:r w:rsidR="00497454">
        <w:rPr>
          <w:lang w:val="en-ZA"/>
        </w:rPr>
        <w:t xml:space="preserve">the </w:t>
      </w:r>
      <w:r w:rsidR="00C73CD0">
        <w:rPr>
          <w:lang w:val="en-ZA"/>
        </w:rPr>
        <w:t>socio-economic impact of programmes and projects funded by the Department.</w:t>
      </w:r>
      <w:r w:rsidR="00E60730">
        <w:rPr>
          <w:lang w:val="en-ZA"/>
        </w:rPr>
        <w:t xml:space="preserve"> </w:t>
      </w:r>
      <w:r w:rsidR="004B4493">
        <w:rPr>
          <w:lang w:val="en-ZA"/>
        </w:rPr>
        <w:t>For the Corporate Services sub-programme, renew</w:t>
      </w:r>
      <w:r w:rsidR="0067392D">
        <w:rPr>
          <w:lang w:val="en-ZA"/>
        </w:rPr>
        <w:t>e</w:t>
      </w:r>
      <w:r w:rsidR="004B4493">
        <w:rPr>
          <w:lang w:val="en-ZA"/>
        </w:rPr>
        <w:t xml:space="preserve">d focus on legislative and policy review, initiatives to address lack of consequence management and </w:t>
      </w:r>
      <w:r w:rsidR="0067392D">
        <w:rPr>
          <w:lang w:val="en-ZA"/>
        </w:rPr>
        <w:t>strengthen</w:t>
      </w:r>
      <w:r w:rsidR="004B4493">
        <w:rPr>
          <w:lang w:val="en-ZA"/>
        </w:rPr>
        <w:t xml:space="preserve"> </w:t>
      </w:r>
      <w:r w:rsidR="0067392D">
        <w:rPr>
          <w:lang w:val="en-ZA"/>
        </w:rPr>
        <w:t xml:space="preserve">internal control deficiencies and other audit findings that have been highlighted by the Auditor-General of South Africa in previous years. </w:t>
      </w:r>
    </w:p>
    <w:p w:rsidR="00E60730" w:rsidRPr="002C4A08" w:rsidRDefault="00E60730" w:rsidP="00AF5874">
      <w:pPr>
        <w:tabs>
          <w:tab w:val="left" w:pos="0"/>
          <w:tab w:val="left" w:pos="2012"/>
        </w:tabs>
        <w:autoSpaceDE w:val="0"/>
        <w:autoSpaceDN w:val="0"/>
        <w:adjustRightInd w:val="0"/>
        <w:spacing w:line="360" w:lineRule="auto"/>
        <w:jc w:val="both"/>
        <w:rPr>
          <w:lang w:val="en-ZA"/>
        </w:rPr>
      </w:pPr>
    </w:p>
    <w:p w:rsidR="00F27C16" w:rsidRPr="005A669B" w:rsidRDefault="00F27C16" w:rsidP="00EC33C2">
      <w:pPr>
        <w:spacing w:line="360" w:lineRule="auto"/>
        <w:ind w:left="426" w:hanging="426"/>
        <w:jc w:val="both"/>
        <w:rPr>
          <w:b/>
          <w:lang w:val="en-ZA"/>
        </w:rPr>
      </w:pPr>
      <w:r w:rsidRPr="005A669B">
        <w:rPr>
          <w:b/>
          <w:lang w:val="en-ZA"/>
        </w:rPr>
        <w:t xml:space="preserve">3.3.2 Programme 2: Agricultural Production, </w:t>
      </w:r>
      <w:r w:rsidR="009720C2">
        <w:rPr>
          <w:b/>
          <w:lang w:val="en-ZA"/>
        </w:rPr>
        <w:t xml:space="preserve">Biosecurity and </w:t>
      </w:r>
      <w:r w:rsidRPr="005A669B">
        <w:rPr>
          <w:b/>
          <w:lang w:val="en-ZA"/>
        </w:rPr>
        <w:t>Resources</w:t>
      </w:r>
      <w:r w:rsidR="009720C2">
        <w:rPr>
          <w:b/>
          <w:lang w:val="en-ZA"/>
        </w:rPr>
        <w:t xml:space="preserve"> M</w:t>
      </w:r>
      <w:r w:rsidRPr="005A669B">
        <w:rPr>
          <w:b/>
          <w:lang w:val="en-ZA"/>
        </w:rPr>
        <w:t>anagement</w:t>
      </w:r>
    </w:p>
    <w:p w:rsidR="00AF5874" w:rsidRDefault="00F27C16" w:rsidP="00AF5874">
      <w:pPr>
        <w:autoSpaceDE w:val="0"/>
        <w:autoSpaceDN w:val="0"/>
        <w:adjustRightInd w:val="0"/>
        <w:spacing w:line="360" w:lineRule="auto"/>
        <w:jc w:val="both"/>
        <w:rPr>
          <w:lang w:val="en-ZA"/>
        </w:rPr>
      </w:pPr>
      <w:r w:rsidRPr="005A669B">
        <w:rPr>
          <w:lang w:val="en-ZA"/>
        </w:rPr>
        <w:lastRenderedPageBreak/>
        <w:t xml:space="preserve"> </w:t>
      </w:r>
    </w:p>
    <w:p w:rsidR="00701619" w:rsidRDefault="00333864" w:rsidP="009720C2">
      <w:pPr>
        <w:autoSpaceDE w:val="0"/>
        <w:autoSpaceDN w:val="0"/>
        <w:adjustRightInd w:val="0"/>
        <w:spacing w:line="360" w:lineRule="auto"/>
        <w:jc w:val="both"/>
      </w:pPr>
      <w:r>
        <w:rPr>
          <w:lang w:val="en-ZA" w:eastAsia="en-ZA"/>
        </w:rPr>
        <w:t xml:space="preserve">The purpose of this Programme </w:t>
      </w:r>
      <w:r w:rsidRPr="005A669B">
        <w:rPr>
          <w:lang w:val="en-ZA" w:eastAsia="en-ZA"/>
        </w:rPr>
        <w:t xml:space="preserve">is to oversee livestock production, game farming, animal and </w:t>
      </w:r>
      <w:r>
        <w:rPr>
          <w:lang w:val="en-ZA" w:eastAsia="en-ZA"/>
        </w:rPr>
        <w:t>plant health, natural resources</w:t>
      </w:r>
      <w:r w:rsidRPr="005A669B">
        <w:rPr>
          <w:lang w:val="en-ZA" w:eastAsia="en-ZA"/>
        </w:rPr>
        <w:t xml:space="preserve"> and disaster management.</w:t>
      </w:r>
      <w:r>
        <w:rPr>
          <w:lang w:val="en-ZA" w:eastAsia="en-ZA"/>
        </w:rPr>
        <w:t xml:space="preserve"> </w:t>
      </w:r>
      <w:r w:rsidR="00AF5874">
        <w:t>Programme</w:t>
      </w:r>
      <w:r w:rsidR="002069A0">
        <w:t xml:space="preserve"> 2</w:t>
      </w:r>
      <w:r w:rsidR="007F748F">
        <w:t xml:space="preserve"> received the third largest allocation of </w:t>
      </w:r>
      <w:r w:rsidR="000042F4">
        <w:t>approximately R2.5 billion</w:t>
      </w:r>
      <w:r w:rsidR="00871098">
        <w:t xml:space="preserve"> (Table 3)</w:t>
      </w:r>
      <w:r w:rsidR="007F748F">
        <w:t xml:space="preserve">, </w:t>
      </w:r>
      <w:r w:rsidR="00871098">
        <w:t>which is R1 billion less than Administration</w:t>
      </w:r>
      <w:r w:rsidR="0067392D">
        <w:t>;</w:t>
      </w:r>
      <w:r w:rsidR="00871098">
        <w:t xml:space="preserve"> and approximately 14 per cent of the </w:t>
      </w:r>
      <w:r w:rsidR="0067392D">
        <w:t>total V</w:t>
      </w:r>
      <w:r w:rsidR="00871098">
        <w:t xml:space="preserve">ote appropriation. </w:t>
      </w:r>
      <w:r w:rsidR="00CE6321">
        <w:t xml:space="preserve">Despite its important role in promoting agricultural production, managing biosecurity and sector related risks, plant and animal diseases and pests including disasters, </w:t>
      </w:r>
      <w:r w:rsidR="00871098">
        <w:t>Programme 2’s budget allocation has been stagnant and will further decline by an average of 1 per cent over the MTEF period</w:t>
      </w:r>
      <w:r w:rsidR="00CE6321">
        <w:t xml:space="preserve">. </w:t>
      </w:r>
      <w:r w:rsidR="00AF5874">
        <w:t>A</w:t>
      </w:r>
      <w:r w:rsidR="009B244B">
        <w:t xml:space="preserve">pproximately 47.5 per cent </w:t>
      </w:r>
      <w:r w:rsidR="00AF5874">
        <w:t xml:space="preserve">of the Programme’s budget </w:t>
      </w:r>
      <w:r w:rsidR="009B244B">
        <w:t xml:space="preserve">is the Parliamentary Grant </w:t>
      </w:r>
      <w:r w:rsidR="00E628F0">
        <w:t>transfer</w:t>
      </w:r>
      <w:r w:rsidR="00AF5874">
        <w:t xml:space="preserve"> to the Agricultural Research Council (ARC)</w:t>
      </w:r>
      <w:r w:rsidR="009B244B">
        <w:t xml:space="preserve">. In terms of the sub-programmes, </w:t>
      </w:r>
      <w:r w:rsidR="00E628F0">
        <w:t>the</w:t>
      </w:r>
      <w:r w:rsidR="00AF5874">
        <w:t xml:space="preserve"> Quarantine and Inspection Services sub-programme </w:t>
      </w:r>
      <w:r w:rsidR="009B244B">
        <w:t>receives</w:t>
      </w:r>
      <w:r w:rsidR="008A109E">
        <w:t xml:space="preserve"> 18 per cent of the Programme’s total budget, which is the second </w:t>
      </w:r>
      <w:r w:rsidR="009B244B">
        <w:t xml:space="preserve">largest allocation </w:t>
      </w:r>
      <w:r w:rsidR="008A109E">
        <w:t xml:space="preserve">within the Programme </w:t>
      </w:r>
      <w:r w:rsidR="009B244B">
        <w:t xml:space="preserve">after the ARC </w:t>
      </w:r>
      <w:r w:rsidR="008A109E">
        <w:t xml:space="preserve">(Table 3). </w:t>
      </w:r>
      <w:r w:rsidR="00D327A8">
        <w:t>However, allocations to the ARC and the latter sub-programme</w:t>
      </w:r>
      <w:r w:rsidR="008A109E">
        <w:t xml:space="preserve"> will also be impacted by the decline in the Programme’s </w:t>
      </w:r>
      <w:r w:rsidR="00D327A8">
        <w:t xml:space="preserve">budget allocation </w:t>
      </w:r>
      <w:r w:rsidR="008A109E">
        <w:t>o</w:t>
      </w:r>
      <w:r w:rsidR="00D327A8">
        <w:t>ver the MTE</w:t>
      </w:r>
      <w:r w:rsidR="008A109E">
        <w:t>F</w:t>
      </w:r>
      <w:r w:rsidR="00D327A8">
        <w:t xml:space="preserve"> period</w:t>
      </w:r>
      <w:r w:rsidR="008A109E">
        <w:t>.</w:t>
      </w:r>
      <w:r w:rsidR="007070F2">
        <w:t xml:space="preserve"> </w:t>
      </w:r>
      <w:r w:rsidR="00D327A8">
        <w:t xml:space="preserve">  </w:t>
      </w:r>
      <w:r w:rsidR="00AF5874">
        <w:t xml:space="preserve"> </w:t>
      </w:r>
    </w:p>
    <w:p w:rsidR="00701619" w:rsidRDefault="00701619" w:rsidP="009720C2">
      <w:pPr>
        <w:autoSpaceDE w:val="0"/>
        <w:autoSpaceDN w:val="0"/>
        <w:adjustRightInd w:val="0"/>
        <w:spacing w:line="360" w:lineRule="auto"/>
        <w:jc w:val="both"/>
      </w:pPr>
    </w:p>
    <w:p w:rsidR="00AF5874" w:rsidRDefault="008A109E" w:rsidP="009720C2">
      <w:pPr>
        <w:autoSpaceDE w:val="0"/>
        <w:autoSpaceDN w:val="0"/>
        <w:adjustRightInd w:val="0"/>
        <w:spacing w:line="360" w:lineRule="auto"/>
        <w:jc w:val="both"/>
        <w:rPr>
          <w:b/>
        </w:rPr>
      </w:pPr>
      <w:r>
        <w:t>While t</w:t>
      </w:r>
      <w:r w:rsidR="00B94C51">
        <w:t xml:space="preserve">he focus on Biosecurity as a sub-programme was welcomed </w:t>
      </w:r>
      <w:r>
        <w:t>in the previous year,</w:t>
      </w:r>
      <w:r w:rsidR="00B94C51">
        <w:t xml:space="preserve"> </w:t>
      </w:r>
      <w:r>
        <w:t>there was</w:t>
      </w:r>
      <w:r w:rsidR="0067392D">
        <w:t>,</w:t>
      </w:r>
      <w:r>
        <w:t xml:space="preserve"> and there still </w:t>
      </w:r>
      <w:r w:rsidR="004E5A88">
        <w:t>is</w:t>
      </w:r>
      <w:r w:rsidR="0067392D">
        <w:t>,</w:t>
      </w:r>
      <w:r w:rsidR="004E5A88">
        <w:t xml:space="preserve"> a concern with the</w:t>
      </w:r>
      <w:r w:rsidR="00B94C51">
        <w:t xml:space="preserve"> small budget allocation </w:t>
      </w:r>
      <w:r w:rsidR="007070F2">
        <w:t xml:space="preserve">of R3.3 million (0.1 per cent of the Programme 2’s total allocation) </w:t>
      </w:r>
      <w:r w:rsidR="00B94C51">
        <w:t>in light of the continuing disease outbreaks particularly the foot-and-mouth disease (FMD), which is costing the livestock industry significant losses in export revenue</w:t>
      </w:r>
      <w:r w:rsidR="00FE05F9">
        <w:t xml:space="preserve">. </w:t>
      </w:r>
      <w:r w:rsidR="002B4B98">
        <w:t xml:space="preserve">There also </w:t>
      </w:r>
      <w:r w:rsidR="00374DFE">
        <w:t>plant pests outbreaks such as fall armyworm and brown locusts</w:t>
      </w:r>
      <w:r w:rsidR="00FE05F9">
        <w:t xml:space="preserve"> that are not included in the APP for surveillance</w:t>
      </w:r>
      <w:r w:rsidR="004354A3">
        <w:t>;</w:t>
      </w:r>
      <w:r w:rsidR="00374DFE">
        <w:t xml:space="preserve"> </w:t>
      </w:r>
      <w:r w:rsidR="00B94C51">
        <w:t>as well as the recent outbreak of Avian influenza</w:t>
      </w:r>
      <w:r w:rsidR="00FE05F9">
        <w:t xml:space="preserve"> (flu)</w:t>
      </w:r>
      <w:r w:rsidR="00B94C51">
        <w:t xml:space="preserve">, which has a negative impact on the </w:t>
      </w:r>
      <w:r w:rsidR="00EF7764">
        <w:t xml:space="preserve">growth and sustainability of the </w:t>
      </w:r>
      <w:r w:rsidR="00B94C51">
        <w:t>poultry indust</w:t>
      </w:r>
      <w:r w:rsidR="00C946D0">
        <w:t>r</w:t>
      </w:r>
      <w:r w:rsidR="00B94C51">
        <w:t xml:space="preserve">y. </w:t>
      </w:r>
      <w:r w:rsidR="00EF7764">
        <w:t xml:space="preserve">Both </w:t>
      </w:r>
      <w:r w:rsidR="00374DFE">
        <w:t xml:space="preserve">FMD and Avian flu </w:t>
      </w:r>
      <w:r w:rsidR="00EF7764">
        <w:t>have a negative and significa</w:t>
      </w:r>
      <w:r w:rsidR="00C946D0">
        <w:t>n</w:t>
      </w:r>
      <w:r w:rsidR="00EF7764">
        <w:t xml:space="preserve">t impact on sector employment and job creation. </w:t>
      </w:r>
      <w:r w:rsidR="00E82676">
        <w:t xml:space="preserve">In light of the frequency of climate change related natural disasters, </w:t>
      </w:r>
      <w:r w:rsidR="007A651F">
        <w:t xml:space="preserve">a significant budget allocation </w:t>
      </w:r>
      <w:r w:rsidR="00FE05F9">
        <w:t>was e</w:t>
      </w:r>
      <w:r w:rsidR="007A651F">
        <w:t>xpected for the Resources and Disaster Management sub-programme, which plays a central role in the implementation of policies and frameworks to mitigate disasters in rural and agricultural areas.  The</w:t>
      </w:r>
      <w:r w:rsidR="00FE05F9">
        <w:t>re is a concern with the</w:t>
      </w:r>
      <w:r w:rsidR="007A651F">
        <w:t xml:space="preserve"> </w:t>
      </w:r>
      <w:r w:rsidR="008B2431">
        <w:t xml:space="preserve">MTEF </w:t>
      </w:r>
      <w:r w:rsidR="00FE05F9">
        <w:t xml:space="preserve">decline in the allocation to the latter </w:t>
      </w:r>
      <w:r w:rsidR="007A651F">
        <w:t>sub-programme</w:t>
      </w:r>
      <w:r w:rsidR="00FE05F9">
        <w:t>, which</w:t>
      </w:r>
      <w:r w:rsidR="007A651F">
        <w:t xml:space="preserve"> received R2</w:t>
      </w:r>
      <w:r w:rsidR="00FE05F9">
        <w:t>8</w:t>
      </w:r>
      <w:r w:rsidR="007A651F">
        <w:t>7 million (approximately 11</w:t>
      </w:r>
      <w:r w:rsidR="008B2431">
        <w:t>.5</w:t>
      </w:r>
      <w:r w:rsidR="007A651F">
        <w:t xml:space="preserve"> per cent of Programme 2’s total budget)</w:t>
      </w:r>
      <w:r w:rsidR="00FE05F9">
        <w:t xml:space="preserve"> </w:t>
      </w:r>
      <w:r w:rsidR="008B2431">
        <w:t xml:space="preserve">for the </w:t>
      </w:r>
      <w:r w:rsidR="00FE05F9">
        <w:t>2022/23</w:t>
      </w:r>
      <w:r w:rsidR="008B2431">
        <w:t xml:space="preserve"> financial year</w:t>
      </w:r>
      <w:r w:rsidR="00FE05F9">
        <w:t xml:space="preserve">. </w:t>
      </w:r>
    </w:p>
    <w:p w:rsidR="008D77FA" w:rsidRDefault="008D77FA" w:rsidP="00EC33C2">
      <w:pPr>
        <w:spacing w:line="360" w:lineRule="auto"/>
        <w:jc w:val="both"/>
        <w:rPr>
          <w:lang w:val="en-ZA"/>
        </w:rPr>
      </w:pPr>
    </w:p>
    <w:p w:rsidR="00F27C16" w:rsidRPr="005A669B" w:rsidRDefault="00F27C16" w:rsidP="00EC33C2">
      <w:pPr>
        <w:spacing w:line="360" w:lineRule="auto"/>
        <w:jc w:val="both"/>
        <w:rPr>
          <w:b/>
          <w:lang w:val="en-ZA"/>
        </w:rPr>
      </w:pPr>
      <w:r w:rsidRPr="005A669B">
        <w:rPr>
          <w:b/>
          <w:lang w:val="en-ZA"/>
        </w:rPr>
        <w:t>3.3.3 Programme 3: Food Security, Land Reform and Restitution</w:t>
      </w:r>
    </w:p>
    <w:p w:rsidR="00F27C16" w:rsidRPr="005A669B" w:rsidRDefault="00F27C16" w:rsidP="00EC33C2">
      <w:pPr>
        <w:autoSpaceDE w:val="0"/>
        <w:autoSpaceDN w:val="0"/>
        <w:adjustRightInd w:val="0"/>
        <w:spacing w:line="360" w:lineRule="auto"/>
        <w:rPr>
          <w:b/>
          <w:lang w:val="en-ZA"/>
        </w:rPr>
      </w:pPr>
    </w:p>
    <w:p w:rsidR="005D4C2C" w:rsidRDefault="00AF5874" w:rsidP="00DC01CE">
      <w:pPr>
        <w:autoSpaceDE w:val="0"/>
        <w:autoSpaceDN w:val="0"/>
        <w:adjustRightInd w:val="0"/>
        <w:spacing w:line="360" w:lineRule="auto"/>
        <w:jc w:val="both"/>
        <w:rPr>
          <w:lang w:val="en-ZA"/>
        </w:rPr>
      </w:pPr>
      <w:r>
        <w:rPr>
          <w:lang w:val="en-ZA"/>
        </w:rPr>
        <w:t>Programme 3</w:t>
      </w:r>
      <w:r w:rsidR="00333864">
        <w:rPr>
          <w:lang w:val="en-ZA"/>
        </w:rPr>
        <w:t xml:space="preserve">, </w:t>
      </w:r>
      <w:r w:rsidR="00B91877">
        <w:rPr>
          <w:lang w:val="en-ZA"/>
        </w:rPr>
        <w:t xml:space="preserve">is </w:t>
      </w:r>
      <w:r w:rsidR="00333864">
        <w:rPr>
          <w:lang w:val="en-ZA"/>
        </w:rPr>
        <w:t>responsible for</w:t>
      </w:r>
      <w:r w:rsidR="00333864" w:rsidRPr="005A669B">
        <w:rPr>
          <w:lang w:val="en-ZA"/>
        </w:rPr>
        <w:t xml:space="preserve"> acquisition and redistribution of land, a</w:t>
      </w:r>
      <w:r w:rsidR="00B91877">
        <w:rPr>
          <w:lang w:val="en-ZA"/>
        </w:rPr>
        <w:t>s well as</w:t>
      </w:r>
      <w:r w:rsidR="00333864" w:rsidRPr="005A669B">
        <w:rPr>
          <w:lang w:val="en-ZA"/>
        </w:rPr>
        <w:t xml:space="preserve"> promotion of food security and agrarian reform, thus playing an important </w:t>
      </w:r>
      <w:r w:rsidR="00333864">
        <w:rPr>
          <w:lang w:val="en-ZA"/>
        </w:rPr>
        <w:t>role</w:t>
      </w:r>
      <w:r w:rsidR="00333864" w:rsidRPr="005A669B">
        <w:rPr>
          <w:lang w:val="en-ZA"/>
        </w:rPr>
        <w:t xml:space="preserve"> in contributing to economic transformation and job creation (Priority </w:t>
      </w:r>
      <w:r w:rsidR="00333864">
        <w:rPr>
          <w:lang w:val="en-ZA"/>
        </w:rPr>
        <w:t>2</w:t>
      </w:r>
      <w:r w:rsidR="00333864" w:rsidRPr="005A669B">
        <w:rPr>
          <w:lang w:val="en-ZA"/>
        </w:rPr>
        <w:t xml:space="preserve"> of the MTSF)</w:t>
      </w:r>
      <w:r w:rsidR="00B91877">
        <w:rPr>
          <w:lang w:val="en-ZA"/>
        </w:rPr>
        <w:t>. The Programme</w:t>
      </w:r>
      <w:r>
        <w:rPr>
          <w:lang w:val="en-ZA"/>
        </w:rPr>
        <w:t xml:space="preserve"> received the largest allocation of R8.</w:t>
      </w:r>
      <w:r w:rsidR="002650F0">
        <w:rPr>
          <w:lang w:val="en-ZA"/>
        </w:rPr>
        <w:t>99</w:t>
      </w:r>
      <w:r>
        <w:rPr>
          <w:lang w:val="en-ZA"/>
        </w:rPr>
        <w:t xml:space="preserve"> billion, which is 52 per cent of the Department’s total appropriation. </w:t>
      </w:r>
      <w:r w:rsidR="006557A4">
        <w:rPr>
          <w:lang w:val="en-ZA"/>
        </w:rPr>
        <w:t>A</w:t>
      </w:r>
      <w:r w:rsidR="00AB3402">
        <w:rPr>
          <w:lang w:val="en-ZA"/>
        </w:rPr>
        <w:t xml:space="preserve">pproximately </w:t>
      </w:r>
      <w:r w:rsidR="006557A4">
        <w:rPr>
          <w:lang w:val="en-ZA"/>
        </w:rPr>
        <w:t>R7</w:t>
      </w:r>
      <w:r w:rsidR="00AB3402">
        <w:rPr>
          <w:lang w:val="en-ZA"/>
        </w:rPr>
        <w:t>.6</w:t>
      </w:r>
      <w:r w:rsidR="006557A4">
        <w:rPr>
          <w:lang w:val="en-ZA"/>
        </w:rPr>
        <w:t xml:space="preserve"> billion of Programme 3’s total appropriation, which is equivalent to 8</w:t>
      </w:r>
      <w:r w:rsidR="00AB3402">
        <w:rPr>
          <w:lang w:val="en-ZA"/>
        </w:rPr>
        <w:t>5</w:t>
      </w:r>
      <w:r w:rsidR="006557A4">
        <w:rPr>
          <w:lang w:val="en-ZA"/>
        </w:rPr>
        <w:t xml:space="preserve"> per cent of the Programme’s total budget, is for transfers to provinces, entities and households. Of the transferred R7</w:t>
      </w:r>
      <w:r w:rsidR="00AB3402">
        <w:rPr>
          <w:lang w:val="en-ZA"/>
        </w:rPr>
        <w:t>.6</w:t>
      </w:r>
      <w:r w:rsidR="006557A4">
        <w:rPr>
          <w:lang w:val="en-ZA"/>
        </w:rPr>
        <w:t xml:space="preserve"> billion, approximately R3.</w:t>
      </w:r>
      <w:r w:rsidR="00AB3402">
        <w:rPr>
          <w:lang w:val="en-ZA"/>
        </w:rPr>
        <w:t>7</w:t>
      </w:r>
      <w:r w:rsidR="006557A4">
        <w:rPr>
          <w:lang w:val="en-ZA"/>
        </w:rPr>
        <w:t xml:space="preserve"> billion is for households</w:t>
      </w:r>
      <w:r w:rsidR="00AB3402">
        <w:rPr>
          <w:lang w:val="en-ZA"/>
        </w:rPr>
        <w:t xml:space="preserve">, which </w:t>
      </w:r>
      <w:r w:rsidR="00C73CD0">
        <w:rPr>
          <w:lang w:val="en-ZA"/>
        </w:rPr>
        <w:t>covers</w:t>
      </w:r>
      <w:r w:rsidR="00AB3402">
        <w:rPr>
          <w:lang w:val="en-ZA"/>
        </w:rPr>
        <w:t xml:space="preserve"> </w:t>
      </w:r>
      <w:r w:rsidR="00C73CD0">
        <w:rPr>
          <w:lang w:val="en-ZA"/>
        </w:rPr>
        <w:t>grant funding for land acqui</w:t>
      </w:r>
      <w:r w:rsidR="00495051">
        <w:rPr>
          <w:lang w:val="en-ZA"/>
        </w:rPr>
        <w:t>si</w:t>
      </w:r>
      <w:r w:rsidR="00C73CD0">
        <w:rPr>
          <w:lang w:val="en-ZA"/>
        </w:rPr>
        <w:t xml:space="preserve">tion and </w:t>
      </w:r>
      <w:r w:rsidR="00AB3402">
        <w:rPr>
          <w:lang w:val="en-ZA"/>
        </w:rPr>
        <w:t xml:space="preserve">farmer </w:t>
      </w:r>
      <w:r w:rsidR="00C73CD0">
        <w:rPr>
          <w:lang w:val="en-ZA"/>
        </w:rPr>
        <w:t>development support</w:t>
      </w:r>
      <w:r w:rsidR="00AB3402">
        <w:rPr>
          <w:lang w:val="en-ZA"/>
        </w:rPr>
        <w:t xml:space="preserve">; </w:t>
      </w:r>
      <w:r w:rsidR="006557A4">
        <w:rPr>
          <w:lang w:val="en-ZA"/>
        </w:rPr>
        <w:t>R</w:t>
      </w:r>
      <w:r w:rsidR="00AB3402">
        <w:rPr>
          <w:lang w:val="en-ZA"/>
        </w:rPr>
        <w:t xml:space="preserve">2.4 </w:t>
      </w:r>
      <w:r w:rsidR="006557A4">
        <w:rPr>
          <w:lang w:val="en-ZA"/>
        </w:rPr>
        <w:t xml:space="preserve">billion will go to </w:t>
      </w:r>
      <w:r w:rsidR="00AB3402">
        <w:rPr>
          <w:lang w:val="en-ZA"/>
        </w:rPr>
        <w:t xml:space="preserve">other </w:t>
      </w:r>
      <w:r w:rsidR="006557A4">
        <w:rPr>
          <w:lang w:val="en-ZA"/>
        </w:rPr>
        <w:t>provinc</w:t>
      </w:r>
      <w:r w:rsidR="00AB3402">
        <w:rPr>
          <w:lang w:val="en-ZA"/>
        </w:rPr>
        <w:t>ial and municipal transfers; R1 billion to De</w:t>
      </w:r>
      <w:r w:rsidR="006557A4">
        <w:rPr>
          <w:lang w:val="en-ZA"/>
        </w:rPr>
        <w:t xml:space="preserve">partmental </w:t>
      </w:r>
      <w:r w:rsidR="00AB3402">
        <w:rPr>
          <w:lang w:val="en-ZA"/>
        </w:rPr>
        <w:t xml:space="preserve">agencies and </w:t>
      </w:r>
      <w:r w:rsidR="006557A4">
        <w:rPr>
          <w:lang w:val="en-ZA"/>
        </w:rPr>
        <w:t>accounts</w:t>
      </w:r>
      <w:r w:rsidR="00AB3402">
        <w:rPr>
          <w:lang w:val="en-ZA"/>
        </w:rPr>
        <w:t xml:space="preserve"> while R400 million will go to the Land Bank</w:t>
      </w:r>
      <w:r w:rsidR="006557A4">
        <w:rPr>
          <w:lang w:val="en-ZA"/>
        </w:rPr>
        <w:t xml:space="preserve">. </w:t>
      </w:r>
      <w:r>
        <w:rPr>
          <w:lang w:val="en-ZA"/>
        </w:rPr>
        <w:t>The Restitution sub-programme</w:t>
      </w:r>
      <w:r w:rsidR="005D5A62">
        <w:rPr>
          <w:lang w:val="en-ZA"/>
        </w:rPr>
        <w:t xml:space="preserve">, </w:t>
      </w:r>
      <w:r w:rsidR="00D535AF">
        <w:rPr>
          <w:lang w:val="en-ZA"/>
        </w:rPr>
        <w:t xml:space="preserve">as discussed in detail in </w:t>
      </w:r>
      <w:r w:rsidR="00653167">
        <w:rPr>
          <w:lang w:val="en-ZA"/>
        </w:rPr>
        <w:t>S</w:t>
      </w:r>
      <w:r w:rsidR="00D535AF">
        <w:rPr>
          <w:lang w:val="en-ZA"/>
        </w:rPr>
        <w:t>ection 4.1 of this report</w:t>
      </w:r>
      <w:r w:rsidR="00D94315">
        <w:rPr>
          <w:lang w:val="en-ZA"/>
        </w:rPr>
        <w:t xml:space="preserve"> dealing with the Commission on Restitution of Land Rights</w:t>
      </w:r>
      <w:r w:rsidR="00D535AF">
        <w:rPr>
          <w:lang w:val="en-ZA"/>
        </w:rPr>
        <w:t>, h</w:t>
      </w:r>
      <w:r w:rsidR="005D5A62">
        <w:rPr>
          <w:lang w:val="en-ZA"/>
        </w:rPr>
        <w:t>as been allocated R3.</w:t>
      </w:r>
      <w:r w:rsidR="00AB3402">
        <w:rPr>
          <w:lang w:val="en-ZA"/>
        </w:rPr>
        <w:t>7</w:t>
      </w:r>
      <w:r w:rsidR="005D5A62">
        <w:rPr>
          <w:lang w:val="en-ZA"/>
        </w:rPr>
        <w:t xml:space="preserve"> billion</w:t>
      </w:r>
      <w:r w:rsidR="00D535AF">
        <w:rPr>
          <w:lang w:val="en-ZA"/>
        </w:rPr>
        <w:t xml:space="preserve">. It </w:t>
      </w:r>
      <w:r>
        <w:rPr>
          <w:lang w:val="en-ZA"/>
        </w:rPr>
        <w:t>accounts for approximately 4</w:t>
      </w:r>
      <w:r w:rsidR="00AB3402">
        <w:rPr>
          <w:lang w:val="en-ZA"/>
        </w:rPr>
        <w:t>1</w:t>
      </w:r>
      <w:r>
        <w:rPr>
          <w:lang w:val="en-ZA"/>
        </w:rPr>
        <w:t xml:space="preserve"> per cent of Programme 3’s </w:t>
      </w:r>
      <w:r w:rsidR="005D5A62">
        <w:rPr>
          <w:lang w:val="en-ZA"/>
        </w:rPr>
        <w:t xml:space="preserve">total </w:t>
      </w:r>
      <w:r>
        <w:rPr>
          <w:lang w:val="en-ZA"/>
        </w:rPr>
        <w:t>budget</w:t>
      </w:r>
      <w:r w:rsidR="00AB3402">
        <w:rPr>
          <w:lang w:val="en-ZA"/>
        </w:rPr>
        <w:t xml:space="preserve">, </w:t>
      </w:r>
      <w:r w:rsidR="005D5A62">
        <w:rPr>
          <w:lang w:val="en-ZA"/>
        </w:rPr>
        <w:t>followed by the Food Security</w:t>
      </w:r>
      <w:r w:rsidR="00AB3402">
        <w:rPr>
          <w:lang w:val="en-ZA"/>
        </w:rPr>
        <w:t xml:space="preserve"> and Agrarian Reform</w:t>
      </w:r>
      <w:r w:rsidR="005D5A62">
        <w:rPr>
          <w:lang w:val="en-ZA"/>
        </w:rPr>
        <w:t xml:space="preserve"> sub-programme</w:t>
      </w:r>
      <w:r w:rsidR="00AF3342">
        <w:rPr>
          <w:lang w:val="en-ZA"/>
        </w:rPr>
        <w:t>,</w:t>
      </w:r>
      <w:r w:rsidR="005D5A62">
        <w:rPr>
          <w:lang w:val="en-ZA"/>
        </w:rPr>
        <w:t xml:space="preserve"> which</w:t>
      </w:r>
      <w:r w:rsidR="00AF3342">
        <w:rPr>
          <w:lang w:val="en-ZA"/>
        </w:rPr>
        <w:t xml:space="preserve"> </w:t>
      </w:r>
      <w:r w:rsidR="005D5A62">
        <w:rPr>
          <w:lang w:val="en-ZA"/>
        </w:rPr>
        <w:t>receive</w:t>
      </w:r>
      <w:r w:rsidR="00F41669">
        <w:rPr>
          <w:lang w:val="en-ZA"/>
        </w:rPr>
        <w:t>d</w:t>
      </w:r>
      <w:r w:rsidR="005D5A62">
        <w:rPr>
          <w:lang w:val="en-ZA"/>
        </w:rPr>
        <w:t xml:space="preserve"> R2 billion (23 per cent)</w:t>
      </w:r>
      <w:r w:rsidR="00D535AF">
        <w:rPr>
          <w:lang w:val="en-ZA"/>
        </w:rPr>
        <w:t xml:space="preserve">. </w:t>
      </w:r>
    </w:p>
    <w:p w:rsidR="005D4C2C" w:rsidRDefault="005D4C2C" w:rsidP="00DC01CE">
      <w:pPr>
        <w:autoSpaceDE w:val="0"/>
        <w:autoSpaceDN w:val="0"/>
        <w:adjustRightInd w:val="0"/>
        <w:spacing w:line="360" w:lineRule="auto"/>
        <w:jc w:val="both"/>
        <w:rPr>
          <w:lang w:val="en-ZA"/>
        </w:rPr>
      </w:pPr>
    </w:p>
    <w:p w:rsidR="0079763B" w:rsidRDefault="00D535AF" w:rsidP="00AF5874">
      <w:pPr>
        <w:autoSpaceDE w:val="0"/>
        <w:autoSpaceDN w:val="0"/>
        <w:adjustRightInd w:val="0"/>
        <w:spacing w:line="360" w:lineRule="auto"/>
        <w:jc w:val="both"/>
      </w:pPr>
      <w:r>
        <w:rPr>
          <w:lang w:val="en-ZA"/>
        </w:rPr>
        <w:t xml:space="preserve">As Table 3 shows, the allocation </w:t>
      </w:r>
      <w:r w:rsidR="005D4C2C">
        <w:rPr>
          <w:lang w:val="en-ZA"/>
        </w:rPr>
        <w:t xml:space="preserve">to the </w:t>
      </w:r>
      <w:r>
        <w:rPr>
          <w:lang w:val="en-ZA"/>
        </w:rPr>
        <w:t>Food Security</w:t>
      </w:r>
      <w:r w:rsidR="005D4C2C">
        <w:rPr>
          <w:lang w:val="en-ZA"/>
        </w:rPr>
        <w:t xml:space="preserve"> and Agrarian Reform sub-programme is declining over the MTEF period, in real terms (when taking inflation into account), the sub-programme will realise a 10.5 per cent decline in budget allocation. </w:t>
      </w:r>
      <w:r w:rsidR="00AF5874">
        <w:rPr>
          <w:lang w:val="en-ZA"/>
        </w:rPr>
        <w:t xml:space="preserve"> </w:t>
      </w:r>
      <w:r w:rsidR="00DC01CE">
        <w:rPr>
          <w:lang w:val="en-ZA"/>
        </w:rPr>
        <w:t xml:space="preserve">The </w:t>
      </w:r>
      <w:r w:rsidR="00DC01CE" w:rsidRPr="005A669B">
        <w:rPr>
          <w:lang w:val="en-ZA" w:eastAsia="en-ZA"/>
        </w:rPr>
        <w:t>stagnant budgetary growth</w:t>
      </w:r>
      <w:r w:rsidR="005D4C2C">
        <w:rPr>
          <w:lang w:val="en-ZA" w:eastAsia="en-ZA"/>
        </w:rPr>
        <w:t xml:space="preserve"> and especially </w:t>
      </w:r>
      <w:r w:rsidR="00175E8B">
        <w:rPr>
          <w:lang w:val="en-ZA" w:eastAsia="en-ZA"/>
        </w:rPr>
        <w:t xml:space="preserve">the decline in the MTEF period </w:t>
      </w:r>
      <w:r w:rsidR="005D4C2C">
        <w:rPr>
          <w:lang w:val="en-ZA" w:eastAsia="en-ZA"/>
        </w:rPr>
        <w:t xml:space="preserve">for </w:t>
      </w:r>
      <w:r w:rsidR="00DC01CE">
        <w:rPr>
          <w:lang w:val="en-ZA" w:eastAsia="en-ZA"/>
        </w:rPr>
        <w:t>the Food Security</w:t>
      </w:r>
      <w:r w:rsidR="005D4C2C">
        <w:rPr>
          <w:lang w:val="en-ZA" w:eastAsia="en-ZA"/>
        </w:rPr>
        <w:t xml:space="preserve"> and Agrarian Reform </w:t>
      </w:r>
      <w:r w:rsidR="00DC01CE" w:rsidRPr="005A669B">
        <w:rPr>
          <w:lang w:val="en-ZA" w:eastAsia="en-ZA"/>
        </w:rPr>
        <w:t>sub-programme</w:t>
      </w:r>
      <w:r w:rsidR="005D4C2C">
        <w:rPr>
          <w:lang w:val="en-ZA" w:eastAsia="en-ZA"/>
        </w:rPr>
        <w:t xml:space="preserve"> remains a d</w:t>
      </w:r>
      <w:r w:rsidR="00DC01CE">
        <w:rPr>
          <w:lang w:val="en-ZA" w:eastAsia="en-ZA"/>
        </w:rPr>
        <w:t>isappoint</w:t>
      </w:r>
      <w:r w:rsidR="005D4C2C">
        <w:rPr>
          <w:lang w:val="en-ZA" w:eastAsia="en-ZA"/>
        </w:rPr>
        <w:t>ment and a concern</w:t>
      </w:r>
      <w:r w:rsidR="00176621">
        <w:rPr>
          <w:lang w:val="en-ZA" w:eastAsia="en-ZA"/>
        </w:rPr>
        <w:t>. This is</w:t>
      </w:r>
      <w:r w:rsidR="005D4C2C">
        <w:rPr>
          <w:lang w:val="en-ZA" w:eastAsia="en-ZA"/>
        </w:rPr>
        <w:t xml:space="preserve"> </w:t>
      </w:r>
      <w:r w:rsidR="00DC01CE">
        <w:rPr>
          <w:lang w:val="en-ZA" w:eastAsia="en-ZA"/>
        </w:rPr>
        <w:t xml:space="preserve">in light of the </w:t>
      </w:r>
      <w:r w:rsidR="00F41669">
        <w:rPr>
          <w:lang w:val="en-ZA" w:eastAsia="en-ZA"/>
        </w:rPr>
        <w:t xml:space="preserve">continuing </w:t>
      </w:r>
      <w:r w:rsidR="00DC01CE" w:rsidRPr="005A669B">
        <w:t xml:space="preserve">hunger situation </w:t>
      </w:r>
      <w:r w:rsidR="00DC01CE">
        <w:t xml:space="preserve">that has been </w:t>
      </w:r>
      <w:r w:rsidR="00DC01CE" w:rsidRPr="005A669B">
        <w:t>compounded by the Covid-19 pandemic</w:t>
      </w:r>
      <w:r w:rsidR="005D4C2C">
        <w:t xml:space="preserve"> and climate related disasters</w:t>
      </w:r>
      <w:r w:rsidR="00DC01CE" w:rsidRPr="005A669B">
        <w:t xml:space="preserve"> as mo</w:t>
      </w:r>
      <w:r w:rsidR="00DC01CE">
        <w:t xml:space="preserve">st </w:t>
      </w:r>
      <w:r w:rsidR="00DC01CE" w:rsidRPr="005A669B">
        <w:t xml:space="preserve">people </w:t>
      </w:r>
      <w:r w:rsidR="00DC01CE">
        <w:t xml:space="preserve">have lost </w:t>
      </w:r>
      <w:r w:rsidR="00DC01CE" w:rsidRPr="005A669B">
        <w:t xml:space="preserve">sources of income and </w:t>
      </w:r>
      <w:r w:rsidR="00DC01CE">
        <w:t xml:space="preserve">other livelihood means. </w:t>
      </w:r>
      <w:r w:rsidR="00DC01CE" w:rsidRPr="005A669B">
        <w:t>Another area of concern is that despite its mandated contribution to the implementation of the National Food and Nutrition Security Plan, the Department</w:t>
      </w:r>
      <w:r w:rsidR="0079763B">
        <w:t xml:space="preserve">’s APP lacks a </w:t>
      </w:r>
      <w:r w:rsidR="00DC01CE">
        <w:t>framework or a</w:t>
      </w:r>
      <w:r w:rsidR="00DC01CE" w:rsidRPr="005A669B">
        <w:t xml:space="preserve"> clearly defined </w:t>
      </w:r>
      <w:r w:rsidR="00DC01CE">
        <w:t>indicator</w:t>
      </w:r>
      <w:r w:rsidR="00DC01CE" w:rsidRPr="005A669B">
        <w:t xml:space="preserve"> to measure food security but </w:t>
      </w:r>
      <w:r w:rsidR="00DA33AF">
        <w:t>t</w:t>
      </w:r>
      <w:r w:rsidR="0079763B">
        <w:t xml:space="preserve">he Department </w:t>
      </w:r>
      <w:r w:rsidR="00DC01CE" w:rsidRPr="005A669B">
        <w:t>relies on</w:t>
      </w:r>
      <w:r w:rsidR="00DC01CE">
        <w:t xml:space="preserve"> quantitative targets that are implemented by provinces </w:t>
      </w:r>
      <w:r w:rsidR="00F41669">
        <w:t xml:space="preserve">in the form </w:t>
      </w:r>
      <w:r w:rsidR="00DC01CE" w:rsidRPr="005A669B">
        <w:t>of producer support programmes</w:t>
      </w:r>
      <w:r w:rsidR="005D4C2C">
        <w:t xml:space="preserve"> (conditional grants)</w:t>
      </w:r>
      <w:r w:rsidR="00DC01CE">
        <w:t xml:space="preserve"> </w:t>
      </w:r>
      <w:r w:rsidR="00DC01CE" w:rsidRPr="005A669B">
        <w:t xml:space="preserve">without measuring </w:t>
      </w:r>
      <w:r w:rsidR="00F41669">
        <w:t xml:space="preserve">the actual </w:t>
      </w:r>
      <w:r w:rsidR="00DC01CE" w:rsidRPr="005A669B">
        <w:t>impact</w:t>
      </w:r>
      <w:r w:rsidR="00DC01CE">
        <w:t xml:space="preserve"> of such programmes on food insecurity. </w:t>
      </w:r>
      <w:r w:rsidR="00DA33AF">
        <w:t>Conditional grants in this regard, will receive a combined allocation of approximately R2.</w:t>
      </w:r>
      <w:r w:rsidR="007737C7">
        <w:t>2</w:t>
      </w:r>
      <w:r w:rsidR="00DA33AF">
        <w:t xml:space="preserve"> billion (R1.6 billion for Comprehensive Agricultural Support Programme (CASP) and R610 million for Ilima/Letsema).</w:t>
      </w:r>
      <w:r w:rsidR="007737C7">
        <w:t xml:space="preserve"> Of the R1.6 billion that will be allocated for CASP, approximately R1.2 billion is for infrastructure and the rest is for Extension Recovery Planning (ERP) and revitalisation of Agricultural Colleges.</w:t>
      </w:r>
    </w:p>
    <w:p w:rsidR="0079763B" w:rsidRDefault="0079763B" w:rsidP="00AF5874">
      <w:pPr>
        <w:autoSpaceDE w:val="0"/>
        <w:autoSpaceDN w:val="0"/>
        <w:adjustRightInd w:val="0"/>
        <w:spacing w:line="360" w:lineRule="auto"/>
        <w:jc w:val="both"/>
      </w:pPr>
    </w:p>
    <w:p w:rsidR="00D430B3" w:rsidRDefault="0079763B">
      <w:pPr>
        <w:autoSpaceDE w:val="0"/>
        <w:autoSpaceDN w:val="0"/>
        <w:adjustRightInd w:val="0"/>
        <w:spacing w:line="360" w:lineRule="auto"/>
        <w:jc w:val="both"/>
        <w:rPr>
          <w:lang w:val="en-ZA"/>
        </w:rPr>
      </w:pPr>
      <w:r>
        <w:t>In the previous financial</w:t>
      </w:r>
      <w:r w:rsidR="00B76A1B">
        <w:t xml:space="preserve"> year,</w:t>
      </w:r>
      <w:r>
        <w:t xml:space="preserve"> the Committee welcomed the reported </w:t>
      </w:r>
      <w:r>
        <w:rPr>
          <w:lang w:val="en-ZA"/>
        </w:rPr>
        <w:t>re-</w:t>
      </w:r>
      <w:r w:rsidR="004252DF">
        <w:rPr>
          <w:lang w:val="en-ZA"/>
        </w:rPr>
        <w:t>launch of the Blended Finance Initiative (BFI) with the Industrial Development Corporation (IDC)</w:t>
      </w:r>
      <w:r w:rsidR="00AB1374">
        <w:rPr>
          <w:lang w:val="en-ZA"/>
        </w:rPr>
        <w:t xml:space="preserve"> a</w:t>
      </w:r>
      <w:r w:rsidR="00BD4DFB">
        <w:rPr>
          <w:lang w:val="en-ZA"/>
        </w:rPr>
        <w:t>s well as</w:t>
      </w:r>
      <w:r w:rsidR="00AB1374">
        <w:rPr>
          <w:lang w:val="en-ZA"/>
        </w:rPr>
        <w:t xml:space="preserve"> interest from commercial banks</w:t>
      </w:r>
      <w:r w:rsidR="004252DF">
        <w:rPr>
          <w:lang w:val="en-ZA"/>
        </w:rPr>
        <w:t xml:space="preserve"> </w:t>
      </w:r>
      <w:r>
        <w:rPr>
          <w:lang w:val="en-ZA"/>
        </w:rPr>
        <w:t xml:space="preserve">that was </w:t>
      </w:r>
      <w:r w:rsidR="004252DF">
        <w:rPr>
          <w:lang w:val="en-ZA"/>
        </w:rPr>
        <w:t>pronounced by the Executive Authority</w:t>
      </w:r>
      <w:r w:rsidR="00AB1374">
        <w:rPr>
          <w:lang w:val="en-ZA"/>
        </w:rPr>
        <w:t xml:space="preserve">. </w:t>
      </w:r>
      <w:r w:rsidR="007737C7">
        <w:rPr>
          <w:lang w:val="en-ZA"/>
        </w:rPr>
        <w:t>However, t</w:t>
      </w:r>
      <w:r>
        <w:rPr>
          <w:lang w:val="en-ZA"/>
        </w:rPr>
        <w:t xml:space="preserve">he Committee </w:t>
      </w:r>
      <w:r w:rsidR="00B76A1B">
        <w:rPr>
          <w:lang w:val="en-ZA"/>
        </w:rPr>
        <w:t xml:space="preserve">then raised concern with the involvement of commercial banks in light of </w:t>
      </w:r>
      <w:r w:rsidR="00176621">
        <w:rPr>
          <w:lang w:val="en-ZA"/>
        </w:rPr>
        <w:t>stringent</w:t>
      </w:r>
      <w:r w:rsidR="00B76A1B">
        <w:rPr>
          <w:lang w:val="en-ZA"/>
        </w:rPr>
        <w:t xml:space="preserve"> requirements and higher interest rates</w:t>
      </w:r>
      <w:r w:rsidR="007737C7">
        <w:rPr>
          <w:lang w:val="en-ZA"/>
        </w:rPr>
        <w:t xml:space="preserve">, which are out of reach of smallholder farmers. It further </w:t>
      </w:r>
      <w:r>
        <w:rPr>
          <w:lang w:val="en-ZA"/>
        </w:rPr>
        <w:t>emphasised reporting on the BFI and accounting for funds that have been transferred to the Land Bank</w:t>
      </w:r>
      <w:r w:rsidR="00B76A1B">
        <w:rPr>
          <w:lang w:val="en-ZA"/>
        </w:rPr>
        <w:t xml:space="preserve">. The Committee </w:t>
      </w:r>
      <w:r>
        <w:rPr>
          <w:lang w:val="en-ZA"/>
        </w:rPr>
        <w:t>is yet to receive the detailed reports on both the BFI and funds transferred to the Land Bank</w:t>
      </w:r>
      <w:r w:rsidR="0042515F">
        <w:rPr>
          <w:lang w:val="en-ZA"/>
        </w:rPr>
        <w:t xml:space="preserve">; and </w:t>
      </w:r>
      <w:r w:rsidR="007737C7">
        <w:rPr>
          <w:lang w:val="en-ZA"/>
        </w:rPr>
        <w:t xml:space="preserve">further, </w:t>
      </w:r>
      <w:r w:rsidR="0042515F">
        <w:rPr>
          <w:lang w:val="en-ZA"/>
        </w:rPr>
        <w:t xml:space="preserve">the </w:t>
      </w:r>
      <w:r w:rsidR="007737C7">
        <w:rPr>
          <w:lang w:val="en-ZA"/>
        </w:rPr>
        <w:t xml:space="preserve">current </w:t>
      </w:r>
      <w:r w:rsidR="0042515F">
        <w:rPr>
          <w:lang w:val="en-ZA"/>
        </w:rPr>
        <w:t xml:space="preserve">APP </w:t>
      </w:r>
      <w:r w:rsidR="007737C7">
        <w:rPr>
          <w:lang w:val="en-ZA"/>
        </w:rPr>
        <w:t xml:space="preserve">still </w:t>
      </w:r>
      <w:r w:rsidR="0042515F">
        <w:rPr>
          <w:lang w:val="en-ZA"/>
        </w:rPr>
        <w:t>has no performance indicators or targets to that effect.</w:t>
      </w:r>
      <w:r>
        <w:rPr>
          <w:lang w:val="en-ZA"/>
        </w:rPr>
        <w:t xml:space="preserve"> Despite the Department’s previous reservations about the Land Bank’s financial challenges and experience with the implementation of the BFI</w:t>
      </w:r>
      <w:r w:rsidR="0042515F">
        <w:rPr>
          <w:lang w:val="en-ZA"/>
        </w:rPr>
        <w:t xml:space="preserve"> including </w:t>
      </w:r>
      <w:r w:rsidR="00B76A1B">
        <w:rPr>
          <w:lang w:val="en-ZA"/>
        </w:rPr>
        <w:t xml:space="preserve">lack of </w:t>
      </w:r>
      <w:r w:rsidR="0042515F">
        <w:rPr>
          <w:lang w:val="en-ZA"/>
        </w:rPr>
        <w:t>accountability on transferred funds,</w:t>
      </w:r>
      <w:r>
        <w:rPr>
          <w:lang w:val="en-ZA"/>
        </w:rPr>
        <w:t xml:space="preserve"> it continues to transfer funds to the Land Bank</w:t>
      </w:r>
      <w:r w:rsidR="0042515F">
        <w:rPr>
          <w:lang w:val="en-ZA"/>
        </w:rPr>
        <w:t xml:space="preserve">. </w:t>
      </w:r>
      <w:r>
        <w:rPr>
          <w:lang w:val="en-ZA"/>
        </w:rPr>
        <w:t xml:space="preserve"> </w:t>
      </w:r>
      <w:r w:rsidR="0042515F">
        <w:rPr>
          <w:lang w:val="en-ZA"/>
        </w:rPr>
        <w:t>In the current financial year</w:t>
      </w:r>
      <w:r w:rsidR="00D51ADF">
        <w:rPr>
          <w:lang w:val="en-ZA"/>
        </w:rPr>
        <w:t>,</w:t>
      </w:r>
      <w:r w:rsidR="0042515F">
        <w:rPr>
          <w:lang w:val="en-ZA"/>
        </w:rPr>
        <w:t xml:space="preserve"> R400 million will be </w:t>
      </w:r>
      <w:r w:rsidR="00176621">
        <w:rPr>
          <w:lang w:val="en-ZA"/>
        </w:rPr>
        <w:t>transferred</w:t>
      </w:r>
      <w:r w:rsidR="0042515F">
        <w:rPr>
          <w:lang w:val="en-ZA"/>
        </w:rPr>
        <w:t xml:space="preserve"> to the Land Bank through Programme 3. For the medium term period ending in 2025, a combined total of approximately </w:t>
      </w:r>
      <w:r w:rsidR="00D51ADF">
        <w:rPr>
          <w:lang w:val="en-ZA"/>
        </w:rPr>
        <w:t xml:space="preserve">R1.2 billion </w:t>
      </w:r>
      <w:r w:rsidR="00DA33AF">
        <w:rPr>
          <w:lang w:val="en-ZA"/>
        </w:rPr>
        <w:t xml:space="preserve">will be transferred to the Land Bank. </w:t>
      </w:r>
      <w:r w:rsidR="00D51ADF">
        <w:rPr>
          <w:lang w:val="en-ZA"/>
        </w:rPr>
        <w:t xml:space="preserve"> </w:t>
      </w:r>
      <w:r w:rsidR="00D430B3">
        <w:rPr>
          <w:lang w:val="en-ZA"/>
        </w:rPr>
        <w:t xml:space="preserve"> </w:t>
      </w:r>
    </w:p>
    <w:p w:rsidR="00004F3D" w:rsidRDefault="00004F3D">
      <w:pPr>
        <w:autoSpaceDE w:val="0"/>
        <w:autoSpaceDN w:val="0"/>
        <w:adjustRightInd w:val="0"/>
        <w:spacing w:line="360" w:lineRule="auto"/>
        <w:jc w:val="both"/>
        <w:rPr>
          <w:lang w:val="en-ZA"/>
        </w:rPr>
      </w:pPr>
    </w:p>
    <w:p w:rsidR="00D32FAA" w:rsidRPr="00715D6E" w:rsidRDefault="00D32FAA" w:rsidP="00D32FAA">
      <w:pPr>
        <w:spacing w:line="360" w:lineRule="auto"/>
        <w:jc w:val="both"/>
      </w:pPr>
      <w:r w:rsidRPr="00715D6E">
        <w:t>Expanding access to land is vital for the government’s efforts to reduce hunger and provide people with meaningful land-based livelihoods, especially smallholders and subsistence farmers. It is anticipated that the process will be boosted through the Expropriation legislation which, at the time of writing this report, was going through parliamentary processes and expected to be approved by the end of 2022. Taking cue f</w:t>
      </w:r>
      <w:r>
        <w:t>rom</w:t>
      </w:r>
      <w:r w:rsidRPr="00715D6E">
        <w:t xml:space="preserve"> the government key priorities, the 2022/23 APP demonstrates a renewed focus on fast-tracking the delivery of land by settling restitution and labour tenants’ claims as well as provision of adequate post-settlement support over the medium-term. The proposed Land and Agrarian Development Agency (LARA), to be established in this financial year, will play a crucial role in coordinating land reform and related programmes. The Department has planned to deliver, in 2022/23, the following: </w:t>
      </w:r>
    </w:p>
    <w:p w:rsidR="00D32FAA" w:rsidRPr="00715D6E" w:rsidRDefault="00D32FAA" w:rsidP="000B7E0D">
      <w:pPr>
        <w:pStyle w:val="Default"/>
        <w:numPr>
          <w:ilvl w:val="0"/>
          <w:numId w:val="8"/>
        </w:numPr>
        <w:spacing w:line="360" w:lineRule="auto"/>
        <w:jc w:val="both"/>
        <w:rPr>
          <w:rFonts w:ascii="Times New Roman" w:hAnsi="Times New Roman" w:cs="Times New Roman"/>
        </w:rPr>
      </w:pPr>
      <w:r w:rsidRPr="00715D6E">
        <w:rPr>
          <w:rFonts w:ascii="Times New Roman" w:hAnsi="Times New Roman" w:cs="Times New Roman"/>
        </w:rPr>
        <w:t xml:space="preserve">A total of 585 CPAs will be supported to be compliant with the Communal Property Association Act (No 28 0f 1996). A focus on supporting CPAs is always a welcome commitment. However, the Committee expressed concern that 585 was a minor increase of eight compared to the target of 577 in the 2021/22 and there were many CPAs that were either dysfunctional, in distress or have completely collapsed. Further, there is little information in the plans about the CPA Amendment Bill which was approved by Parliament but not signed </w:t>
      </w:r>
      <w:r w:rsidRPr="00715D6E">
        <w:rPr>
          <w:rFonts w:ascii="Times New Roman" w:hAnsi="Times New Roman" w:cs="Times New Roman"/>
        </w:rPr>
        <w:lastRenderedPageBreak/>
        <w:t xml:space="preserve">into law by the President. It thus means that the support mechanisms included in the amendments remain unimplemented.  </w:t>
      </w:r>
    </w:p>
    <w:p w:rsidR="00D32FAA" w:rsidRPr="00715D6E" w:rsidRDefault="00D32FAA" w:rsidP="000B7E0D">
      <w:pPr>
        <w:pStyle w:val="Default"/>
        <w:numPr>
          <w:ilvl w:val="0"/>
          <w:numId w:val="8"/>
        </w:numPr>
        <w:spacing w:line="360" w:lineRule="auto"/>
        <w:jc w:val="both"/>
        <w:rPr>
          <w:rFonts w:ascii="Times New Roman" w:hAnsi="Times New Roman" w:cs="Times New Roman"/>
        </w:rPr>
      </w:pPr>
      <w:r w:rsidRPr="00715D6E">
        <w:rPr>
          <w:rFonts w:ascii="Times New Roman" w:hAnsi="Times New Roman" w:cs="Times New Roman"/>
        </w:rPr>
        <w:t xml:space="preserve">Through the Proactive Land Acquisition Strategy (PLAS), about 35 182 ha of strategically allocated land will be acquired, a slight increase compared to 33 777 ha targeted for acquisition in 2021/22 and to further increase in 2023/24 and 2024/25. About 50 per cent of the land to be acquired would be allocated to women, 40 per cent to youth, and 10 per cent to people with disabilities in line with the Beneficiary Selection Policy. </w:t>
      </w:r>
    </w:p>
    <w:p w:rsidR="00D32FAA" w:rsidRPr="00715D6E" w:rsidRDefault="00D32FAA" w:rsidP="000B7E0D">
      <w:pPr>
        <w:pStyle w:val="Default"/>
        <w:numPr>
          <w:ilvl w:val="0"/>
          <w:numId w:val="8"/>
        </w:numPr>
        <w:spacing w:line="360" w:lineRule="auto"/>
        <w:jc w:val="both"/>
        <w:rPr>
          <w:rFonts w:ascii="Times New Roman" w:hAnsi="Times New Roman" w:cs="Times New Roman"/>
        </w:rPr>
      </w:pPr>
      <w:r w:rsidRPr="00715D6E">
        <w:rPr>
          <w:rFonts w:ascii="Times New Roman" w:hAnsi="Times New Roman" w:cs="Times New Roman"/>
        </w:rPr>
        <w:t xml:space="preserve">Acquisition of 34 043 hectares of land for farm dwellers and/or Labour Tenants or ESTA occupiers in 2022/23, which is expected to increase gradually from 2023/24 and 2024/25. </w:t>
      </w:r>
    </w:p>
    <w:p w:rsidR="00D32FAA" w:rsidRDefault="00D32FAA" w:rsidP="000B7E0D">
      <w:pPr>
        <w:pStyle w:val="Default"/>
        <w:numPr>
          <w:ilvl w:val="0"/>
          <w:numId w:val="8"/>
        </w:numPr>
        <w:spacing w:line="360" w:lineRule="auto"/>
        <w:jc w:val="both"/>
        <w:rPr>
          <w:rFonts w:ascii="Times New Roman" w:hAnsi="Times New Roman" w:cs="Times New Roman"/>
        </w:rPr>
      </w:pPr>
      <w:r w:rsidRPr="00715D6E">
        <w:rPr>
          <w:rFonts w:ascii="Times New Roman" w:hAnsi="Times New Roman" w:cs="Times New Roman"/>
        </w:rPr>
        <w:t xml:space="preserve">About 83 farms will be supported through the Land Development Support Programme (LDSP), a decrease of 63 compared to 146 farms that were supported in 2021/22. The number increases to 82 and 80 in 2023/24 and 2024/25. Whilst there is a drive to increase the amount of land delivered, LDS does not match the land delivery rate. </w:t>
      </w:r>
    </w:p>
    <w:p w:rsidR="00004F3D" w:rsidRPr="00D753EE" w:rsidRDefault="00D32FAA" w:rsidP="000B7E0D">
      <w:pPr>
        <w:pStyle w:val="Default"/>
        <w:numPr>
          <w:ilvl w:val="0"/>
          <w:numId w:val="8"/>
        </w:numPr>
        <w:spacing w:line="360" w:lineRule="auto"/>
        <w:jc w:val="both"/>
      </w:pPr>
      <w:r>
        <w:rPr>
          <w:rFonts w:ascii="Times New Roman" w:hAnsi="Times New Roman" w:cs="Times New Roman"/>
        </w:rPr>
        <w:t xml:space="preserve">The Department </w:t>
      </w:r>
      <w:r w:rsidRPr="00715D6E">
        <w:rPr>
          <w:rFonts w:ascii="Times New Roman" w:hAnsi="Times New Roman" w:cs="Times New Roman"/>
          <w:color w:val="auto"/>
        </w:rPr>
        <w:t>will allocate 34 043 ha of State land for land reform, gradually increasing to 37 543 ha in 2024/25.</w:t>
      </w:r>
    </w:p>
    <w:p w:rsidR="00D535AF" w:rsidRDefault="00D535AF" w:rsidP="005B01B6">
      <w:pPr>
        <w:autoSpaceDE w:val="0"/>
        <w:autoSpaceDN w:val="0"/>
        <w:adjustRightInd w:val="0"/>
        <w:spacing w:line="360" w:lineRule="auto"/>
        <w:jc w:val="both"/>
        <w:rPr>
          <w:lang w:val="en-ZA"/>
        </w:rPr>
      </w:pPr>
    </w:p>
    <w:p w:rsidR="00F27C16" w:rsidRPr="005A669B" w:rsidRDefault="00F27C16" w:rsidP="00EC33C2">
      <w:pPr>
        <w:spacing w:line="360" w:lineRule="auto"/>
        <w:jc w:val="both"/>
        <w:rPr>
          <w:b/>
          <w:lang w:val="en-ZA"/>
        </w:rPr>
      </w:pPr>
      <w:r w:rsidRPr="005A669B">
        <w:rPr>
          <w:b/>
          <w:lang w:val="en-ZA"/>
        </w:rPr>
        <w:t xml:space="preserve">3.3.4 </w:t>
      </w:r>
      <w:r w:rsidR="000C34C2" w:rsidRPr="005A669B">
        <w:rPr>
          <w:b/>
          <w:lang w:val="en-ZA"/>
        </w:rPr>
        <w:tab/>
      </w:r>
      <w:r w:rsidRPr="005A669B">
        <w:rPr>
          <w:b/>
          <w:lang w:val="en-ZA"/>
        </w:rPr>
        <w:t>Programme 4: Rural Development</w:t>
      </w:r>
    </w:p>
    <w:p w:rsidR="00F27C16" w:rsidRDefault="00F27C16" w:rsidP="00EC33C2">
      <w:pPr>
        <w:spacing w:line="360" w:lineRule="auto"/>
        <w:jc w:val="both"/>
        <w:rPr>
          <w:lang w:val="en-ZA"/>
        </w:rPr>
      </w:pPr>
    </w:p>
    <w:p w:rsidR="00A475C6" w:rsidRPr="00715D6E" w:rsidRDefault="00A475C6" w:rsidP="00A475C6">
      <w:pPr>
        <w:spacing w:line="360" w:lineRule="auto"/>
        <w:jc w:val="both"/>
      </w:pPr>
      <w:r w:rsidRPr="00715D6E">
        <w:t xml:space="preserve">Under </w:t>
      </w:r>
      <w:r>
        <w:t>P</w:t>
      </w:r>
      <w:r w:rsidRPr="00715D6E">
        <w:t>rogramme</w:t>
      </w:r>
      <w:r>
        <w:t xml:space="preserve"> 4</w:t>
      </w:r>
      <w:r w:rsidRPr="00715D6E">
        <w:t xml:space="preserve">, the Department facilitates rural development strategies for socio-economic growth with an ultimate goal for an integrated and inclusive rural economy. The Department is expected to create integrated and inclusive rural economies with quality basic services, particularly education, health care and public transport. The budget allocation for rural development has decreased by 23,8 percent from the adjusted appropriation of R1.08 billion in 2021/22 to R821.4 million in 2022/23. The allocation to the NARYSEC sub-programme decreased by 41.4 per cent in nominal terms in 2022/23 compared to 2021/22. The largest share of the budget for the 2022/23 financial year is allocated to the Rural Infrastructure Development sub-programme, which accounts for 82.5 per cent of the total budget under this Programme, indicating commitment to contribute to the government’s priority of infrastructure development in rural areas in support of farmers and improved service delivery. The programme performance targets for 2022/23 are as follows: </w:t>
      </w:r>
    </w:p>
    <w:p w:rsidR="00A475C6" w:rsidRPr="00715D6E" w:rsidRDefault="00A475C6" w:rsidP="000B7E0D">
      <w:pPr>
        <w:pStyle w:val="ListParagraph"/>
        <w:numPr>
          <w:ilvl w:val="0"/>
          <w:numId w:val="8"/>
        </w:numPr>
        <w:spacing w:line="360" w:lineRule="auto"/>
        <w:jc w:val="both"/>
      </w:pPr>
      <w:r w:rsidRPr="00715D6E">
        <w:lastRenderedPageBreak/>
        <w:t xml:space="preserve">NARYSEC will train 699 young people in 2022/23, a decrease by 710 youth when compared to the target of 1 409 in 2021/22. With the noted decrease over the MTEF period, it means that the commitment to create job opportunities for the young people will be negatively impacted. </w:t>
      </w:r>
    </w:p>
    <w:p w:rsidR="00A475C6" w:rsidRPr="00715D6E" w:rsidRDefault="00A475C6" w:rsidP="000B7E0D">
      <w:pPr>
        <w:pStyle w:val="ListParagraph"/>
        <w:numPr>
          <w:ilvl w:val="0"/>
          <w:numId w:val="8"/>
        </w:numPr>
        <w:spacing w:line="360" w:lineRule="auto"/>
        <w:jc w:val="both"/>
      </w:pPr>
      <w:r w:rsidRPr="00715D6E">
        <w:t xml:space="preserve">Completion of 69 infrastructure projects in 2022/23 to support rural economic transformation. This is a decrease compared to 75 rural projects that were targeted for completion in 2021/22. </w:t>
      </w:r>
    </w:p>
    <w:p w:rsidR="00A475C6" w:rsidRPr="00715D6E" w:rsidRDefault="00A475C6" w:rsidP="00A475C6">
      <w:pPr>
        <w:pStyle w:val="ListParagraph"/>
        <w:spacing w:line="360" w:lineRule="auto"/>
        <w:ind w:left="360"/>
        <w:jc w:val="both"/>
      </w:pPr>
    </w:p>
    <w:p w:rsidR="00F27C16" w:rsidRDefault="00F27C16" w:rsidP="00EC33C2">
      <w:pPr>
        <w:spacing w:line="360" w:lineRule="auto"/>
        <w:jc w:val="both"/>
        <w:rPr>
          <w:b/>
          <w:lang w:val="en-ZA"/>
        </w:rPr>
      </w:pPr>
      <w:r w:rsidRPr="005A669B">
        <w:rPr>
          <w:b/>
          <w:lang w:val="en-ZA"/>
        </w:rPr>
        <w:t>3.3.5</w:t>
      </w:r>
      <w:r w:rsidR="004C1910" w:rsidRPr="005A669B">
        <w:rPr>
          <w:b/>
          <w:lang w:val="en-ZA"/>
        </w:rPr>
        <w:tab/>
      </w:r>
      <w:r w:rsidRPr="005A669B">
        <w:rPr>
          <w:b/>
          <w:lang w:val="en-ZA"/>
        </w:rPr>
        <w:t xml:space="preserve">Programme 5: Economic Development, Trade and Marketing </w:t>
      </w:r>
    </w:p>
    <w:p w:rsidR="00A30E6B" w:rsidRPr="005A669B" w:rsidRDefault="00A30E6B" w:rsidP="00EC33C2">
      <w:pPr>
        <w:spacing w:line="360" w:lineRule="auto"/>
        <w:jc w:val="both"/>
        <w:rPr>
          <w:b/>
          <w:lang w:val="en-ZA"/>
        </w:rPr>
      </w:pPr>
    </w:p>
    <w:p w:rsidR="002A5050" w:rsidRDefault="004A69E1" w:rsidP="00D741B4">
      <w:pPr>
        <w:spacing w:line="360" w:lineRule="auto"/>
        <w:jc w:val="both"/>
        <w:rPr>
          <w:iCs/>
        </w:rPr>
      </w:pPr>
      <w:r w:rsidRPr="005A669B">
        <w:rPr>
          <w:bCs/>
          <w:lang w:val="en-ZA" w:eastAsia="en-ZA"/>
        </w:rPr>
        <w:t>The purpose of this Programme is to p</w:t>
      </w:r>
      <w:r w:rsidRPr="005A669B">
        <w:rPr>
          <w:lang w:val="en-ZA" w:eastAsia="en-ZA"/>
        </w:rPr>
        <w:t>romote economic development, trade and market access for agricultural products; and foster international relations for the sector.</w:t>
      </w:r>
      <w:r>
        <w:rPr>
          <w:lang w:val="en-ZA" w:eastAsia="en-ZA"/>
        </w:rPr>
        <w:t xml:space="preserve"> </w:t>
      </w:r>
      <w:r w:rsidR="00F27C16" w:rsidRPr="005A669B">
        <w:t>Programme</w:t>
      </w:r>
      <w:r w:rsidR="0047423C">
        <w:t xml:space="preserve"> 5</w:t>
      </w:r>
      <w:r>
        <w:t xml:space="preserve"> </w:t>
      </w:r>
      <w:r w:rsidR="0047423C">
        <w:t>received the smallest budget allocation of R698.7 million (4 per cent of the total Vote) for the 2022/23 financial year. Approximately R441.6 million (63 per cent of the Programme</w:t>
      </w:r>
      <w:r w:rsidR="00F27C16" w:rsidRPr="005A669B">
        <w:t>’s</w:t>
      </w:r>
      <w:r w:rsidR="0047423C">
        <w:t xml:space="preserve"> </w:t>
      </w:r>
      <w:r w:rsidR="00F27C16" w:rsidRPr="005A669B">
        <w:t>total budget</w:t>
      </w:r>
      <w:r w:rsidR="0047423C">
        <w:t>)</w:t>
      </w:r>
      <w:r w:rsidR="00F27C16" w:rsidRPr="005A669B">
        <w:t xml:space="preserve"> </w:t>
      </w:r>
      <w:r w:rsidR="0047423C">
        <w:t xml:space="preserve">will be allocated to the </w:t>
      </w:r>
      <w:r w:rsidR="003024DB" w:rsidRPr="00D741B4">
        <w:rPr>
          <w:iCs/>
        </w:rPr>
        <w:t>Agroprocessing, Marketing and Rural Industrial Development</w:t>
      </w:r>
      <w:r w:rsidR="00E628F0">
        <w:rPr>
          <w:iCs/>
        </w:rPr>
        <w:t xml:space="preserve"> sub-programme and R</w:t>
      </w:r>
      <w:r w:rsidR="0047423C">
        <w:rPr>
          <w:iCs/>
        </w:rPr>
        <w:t>138.5</w:t>
      </w:r>
      <w:r w:rsidR="00E628F0">
        <w:rPr>
          <w:iCs/>
        </w:rPr>
        <w:t xml:space="preserve"> million to the International Relations and Trade sub-programme (2</w:t>
      </w:r>
      <w:r w:rsidR="0047423C">
        <w:rPr>
          <w:iCs/>
        </w:rPr>
        <w:t>0</w:t>
      </w:r>
      <w:r w:rsidR="00E628F0">
        <w:rPr>
          <w:iCs/>
        </w:rPr>
        <w:t xml:space="preserve"> per cent). </w:t>
      </w:r>
      <w:r w:rsidR="0047423C">
        <w:rPr>
          <w:iCs/>
        </w:rPr>
        <w:t xml:space="preserve">The </w:t>
      </w:r>
      <w:r w:rsidR="002A5050">
        <w:rPr>
          <w:iCs/>
        </w:rPr>
        <w:t xml:space="preserve">R48.5 million </w:t>
      </w:r>
      <w:r w:rsidR="0047423C">
        <w:rPr>
          <w:iCs/>
        </w:rPr>
        <w:t xml:space="preserve">Parliamentary Grant </w:t>
      </w:r>
      <w:r w:rsidR="002A5050">
        <w:rPr>
          <w:iCs/>
        </w:rPr>
        <w:t xml:space="preserve">transfer </w:t>
      </w:r>
      <w:r w:rsidR="0047423C">
        <w:rPr>
          <w:iCs/>
        </w:rPr>
        <w:t xml:space="preserve">to the National Agricultural Marketing Council (NAMC) also takes place through </w:t>
      </w:r>
      <w:r w:rsidR="00D42AC3">
        <w:rPr>
          <w:iCs/>
        </w:rPr>
        <w:t xml:space="preserve">this </w:t>
      </w:r>
      <w:r w:rsidR="002A5050">
        <w:rPr>
          <w:iCs/>
        </w:rPr>
        <w:t>Programme</w:t>
      </w:r>
      <w:r w:rsidR="00D42AC3">
        <w:rPr>
          <w:iCs/>
        </w:rPr>
        <w:t>.</w:t>
      </w:r>
      <w:r w:rsidR="000C0976">
        <w:rPr>
          <w:rFonts w:cs="Arial"/>
        </w:rPr>
        <w:t xml:space="preserve"> </w:t>
      </w:r>
      <w:r w:rsidR="00D42AC3">
        <w:rPr>
          <w:rFonts w:cs="Arial"/>
        </w:rPr>
        <w:t xml:space="preserve">One of </w:t>
      </w:r>
      <w:r w:rsidR="00542D6D">
        <w:rPr>
          <w:rFonts w:cs="Arial"/>
        </w:rPr>
        <w:t>P</w:t>
      </w:r>
      <w:r w:rsidR="00D42AC3">
        <w:rPr>
          <w:rFonts w:cs="Arial"/>
        </w:rPr>
        <w:t xml:space="preserve">rogramme 5’s objectives is to </w:t>
      </w:r>
      <w:r w:rsidR="003D018D">
        <w:rPr>
          <w:rFonts w:cs="Arial"/>
        </w:rPr>
        <w:t>provide for the transfer of marketing skills to small and medium agroprocessing entrepreneurs. However, al</w:t>
      </w:r>
      <w:r w:rsidR="00EA7FE2" w:rsidRPr="00EA7FE2">
        <w:rPr>
          <w:rFonts w:cs="Arial"/>
        </w:rPr>
        <w:t>though approximately 6</w:t>
      </w:r>
      <w:r w:rsidR="002A5050">
        <w:rPr>
          <w:rFonts w:cs="Arial"/>
        </w:rPr>
        <w:t>3</w:t>
      </w:r>
      <w:r w:rsidR="00EA7FE2" w:rsidRPr="00EA7FE2">
        <w:rPr>
          <w:rFonts w:cs="Arial"/>
        </w:rPr>
        <w:t xml:space="preserve"> per cent of</w:t>
      </w:r>
      <w:r w:rsidR="00176621">
        <w:rPr>
          <w:rFonts w:cs="Arial"/>
        </w:rPr>
        <w:t xml:space="preserve"> </w:t>
      </w:r>
      <w:r w:rsidR="00EA7FE2" w:rsidRPr="00EA7FE2">
        <w:rPr>
          <w:rFonts w:cs="Arial"/>
        </w:rPr>
        <w:t xml:space="preserve">Programme 5’s budget will go to the </w:t>
      </w:r>
      <w:r w:rsidR="00EA7FE2" w:rsidRPr="005A2BC1">
        <w:rPr>
          <w:iCs/>
        </w:rPr>
        <w:t xml:space="preserve">Agroprocessing, Marketing and Rural Industrial Development </w:t>
      </w:r>
      <w:r w:rsidR="00EA7FE2" w:rsidRPr="00EA7FE2">
        <w:rPr>
          <w:iCs/>
        </w:rPr>
        <w:t>sub-programme</w:t>
      </w:r>
      <w:r w:rsidR="00EA7FE2">
        <w:rPr>
          <w:iCs/>
        </w:rPr>
        <w:t xml:space="preserve">, there are no specific targets </w:t>
      </w:r>
      <w:r w:rsidR="003D018D">
        <w:rPr>
          <w:iCs/>
        </w:rPr>
        <w:t xml:space="preserve">that directly speaks to the objective in respect of </w:t>
      </w:r>
      <w:r w:rsidR="00EA7FE2">
        <w:rPr>
          <w:iCs/>
        </w:rPr>
        <w:t>agroprocessing</w:t>
      </w:r>
      <w:r w:rsidR="003D018D">
        <w:rPr>
          <w:iCs/>
        </w:rPr>
        <w:t xml:space="preserve">. This is notwithstanding that </w:t>
      </w:r>
      <w:r w:rsidR="00EA7FE2">
        <w:rPr>
          <w:iCs/>
        </w:rPr>
        <w:t xml:space="preserve">the NDP expects </w:t>
      </w:r>
      <w:r w:rsidR="00FD499D">
        <w:rPr>
          <w:iCs/>
        </w:rPr>
        <w:t xml:space="preserve">the </w:t>
      </w:r>
      <w:r w:rsidR="002A5050">
        <w:rPr>
          <w:iCs/>
        </w:rPr>
        <w:t xml:space="preserve">agricultural </w:t>
      </w:r>
      <w:r w:rsidR="00FD499D">
        <w:rPr>
          <w:iCs/>
        </w:rPr>
        <w:t xml:space="preserve">sector </w:t>
      </w:r>
      <w:r w:rsidR="00EA7FE2">
        <w:rPr>
          <w:iCs/>
        </w:rPr>
        <w:t>to create 1 million jobs by 2030</w:t>
      </w:r>
      <w:r w:rsidR="003D018D">
        <w:rPr>
          <w:iCs/>
        </w:rPr>
        <w:t xml:space="preserve"> through agroprocessing</w:t>
      </w:r>
      <w:r w:rsidR="00EA7FE2">
        <w:rPr>
          <w:iCs/>
        </w:rPr>
        <w:t>.</w:t>
      </w:r>
      <w:r w:rsidR="002B5163">
        <w:rPr>
          <w:iCs/>
        </w:rPr>
        <w:t xml:space="preserve"> </w:t>
      </w:r>
    </w:p>
    <w:p w:rsidR="002A5050" w:rsidRDefault="002A5050" w:rsidP="00D741B4">
      <w:pPr>
        <w:spacing w:line="360" w:lineRule="auto"/>
        <w:jc w:val="both"/>
        <w:rPr>
          <w:iCs/>
        </w:rPr>
      </w:pPr>
    </w:p>
    <w:p w:rsidR="005A2BC1" w:rsidRPr="00EA7FE2" w:rsidRDefault="002B5163" w:rsidP="00D741B4">
      <w:pPr>
        <w:spacing w:line="360" w:lineRule="auto"/>
        <w:jc w:val="both"/>
      </w:pPr>
      <w:r>
        <w:rPr>
          <w:iCs/>
        </w:rPr>
        <w:t>F</w:t>
      </w:r>
      <w:r w:rsidR="00EA7FE2">
        <w:rPr>
          <w:iCs/>
        </w:rPr>
        <w:t>or the target on AgriBEE Fund applications that will be finalised, which is based on a percentage</w:t>
      </w:r>
      <w:r>
        <w:rPr>
          <w:iCs/>
        </w:rPr>
        <w:t>, there is no baseline to provide an indication of how many applications does the Department normally receives and finalise in a year, based on previous experience</w:t>
      </w:r>
      <w:r w:rsidR="00EA7FE2">
        <w:rPr>
          <w:iCs/>
        </w:rPr>
        <w:t>.</w:t>
      </w:r>
      <w:r>
        <w:rPr>
          <w:iCs/>
        </w:rPr>
        <w:t xml:space="preserve"> This is important as a measure of its transformation interventions </w:t>
      </w:r>
      <w:r w:rsidR="002A5050">
        <w:rPr>
          <w:iCs/>
        </w:rPr>
        <w:t xml:space="preserve">given that </w:t>
      </w:r>
      <w:r>
        <w:rPr>
          <w:iCs/>
        </w:rPr>
        <w:t xml:space="preserve">some </w:t>
      </w:r>
      <w:r w:rsidR="002A5050">
        <w:rPr>
          <w:iCs/>
        </w:rPr>
        <w:t xml:space="preserve">previously disadvantaged </w:t>
      </w:r>
      <w:r>
        <w:rPr>
          <w:iCs/>
        </w:rPr>
        <w:t xml:space="preserve">producers are not aware of the AgriBEE Fund or how to apply for it. </w:t>
      </w:r>
      <w:r w:rsidR="00EA7FE2">
        <w:rPr>
          <w:iCs/>
        </w:rPr>
        <w:t xml:space="preserve">In addition to what will be allocated to the Land Bank under Programme 3, </w:t>
      </w:r>
      <w:r w:rsidR="003955AA">
        <w:rPr>
          <w:iCs/>
        </w:rPr>
        <w:t>t</w:t>
      </w:r>
      <w:r w:rsidR="00EA7FE2">
        <w:rPr>
          <w:iCs/>
        </w:rPr>
        <w:t xml:space="preserve">he Department will transfer an additional </w:t>
      </w:r>
      <w:r w:rsidR="002A5050">
        <w:rPr>
          <w:iCs/>
        </w:rPr>
        <w:t xml:space="preserve">R49 million </w:t>
      </w:r>
      <w:r w:rsidR="00EA7FE2">
        <w:rPr>
          <w:iCs/>
        </w:rPr>
        <w:t xml:space="preserve">to the Land Bank under this Programme </w:t>
      </w:r>
      <w:r w:rsidR="003955AA">
        <w:rPr>
          <w:iCs/>
        </w:rPr>
        <w:t xml:space="preserve">for </w:t>
      </w:r>
      <w:r w:rsidR="002A5050">
        <w:rPr>
          <w:iCs/>
        </w:rPr>
        <w:t>the current financial year</w:t>
      </w:r>
      <w:r w:rsidR="00D42AC3">
        <w:rPr>
          <w:iCs/>
        </w:rPr>
        <w:t xml:space="preserve">, which is more than the previous year’s R40 million that was transferred to the Land Bank through Programme 5. </w:t>
      </w:r>
      <w:r w:rsidR="005A2BC1">
        <w:rPr>
          <w:iCs/>
        </w:rPr>
        <w:t xml:space="preserve"> </w:t>
      </w:r>
    </w:p>
    <w:p w:rsidR="00EA7FE2" w:rsidRPr="00EA7FE2" w:rsidRDefault="00EA7FE2" w:rsidP="00D535AF">
      <w:pPr>
        <w:spacing w:line="360" w:lineRule="auto"/>
        <w:jc w:val="both"/>
      </w:pPr>
    </w:p>
    <w:p w:rsidR="00F27C16" w:rsidRPr="005A669B" w:rsidRDefault="00F27C16" w:rsidP="00D535AF">
      <w:pPr>
        <w:spacing w:line="360" w:lineRule="auto"/>
        <w:jc w:val="both"/>
        <w:rPr>
          <w:b/>
          <w:lang w:val="en-ZA"/>
        </w:rPr>
      </w:pPr>
      <w:r w:rsidRPr="005A669B">
        <w:rPr>
          <w:b/>
          <w:lang w:val="en-ZA"/>
        </w:rPr>
        <w:lastRenderedPageBreak/>
        <w:t>3.3.6 Programme 6: Land Administration</w:t>
      </w:r>
    </w:p>
    <w:p w:rsidR="00F27C16" w:rsidRDefault="00F27C16" w:rsidP="00ED22E4">
      <w:pPr>
        <w:spacing w:line="360" w:lineRule="auto"/>
        <w:jc w:val="both"/>
        <w:rPr>
          <w:b/>
          <w:lang w:val="en-ZA"/>
        </w:rPr>
      </w:pPr>
    </w:p>
    <w:p w:rsidR="00A475C6" w:rsidRPr="00715D6E" w:rsidRDefault="00A475C6" w:rsidP="00A475C6">
      <w:pPr>
        <w:spacing w:line="360" w:lineRule="auto"/>
        <w:jc w:val="both"/>
      </w:pPr>
      <w:r w:rsidRPr="00715D6E">
        <w:t xml:space="preserve">This </w:t>
      </w:r>
      <w:r>
        <w:t>P</w:t>
      </w:r>
      <w:r w:rsidRPr="00715D6E">
        <w:t>rogramme is responsible for provision and maintenance of an inclusive, effective and comprehensive system of planning, geospatial information, cadastral surveys, legally secure tenure, and land administration that promotes social, economic and environmental sustainability. The budget allocation for land administration decreased from an adjusted appropriation of R762.6 million in 2021/22 to R708.6 million in 2022/23. The Deeds Registration Sub-programme generates its own revenue from selling information on deeds registration and does not receive any allocation from the Department. The largest share of the allocation of programme 6 goes to the National Geomatics Management Services Sub-programme, 71.6 percent in 2022/23. Together, the National Geomatics Management Services and Spatial Planning and Land Use sub-programmes receive 98.6% of the total allocation to the Programme. These are a crucial sub-programmes for improved land administration and spatial planning for integrated development.</w:t>
      </w:r>
    </w:p>
    <w:p w:rsidR="00A475C6" w:rsidRPr="00715D6E" w:rsidRDefault="00A475C6" w:rsidP="00A475C6">
      <w:pPr>
        <w:spacing w:line="360" w:lineRule="auto"/>
        <w:jc w:val="both"/>
      </w:pPr>
    </w:p>
    <w:p w:rsidR="00A475C6" w:rsidRPr="00715D6E" w:rsidRDefault="00A475C6" w:rsidP="00A475C6">
      <w:pPr>
        <w:spacing w:line="360" w:lineRule="auto"/>
        <w:jc w:val="both"/>
      </w:pPr>
      <w:r w:rsidRPr="00715D6E">
        <w:t xml:space="preserve">The 2022/23 targets to contribute to spatial transformation are as follows: </w:t>
      </w:r>
    </w:p>
    <w:p w:rsidR="00A475C6" w:rsidRPr="00715D6E" w:rsidRDefault="00A475C6" w:rsidP="000B7E0D">
      <w:pPr>
        <w:pStyle w:val="ListParagraph"/>
        <w:numPr>
          <w:ilvl w:val="0"/>
          <w:numId w:val="8"/>
        </w:numPr>
        <w:spacing w:line="360" w:lineRule="auto"/>
        <w:jc w:val="both"/>
      </w:pPr>
      <w:r w:rsidRPr="00715D6E">
        <w:t xml:space="preserve">Completion of phase 1 of the e-DRS (75 per cent is estimated to have been completed in 2021/22) and phases 2, 3 and 4 will be completed by 2024/25. This transition to electronic lodgement and registration is aimed at enhancing efficiency in deeds registration and improvement in the turn-around times for delivery of title deeds. </w:t>
      </w:r>
    </w:p>
    <w:p w:rsidR="00A475C6" w:rsidRPr="00715D6E" w:rsidRDefault="00A475C6" w:rsidP="000B7E0D">
      <w:pPr>
        <w:pStyle w:val="ListParagraph"/>
        <w:numPr>
          <w:ilvl w:val="0"/>
          <w:numId w:val="8"/>
        </w:numPr>
        <w:spacing w:line="360" w:lineRule="auto"/>
        <w:jc w:val="both"/>
      </w:pPr>
      <w:r w:rsidRPr="00715D6E">
        <w:t>Produce implementation report of the National Spatial Development Framework (NSDF).</w:t>
      </w:r>
    </w:p>
    <w:p w:rsidR="00A475C6" w:rsidRPr="00715D6E" w:rsidRDefault="00A475C6" w:rsidP="000B7E0D">
      <w:pPr>
        <w:pStyle w:val="ListParagraph"/>
        <w:numPr>
          <w:ilvl w:val="0"/>
          <w:numId w:val="8"/>
        </w:numPr>
        <w:spacing w:line="360" w:lineRule="auto"/>
        <w:jc w:val="both"/>
      </w:pPr>
      <w:r w:rsidRPr="00715D6E">
        <w:t xml:space="preserve">The Deeds Registries Amendment Bill and memorandum on the Bill to be submitted to the Minister for submission to the Cabinet in 2022/23. </w:t>
      </w:r>
    </w:p>
    <w:p w:rsidR="004C1910" w:rsidRDefault="004C1910" w:rsidP="00ED22E4">
      <w:pPr>
        <w:tabs>
          <w:tab w:val="left" w:pos="567"/>
          <w:tab w:val="left" w:pos="2012"/>
        </w:tabs>
        <w:autoSpaceDE w:val="0"/>
        <w:autoSpaceDN w:val="0"/>
        <w:adjustRightInd w:val="0"/>
        <w:spacing w:line="360" w:lineRule="auto"/>
        <w:jc w:val="both"/>
        <w:rPr>
          <w:lang w:val="en-ZA"/>
        </w:rPr>
      </w:pPr>
    </w:p>
    <w:p w:rsidR="00F27C16" w:rsidRPr="005A669B" w:rsidRDefault="004338CE" w:rsidP="005C35C4">
      <w:pPr>
        <w:tabs>
          <w:tab w:val="left" w:pos="567"/>
          <w:tab w:val="left" w:pos="2012"/>
        </w:tabs>
        <w:autoSpaceDE w:val="0"/>
        <w:autoSpaceDN w:val="0"/>
        <w:adjustRightInd w:val="0"/>
        <w:spacing w:line="360" w:lineRule="auto"/>
        <w:ind w:left="567" w:hanging="567"/>
        <w:jc w:val="both"/>
        <w:rPr>
          <w:b/>
          <w:lang w:val="en-ZA"/>
        </w:rPr>
      </w:pPr>
      <w:r>
        <w:rPr>
          <w:b/>
          <w:lang w:val="en-ZA"/>
        </w:rPr>
        <w:t>4</w:t>
      </w:r>
      <w:r w:rsidR="00F27C16" w:rsidRPr="005A669B">
        <w:rPr>
          <w:b/>
          <w:lang w:val="en-ZA"/>
        </w:rPr>
        <w:t xml:space="preserve">. </w:t>
      </w:r>
      <w:r w:rsidR="00F27C16" w:rsidRPr="005A669B">
        <w:rPr>
          <w:b/>
          <w:lang w:val="en-ZA"/>
        </w:rPr>
        <w:tab/>
      </w:r>
      <w:r>
        <w:rPr>
          <w:b/>
        </w:rPr>
        <w:t xml:space="preserve">Overview of the Strategic Focus </w:t>
      </w:r>
      <w:r w:rsidR="00F27C16" w:rsidRPr="005A669B">
        <w:rPr>
          <w:b/>
          <w:lang w:val="en-ZA"/>
        </w:rPr>
        <w:t xml:space="preserve">of the </w:t>
      </w:r>
      <w:r w:rsidR="00011A2B">
        <w:rPr>
          <w:b/>
          <w:lang w:val="en-ZA"/>
        </w:rPr>
        <w:t xml:space="preserve">Public </w:t>
      </w:r>
      <w:r w:rsidR="00F27C16" w:rsidRPr="005A669B">
        <w:rPr>
          <w:b/>
          <w:lang w:val="en-ZA"/>
        </w:rPr>
        <w:t>Entities of the Department</w:t>
      </w:r>
      <w:r>
        <w:rPr>
          <w:b/>
          <w:lang w:val="en-ZA"/>
        </w:rPr>
        <w:t>, their 2</w:t>
      </w:r>
      <w:r w:rsidRPr="005A669B">
        <w:rPr>
          <w:b/>
          <w:lang w:val="en-ZA"/>
        </w:rPr>
        <w:t>02</w:t>
      </w:r>
      <w:r w:rsidR="009231C8">
        <w:rPr>
          <w:b/>
          <w:lang w:val="en-ZA"/>
        </w:rPr>
        <w:t>2</w:t>
      </w:r>
      <w:r w:rsidR="00E561C6">
        <w:rPr>
          <w:b/>
          <w:lang w:val="en-ZA"/>
        </w:rPr>
        <w:t>/23</w:t>
      </w:r>
      <w:r w:rsidRPr="005A669B">
        <w:rPr>
          <w:b/>
          <w:lang w:val="en-ZA"/>
        </w:rPr>
        <w:t xml:space="preserve"> Annual Performance Plans</w:t>
      </w:r>
      <w:r w:rsidR="00F27C16" w:rsidRPr="005A669B">
        <w:rPr>
          <w:b/>
          <w:lang w:val="en-ZA"/>
        </w:rPr>
        <w:t xml:space="preserve"> </w:t>
      </w:r>
      <w:r>
        <w:rPr>
          <w:b/>
          <w:lang w:val="en-ZA"/>
        </w:rPr>
        <w:t>and Budget Allocation</w:t>
      </w:r>
      <w:r w:rsidR="00F27C16" w:rsidRPr="005A669B">
        <w:rPr>
          <w:b/>
          <w:lang w:val="en-ZA"/>
        </w:rPr>
        <w:t xml:space="preserve"> </w:t>
      </w:r>
    </w:p>
    <w:p w:rsidR="00F27C16" w:rsidRDefault="00F27C16" w:rsidP="006D40DC">
      <w:pPr>
        <w:tabs>
          <w:tab w:val="left" w:pos="567"/>
          <w:tab w:val="left" w:pos="2012"/>
        </w:tabs>
        <w:autoSpaceDE w:val="0"/>
        <w:autoSpaceDN w:val="0"/>
        <w:adjustRightInd w:val="0"/>
        <w:spacing w:line="360" w:lineRule="auto"/>
        <w:jc w:val="both"/>
        <w:rPr>
          <w:b/>
          <w:lang w:val="en-ZA"/>
        </w:rPr>
      </w:pPr>
    </w:p>
    <w:p w:rsidR="00011A2B" w:rsidRDefault="00011A2B" w:rsidP="006D40DC">
      <w:pPr>
        <w:tabs>
          <w:tab w:val="left" w:pos="567"/>
          <w:tab w:val="left" w:pos="2012"/>
        </w:tabs>
        <w:autoSpaceDE w:val="0"/>
        <w:autoSpaceDN w:val="0"/>
        <w:adjustRightInd w:val="0"/>
        <w:spacing w:line="360" w:lineRule="auto"/>
        <w:jc w:val="both"/>
        <w:rPr>
          <w:lang w:val="en-ZA"/>
        </w:rPr>
      </w:pPr>
      <w:r>
        <w:rPr>
          <w:lang w:val="en-ZA"/>
        </w:rPr>
        <w:t xml:space="preserve">The Department, as discussed above, oversee the operations of </w:t>
      </w:r>
      <w:r w:rsidR="00AD306F">
        <w:rPr>
          <w:lang w:val="en-ZA"/>
        </w:rPr>
        <w:t xml:space="preserve">a number of </w:t>
      </w:r>
      <w:r>
        <w:rPr>
          <w:lang w:val="en-ZA"/>
        </w:rPr>
        <w:t xml:space="preserve">national public entities of different status. For example, the status of the Commission on Restitution of Land Rights is currently under review with intension to ensure that it is fully autonomous as envisioned in the founding legislation. Table 4 below illustrates budget allocation for each entity. </w:t>
      </w:r>
    </w:p>
    <w:p w:rsidR="008D1C99" w:rsidRDefault="008D1C99" w:rsidP="006D40DC">
      <w:pPr>
        <w:tabs>
          <w:tab w:val="left" w:pos="567"/>
          <w:tab w:val="left" w:pos="2012"/>
        </w:tabs>
        <w:autoSpaceDE w:val="0"/>
        <w:autoSpaceDN w:val="0"/>
        <w:adjustRightInd w:val="0"/>
        <w:spacing w:line="360" w:lineRule="auto"/>
        <w:jc w:val="both"/>
        <w:rPr>
          <w:lang w:val="en-ZA"/>
        </w:rPr>
      </w:pPr>
    </w:p>
    <w:p w:rsidR="00F27C16" w:rsidRPr="00004F3D" w:rsidRDefault="00F27C16" w:rsidP="00011A2B">
      <w:pPr>
        <w:tabs>
          <w:tab w:val="left" w:pos="567"/>
          <w:tab w:val="left" w:pos="2012"/>
        </w:tabs>
        <w:autoSpaceDE w:val="0"/>
        <w:autoSpaceDN w:val="0"/>
        <w:adjustRightInd w:val="0"/>
        <w:spacing w:line="360" w:lineRule="auto"/>
        <w:jc w:val="both"/>
        <w:rPr>
          <w:b/>
          <w:sz w:val="20"/>
          <w:szCs w:val="20"/>
          <w:lang w:val="en-ZA"/>
        </w:rPr>
      </w:pPr>
      <w:r w:rsidRPr="00004F3D">
        <w:rPr>
          <w:b/>
          <w:sz w:val="20"/>
          <w:szCs w:val="20"/>
          <w:lang w:val="en-ZA"/>
        </w:rPr>
        <w:lastRenderedPageBreak/>
        <w:t xml:space="preserve">Table </w:t>
      </w:r>
      <w:r w:rsidR="000A0D34" w:rsidRPr="00004F3D">
        <w:rPr>
          <w:b/>
          <w:sz w:val="20"/>
          <w:szCs w:val="20"/>
          <w:lang w:val="en-ZA"/>
        </w:rPr>
        <w:t>4</w:t>
      </w:r>
      <w:r w:rsidRPr="00004F3D">
        <w:rPr>
          <w:b/>
          <w:sz w:val="20"/>
          <w:szCs w:val="20"/>
          <w:lang w:val="en-ZA"/>
        </w:rPr>
        <w:t xml:space="preserve">. </w:t>
      </w:r>
      <w:r w:rsidRPr="00004F3D">
        <w:rPr>
          <w:sz w:val="20"/>
          <w:szCs w:val="20"/>
          <w:lang w:val="en-ZA"/>
        </w:rPr>
        <w:t>Budget Allocation to Entities for the MTEF Period 202</w:t>
      </w:r>
      <w:r w:rsidR="00922CDB" w:rsidRPr="00004F3D">
        <w:rPr>
          <w:sz w:val="20"/>
          <w:szCs w:val="20"/>
          <w:lang w:val="en-ZA"/>
        </w:rPr>
        <w:t>2</w:t>
      </w:r>
      <w:r w:rsidR="003261F6" w:rsidRPr="00004F3D">
        <w:rPr>
          <w:sz w:val="20"/>
          <w:szCs w:val="20"/>
          <w:lang w:val="en-ZA"/>
        </w:rPr>
        <w:t>/23</w:t>
      </w:r>
      <w:r w:rsidRPr="00004F3D">
        <w:rPr>
          <w:sz w:val="20"/>
          <w:szCs w:val="20"/>
          <w:lang w:val="en-ZA"/>
        </w:rPr>
        <w:t xml:space="preserve"> – 202</w:t>
      </w:r>
      <w:r w:rsidR="00922CDB" w:rsidRPr="00004F3D">
        <w:rPr>
          <w:sz w:val="20"/>
          <w:szCs w:val="20"/>
          <w:lang w:val="en-ZA"/>
        </w:rPr>
        <w:t>4</w:t>
      </w:r>
      <w:r w:rsidR="003261F6" w:rsidRPr="00004F3D">
        <w:rPr>
          <w:sz w:val="20"/>
          <w:szCs w:val="20"/>
          <w:lang w:val="en-ZA"/>
        </w:rPr>
        <w:t>/25</w:t>
      </w:r>
    </w:p>
    <w:tbl>
      <w:tblPr>
        <w:tblStyle w:val="TableGridLight"/>
        <w:tblW w:w="5000" w:type="pct"/>
        <w:tblLook w:val="01E0" w:firstRow="1" w:lastRow="1" w:firstColumn="1" w:lastColumn="1" w:noHBand="0" w:noVBand="0"/>
      </w:tblPr>
      <w:tblGrid>
        <w:gridCol w:w="4107"/>
        <w:gridCol w:w="1586"/>
        <w:gridCol w:w="1219"/>
        <w:gridCol w:w="1219"/>
        <w:gridCol w:w="1219"/>
      </w:tblGrid>
      <w:tr w:rsidR="00F27C16" w:rsidRPr="00706E51" w:rsidTr="00226116">
        <w:trPr>
          <w:trHeight w:val="464"/>
        </w:trPr>
        <w:tc>
          <w:tcPr>
            <w:tcW w:w="2196" w:type="pct"/>
            <w:vMerge w:val="restart"/>
            <w:shd w:val="clear" w:color="auto" w:fill="C5E0B3" w:themeFill="accent6" w:themeFillTint="66"/>
          </w:tcPr>
          <w:p w:rsidR="00706E51" w:rsidRPr="00004F3D" w:rsidRDefault="00F27C16">
            <w:pPr>
              <w:spacing w:line="360" w:lineRule="auto"/>
              <w:jc w:val="both"/>
              <w:rPr>
                <w:b/>
                <w:sz w:val="20"/>
                <w:szCs w:val="20"/>
                <w:lang w:val="en-ZA"/>
              </w:rPr>
            </w:pPr>
            <w:r w:rsidRPr="00004F3D">
              <w:rPr>
                <w:b/>
                <w:sz w:val="20"/>
                <w:szCs w:val="20"/>
                <w:lang w:val="en-ZA"/>
              </w:rPr>
              <w:t>Entity</w:t>
            </w:r>
            <w:r w:rsidR="00011A2B" w:rsidRPr="00004F3D">
              <w:rPr>
                <w:b/>
                <w:sz w:val="20"/>
                <w:szCs w:val="20"/>
                <w:lang w:val="en-ZA"/>
              </w:rPr>
              <w:t xml:space="preserve"> </w:t>
            </w:r>
            <w:r w:rsidR="00706E51" w:rsidRPr="00004F3D">
              <w:rPr>
                <w:b/>
                <w:sz w:val="20"/>
                <w:szCs w:val="20"/>
                <w:lang w:val="en-ZA"/>
              </w:rPr>
              <w:t xml:space="preserve">                                           </w:t>
            </w:r>
          </w:p>
          <w:p w:rsidR="00F27C16" w:rsidRPr="00004F3D" w:rsidRDefault="00706E51">
            <w:pPr>
              <w:spacing w:line="360" w:lineRule="auto"/>
              <w:jc w:val="right"/>
              <w:rPr>
                <w:b/>
                <w:sz w:val="20"/>
                <w:szCs w:val="20"/>
                <w:lang w:val="en-ZA"/>
              </w:rPr>
            </w:pPr>
            <w:r w:rsidRPr="00004F3D">
              <w:rPr>
                <w:b/>
                <w:sz w:val="20"/>
                <w:szCs w:val="20"/>
                <w:lang w:val="en-ZA"/>
              </w:rPr>
              <w:t xml:space="preserve">                                                </w:t>
            </w:r>
            <w:r w:rsidR="00011A2B" w:rsidRPr="00004F3D">
              <w:rPr>
                <w:b/>
                <w:sz w:val="20"/>
                <w:szCs w:val="20"/>
                <w:lang w:val="en-ZA"/>
              </w:rPr>
              <w:t>R</w:t>
            </w:r>
            <w:r w:rsidRPr="00004F3D">
              <w:rPr>
                <w:b/>
                <w:sz w:val="20"/>
                <w:szCs w:val="20"/>
                <w:lang w:val="en-ZA"/>
              </w:rPr>
              <w:t>’000</w:t>
            </w:r>
          </w:p>
        </w:tc>
        <w:tc>
          <w:tcPr>
            <w:tcW w:w="848" w:type="pct"/>
            <w:vMerge w:val="restart"/>
            <w:shd w:val="clear" w:color="auto" w:fill="C5E0B3" w:themeFill="accent6" w:themeFillTint="66"/>
          </w:tcPr>
          <w:p w:rsidR="00F27C16" w:rsidRPr="00004F3D" w:rsidRDefault="00F27C16" w:rsidP="00381E72">
            <w:pPr>
              <w:spacing w:line="360" w:lineRule="auto"/>
              <w:jc w:val="both"/>
              <w:rPr>
                <w:b/>
                <w:sz w:val="20"/>
                <w:szCs w:val="20"/>
                <w:lang w:val="en-ZA"/>
              </w:rPr>
            </w:pPr>
            <w:r w:rsidRPr="00004F3D">
              <w:rPr>
                <w:b/>
                <w:sz w:val="20"/>
                <w:szCs w:val="20"/>
                <w:lang w:val="en-ZA"/>
              </w:rPr>
              <w:t>20</w:t>
            </w:r>
            <w:r w:rsidR="003261F6" w:rsidRPr="00004F3D">
              <w:rPr>
                <w:b/>
                <w:sz w:val="20"/>
                <w:szCs w:val="20"/>
                <w:lang w:val="en-ZA"/>
              </w:rPr>
              <w:t>21/</w:t>
            </w:r>
            <w:r w:rsidRPr="00004F3D">
              <w:rPr>
                <w:b/>
                <w:sz w:val="20"/>
                <w:szCs w:val="20"/>
                <w:lang w:val="en-ZA"/>
              </w:rPr>
              <w:t>2</w:t>
            </w:r>
            <w:r w:rsidR="001A0CBB" w:rsidRPr="00004F3D">
              <w:rPr>
                <w:b/>
                <w:sz w:val="20"/>
                <w:szCs w:val="20"/>
                <w:lang w:val="en-ZA"/>
              </w:rPr>
              <w:t>2</w:t>
            </w:r>
            <w:r w:rsidRPr="00004F3D">
              <w:rPr>
                <w:b/>
                <w:sz w:val="20"/>
                <w:szCs w:val="20"/>
                <w:lang w:val="en-ZA"/>
              </w:rPr>
              <w:t xml:space="preserve"> </w:t>
            </w:r>
          </w:p>
          <w:p w:rsidR="00F27C16" w:rsidRPr="00004F3D" w:rsidRDefault="00F27C16">
            <w:pPr>
              <w:spacing w:line="360" w:lineRule="auto"/>
              <w:jc w:val="both"/>
              <w:rPr>
                <w:b/>
                <w:sz w:val="20"/>
                <w:szCs w:val="20"/>
                <w:lang w:val="en-ZA"/>
              </w:rPr>
            </w:pPr>
            <w:r w:rsidRPr="00004F3D">
              <w:rPr>
                <w:b/>
                <w:sz w:val="20"/>
                <w:szCs w:val="20"/>
                <w:lang w:val="en-ZA"/>
              </w:rPr>
              <w:t>Adj</w:t>
            </w:r>
            <w:r w:rsidR="00706E51" w:rsidRPr="00004F3D">
              <w:rPr>
                <w:b/>
                <w:sz w:val="20"/>
                <w:szCs w:val="20"/>
                <w:lang w:val="en-ZA"/>
              </w:rPr>
              <w:t>. A</w:t>
            </w:r>
            <w:r w:rsidRPr="00004F3D">
              <w:rPr>
                <w:b/>
                <w:sz w:val="20"/>
                <w:szCs w:val="20"/>
                <w:lang w:val="en-ZA"/>
              </w:rPr>
              <w:t>pprop</w:t>
            </w:r>
            <w:r w:rsidR="00706E51" w:rsidRPr="00004F3D">
              <w:rPr>
                <w:b/>
                <w:sz w:val="20"/>
                <w:szCs w:val="20"/>
                <w:lang w:val="en-ZA"/>
              </w:rPr>
              <w:t>.</w:t>
            </w:r>
            <w:r w:rsidRPr="00004F3D">
              <w:rPr>
                <w:b/>
                <w:sz w:val="20"/>
                <w:szCs w:val="20"/>
                <w:lang w:val="en-ZA"/>
              </w:rPr>
              <w:t xml:space="preserve"> </w:t>
            </w:r>
          </w:p>
        </w:tc>
        <w:tc>
          <w:tcPr>
            <w:tcW w:w="1956" w:type="pct"/>
            <w:gridSpan w:val="3"/>
            <w:shd w:val="clear" w:color="auto" w:fill="C5E0B3" w:themeFill="accent6" w:themeFillTint="66"/>
          </w:tcPr>
          <w:p w:rsidR="00F27C16" w:rsidRPr="00004F3D" w:rsidRDefault="00F27C16" w:rsidP="00381E72">
            <w:pPr>
              <w:spacing w:line="360" w:lineRule="auto"/>
              <w:jc w:val="both"/>
              <w:rPr>
                <w:b/>
                <w:sz w:val="20"/>
                <w:szCs w:val="20"/>
                <w:lang w:val="en-ZA"/>
              </w:rPr>
            </w:pPr>
            <w:r w:rsidRPr="00004F3D">
              <w:rPr>
                <w:b/>
                <w:sz w:val="20"/>
                <w:szCs w:val="20"/>
                <w:lang w:val="en-ZA"/>
              </w:rPr>
              <w:t xml:space="preserve">MTEF Period Estimates  </w:t>
            </w:r>
          </w:p>
        </w:tc>
      </w:tr>
      <w:tr w:rsidR="00F27C16" w:rsidRPr="00706E51" w:rsidTr="00226116">
        <w:trPr>
          <w:trHeight w:val="260"/>
        </w:trPr>
        <w:tc>
          <w:tcPr>
            <w:tcW w:w="2196" w:type="pct"/>
            <w:vMerge/>
            <w:shd w:val="clear" w:color="auto" w:fill="C5E0B3" w:themeFill="accent6" w:themeFillTint="66"/>
          </w:tcPr>
          <w:p w:rsidR="00F27C16" w:rsidRPr="00004F3D" w:rsidRDefault="00F27C16" w:rsidP="00381E72">
            <w:pPr>
              <w:spacing w:line="360" w:lineRule="auto"/>
              <w:jc w:val="both"/>
              <w:rPr>
                <w:b/>
                <w:sz w:val="20"/>
                <w:szCs w:val="20"/>
                <w:lang w:val="en-ZA"/>
              </w:rPr>
            </w:pPr>
          </w:p>
        </w:tc>
        <w:tc>
          <w:tcPr>
            <w:tcW w:w="848" w:type="pct"/>
            <w:vMerge/>
            <w:shd w:val="clear" w:color="auto" w:fill="C5E0B3" w:themeFill="accent6" w:themeFillTint="66"/>
          </w:tcPr>
          <w:p w:rsidR="00F27C16" w:rsidRPr="00004F3D" w:rsidRDefault="00F27C16" w:rsidP="00381E72">
            <w:pPr>
              <w:spacing w:line="360" w:lineRule="auto"/>
              <w:jc w:val="both"/>
              <w:rPr>
                <w:b/>
                <w:sz w:val="20"/>
                <w:szCs w:val="20"/>
                <w:lang w:val="en-ZA"/>
              </w:rPr>
            </w:pPr>
          </w:p>
        </w:tc>
        <w:tc>
          <w:tcPr>
            <w:tcW w:w="652" w:type="pct"/>
            <w:shd w:val="clear" w:color="auto" w:fill="C5E0B3" w:themeFill="accent6" w:themeFillTint="66"/>
          </w:tcPr>
          <w:p w:rsidR="00F27C16" w:rsidRPr="00004F3D" w:rsidRDefault="00F27C16">
            <w:pPr>
              <w:spacing w:line="360" w:lineRule="auto"/>
              <w:jc w:val="both"/>
              <w:rPr>
                <w:b/>
                <w:sz w:val="20"/>
                <w:szCs w:val="20"/>
                <w:lang w:val="en-ZA"/>
              </w:rPr>
            </w:pPr>
            <w:r w:rsidRPr="00004F3D">
              <w:rPr>
                <w:b/>
                <w:sz w:val="20"/>
                <w:szCs w:val="20"/>
                <w:lang w:val="en-ZA"/>
              </w:rPr>
              <w:t>202</w:t>
            </w:r>
            <w:r w:rsidR="001A0CBB" w:rsidRPr="00004F3D">
              <w:rPr>
                <w:b/>
                <w:sz w:val="20"/>
                <w:szCs w:val="20"/>
                <w:lang w:val="en-ZA"/>
              </w:rPr>
              <w:t>2</w:t>
            </w:r>
            <w:r w:rsidR="003261F6" w:rsidRPr="00004F3D">
              <w:rPr>
                <w:b/>
                <w:sz w:val="20"/>
                <w:szCs w:val="20"/>
                <w:lang w:val="en-ZA"/>
              </w:rPr>
              <w:t>/23</w:t>
            </w:r>
            <w:r w:rsidRPr="00004F3D">
              <w:rPr>
                <w:b/>
                <w:sz w:val="20"/>
                <w:szCs w:val="20"/>
                <w:lang w:val="en-ZA"/>
              </w:rPr>
              <w:t xml:space="preserve"> </w:t>
            </w:r>
          </w:p>
        </w:tc>
        <w:tc>
          <w:tcPr>
            <w:tcW w:w="652" w:type="pct"/>
            <w:shd w:val="clear" w:color="auto" w:fill="C5E0B3" w:themeFill="accent6" w:themeFillTint="66"/>
          </w:tcPr>
          <w:p w:rsidR="00F27C16" w:rsidRPr="00004F3D" w:rsidRDefault="00F27C16">
            <w:pPr>
              <w:spacing w:line="360" w:lineRule="auto"/>
              <w:jc w:val="both"/>
              <w:rPr>
                <w:b/>
                <w:sz w:val="20"/>
                <w:szCs w:val="20"/>
                <w:lang w:val="en-ZA"/>
              </w:rPr>
            </w:pPr>
            <w:r w:rsidRPr="00004F3D">
              <w:rPr>
                <w:b/>
                <w:sz w:val="20"/>
                <w:szCs w:val="20"/>
                <w:lang w:val="en-ZA"/>
              </w:rPr>
              <w:t>202</w:t>
            </w:r>
            <w:r w:rsidR="001A0CBB" w:rsidRPr="00004F3D">
              <w:rPr>
                <w:b/>
                <w:sz w:val="20"/>
                <w:szCs w:val="20"/>
                <w:lang w:val="en-ZA"/>
              </w:rPr>
              <w:t>3</w:t>
            </w:r>
            <w:r w:rsidR="003261F6" w:rsidRPr="00004F3D">
              <w:rPr>
                <w:b/>
                <w:sz w:val="20"/>
                <w:szCs w:val="20"/>
                <w:lang w:val="en-ZA"/>
              </w:rPr>
              <w:t>/24</w:t>
            </w:r>
            <w:r w:rsidRPr="00004F3D">
              <w:rPr>
                <w:b/>
                <w:sz w:val="20"/>
                <w:szCs w:val="20"/>
                <w:lang w:val="en-ZA"/>
              </w:rPr>
              <w:t xml:space="preserve"> </w:t>
            </w:r>
          </w:p>
        </w:tc>
        <w:tc>
          <w:tcPr>
            <w:tcW w:w="652" w:type="pct"/>
            <w:shd w:val="clear" w:color="auto" w:fill="C5E0B3" w:themeFill="accent6" w:themeFillTint="66"/>
          </w:tcPr>
          <w:p w:rsidR="00F27C16" w:rsidRPr="00004F3D" w:rsidRDefault="00F27C16">
            <w:pPr>
              <w:spacing w:line="360" w:lineRule="auto"/>
              <w:jc w:val="both"/>
              <w:rPr>
                <w:b/>
                <w:sz w:val="20"/>
                <w:szCs w:val="20"/>
                <w:lang w:val="en-ZA"/>
              </w:rPr>
            </w:pPr>
            <w:r w:rsidRPr="00004F3D">
              <w:rPr>
                <w:b/>
                <w:sz w:val="20"/>
                <w:szCs w:val="20"/>
                <w:lang w:val="en-ZA"/>
              </w:rPr>
              <w:t>202</w:t>
            </w:r>
            <w:r w:rsidR="001A0CBB" w:rsidRPr="00004F3D">
              <w:rPr>
                <w:b/>
                <w:sz w:val="20"/>
                <w:szCs w:val="20"/>
                <w:lang w:val="en-ZA"/>
              </w:rPr>
              <w:t>4</w:t>
            </w:r>
            <w:r w:rsidR="003261F6" w:rsidRPr="00004F3D">
              <w:rPr>
                <w:b/>
                <w:sz w:val="20"/>
                <w:szCs w:val="20"/>
                <w:lang w:val="en-ZA"/>
              </w:rPr>
              <w:t>/25</w:t>
            </w:r>
            <w:r w:rsidRPr="00004F3D">
              <w:rPr>
                <w:b/>
                <w:sz w:val="20"/>
                <w:szCs w:val="20"/>
                <w:lang w:val="en-ZA"/>
              </w:rPr>
              <w:t xml:space="preserve"> </w:t>
            </w:r>
          </w:p>
        </w:tc>
      </w:tr>
      <w:tr w:rsidR="00F27C16" w:rsidRPr="00706E51" w:rsidTr="00226116">
        <w:tc>
          <w:tcPr>
            <w:tcW w:w="2196" w:type="pct"/>
            <w:tcBorders>
              <w:top w:val="single" w:sz="12" w:space="0" w:color="auto"/>
            </w:tcBorders>
          </w:tcPr>
          <w:p w:rsidR="00F27C16" w:rsidRPr="00004F3D" w:rsidRDefault="00F27C16" w:rsidP="00381E72">
            <w:pPr>
              <w:spacing w:line="360" w:lineRule="auto"/>
              <w:rPr>
                <w:sz w:val="20"/>
                <w:szCs w:val="20"/>
                <w:lang w:val="en-ZA"/>
              </w:rPr>
            </w:pPr>
            <w:r w:rsidRPr="00004F3D">
              <w:rPr>
                <w:b/>
                <w:sz w:val="20"/>
                <w:szCs w:val="20"/>
                <w:lang w:val="en-ZA"/>
              </w:rPr>
              <w:t>1.</w:t>
            </w:r>
            <w:r w:rsidRPr="00004F3D">
              <w:rPr>
                <w:sz w:val="20"/>
                <w:szCs w:val="20"/>
                <w:lang w:val="en-ZA"/>
              </w:rPr>
              <w:t xml:space="preserve">  Commission on Restitution of Land Rights </w:t>
            </w:r>
          </w:p>
        </w:tc>
        <w:tc>
          <w:tcPr>
            <w:tcW w:w="848" w:type="pct"/>
            <w:tcBorders>
              <w:top w:val="single" w:sz="12" w:space="0" w:color="auto"/>
            </w:tcBorders>
          </w:tcPr>
          <w:p w:rsidR="00F27C16" w:rsidRPr="00004F3D" w:rsidRDefault="00F27C16" w:rsidP="00004F3D">
            <w:pPr>
              <w:spacing w:line="360" w:lineRule="auto"/>
              <w:jc w:val="right"/>
              <w:rPr>
                <w:sz w:val="20"/>
                <w:szCs w:val="20"/>
                <w:lang w:val="en-ZA"/>
              </w:rPr>
            </w:pPr>
            <w:r w:rsidRPr="00004F3D">
              <w:rPr>
                <w:sz w:val="20"/>
                <w:szCs w:val="20"/>
                <w:lang w:val="en-ZA"/>
              </w:rPr>
              <w:t>-</w:t>
            </w:r>
          </w:p>
        </w:tc>
        <w:tc>
          <w:tcPr>
            <w:tcW w:w="652" w:type="pct"/>
            <w:tcBorders>
              <w:top w:val="single" w:sz="12" w:space="0" w:color="auto"/>
            </w:tcBorders>
            <w:shd w:val="clear" w:color="auto" w:fill="E2EFD9" w:themeFill="accent6" w:themeFillTint="33"/>
          </w:tcPr>
          <w:p w:rsidR="00F27C16" w:rsidRPr="00004F3D" w:rsidRDefault="00BF503A" w:rsidP="00004F3D">
            <w:pPr>
              <w:spacing w:line="360" w:lineRule="auto"/>
              <w:jc w:val="right"/>
              <w:rPr>
                <w:sz w:val="20"/>
                <w:szCs w:val="20"/>
                <w:lang w:val="en-ZA"/>
              </w:rPr>
            </w:pPr>
            <w:r>
              <w:rPr>
                <w:sz w:val="20"/>
                <w:szCs w:val="20"/>
                <w:lang w:val="en-ZA"/>
              </w:rPr>
              <w:t>20 680</w:t>
            </w:r>
          </w:p>
        </w:tc>
        <w:tc>
          <w:tcPr>
            <w:tcW w:w="652" w:type="pct"/>
            <w:tcBorders>
              <w:top w:val="single" w:sz="12" w:space="0" w:color="auto"/>
            </w:tcBorders>
          </w:tcPr>
          <w:p w:rsidR="00F27C16" w:rsidRPr="00004F3D" w:rsidRDefault="00BF503A" w:rsidP="00004F3D">
            <w:pPr>
              <w:spacing w:line="360" w:lineRule="auto"/>
              <w:jc w:val="right"/>
              <w:rPr>
                <w:sz w:val="20"/>
                <w:szCs w:val="20"/>
                <w:lang w:val="en-ZA"/>
              </w:rPr>
            </w:pPr>
            <w:r>
              <w:rPr>
                <w:sz w:val="20"/>
                <w:szCs w:val="20"/>
                <w:lang w:val="en-ZA"/>
              </w:rPr>
              <w:t>18 371</w:t>
            </w:r>
          </w:p>
        </w:tc>
        <w:tc>
          <w:tcPr>
            <w:tcW w:w="652" w:type="pct"/>
            <w:tcBorders>
              <w:top w:val="single" w:sz="12" w:space="0" w:color="auto"/>
            </w:tcBorders>
          </w:tcPr>
          <w:p w:rsidR="00F27C16" w:rsidRPr="00004F3D" w:rsidRDefault="00BF503A" w:rsidP="00004F3D">
            <w:pPr>
              <w:spacing w:line="360" w:lineRule="auto"/>
              <w:jc w:val="right"/>
              <w:rPr>
                <w:sz w:val="20"/>
                <w:szCs w:val="20"/>
                <w:lang w:val="en-ZA"/>
              </w:rPr>
            </w:pPr>
            <w:r>
              <w:rPr>
                <w:sz w:val="20"/>
                <w:szCs w:val="20"/>
                <w:lang w:val="en-ZA"/>
              </w:rPr>
              <w:t>17 665</w:t>
            </w:r>
          </w:p>
        </w:tc>
      </w:tr>
      <w:tr w:rsidR="00706E51" w:rsidRPr="00706E51" w:rsidTr="00226116">
        <w:tc>
          <w:tcPr>
            <w:tcW w:w="2196" w:type="pct"/>
          </w:tcPr>
          <w:p w:rsidR="00706E51" w:rsidRPr="00004F3D" w:rsidRDefault="00706E51" w:rsidP="00706E51">
            <w:pPr>
              <w:spacing w:line="360" w:lineRule="auto"/>
              <w:rPr>
                <w:sz w:val="20"/>
                <w:szCs w:val="20"/>
                <w:lang w:val="en-ZA"/>
              </w:rPr>
            </w:pPr>
            <w:r w:rsidRPr="00004F3D">
              <w:rPr>
                <w:b/>
                <w:sz w:val="20"/>
                <w:szCs w:val="20"/>
                <w:lang w:val="en-ZA"/>
              </w:rPr>
              <w:t>2</w:t>
            </w:r>
            <w:r w:rsidRPr="00004F3D">
              <w:rPr>
                <w:sz w:val="20"/>
                <w:szCs w:val="20"/>
                <w:lang w:val="en-ZA"/>
              </w:rPr>
              <w:t xml:space="preserve">. Ingonyama Trust Board  </w:t>
            </w:r>
          </w:p>
        </w:tc>
        <w:tc>
          <w:tcPr>
            <w:tcW w:w="848" w:type="pct"/>
          </w:tcPr>
          <w:p w:rsidR="00706E51" w:rsidRPr="00004F3D" w:rsidRDefault="00706E51" w:rsidP="00004F3D">
            <w:pPr>
              <w:spacing w:line="360" w:lineRule="auto"/>
              <w:jc w:val="right"/>
              <w:rPr>
                <w:sz w:val="20"/>
                <w:szCs w:val="20"/>
                <w:lang w:val="en-ZA"/>
              </w:rPr>
            </w:pPr>
            <w:r w:rsidRPr="00004F3D">
              <w:rPr>
                <w:sz w:val="20"/>
                <w:szCs w:val="20"/>
              </w:rPr>
              <w:t>23 517</w:t>
            </w:r>
          </w:p>
        </w:tc>
        <w:tc>
          <w:tcPr>
            <w:tcW w:w="652" w:type="pct"/>
            <w:shd w:val="clear" w:color="auto" w:fill="E2EFD9" w:themeFill="accent6" w:themeFillTint="33"/>
          </w:tcPr>
          <w:p w:rsidR="00706E51" w:rsidRPr="00004F3D" w:rsidRDefault="00706E51" w:rsidP="00004F3D">
            <w:pPr>
              <w:spacing w:line="360" w:lineRule="auto"/>
              <w:jc w:val="right"/>
              <w:rPr>
                <w:sz w:val="20"/>
                <w:szCs w:val="20"/>
                <w:lang w:val="en-ZA"/>
              </w:rPr>
            </w:pPr>
            <w:r w:rsidRPr="00004F3D">
              <w:rPr>
                <w:sz w:val="20"/>
                <w:szCs w:val="20"/>
              </w:rPr>
              <w:t>24 391</w:t>
            </w:r>
          </w:p>
        </w:tc>
        <w:tc>
          <w:tcPr>
            <w:tcW w:w="652" w:type="pct"/>
          </w:tcPr>
          <w:p w:rsidR="00706E51" w:rsidRPr="00004F3D" w:rsidRDefault="00706E51" w:rsidP="00004F3D">
            <w:pPr>
              <w:spacing w:line="360" w:lineRule="auto"/>
              <w:jc w:val="right"/>
              <w:rPr>
                <w:sz w:val="20"/>
                <w:szCs w:val="20"/>
                <w:lang w:val="en-ZA"/>
              </w:rPr>
            </w:pPr>
            <w:r w:rsidRPr="00004F3D">
              <w:rPr>
                <w:sz w:val="20"/>
                <w:szCs w:val="20"/>
              </w:rPr>
              <w:t>23 781</w:t>
            </w:r>
          </w:p>
        </w:tc>
        <w:tc>
          <w:tcPr>
            <w:tcW w:w="652" w:type="pct"/>
          </w:tcPr>
          <w:p w:rsidR="00706E51" w:rsidRPr="00004F3D" w:rsidRDefault="00706E51" w:rsidP="00004F3D">
            <w:pPr>
              <w:spacing w:line="360" w:lineRule="auto"/>
              <w:jc w:val="right"/>
              <w:rPr>
                <w:sz w:val="20"/>
                <w:szCs w:val="20"/>
                <w:lang w:val="en-ZA"/>
              </w:rPr>
            </w:pPr>
            <w:r w:rsidRPr="00004F3D">
              <w:rPr>
                <w:sz w:val="20"/>
                <w:szCs w:val="20"/>
              </w:rPr>
              <w:t>24 849</w:t>
            </w:r>
          </w:p>
        </w:tc>
      </w:tr>
      <w:tr w:rsidR="00706E51" w:rsidRPr="00706E51" w:rsidTr="00226116">
        <w:tc>
          <w:tcPr>
            <w:tcW w:w="2196" w:type="pct"/>
          </w:tcPr>
          <w:p w:rsidR="00706E51" w:rsidRPr="00004F3D" w:rsidRDefault="00706E51" w:rsidP="00706E51">
            <w:pPr>
              <w:spacing w:line="360" w:lineRule="auto"/>
              <w:rPr>
                <w:b/>
                <w:sz w:val="20"/>
                <w:szCs w:val="20"/>
                <w:lang w:val="en-ZA"/>
              </w:rPr>
            </w:pPr>
            <w:r w:rsidRPr="00004F3D">
              <w:rPr>
                <w:b/>
                <w:sz w:val="20"/>
                <w:szCs w:val="20"/>
                <w:lang w:val="en-ZA"/>
              </w:rPr>
              <w:t xml:space="preserve">3. </w:t>
            </w:r>
            <w:r w:rsidRPr="00004F3D">
              <w:rPr>
                <w:sz w:val="20"/>
                <w:szCs w:val="20"/>
                <w:lang w:val="en-ZA"/>
              </w:rPr>
              <w:t xml:space="preserve">Office of the Valuer-General </w:t>
            </w:r>
          </w:p>
        </w:tc>
        <w:tc>
          <w:tcPr>
            <w:tcW w:w="848" w:type="pct"/>
          </w:tcPr>
          <w:p w:rsidR="00706E51" w:rsidRPr="00004F3D" w:rsidRDefault="00706E51" w:rsidP="00004F3D">
            <w:pPr>
              <w:spacing w:line="360" w:lineRule="auto"/>
              <w:jc w:val="right"/>
              <w:rPr>
                <w:sz w:val="20"/>
                <w:szCs w:val="20"/>
                <w:lang w:val="en-ZA"/>
              </w:rPr>
            </w:pPr>
            <w:r w:rsidRPr="00004F3D">
              <w:rPr>
                <w:sz w:val="20"/>
                <w:szCs w:val="20"/>
              </w:rPr>
              <w:t>131 844</w:t>
            </w:r>
          </w:p>
        </w:tc>
        <w:tc>
          <w:tcPr>
            <w:tcW w:w="652" w:type="pct"/>
            <w:shd w:val="clear" w:color="auto" w:fill="E2EFD9" w:themeFill="accent6" w:themeFillTint="33"/>
          </w:tcPr>
          <w:p w:rsidR="00706E51" w:rsidRPr="00004F3D" w:rsidRDefault="00706E51" w:rsidP="00004F3D">
            <w:pPr>
              <w:spacing w:line="360" w:lineRule="auto"/>
              <w:jc w:val="right"/>
              <w:rPr>
                <w:sz w:val="20"/>
                <w:szCs w:val="20"/>
                <w:lang w:val="en-ZA"/>
              </w:rPr>
            </w:pPr>
            <w:r w:rsidRPr="00004F3D">
              <w:rPr>
                <w:sz w:val="20"/>
                <w:szCs w:val="20"/>
              </w:rPr>
              <w:t>107 171</w:t>
            </w:r>
          </w:p>
        </w:tc>
        <w:tc>
          <w:tcPr>
            <w:tcW w:w="652" w:type="pct"/>
          </w:tcPr>
          <w:p w:rsidR="00706E51" w:rsidRPr="00004F3D" w:rsidRDefault="00706E51" w:rsidP="00004F3D">
            <w:pPr>
              <w:spacing w:line="360" w:lineRule="auto"/>
              <w:jc w:val="right"/>
              <w:rPr>
                <w:sz w:val="20"/>
                <w:szCs w:val="20"/>
                <w:lang w:val="en-ZA"/>
              </w:rPr>
            </w:pPr>
            <w:r w:rsidRPr="00004F3D">
              <w:rPr>
                <w:sz w:val="20"/>
                <w:szCs w:val="20"/>
              </w:rPr>
              <w:t>155 271</w:t>
            </w:r>
          </w:p>
        </w:tc>
        <w:tc>
          <w:tcPr>
            <w:tcW w:w="652" w:type="pct"/>
          </w:tcPr>
          <w:p w:rsidR="00706E51" w:rsidRPr="00004F3D" w:rsidRDefault="00706E51" w:rsidP="00004F3D">
            <w:pPr>
              <w:spacing w:line="360" w:lineRule="auto"/>
              <w:jc w:val="right"/>
              <w:rPr>
                <w:sz w:val="20"/>
                <w:szCs w:val="20"/>
                <w:lang w:val="en-ZA"/>
              </w:rPr>
            </w:pPr>
            <w:r w:rsidRPr="00004F3D">
              <w:rPr>
                <w:sz w:val="20"/>
                <w:szCs w:val="20"/>
              </w:rPr>
              <w:t>162 244</w:t>
            </w:r>
          </w:p>
        </w:tc>
      </w:tr>
      <w:tr w:rsidR="00706E51" w:rsidRPr="00706E51" w:rsidTr="00226116">
        <w:tc>
          <w:tcPr>
            <w:tcW w:w="2196" w:type="pct"/>
          </w:tcPr>
          <w:p w:rsidR="00706E51" w:rsidRPr="00004F3D" w:rsidRDefault="00706E51" w:rsidP="00706E51">
            <w:pPr>
              <w:spacing w:line="360" w:lineRule="auto"/>
              <w:rPr>
                <w:b/>
                <w:sz w:val="20"/>
                <w:szCs w:val="20"/>
                <w:lang w:val="en-ZA"/>
              </w:rPr>
            </w:pPr>
            <w:r w:rsidRPr="00004F3D">
              <w:rPr>
                <w:b/>
                <w:sz w:val="20"/>
                <w:szCs w:val="20"/>
                <w:lang w:val="en-ZA"/>
              </w:rPr>
              <w:t xml:space="preserve">4. </w:t>
            </w:r>
            <w:r w:rsidRPr="00004F3D">
              <w:rPr>
                <w:sz w:val="20"/>
                <w:szCs w:val="20"/>
                <w:lang w:val="en-ZA"/>
              </w:rPr>
              <w:t>Agricultural Land Holdings Account</w:t>
            </w:r>
          </w:p>
        </w:tc>
        <w:tc>
          <w:tcPr>
            <w:tcW w:w="848" w:type="pct"/>
          </w:tcPr>
          <w:p w:rsidR="00706E51" w:rsidRPr="00004F3D" w:rsidRDefault="00706E51" w:rsidP="00004F3D">
            <w:pPr>
              <w:spacing w:line="360" w:lineRule="auto"/>
              <w:jc w:val="right"/>
              <w:rPr>
                <w:sz w:val="20"/>
                <w:szCs w:val="20"/>
                <w:lang w:val="en-ZA"/>
              </w:rPr>
            </w:pPr>
            <w:r w:rsidRPr="00004F3D">
              <w:rPr>
                <w:sz w:val="20"/>
                <w:szCs w:val="20"/>
              </w:rPr>
              <w:t>937 986</w:t>
            </w:r>
          </w:p>
        </w:tc>
        <w:tc>
          <w:tcPr>
            <w:tcW w:w="652" w:type="pct"/>
            <w:shd w:val="clear" w:color="auto" w:fill="E2EFD9" w:themeFill="accent6" w:themeFillTint="33"/>
          </w:tcPr>
          <w:p w:rsidR="00706E51" w:rsidRPr="00004F3D" w:rsidRDefault="00706E51" w:rsidP="00004F3D">
            <w:pPr>
              <w:spacing w:line="360" w:lineRule="auto"/>
              <w:jc w:val="right"/>
              <w:rPr>
                <w:sz w:val="20"/>
                <w:szCs w:val="20"/>
              </w:rPr>
            </w:pPr>
            <w:r w:rsidRPr="00004F3D">
              <w:rPr>
                <w:sz w:val="20"/>
                <w:szCs w:val="20"/>
              </w:rPr>
              <w:t>965 860</w:t>
            </w:r>
          </w:p>
        </w:tc>
        <w:tc>
          <w:tcPr>
            <w:tcW w:w="652" w:type="pct"/>
          </w:tcPr>
          <w:p w:rsidR="00706E51" w:rsidRPr="00004F3D" w:rsidRDefault="00706E51" w:rsidP="00004F3D">
            <w:pPr>
              <w:spacing w:line="360" w:lineRule="auto"/>
              <w:jc w:val="right"/>
              <w:rPr>
                <w:sz w:val="20"/>
                <w:szCs w:val="20"/>
              </w:rPr>
            </w:pPr>
            <w:r w:rsidRPr="00004F3D">
              <w:rPr>
                <w:sz w:val="20"/>
                <w:szCs w:val="20"/>
              </w:rPr>
              <w:t>984 942</w:t>
            </w:r>
          </w:p>
        </w:tc>
        <w:tc>
          <w:tcPr>
            <w:tcW w:w="652" w:type="pct"/>
          </w:tcPr>
          <w:p w:rsidR="00706E51" w:rsidRPr="00004F3D" w:rsidRDefault="00706E51" w:rsidP="00004F3D">
            <w:pPr>
              <w:spacing w:line="360" w:lineRule="auto"/>
              <w:jc w:val="right"/>
              <w:rPr>
                <w:sz w:val="20"/>
                <w:szCs w:val="20"/>
              </w:rPr>
            </w:pPr>
            <w:r w:rsidRPr="00004F3D">
              <w:rPr>
                <w:sz w:val="20"/>
                <w:szCs w:val="20"/>
              </w:rPr>
              <w:t>1 029 175</w:t>
            </w:r>
          </w:p>
        </w:tc>
      </w:tr>
      <w:tr w:rsidR="00706E51" w:rsidRPr="00706E51" w:rsidTr="00226116">
        <w:tc>
          <w:tcPr>
            <w:tcW w:w="2196" w:type="pct"/>
          </w:tcPr>
          <w:p w:rsidR="00706E51" w:rsidRPr="00004F3D" w:rsidRDefault="00706E51" w:rsidP="00706E51">
            <w:pPr>
              <w:spacing w:line="360" w:lineRule="auto"/>
              <w:rPr>
                <w:b/>
                <w:sz w:val="20"/>
                <w:szCs w:val="20"/>
                <w:lang w:val="en-ZA"/>
              </w:rPr>
            </w:pPr>
            <w:r w:rsidRPr="00004F3D">
              <w:rPr>
                <w:b/>
                <w:sz w:val="20"/>
                <w:szCs w:val="20"/>
                <w:lang w:val="en-ZA"/>
              </w:rPr>
              <w:t xml:space="preserve">5. </w:t>
            </w:r>
            <w:r w:rsidRPr="00004F3D">
              <w:rPr>
                <w:sz w:val="20"/>
                <w:szCs w:val="20"/>
                <w:lang w:val="en-ZA"/>
              </w:rPr>
              <w:t xml:space="preserve">Agricultural Research Council </w:t>
            </w:r>
          </w:p>
        </w:tc>
        <w:tc>
          <w:tcPr>
            <w:tcW w:w="848" w:type="pct"/>
          </w:tcPr>
          <w:p w:rsidR="00706E51" w:rsidRPr="00004F3D" w:rsidRDefault="00706E51" w:rsidP="00004F3D">
            <w:pPr>
              <w:spacing w:line="360" w:lineRule="auto"/>
              <w:jc w:val="right"/>
              <w:rPr>
                <w:sz w:val="20"/>
                <w:szCs w:val="20"/>
                <w:lang w:val="en-ZA"/>
              </w:rPr>
            </w:pPr>
            <w:r w:rsidRPr="00004F3D">
              <w:rPr>
                <w:sz w:val="20"/>
                <w:szCs w:val="20"/>
              </w:rPr>
              <w:t>1 282 632</w:t>
            </w:r>
          </w:p>
        </w:tc>
        <w:tc>
          <w:tcPr>
            <w:tcW w:w="652" w:type="pct"/>
            <w:shd w:val="clear" w:color="auto" w:fill="E2EFD9" w:themeFill="accent6" w:themeFillTint="33"/>
          </w:tcPr>
          <w:p w:rsidR="00706E51" w:rsidRPr="00004F3D" w:rsidRDefault="00706E51" w:rsidP="00004F3D">
            <w:pPr>
              <w:spacing w:line="360" w:lineRule="auto"/>
              <w:jc w:val="right"/>
              <w:rPr>
                <w:sz w:val="20"/>
                <w:szCs w:val="20"/>
                <w:lang w:val="en-ZA"/>
              </w:rPr>
            </w:pPr>
            <w:r w:rsidRPr="00004F3D">
              <w:rPr>
                <w:sz w:val="20"/>
                <w:szCs w:val="20"/>
              </w:rPr>
              <w:t>1 189 320</w:t>
            </w:r>
          </w:p>
        </w:tc>
        <w:tc>
          <w:tcPr>
            <w:tcW w:w="652" w:type="pct"/>
          </w:tcPr>
          <w:p w:rsidR="00706E51" w:rsidRPr="00004F3D" w:rsidRDefault="00706E51" w:rsidP="00004F3D">
            <w:pPr>
              <w:spacing w:line="360" w:lineRule="auto"/>
              <w:jc w:val="right"/>
              <w:rPr>
                <w:sz w:val="20"/>
                <w:szCs w:val="20"/>
                <w:lang w:val="en-ZA"/>
              </w:rPr>
            </w:pPr>
            <w:r w:rsidRPr="00004F3D">
              <w:rPr>
                <w:sz w:val="20"/>
                <w:szCs w:val="20"/>
              </w:rPr>
              <w:t>1 191 556</w:t>
            </w:r>
          </w:p>
        </w:tc>
        <w:tc>
          <w:tcPr>
            <w:tcW w:w="652" w:type="pct"/>
          </w:tcPr>
          <w:p w:rsidR="00706E51" w:rsidRPr="00004F3D" w:rsidRDefault="00706E51" w:rsidP="00004F3D">
            <w:pPr>
              <w:spacing w:line="360" w:lineRule="auto"/>
              <w:jc w:val="right"/>
              <w:rPr>
                <w:sz w:val="20"/>
                <w:szCs w:val="20"/>
                <w:lang w:val="en-ZA"/>
              </w:rPr>
            </w:pPr>
            <w:r w:rsidRPr="00004F3D">
              <w:rPr>
                <w:sz w:val="20"/>
                <w:szCs w:val="20"/>
              </w:rPr>
              <w:t>1 245 068</w:t>
            </w:r>
          </w:p>
        </w:tc>
      </w:tr>
      <w:tr w:rsidR="00F27C16" w:rsidRPr="00706E51" w:rsidTr="00226116">
        <w:tc>
          <w:tcPr>
            <w:tcW w:w="2196" w:type="pct"/>
          </w:tcPr>
          <w:p w:rsidR="00F27C16" w:rsidRPr="00004F3D" w:rsidRDefault="00F45838" w:rsidP="00381E72">
            <w:pPr>
              <w:spacing w:line="360" w:lineRule="auto"/>
              <w:rPr>
                <w:sz w:val="20"/>
                <w:szCs w:val="20"/>
                <w:lang w:val="en-ZA"/>
              </w:rPr>
            </w:pPr>
            <w:r w:rsidRPr="00004F3D">
              <w:rPr>
                <w:b/>
                <w:sz w:val="20"/>
                <w:szCs w:val="20"/>
                <w:lang w:val="en-ZA"/>
              </w:rPr>
              <w:t>6</w:t>
            </w:r>
            <w:r w:rsidR="00F27C16" w:rsidRPr="00004F3D">
              <w:rPr>
                <w:b/>
                <w:sz w:val="20"/>
                <w:szCs w:val="20"/>
                <w:lang w:val="en-ZA"/>
              </w:rPr>
              <w:t>.</w:t>
            </w:r>
            <w:r w:rsidR="00F27C16" w:rsidRPr="00004F3D">
              <w:rPr>
                <w:sz w:val="20"/>
                <w:szCs w:val="20"/>
                <w:lang w:val="en-ZA"/>
              </w:rPr>
              <w:t xml:space="preserve"> Onderstepoort Biological Products </w:t>
            </w:r>
          </w:p>
        </w:tc>
        <w:tc>
          <w:tcPr>
            <w:tcW w:w="848" w:type="pct"/>
          </w:tcPr>
          <w:p w:rsidR="00F27C16" w:rsidRPr="00004F3D" w:rsidRDefault="00706E51" w:rsidP="00004F3D">
            <w:pPr>
              <w:spacing w:line="360" w:lineRule="auto"/>
              <w:jc w:val="right"/>
              <w:rPr>
                <w:sz w:val="20"/>
                <w:szCs w:val="20"/>
                <w:lang w:val="en-ZA"/>
              </w:rPr>
            </w:pPr>
            <w:r w:rsidRPr="00004F3D">
              <w:rPr>
                <w:sz w:val="20"/>
                <w:szCs w:val="20"/>
                <w:lang w:val="en-ZA"/>
              </w:rPr>
              <w:t>-</w:t>
            </w:r>
          </w:p>
        </w:tc>
        <w:tc>
          <w:tcPr>
            <w:tcW w:w="652" w:type="pct"/>
            <w:shd w:val="clear" w:color="auto" w:fill="E2EFD9" w:themeFill="accent6" w:themeFillTint="33"/>
          </w:tcPr>
          <w:p w:rsidR="00F27C16" w:rsidRPr="00004F3D" w:rsidRDefault="00706E51" w:rsidP="00004F3D">
            <w:pPr>
              <w:spacing w:line="360" w:lineRule="auto"/>
              <w:jc w:val="right"/>
              <w:rPr>
                <w:sz w:val="20"/>
                <w:szCs w:val="20"/>
                <w:lang w:val="en-ZA"/>
              </w:rPr>
            </w:pPr>
            <w:r w:rsidRPr="00004F3D">
              <w:rPr>
                <w:sz w:val="20"/>
                <w:szCs w:val="20"/>
                <w:lang w:val="en-ZA"/>
              </w:rPr>
              <w:t>-</w:t>
            </w:r>
          </w:p>
        </w:tc>
        <w:tc>
          <w:tcPr>
            <w:tcW w:w="652" w:type="pct"/>
          </w:tcPr>
          <w:p w:rsidR="00F27C16" w:rsidRPr="00004F3D" w:rsidRDefault="00706E51" w:rsidP="00004F3D">
            <w:pPr>
              <w:spacing w:line="360" w:lineRule="auto"/>
              <w:jc w:val="right"/>
              <w:rPr>
                <w:sz w:val="20"/>
                <w:szCs w:val="20"/>
                <w:lang w:val="en-ZA"/>
              </w:rPr>
            </w:pPr>
            <w:r w:rsidRPr="00004F3D">
              <w:rPr>
                <w:sz w:val="20"/>
                <w:szCs w:val="20"/>
                <w:lang w:val="en-ZA"/>
              </w:rPr>
              <w:t>-</w:t>
            </w:r>
          </w:p>
        </w:tc>
        <w:tc>
          <w:tcPr>
            <w:tcW w:w="652" w:type="pct"/>
          </w:tcPr>
          <w:p w:rsidR="00F27C16" w:rsidRPr="00004F3D" w:rsidRDefault="00706E51" w:rsidP="00004F3D">
            <w:pPr>
              <w:spacing w:line="360" w:lineRule="auto"/>
              <w:jc w:val="right"/>
              <w:rPr>
                <w:sz w:val="20"/>
                <w:szCs w:val="20"/>
                <w:lang w:val="en-ZA"/>
              </w:rPr>
            </w:pPr>
            <w:r w:rsidRPr="00004F3D">
              <w:rPr>
                <w:sz w:val="20"/>
                <w:szCs w:val="20"/>
                <w:lang w:val="en-ZA"/>
              </w:rPr>
              <w:t>-</w:t>
            </w:r>
          </w:p>
        </w:tc>
      </w:tr>
      <w:tr w:rsidR="001A0CBB" w:rsidRPr="00706E51" w:rsidTr="00226116">
        <w:tc>
          <w:tcPr>
            <w:tcW w:w="2196" w:type="pct"/>
          </w:tcPr>
          <w:p w:rsidR="001A0CBB" w:rsidRPr="00004F3D" w:rsidRDefault="00F45838" w:rsidP="00381E72">
            <w:pPr>
              <w:spacing w:line="360" w:lineRule="auto"/>
              <w:rPr>
                <w:sz w:val="20"/>
                <w:szCs w:val="20"/>
                <w:lang w:val="en-ZA"/>
              </w:rPr>
            </w:pPr>
            <w:r w:rsidRPr="00004F3D">
              <w:rPr>
                <w:b/>
                <w:sz w:val="20"/>
                <w:szCs w:val="20"/>
                <w:lang w:val="en-ZA"/>
              </w:rPr>
              <w:t>7</w:t>
            </w:r>
            <w:r w:rsidR="001A0CBB" w:rsidRPr="00004F3D">
              <w:rPr>
                <w:b/>
                <w:sz w:val="20"/>
                <w:szCs w:val="20"/>
                <w:lang w:val="en-ZA"/>
              </w:rPr>
              <w:t>.</w:t>
            </w:r>
            <w:r w:rsidR="001A0CBB" w:rsidRPr="00004F3D">
              <w:rPr>
                <w:sz w:val="20"/>
                <w:szCs w:val="20"/>
                <w:lang w:val="en-ZA"/>
              </w:rPr>
              <w:t xml:space="preserve"> National Agricultural Marketing Council </w:t>
            </w:r>
          </w:p>
        </w:tc>
        <w:tc>
          <w:tcPr>
            <w:tcW w:w="848" w:type="pct"/>
          </w:tcPr>
          <w:p w:rsidR="001A0CBB" w:rsidRPr="00004F3D" w:rsidRDefault="00BF503A" w:rsidP="00004F3D">
            <w:pPr>
              <w:spacing w:line="360" w:lineRule="auto"/>
              <w:jc w:val="right"/>
              <w:rPr>
                <w:sz w:val="20"/>
                <w:szCs w:val="20"/>
                <w:lang w:val="en-ZA"/>
              </w:rPr>
            </w:pPr>
            <w:r>
              <w:rPr>
                <w:sz w:val="20"/>
                <w:szCs w:val="20"/>
                <w:lang w:val="en-ZA"/>
              </w:rPr>
              <w:t>46 944</w:t>
            </w:r>
          </w:p>
        </w:tc>
        <w:tc>
          <w:tcPr>
            <w:tcW w:w="652" w:type="pct"/>
            <w:shd w:val="clear" w:color="auto" w:fill="E2EFD9" w:themeFill="accent6" w:themeFillTint="33"/>
          </w:tcPr>
          <w:p w:rsidR="001A0CBB" w:rsidRPr="00004F3D" w:rsidRDefault="00BF503A" w:rsidP="00004F3D">
            <w:pPr>
              <w:spacing w:line="360" w:lineRule="auto"/>
              <w:jc w:val="right"/>
              <w:rPr>
                <w:sz w:val="20"/>
                <w:szCs w:val="20"/>
                <w:lang w:val="en-ZA"/>
              </w:rPr>
            </w:pPr>
            <w:r>
              <w:rPr>
                <w:sz w:val="20"/>
                <w:szCs w:val="20"/>
              </w:rPr>
              <w:t>48 535</w:t>
            </w:r>
          </w:p>
        </w:tc>
        <w:tc>
          <w:tcPr>
            <w:tcW w:w="652" w:type="pct"/>
          </w:tcPr>
          <w:p w:rsidR="001A0CBB" w:rsidRPr="00004F3D" w:rsidRDefault="00BF503A" w:rsidP="00004F3D">
            <w:pPr>
              <w:spacing w:line="360" w:lineRule="auto"/>
              <w:jc w:val="right"/>
              <w:rPr>
                <w:sz w:val="20"/>
                <w:szCs w:val="20"/>
                <w:lang w:val="en-ZA"/>
              </w:rPr>
            </w:pPr>
            <w:r>
              <w:rPr>
                <w:sz w:val="20"/>
                <w:szCs w:val="20"/>
              </w:rPr>
              <w:t>49 771</w:t>
            </w:r>
          </w:p>
        </w:tc>
        <w:tc>
          <w:tcPr>
            <w:tcW w:w="652" w:type="pct"/>
          </w:tcPr>
          <w:p w:rsidR="001A0CBB" w:rsidRPr="00004F3D" w:rsidRDefault="00BF503A" w:rsidP="00004F3D">
            <w:pPr>
              <w:spacing w:line="360" w:lineRule="auto"/>
              <w:jc w:val="right"/>
              <w:rPr>
                <w:sz w:val="20"/>
                <w:szCs w:val="20"/>
                <w:lang w:val="en-ZA"/>
              </w:rPr>
            </w:pPr>
            <w:r>
              <w:rPr>
                <w:sz w:val="20"/>
                <w:szCs w:val="20"/>
              </w:rPr>
              <w:t>52 006</w:t>
            </w:r>
          </w:p>
        </w:tc>
      </w:tr>
      <w:tr w:rsidR="00F27C16" w:rsidRPr="00706E51" w:rsidTr="00226116">
        <w:tc>
          <w:tcPr>
            <w:tcW w:w="2196" w:type="pct"/>
          </w:tcPr>
          <w:p w:rsidR="00F27C16" w:rsidRPr="00004F3D" w:rsidRDefault="00F45838" w:rsidP="00381E72">
            <w:pPr>
              <w:spacing w:line="360" w:lineRule="auto"/>
              <w:rPr>
                <w:sz w:val="20"/>
                <w:szCs w:val="20"/>
                <w:lang w:val="en-ZA"/>
              </w:rPr>
            </w:pPr>
            <w:r w:rsidRPr="00004F3D">
              <w:rPr>
                <w:b/>
                <w:sz w:val="20"/>
                <w:szCs w:val="20"/>
                <w:lang w:val="en-ZA"/>
              </w:rPr>
              <w:t>8</w:t>
            </w:r>
            <w:r w:rsidR="00F27C16" w:rsidRPr="00004F3D">
              <w:rPr>
                <w:b/>
                <w:sz w:val="20"/>
                <w:szCs w:val="20"/>
                <w:lang w:val="en-ZA"/>
              </w:rPr>
              <w:t>.</w:t>
            </w:r>
            <w:r w:rsidR="00F27C16" w:rsidRPr="00004F3D">
              <w:rPr>
                <w:sz w:val="20"/>
                <w:szCs w:val="20"/>
                <w:lang w:val="en-ZA"/>
              </w:rPr>
              <w:t xml:space="preserve"> Perishable Products Export Control Board  </w:t>
            </w:r>
          </w:p>
        </w:tc>
        <w:tc>
          <w:tcPr>
            <w:tcW w:w="848" w:type="pct"/>
          </w:tcPr>
          <w:p w:rsidR="00F27C16" w:rsidRPr="00004F3D" w:rsidRDefault="00F27C16" w:rsidP="00004F3D">
            <w:pPr>
              <w:spacing w:line="360" w:lineRule="auto"/>
              <w:jc w:val="right"/>
              <w:rPr>
                <w:sz w:val="20"/>
                <w:szCs w:val="20"/>
                <w:lang w:val="en-ZA"/>
              </w:rPr>
            </w:pPr>
            <w:r w:rsidRPr="00004F3D">
              <w:rPr>
                <w:sz w:val="20"/>
                <w:szCs w:val="20"/>
                <w:lang w:val="en-ZA"/>
              </w:rPr>
              <w:t>-</w:t>
            </w:r>
          </w:p>
        </w:tc>
        <w:tc>
          <w:tcPr>
            <w:tcW w:w="652" w:type="pct"/>
            <w:shd w:val="clear" w:color="auto" w:fill="E2EFD9" w:themeFill="accent6" w:themeFillTint="33"/>
          </w:tcPr>
          <w:p w:rsidR="00F27C16" w:rsidRPr="00004F3D" w:rsidRDefault="00F27C16" w:rsidP="00004F3D">
            <w:pPr>
              <w:spacing w:line="360" w:lineRule="auto"/>
              <w:jc w:val="right"/>
              <w:rPr>
                <w:sz w:val="20"/>
                <w:szCs w:val="20"/>
                <w:lang w:val="en-ZA"/>
              </w:rPr>
            </w:pPr>
            <w:r w:rsidRPr="00004F3D">
              <w:rPr>
                <w:sz w:val="20"/>
                <w:szCs w:val="20"/>
                <w:lang w:val="en-ZA"/>
              </w:rPr>
              <w:t>-</w:t>
            </w:r>
          </w:p>
        </w:tc>
        <w:tc>
          <w:tcPr>
            <w:tcW w:w="652" w:type="pct"/>
          </w:tcPr>
          <w:p w:rsidR="00F27C16" w:rsidRPr="00004F3D" w:rsidRDefault="00F27C16" w:rsidP="00004F3D">
            <w:pPr>
              <w:spacing w:line="360" w:lineRule="auto"/>
              <w:jc w:val="right"/>
              <w:rPr>
                <w:sz w:val="20"/>
                <w:szCs w:val="20"/>
                <w:lang w:val="en-ZA"/>
              </w:rPr>
            </w:pPr>
            <w:r w:rsidRPr="00004F3D">
              <w:rPr>
                <w:sz w:val="20"/>
                <w:szCs w:val="20"/>
                <w:lang w:val="en-ZA"/>
              </w:rPr>
              <w:t>-</w:t>
            </w:r>
          </w:p>
        </w:tc>
        <w:tc>
          <w:tcPr>
            <w:tcW w:w="652" w:type="pct"/>
          </w:tcPr>
          <w:p w:rsidR="00F27C16" w:rsidRPr="00004F3D" w:rsidRDefault="00F27C16" w:rsidP="00004F3D">
            <w:pPr>
              <w:spacing w:line="360" w:lineRule="auto"/>
              <w:jc w:val="right"/>
              <w:rPr>
                <w:sz w:val="20"/>
                <w:szCs w:val="20"/>
                <w:lang w:val="en-ZA"/>
              </w:rPr>
            </w:pPr>
            <w:r w:rsidRPr="00004F3D">
              <w:rPr>
                <w:sz w:val="20"/>
                <w:szCs w:val="20"/>
                <w:lang w:val="en-ZA"/>
              </w:rPr>
              <w:t>-</w:t>
            </w:r>
          </w:p>
        </w:tc>
      </w:tr>
      <w:tr w:rsidR="00F27C16" w:rsidRPr="00706E51" w:rsidTr="00226116">
        <w:tc>
          <w:tcPr>
            <w:tcW w:w="2196" w:type="pct"/>
            <w:shd w:val="clear" w:color="auto" w:fill="C5E0B3" w:themeFill="accent6" w:themeFillTint="66"/>
          </w:tcPr>
          <w:p w:rsidR="00F27C16" w:rsidRPr="00004F3D" w:rsidRDefault="00F27C16" w:rsidP="00381E72">
            <w:pPr>
              <w:spacing w:line="360" w:lineRule="auto"/>
              <w:jc w:val="both"/>
              <w:rPr>
                <w:b/>
                <w:sz w:val="20"/>
                <w:szCs w:val="20"/>
                <w:lang w:val="en-ZA"/>
              </w:rPr>
            </w:pPr>
            <w:r w:rsidRPr="00004F3D">
              <w:rPr>
                <w:b/>
                <w:sz w:val="20"/>
                <w:szCs w:val="20"/>
                <w:lang w:val="en-ZA"/>
              </w:rPr>
              <w:t xml:space="preserve">Total </w:t>
            </w:r>
          </w:p>
        </w:tc>
        <w:tc>
          <w:tcPr>
            <w:tcW w:w="848" w:type="pct"/>
            <w:shd w:val="clear" w:color="auto" w:fill="C5E0B3" w:themeFill="accent6" w:themeFillTint="66"/>
          </w:tcPr>
          <w:p w:rsidR="00F27C16" w:rsidRPr="00004F3D" w:rsidRDefault="00BF503A" w:rsidP="00004F3D">
            <w:pPr>
              <w:spacing w:line="360" w:lineRule="auto"/>
              <w:jc w:val="right"/>
              <w:rPr>
                <w:b/>
                <w:sz w:val="20"/>
                <w:szCs w:val="20"/>
                <w:lang w:val="en-ZA"/>
              </w:rPr>
            </w:pPr>
            <w:r>
              <w:rPr>
                <w:b/>
                <w:sz w:val="20"/>
                <w:szCs w:val="20"/>
                <w:lang w:val="en-ZA"/>
              </w:rPr>
              <w:t>2 422 923</w:t>
            </w:r>
          </w:p>
        </w:tc>
        <w:tc>
          <w:tcPr>
            <w:tcW w:w="652" w:type="pct"/>
            <w:shd w:val="clear" w:color="auto" w:fill="C5E0B3" w:themeFill="accent6" w:themeFillTint="66"/>
          </w:tcPr>
          <w:p w:rsidR="00F27C16" w:rsidRPr="00004F3D" w:rsidRDefault="00BF503A" w:rsidP="00004F3D">
            <w:pPr>
              <w:spacing w:line="360" w:lineRule="auto"/>
              <w:jc w:val="right"/>
              <w:rPr>
                <w:b/>
                <w:sz w:val="20"/>
                <w:szCs w:val="20"/>
                <w:lang w:val="en-ZA"/>
              </w:rPr>
            </w:pPr>
            <w:r>
              <w:rPr>
                <w:b/>
                <w:sz w:val="20"/>
                <w:szCs w:val="20"/>
                <w:lang w:val="en-ZA"/>
              </w:rPr>
              <w:t>2 355 957</w:t>
            </w:r>
          </w:p>
        </w:tc>
        <w:tc>
          <w:tcPr>
            <w:tcW w:w="652" w:type="pct"/>
            <w:shd w:val="clear" w:color="auto" w:fill="C5E0B3" w:themeFill="accent6" w:themeFillTint="66"/>
          </w:tcPr>
          <w:p w:rsidR="00F27C16" w:rsidRPr="00004F3D" w:rsidRDefault="006778BA" w:rsidP="00004F3D">
            <w:pPr>
              <w:spacing w:line="360" w:lineRule="auto"/>
              <w:jc w:val="right"/>
              <w:rPr>
                <w:b/>
                <w:sz w:val="20"/>
                <w:szCs w:val="20"/>
                <w:lang w:val="en-ZA"/>
              </w:rPr>
            </w:pPr>
            <w:r>
              <w:rPr>
                <w:b/>
                <w:sz w:val="20"/>
                <w:szCs w:val="20"/>
                <w:lang w:val="en-ZA"/>
              </w:rPr>
              <w:t>2 423 692</w:t>
            </w:r>
          </w:p>
        </w:tc>
        <w:tc>
          <w:tcPr>
            <w:tcW w:w="652" w:type="pct"/>
            <w:shd w:val="clear" w:color="auto" w:fill="C5E0B3" w:themeFill="accent6" w:themeFillTint="66"/>
          </w:tcPr>
          <w:p w:rsidR="00F27C16" w:rsidRPr="00004F3D" w:rsidRDefault="006778BA" w:rsidP="00004F3D">
            <w:pPr>
              <w:spacing w:line="360" w:lineRule="auto"/>
              <w:jc w:val="right"/>
              <w:rPr>
                <w:b/>
                <w:sz w:val="20"/>
                <w:szCs w:val="20"/>
                <w:lang w:val="en-ZA"/>
              </w:rPr>
            </w:pPr>
            <w:r>
              <w:rPr>
                <w:b/>
                <w:sz w:val="20"/>
                <w:szCs w:val="20"/>
                <w:lang w:val="en-ZA"/>
              </w:rPr>
              <w:t>2 531 007</w:t>
            </w:r>
          </w:p>
        </w:tc>
      </w:tr>
    </w:tbl>
    <w:p w:rsidR="00F27C16" w:rsidRPr="00FA758B" w:rsidRDefault="00F27C16" w:rsidP="00011A2B">
      <w:pPr>
        <w:spacing w:line="360" w:lineRule="auto"/>
        <w:jc w:val="both"/>
        <w:rPr>
          <w:sz w:val="22"/>
          <w:szCs w:val="22"/>
          <w:lang w:val="en-ZA"/>
        </w:rPr>
      </w:pPr>
      <w:r w:rsidRPr="00FA758B">
        <w:rPr>
          <w:sz w:val="22"/>
          <w:szCs w:val="22"/>
          <w:lang w:val="en-ZA"/>
        </w:rPr>
        <w:t xml:space="preserve"> </w:t>
      </w:r>
      <w:r w:rsidR="001C1828" w:rsidRPr="00FA758B">
        <w:rPr>
          <w:sz w:val="22"/>
          <w:szCs w:val="22"/>
          <w:lang w:val="en-ZA"/>
        </w:rPr>
        <w:t>Source: DALRRD – Annual Performance Plan 2022</w:t>
      </w:r>
      <w:r w:rsidR="00706E51">
        <w:rPr>
          <w:sz w:val="22"/>
          <w:szCs w:val="22"/>
          <w:lang w:val="en-ZA"/>
        </w:rPr>
        <w:t xml:space="preserve"> - 2023</w:t>
      </w:r>
    </w:p>
    <w:p w:rsidR="00F27C16" w:rsidRPr="005A669B" w:rsidRDefault="00F27C16" w:rsidP="00011A2B">
      <w:pPr>
        <w:tabs>
          <w:tab w:val="left" w:pos="567"/>
          <w:tab w:val="left" w:pos="2012"/>
        </w:tabs>
        <w:autoSpaceDE w:val="0"/>
        <w:autoSpaceDN w:val="0"/>
        <w:adjustRightInd w:val="0"/>
        <w:spacing w:line="360" w:lineRule="auto"/>
        <w:jc w:val="both"/>
        <w:rPr>
          <w:b/>
          <w:lang w:val="en-ZA"/>
        </w:rPr>
      </w:pPr>
    </w:p>
    <w:p w:rsidR="00F27C16" w:rsidRPr="005A669B" w:rsidRDefault="004338CE" w:rsidP="00011A2B">
      <w:pPr>
        <w:tabs>
          <w:tab w:val="left" w:pos="567"/>
          <w:tab w:val="left" w:pos="2012"/>
        </w:tabs>
        <w:autoSpaceDE w:val="0"/>
        <w:autoSpaceDN w:val="0"/>
        <w:adjustRightInd w:val="0"/>
        <w:spacing w:line="360" w:lineRule="auto"/>
        <w:jc w:val="both"/>
        <w:rPr>
          <w:b/>
          <w:lang w:val="en-ZA"/>
        </w:rPr>
      </w:pPr>
      <w:r>
        <w:rPr>
          <w:b/>
          <w:lang w:val="en-ZA"/>
        </w:rPr>
        <w:t>4</w:t>
      </w:r>
      <w:r w:rsidR="00F27C16" w:rsidRPr="005A669B">
        <w:rPr>
          <w:b/>
          <w:lang w:val="en-ZA"/>
        </w:rPr>
        <w:t xml:space="preserve">.1 </w:t>
      </w:r>
      <w:r w:rsidR="0097755E" w:rsidRPr="005A669B">
        <w:rPr>
          <w:b/>
          <w:lang w:val="en-ZA"/>
        </w:rPr>
        <w:tab/>
      </w:r>
      <w:r w:rsidR="00F27C16" w:rsidRPr="005A669B">
        <w:rPr>
          <w:b/>
          <w:lang w:val="en-ZA"/>
        </w:rPr>
        <w:t>The Commission on Restitution of Land Rights</w:t>
      </w:r>
      <w:r w:rsidR="00505D38">
        <w:rPr>
          <w:b/>
          <w:lang w:val="en-ZA"/>
        </w:rPr>
        <w:t xml:space="preserve"> (CRLR</w:t>
      </w:r>
      <w:r w:rsidR="003179A5">
        <w:rPr>
          <w:b/>
          <w:lang w:val="en-ZA"/>
        </w:rPr>
        <w:t xml:space="preserve"> or the Commission</w:t>
      </w:r>
      <w:r w:rsidR="00505D38">
        <w:rPr>
          <w:b/>
          <w:lang w:val="en-ZA"/>
        </w:rPr>
        <w:t>)</w:t>
      </w:r>
    </w:p>
    <w:p w:rsidR="00F27C16" w:rsidRPr="005A669B" w:rsidRDefault="00F27C16" w:rsidP="00011A2B">
      <w:pPr>
        <w:tabs>
          <w:tab w:val="left" w:pos="567"/>
          <w:tab w:val="left" w:pos="2012"/>
        </w:tabs>
        <w:autoSpaceDE w:val="0"/>
        <w:autoSpaceDN w:val="0"/>
        <w:adjustRightInd w:val="0"/>
        <w:spacing w:line="360" w:lineRule="auto"/>
        <w:jc w:val="both"/>
        <w:rPr>
          <w:bCs/>
          <w:lang w:val="en-ZA"/>
        </w:rPr>
      </w:pPr>
    </w:p>
    <w:p w:rsidR="003179A5" w:rsidRPr="00715D6E" w:rsidRDefault="00ED22E4" w:rsidP="003179A5">
      <w:pPr>
        <w:spacing w:line="360" w:lineRule="auto"/>
        <w:jc w:val="both"/>
      </w:pPr>
      <w:r w:rsidRPr="00ED22E4">
        <w:rPr>
          <w:bCs/>
          <w:lang w:val="en-ZA"/>
        </w:rPr>
        <w:t xml:space="preserve">The CRLR </w:t>
      </w:r>
      <w:r w:rsidR="0084003E">
        <w:rPr>
          <w:bCs/>
          <w:lang w:val="en-ZA"/>
        </w:rPr>
        <w:t>was established a</w:t>
      </w:r>
      <w:r w:rsidRPr="00ED22E4">
        <w:rPr>
          <w:bCs/>
          <w:lang w:val="en-ZA"/>
        </w:rPr>
        <w:t>s an autonomous institution by the Restitution of Land Rights Act, 1994 (Act No. 22 of 1994)</w:t>
      </w:r>
      <w:r w:rsidR="003179A5">
        <w:rPr>
          <w:bCs/>
          <w:lang w:val="en-ZA"/>
        </w:rPr>
        <w:t xml:space="preserve">. </w:t>
      </w:r>
      <w:r w:rsidRPr="00ED22E4">
        <w:rPr>
          <w:bCs/>
          <w:lang w:val="en-ZA"/>
        </w:rPr>
        <w:t xml:space="preserve"> </w:t>
      </w:r>
      <w:r w:rsidR="003179A5" w:rsidRPr="00715D6E">
        <w:t xml:space="preserve">Restitution, as a sub-programme of Programme 3: Food Security, Land Reform and Restitution of the Department, is mainly implemented by the Commission whose mandate is to solicit, investigate and attempt to resolve land claims through registration and /or mediation or otherwise to refer the claims for adjudication to the Land Claims Court (LCC). By September 2021, a total of 82 295 claims were settled, benefiting 2.2 million beneficiaries comprising 444 057 households. The extent of the land acquired and restored to land claimants is 3.8 million ha, costing R24.4 billion. The total number of land claims outstanding as at January 2022 was 6 907 comprising 5 829 pure outstanding claims and 1 078 phased outstanding claims, mostly rural land claims in KwaZulu-Natal, Mpumalanga and Limpopo. The Commission has set itself three targets for the 2022/23 financial year, namely: </w:t>
      </w:r>
    </w:p>
    <w:p w:rsidR="003179A5" w:rsidRPr="00715D6E" w:rsidRDefault="003179A5" w:rsidP="003179A5">
      <w:pPr>
        <w:spacing w:line="360" w:lineRule="auto"/>
        <w:jc w:val="both"/>
      </w:pPr>
    </w:p>
    <w:p w:rsidR="003179A5" w:rsidRPr="00715D6E" w:rsidRDefault="003179A5" w:rsidP="000B7E0D">
      <w:pPr>
        <w:pStyle w:val="ListParagraph"/>
        <w:numPr>
          <w:ilvl w:val="0"/>
          <w:numId w:val="9"/>
        </w:numPr>
        <w:spacing w:line="360" w:lineRule="auto"/>
        <w:jc w:val="both"/>
      </w:pPr>
      <w:r w:rsidRPr="00715D6E">
        <w:rPr>
          <w:i/>
        </w:rPr>
        <w:t xml:space="preserve">Settlement of outstanding claims (pre-1998 or old order claims): </w:t>
      </w:r>
      <w:r w:rsidRPr="00715D6E">
        <w:t xml:space="preserve">There are about 6 907 outstanding claims, and the Commission plans to settle 1 125 land claims over the medium term. Although the number of claims to be settled has increased in 2022/23 and 2023/24, i.e. 336 and 549 respectively, when compared to 240 in 2021/22, it might take more than a decade </w:t>
      </w:r>
      <w:r w:rsidRPr="00715D6E">
        <w:lastRenderedPageBreak/>
        <w:t xml:space="preserve">to settle all old order claims (provided that the commission continue to operate at the planned rate of performance, and given budgetary and capacity constraints). </w:t>
      </w:r>
    </w:p>
    <w:p w:rsidR="003179A5" w:rsidRPr="00715D6E" w:rsidRDefault="003179A5" w:rsidP="000B7E0D">
      <w:pPr>
        <w:pStyle w:val="ListParagraph"/>
        <w:numPr>
          <w:ilvl w:val="0"/>
          <w:numId w:val="9"/>
        </w:numPr>
        <w:spacing w:line="360" w:lineRule="auto"/>
        <w:jc w:val="both"/>
      </w:pPr>
      <w:r w:rsidRPr="00715D6E">
        <w:rPr>
          <w:i/>
        </w:rPr>
        <w:t xml:space="preserve">Finalisation of settled land claims (old order land claims): </w:t>
      </w:r>
      <w:r w:rsidRPr="00715D6E">
        <w:t xml:space="preserve">The number of claims to be finalised over the medium term are 1 237, 372 of which will be finalised in 2022/23. This means that the number of claims to be finalised in 2022/23 has increased compared to the target of 316 claims that were targeted to be finalised in 2021/22. Whilst the increase is welcome, same concerns about the pace and the time to be taken for finalisation of claims remain. </w:t>
      </w:r>
    </w:p>
    <w:p w:rsidR="00ED22E4" w:rsidRDefault="00ED22E4" w:rsidP="00004F3D">
      <w:pPr>
        <w:tabs>
          <w:tab w:val="left" w:pos="567"/>
          <w:tab w:val="left" w:pos="2012"/>
        </w:tabs>
        <w:autoSpaceDE w:val="0"/>
        <w:autoSpaceDN w:val="0"/>
        <w:adjustRightInd w:val="0"/>
        <w:spacing w:line="360" w:lineRule="auto"/>
        <w:jc w:val="both"/>
        <w:rPr>
          <w:bCs/>
          <w:lang w:val="en-ZA"/>
        </w:rPr>
      </w:pPr>
    </w:p>
    <w:p w:rsidR="00E87B9B" w:rsidRPr="00715D6E" w:rsidRDefault="00E87B9B" w:rsidP="00E87B9B">
      <w:pPr>
        <w:spacing w:line="360" w:lineRule="auto"/>
        <w:jc w:val="both"/>
        <w:rPr>
          <w:highlight w:val="cyan"/>
        </w:rPr>
      </w:pPr>
      <w:r w:rsidRPr="00715D6E">
        <w:rPr>
          <w:color w:val="000000"/>
        </w:rPr>
        <w:t xml:space="preserve">The expected MTEF cost drivers in restitution are the acceleration of the settlement and finalisation of claims, including the clearing of the commitment register, and implementation processes towards attaining the autonomy of the Commission. The operational budget for the Commission in 2022/23 is R20.7 million. Household budget (for settlement and finalisation of claims, and development grants) for 2022/23 is R3.1 billion. The total allocation for Restitution is R3.7 billion, which is a marginal increase compared to the adjusted allocation of R3.5for 2021/22.  The independent financial </w:t>
      </w:r>
      <w:r w:rsidRPr="00715D6E">
        <w:t xml:space="preserve">forecasting conducted under project Kuyasa indicated that an estimated amount of R65 billion is needed to settle all outstanding old order claims while an estimated R129 billion is needed to settle and finalise all outstanding old order claims. The commitment register currently stands at R5.2 billion, of which R2.4 billion or 46 per cent is in respect of development grants while 54 per cent is for land acquisition and financial compensation, i.e. a reduction from R5.7 billion in 2021/22 to R5.2 billion in 2022/23. </w:t>
      </w:r>
      <w:r w:rsidRPr="00715D6E">
        <w:rPr>
          <w:color w:val="000000"/>
        </w:rPr>
        <w:t>Therefore, the current allocation of R3.7 billion is inadequate to allow for settlement of all outstanding claims within the shortest time possible.</w:t>
      </w:r>
    </w:p>
    <w:p w:rsidR="00505D38" w:rsidRPr="005A669B" w:rsidRDefault="00505D38" w:rsidP="00ED22E4">
      <w:pPr>
        <w:rPr>
          <w:bCs/>
          <w:lang w:val="en-ZA"/>
        </w:rPr>
      </w:pPr>
    </w:p>
    <w:p w:rsidR="00F27C16" w:rsidRPr="005A669B" w:rsidRDefault="004338CE" w:rsidP="00011A2B">
      <w:pPr>
        <w:tabs>
          <w:tab w:val="left" w:pos="567"/>
          <w:tab w:val="left" w:pos="2012"/>
        </w:tabs>
        <w:autoSpaceDE w:val="0"/>
        <w:autoSpaceDN w:val="0"/>
        <w:adjustRightInd w:val="0"/>
        <w:spacing w:line="360" w:lineRule="auto"/>
        <w:jc w:val="both"/>
        <w:rPr>
          <w:b/>
          <w:bCs/>
          <w:lang w:val="en-ZA"/>
        </w:rPr>
      </w:pPr>
      <w:r>
        <w:rPr>
          <w:b/>
          <w:bCs/>
          <w:lang w:val="en-ZA"/>
        </w:rPr>
        <w:t>4</w:t>
      </w:r>
      <w:r w:rsidR="00F27C16" w:rsidRPr="005A669B">
        <w:rPr>
          <w:b/>
          <w:bCs/>
          <w:lang w:val="en-ZA"/>
        </w:rPr>
        <w:t>.2</w:t>
      </w:r>
      <w:r w:rsidR="0097755E" w:rsidRPr="005A669B">
        <w:rPr>
          <w:b/>
          <w:bCs/>
          <w:lang w:val="en-ZA"/>
        </w:rPr>
        <w:tab/>
      </w:r>
      <w:r w:rsidR="00F27C16" w:rsidRPr="005A669B">
        <w:rPr>
          <w:b/>
          <w:bCs/>
          <w:lang w:val="en-ZA"/>
        </w:rPr>
        <w:t xml:space="preserve">KwaZulu-Natal Ingonyama Trust Board </w:t>
      </w:r>
      <w:r w:rsidR="00505D38">
        <w:rPr>
          <w:b/>
          <w:bCs/>
          <w:lang w:val="en-ZA"/>
        </w:rPr>
        <w:t>(ITB)</w:t>
      </w:r>
    </w:p>
    <w:p w:rsidR="00F27C16" w:rsidRPr="005A669B" w:rsidRDefault="00F27C16" w:rsidP="00011A2B">
      <w:pPr>
        <w:autoSpaceDE w:val="0"/>
        <w:autoSpaceDN w:val="0"/>
        <w:adjustRightInd w:val="0"/>
        <w:spacing w:line="360" w:lineRule="auto"/>
        <w:rPr>
          <w:lang w:val="en-ZA" w:eastAsia="en-ZA"/>
        </w:rPr>
      </w:pPr>
    </w:p>
    <w:p w:rsidR="00E87B9B" w:rsidRPr="00715D6E" w:rsidRDefault="00E87B9B" w:rsidP="00E87B9B">
      <w:pPr>
        <w:spacing w:line="360" w:lineRule="auto"/>
        <w:jc w:val="both"/>
      </w:pPr>
      <w:r w:rsidRPr="00715D6E">
        <w:t xml:space="preserve">Section 2(b)(2) of the Ingonyama Trust Act, with subsequent amendments, provides that “The Trust shall, in a manner not inconsistent with the provisions of this Act, be administered for the benefit, material welfare and social well-being of the members of the tribes and communities as contemplated in the KwaZulu Amakhosi and Iziphakanyiswa Act, 1990 (Act No. 9 of 1990) …” With this in mind, the Trust seeks </w:t>
      </w:r>
      <w:r w:rsidRPr="00715D6E">
        <w:rPr>
          <w:b/>
          <w:i/>
        </w:rPr>
        <w:t>to become a leader in sustainable communal land management</w:t>
      </w:r>
      <w:r w:rsidRPr="00715D6E">
        <w:rPr>
          <w:i/>
        </w:rPr>
        <w:t xml:space="preserve"> </w:t>
      </w:r>
      <w:r w:rsidRPr="00F86CB3">
        <w:t>(I</w:t>
      </w:r>
      <w:r w:rsidRPr="00715D6E">
        <w:t xml:space="preserve">ts vision). Its mission is to: (i) contribute to the improvement of the quality of life of the members of the traditional communities living on Ingonyama Trust land by ensuring that land management </w:t>
      </w:r>
      <w:r w:rsidRPr="00715D6E">
        <w:lastRenderedPageBreak/>
        <w:t>is to their benefit and in accordance with the laws of the land; and (ii) to develop progressive and radical business and land tenure models for the social and economic upliftment and the empowerment of the members of traditional communities who are beneficiaries of land owned by the Trust, and administered by the Ingonyama Trust Board</w:t>
      </w:r>
      <w:r w:rsidR="00942425">
        <w:t xml:space="preserve"> (ITB)</w:t>
      </w:r>
      <w:r w:rsidRPr="00715D6E">
        <w:t xml:space="preserve"> on behalf of the Trust. </w:t>
      </w:r>
    </w:p>
    <w:p w:rsidR="00E87B9B" w:rsidRPr="00715D6E" w:rsidRDefault="00E87B9B" w:rsidP="00E87B9B">
      <w:pPr>
        <w:spacing w:line="360" w:lineRule="auto"/>
        <w:jc w:val="both"/>
      </w:pPr>
    </w:p>
    <w:p w:rsidR="00E87B9B" w:rsidRPr="00715D6E" w:rsidRDefault="00E87B9B" w:rsidP="00E87B9B">
      <w:pPr>
        <w:spacing w:line="360" w:lineRule="auto"/>
        <w:jc w:val="both"/>
      </w:pPr>
      <w:r w:rsidRPr="00715D6E">
        <w:t xml:space="preserve">The ITB has two programmes; namely, Administration and Land and Tenure Management programmes. The ITB did not officially table any budget allocations in the APP. The Committee could not ascertain the amount of the transfers from the Department, what, and how, it would be spent on; total estimated revenue to be generated by the Trust and a portion of the revenue to be utilised for the material benefit of communities living on the Trust land.  The Committee could not assess whether there was adequate financial capacity to deliver on targets set in the APP. The Minister of Agriculture, Land Reform and Rural Development was in a process to engage the ITB to assist them table the budget. </w:t>
      </w:r>
    </w:p>
    <w:p w:rsidR="00E87B9B" w:rsidRDefault="00E87B9B" w:rsidP="00ED22E4">
      <w:pPr>
        <w:tabs>
          <w:tab w:val="left" w:pos="567"/>
          <w:tab w:val="left" w:pos="2012"/>
        </w:tabs>
        <w:autoSpaceDE w:val="0"/>
        <w:autoSpaceDN w:val="0"/>
        <w:adjustRightInd w:val="0"/>
        <w:spacing w:line="360" w:lineRule="auto"/>
        <w:jc w:val="both"/>
        <w:rPr>
          <w:bCs/>
          <w:lang w:val="en-ZA"/>
        </w:rPr>
      </w:pPr>
    </w:p>
    <w:p w:rsidR="00F27C16" w:rsidRPr="005A669B" w:rsidRDefault="004338CE" w:rsidP="00011A2B">
      <w:pPr>
        <w:tabs>
          <w:tab w:val="left" w:pos="567"/>
          <w:tab w:val="left" w:pos="2012"/>
        </w:tabs>
        <w:autoSpaceDE w:val="0"/>
        <w:autoSpaceDN w:val="0"/>
        <w:adjustRightInd w:val="0"/>
        <w:spacing w:line="360" w:lineRule="auto"/>
        <w:jc w:val="both"/>
        <w:rPr>
          <w:b/>
          <w:bCs/>
          <w:lang w:val="en-ZA"/>
        </w:rPr>
      </w:pPr>
      <w:r>
        <w:rPr>
          <w:b/>
          <w:bCs/>
          <w:lang w:val="en-ZA"/>
        </w:rPr>
        <w:t>4</w:t>
      </w:r>
      <w:r w:rsidR="00F27C16" w:rsidRPr="005A669B">
        <w:rPr>
          <w:b/>
          <w:bCs/>
          <w:lang w:val="en-ZA"/>
        </w:rPr>
        <w:t>.3</w:t>
      </w:r>
      <w:r w:rsidR="0097755E" w:rsidRPr="005A669B">
        <w:rPr>
          <w:b/>
          <w:bCs/>
          <w:lang w:val="en-ZA"/>
        </w:rPr>
        <w:tab/>
      </w:r>
      <w:r w:rsidR="00F27C16" w:rsidRPr="005A669B">
        <w:rPr>
          <w:b/>
          <w:bCs/>
          <w:lang w:val="en-ZA"/>
        </w:rPr>
        <w:t xml:space="preserve">Office of the Valuer-General </w:t>
      </w:r>
      <w:r w:rsidR="00505D38">
        <w:rPr>
          <w:b/>
          <w:bCs/>
          <w:lang w:val="en-ZA"/>
        </w:rPr>
        <w:t>(OVG)</w:t>
      </w:r>
    </w:p>
    <w:p w:rsidR="00F27C16" w:rsidRPr="005A669B" w:rsidRDefault="00F27C16" w:rsidP="00011A2B">
      <w:pPr>
        <w:autoSpaceDE w:val="0"/>
        <w:autoSpaceDN w:val="0"/>
        <w:adjustRightInd w:val="0"/>
        <w:spacing w:line="360" w:lineRule="auto"/>
        <w:rPr>
          <w:lang w:val="en-ZA" w:eastAsia="en-ZA"/>
        </w:rPr>
      </w:pPr>
    </w:p>
    <w:p w:rsidR="00785049" w:rsidRPr="00715D6E" w:rsidRDefault="00ED22E4" w:rsidP="00785049">
      <w:pPr>
        <w:spacing w:line="360" w:lineRule="auto"/>
        <w:jc w:val="both"/>
      </w:pPr>
      <w:r w:rsidRPr="00ED22E4">
        <w:rPr>
          <w:lang w:val="en-ZA"/>
        </w:rPr>
        <w:t>The Office of the Valuer-General (OVG) was set up in terms of the Property Valuation Act (PVA), No.17 of 2014. It is listed as Schedule 3A public entity in terms of the Public Finance Management Act</w:t>
      </w:r>
      <w:r w:rsidR="000403CF">
        <w:rPr>
          <w:lang w:val="en-ZA"/>
        </w:rPr>
        <w:t xml:space="preserve"> (PFMA)</w:t>
      </w:r>
      <w:r w:rsidRPr="00ED22E4">
        <w:rPr>
          <w:lang w:val="en-ZA"/>
        </w:rPr>
        <w:t>,</w:t>
      </w:r>
      <w:r w:rsidR="000403CF">
        <w:rPr>
          <w:lang w:val="en-ZA"/>
        </w:rPr>
        <w:t xml:space="preserve"> Act No.1 of</w:t>
      </w:r>
      <w:r w:rsidRPr="00ED22E4">
        <w:rPr>
          <w:lang w:val="en-ZA"/>
        </w:rPr>
        <w:t xml:space="preserve"> 1999. </w:t>
      </w:r>
      <w:r w:rsidR="00785049" w:rsidRPr="00715D6E">
        <w:t xml:space="preserve">The Office of the Valuer-General (OVG) is responsible for the following: (i) valuation of properties identified for land reform purposes, as well as where a </w:t>
      </w:r>
      <w:r w:rsidR="00785049">
        <w:t>D</w:t>
      </w:r>
      <w:r w:rsidR="00785049" w:rsidRPr="00715D6E">
        <w:t xml:space="preserve">epartment requests for a valuation service to be rendered for purposes of acquiring or disposing of property; and (ii) developing criteria and procedures for the valuation of a property that has been identified for land reform purposes and monitoring the proper, efficient and effective valuation of such properties based on set criteria and procedures. Its work ensures that the compensation determined for land acquisition for land reform purposes is just and equitable. It is thus seen as an institution that could assist to fast track land reform through provision of a credible valuation. Over the last two years, there was a process to review the PVA and the work of the OVG, led by the Ministerial Advisory Panel on Land Reform (MAP).  It is reported that the MAP has completed its work in reviewing the PVA and submitted the Report to the Minister for consideration. </w:t>
      </w:r>
    </w:p>
    <w:p w:rsidR="00785049" w:rsidRPr="00715D6E" w:rsidRDefault="00785049" w:rsidP="00785049">
      <w:pPr>
        <w:spacing w:line="360" w:lineRule="auto"/>
        <w:jc w:val="both"/>
      </w:pPr>
    </w:p>
    <w:p w:rsidR="00785049" w:rsidRPr="00715D6E" w:rsidRDefault="00785049" w:rsidP="00785049">
      <w:pPr>
        <w:spacing w:line="360" w:lineRule="auto"/>
        <w:jc w:val="both"/>
      </w:pPr>
      <w:r w:rsidRPr="00715D6E">
        <w:lastRenderedPageBreak/>
        <w:t>The OVG receives transfers from the Department through Programme 3 (Food Security, Land Reform and Restitution) to cover the cost of land reform valuations. The total allocation for the OVG in 2022/23 is R107.2 million, a decrease of 18.7 per cent compared to the allocation of R131.8 million in 2021/22. However, the transfers are expected to increase to R162.2 million in 2024/25. Of the R107.2 million transferred to the OVG in 2022/23, R11.1 million (10.4</w:t>
      </w:r>
      <w:r w:rsidR="008312F8">
        <w:t xml:space="preserve"> per cent</w:t>
      </w:r>
      <w:r w:rsidRPr="00715D6E">
        <w:t>) is for the Administration Programme, R43.1 million (40.2</w:t>
      </w:r>
      <w:r w:rsidR="008312F8">
        <w:t xml:space="preserve"> per cent</w:t>
      </w:r>
      <w:r w:rsidRPr="00715D6E">
        <w:t>) is for valuations and R53 million (49.4</w:t>
      </w:r>
      <w:r w:rsidR="008312F8">
        <w:t xml:space="preserve"> per cent</w:t>
      </w:r>
      <w:r w:rsidRPr="00715D6E">
        <w:t xml:space="preserve">) is for operations.  In terms of economic classification, a large portion of the budget allocated to the Administration Programme is for compensation of employees (COE). There has been a noticeable increase in the allocation for Goods and Services under the Valuations Programme, which is expected to increase by 376.7 per cent in nominal terms in 2022/23 compared to 2021/2, while the allocation for COE is expected to decrease by 51.9 per cent. </w:t>
      </w:r>
    </w:p>
    <w:p w:rsidR="00785049" w:rsidRPr="00715D6E" w:rsidRDefault="00785049" w:rsidP="00785049">
      <w:pPr>
        <w:spacing w:line="360" w:lineRule="auto"/>
        <w:jc w:val="both"/>
      </w:pPr>
    </w:p>
    <w:p w:rsidR="00785049" w:rsidRPr="00715D6E" w:rsidRDefault="00785049" w:rsidP="00785049">
      <w:pPr>
        <w:spacing w:line="360" w:lineRule="auto"/>
        <w:jc w:val="both"/>
      </w:pPr>
      <w:r w:rsidRPr="00715D6E">
        <w:t xml:space="preserve">The OVG has structured its expenditure into three programmes, namely Administration, Valuations and Operations. Its main priority in 2022/23 is to improve its capacity and reduce valuations backlog. Programme priorities are as follows: </w:t>
      </w:r>
    </w:p>
    <w:p w:rsidR="00785049" w:rsidRPr="00715D6E" w:rsidRDefault="00785049" w:rsidP="000B7E0D">
      <w:pPr>
        <w:numPr>
          <w:ilvl w:val="0"/>
          <w:numId w:val="10"/>
        </w:numPr>
        <w:spacing w:line="360" w:lineRule="auto"/>
        <w:ind w:left="567" w:hanging="567"/>
        <w:contextualSpacing/>
        <w:jc w:val="both"/>
      </w:pPr>
      <w:r w:rsidRPr="00715D6E">
        <w:rPr>
          <w:bCs/>
        </w:rPr>
        <w:t>Under Administration, comprising g</w:t>
      </w:r>
      <w:r w:rsidRPr="00715D6E">
        <w:t xml:space="preserve">overnance, risk and compliance; and internal audit, the department aims to </w:t>
      </w:r>
      <w:r w:rsidRPr="00715D6E">
        <w:rPr>
          <w:iCs/>
        </w:rPr>
        <w:t xml:space="preserve">implement the corruption and fraud prevention mechanism. </w:t>
      </w:r>
    </w:p>
    <w:p w:rsidR="00785049" w:rsidRPr="00715D6E" w:rsidRDefault="00785049" w:rsidP="000B7E0D">
      <w:pPr>
        <w:numPr>
          <w:ilvl w:val="0"/>
          <w:numId w:val="10"/>
        </w:numPr>
        <w:spacing w:line="360" w:lineRule="auto"/>
        <w:ind w:left="567" w:hanging="567"/>
        <w:contextualSpacing/>
        <w:jc w:val="both"/>
      </w:pPr>
      <w:r w:rsidRPr="00715D6E">
        <w:rPr>
          <w:bCs/>
        </w:rPr>
        <w:t>Valuations</w:t>
      </w:r>
      <w:r w:rsidRPr="00715D6E">
        <w:rPr>
          <w:bCs/>
          <w:i/>
        </w:rPr>
        <w:t xml:space="preserve">, </w:t>
      </w:r>
      <w:r w:rsidRPr="00715D6E">
        <w:rPr>
          <w:bCs/>
        </w:rPr>
        <w:t xml:space="preserve">focusing on </w:t>
      </w:r>
      <w:r w:rsidRPr="00715D6E">
        <w:t xml:space="preserve">credible valuations in line with the PVA, is expected to deliver on the following targets over the medium term: </w:t>
      </w:r>
    </w:p>
    <w:p w:rsidR="00785049" w:rsidRPr="00715D6E" w:rsidRDefault="00785049" w:rsidP="000B7E0D">
      <w:pPr>
        <w:numPr>
          <w:ilvl w:val="1"/>
          <w:numId w:val="10"/>
        </w:numPr>
        <w:spacing w:line="360" w:lineRule="auto"/>
        <w:ind w:left="1134" w:hanging="567"/>
        <w:contextualSpacing/>
        <w:jc w:val="both"/>
      </w:pPr>
      <w:r w:rsidRPr="00715D6E">
        <w:t>To complete all valuations requested by clients within the specified times. The Committee noted that there has been an improvement in the performance, from 93</w:t>
      </w:r>
      <w:r w:rsidR="008312F8">
        <w:t xml:space="preserve"> per cent</w:t>
      </w:r>
      <w:r w:rsidRPr="00715D6E">
        <w:t xml:space="preserve"> achievement in 2020/21 to 100</w:t>
      </w:r>
      <w:r w:rsidR="008312F8">
        <w:t xml:space="preserve"> per cent</w:t>
      </w:r>
      <w:r w:rsidRPr="00715D6E">
        <w:t xml:space="preserve"> in 2021/22. </w:t>
      </w:r>
    </w:p>
    <w:p w:rsidR="00785049" w:rsidRPr="00715D6E" w:rsidRDefault="00785049" w:rsidP="000B7E0D">
      <w:pPr>
        <w:numPr>
          <w:ilvl w:val="1"/>
          <w:numId w:val="10"/>
        </w:numPr>
        <w:spacing w:line="360" w:lineRule="auto"/>
        <w:ind w:left="1134" w:hanging="567"/>
        <w:contextualSpacing/>
        <w:jc w:val="both"/>
      </w:pPr>
      <w:r w:rsidRPr="00715D6E">
        <w:t xml:space="preserve">The average number of days to issue a valuation certificate should not exceed 50. </w:t>
      </w:r>
    </w:p>
    <w:p w:rsidR="00785049" w:rsidRPr="00715D6E" w:rsidRDefault="00785049" w:rsidP="000B7E0D">
      <w:pPr>
        <w:numPr>
          <w:ilvl w:val="1"/>
          <w:numId w:val="10"/>
        </w:numPr>
        <w:spacing w:line="360" w:lineRule="auto"/>
        <w:ind w:left="1134" w:hanging="567"/>
        <w:contextualSpacing/>
        <w:jc w:val="both"/>
      </w:pPr>
      <w:r w:rsidRPr="00715D6E">
        <w:t xml:space="preserve">The average number of working days to resolve queries after issuing of final valuation certificate should not exceed 10. </w:t>
      </w:r>
    </w:p>
    <w:p w:rsidR="00785049" w:rsidRPr="00715D6E" w:rsidRDefault="00785049" w:rsidP="000B7E0D">
      <w:pPr>
        <w:numPr>
          <w:ilvl w:val="0"/>
          <w:numId w:val="10"/>
        </w:numPr>
        <w:spacing w:line="360" w:lineRule="auto"/>
        <w:ind w:left="567" w:hanging="567"/>
        <w:contextualSpacing/>
        <w:jc w:val="both"/>
      </w:pPr>
      <w:r w:rsidRPr="00715D6E">
        <w:rPr>
          <w:bCs/>
        </w:rPr>
        <w:t>Operations</w:t>
      </w:r>
      <w:r w:rsidRPr="00715D6E">
        <w:rPr>
          <w:bCs/>
          <w:i/>
        </w:rPr>
        <w:t xml:space="preserve"> </w:t>
      </w:r>
      <w:r w:rsidRPr="00715D6E">
        <w:t xml:space="preserve">provides business function services to the entire organisation. It is divided into five sub-programmes; namely </w:t>
      </w:r>
      <w:r w:rsidRPr="00715D6E">
        <w:rPr>
          <w:bCs/>
        </w:rPr>
        <w:t>Project Management Office (PMO), Human Capital Services; Strategy and ICT Services; Financial Management Services; and Supply Chain Management. Its main targets include the following: an a</w:t>
      </w:r>
      <w:r w:rsidRPr="00715D6E">
        <w:t xml:space="preserve">pproved implementation plan for the MAP recommendations and to fill 70 funded posts filled in line with the approved interim structure, which is an additional three to the number of posts filled in 2021/22 (67). </w:t>
      </w:r>
    </w:p>
    <w:p w:rsidR="00ED22E4" w:rsidRDefault="00ED22E4">
      <w:pPr>
        <w:autoSpaceDE w:val="0"/>
        <w:autoSpaceDN w:val="0"/>
        <w:adjustRightInd w:val="0"/>
        <w:spacing w:line="360" w:lineRule="auto"/>
        <w:jc w:val="both"/>
        <w:rPr>
          <w:lang w:val="en-ZA"/>
        </w:rPr>
      </w:pPr>
    </w:p>
    <w:p w:rsidR="00F27C16" w:rsidRPr="005A669B" w:rsidRDefault="004338CE" w:rsidP="00011A2B">
      <w:pPr>
        <w:tabs>
          <w:tab w:val="left" w:pos="567"/>
          <w:tab w:val="left" w:pos="2012"/>
        </w:tabs>
        <w:autoSpaceDE w:val="0"/>
        <w:autoSpaceDN w:val="0"/>
        <w:adjustRightInd w:val="0"/>
        <w:spacing w:line="360" w:lineRule="auto"/>
        <w:jc w:val="both"/>
        <w:rPr>
          <w:b/>
          <w:bCs/>
          <w:lang w:val="en-ZA"/>
        </w:rPr>
      </w:pPr>
      <w:r>
        <w:rPr>
          <w:b/>
          <w:bCs/>
          <w:lang w:val="en-ZA"/>
        </w:rPr>
        <w:t>4</w:t>
      </w:r>
      <w:r w:rsidR="00F27C16" w:rsidRPr="005A669B">
        <w:rPr>
          <w:b/>
          <w:bCs/>
          <w:lang w:val="en-ZA"/>
        </w:rPr>
        <w:t>.4</w:t>
      </w:r>
      <w:r w:rsidR="0097755E" w:rsidRPr="005A669B">
        <w:rPr>
          <w:b/>
          <w:bCs/>
          <w:lang w:val="en-ZA"/>
        </w:rPr>
        <w:tab/>
      </w:r>
      <w:r w:rsidR="00F27C16" w:rsidRPr="005A669B">
        <w:rPr>
          <w:b/>
          <w:bCs/>
          <w:lang w:val="en-ZA"/>
        </w:rPr>
        <w:t>Agricultural Research Council (ARC)</w:t>
      </w:r>
    </w:p>
    <w:p w:rsidR="00F27C16" w:rsidRPr="005A669B" w:rsidRDefault="00F27C16" w:rsidP="00011A2B">
      <w:pPr>
        <w:autoSpaceDE w:val="0"/>
        <w:autoSpaceDN w:val="0"/>
        <w:adjustRightInd w:val="0"/>
        <w:spacing w:line="360" w:lineRule="auto"/>
        <w:jc w:val="both"/>
        <w:rPr>
          <w:color w:val="FF0000"/>
          <w:lang w:val="en-ZA" w:eastAsia="en-ZA"/>
        </w:rPr>
      </w:pPr>
    </w:p>
    <w:p w:rsidR="00505D38" w:rsidRDefault="00F27C16" w:rsidP="00011A2B">
      <w:pPr>
        <w:autoSpaceDE w:val="0"/>
        <w:autoSpaceDN w:val="0"/>
        <w:adjustRightInd w:val="0"/>
        <w:spacing w:line="360" w:lineRule="auto"/>
        <w:jc w:val="both"/>
        <w:rPr>
          <w:bCs/>
          <w:lang w:val="en-ZA"/>
        </w:rPr>
      </w:pPr>
      <w:r w:rsidRPr="005A669B">
        <w:rPr>
          <w:lang w:val="en-ZA" w:eastAsia="en-ZA"/>
        </w:rPr>
        <w:t xml:space="preserve">The </w:t>
      </w:r>
      <w:r w:rsidRPr="005A669B">
        <w:rPr>
          <w:lang w:val="en-ZA"/>
        </w:rPr>
        <w:t xml:space="preserve">ARC </w:t>
      </w:r>
      <w:r w:rsidRPr="005A669B">
        <w:rPr>
          <w:rFonts w:cs="Arial"/>
          <w:lang w:val="en-ZA"/>
        </w:rPr>
        <w:t>was established in terms of Section 2 of the Agricultural Research Act, 1990 (Act No. 86 of 1990)</w:t>
      </w:r>
      <w:r w:rsidR="00122A3C">
        <w:rPr>
          <w:rFonts w:cs="Arial"/>
          <w:lang w:val="en-ZA"/>
        </w:rPr>
        <w:t>.</w:t>
      </w:r>
      <w:r w:rsidR="000403CF">
        <w:rPr>
          <w:rFonts w:cs="Arial"/>
          <w:lang w:val="en-ZA"/>
        </w:rPr>
        <w:t xml:space="preserve"> It is listed in the PFMA as a Schedule 3A </w:t>
      </w:r>
      <w:r w:rsidR="008740DC">
        <w:rPr>
          <w:rFonts w:cs="Arial"/>
          <w:lang w:val="en-ZA"/>
        </w:rPr>
        <w:t xml:space="preserve">national </w:t>
      </w:r>
      <w:r w:rsidR="000403CF">
        <w:rPr>
          <w:rFonts w:cs="Arial"/>
          <w:lang w:val="en-ZA"/>
        </w:rPr>
        <w:t xml:space="preserve">public entity.  </w:t>
      </w:r>
      <w:r w:rsidR="008740DC" w:rsidRPr="008B6F35">
        <w:rPr>
          <w:rFonts w:cs="Arial"/>
          <w:bCs/>
        </w:rPr>
        <w:t xml:space="preserve">The ARC is the principal agricultural research institution in the county. It provides agricultural research and development, technology transfer and support to the agricultural community. </w:t>
      </w:r>
      <w:r w:rsidR="008740DC" w:rsidRPr="008B6F35">
        <w:rPr>
          <w:bCs/>
        </w:rPr>
        <w:t>In addition, the ARC is the custodian of the country's national collections of</w:t>
      </w:r>
      <w:r w:rsidR="008740DC">
        <w:rPr>
          <w:bCs/>
        </w:rPr>
        <w:t xml:space="preserve"> biological assets. </w:t>
      </w:r>
      <w:r w:rsidRPr="005A669B">
        <w:rPr>
          <w:bCs/>
          <w:lang w:val="en-ZA"/>
        </w:rPr>
        <w:t>For the 20</w:t>
      </w:r>
      <w:r w:rsidR="00C92F80">
        <w:rPr>
          <w:bCs/>
          <w:lang w:val="en-ZA"/>
        </w:rPr>
        <w:t>22</w:t>
      </w:r>
      <w:r w:rsidR="00230C0F">
        <w:rPr>
          <w:bCs/>
          <w:lang w:val="en-ZA"/>
        </w:rPr>
        <w:t>/23</w:t>
      </w:r>
      <w:r w:rsidRPr="005A669B">
        <w:rPr>
          <w:bCs/>
          <w:lang w:val="en-ZA"/>
        </w:rPr>
        <w:t xml:space="preserve"> financial year, the ARC has been appropriated an amount of R1.</w:t>
      </w:r>
      <w:r w:rsidR="00C708F3">
        <w:rPr>
          <w:bCs/>
          <w:lang w:val="en-ZA"/>
        </w:rPr>
        <w:t xml:space="preserve">2 </w:t>
      </w:r>
      <w:r w:rsidRPr="005A669B">
        <w:rPr>
          <w:bCs/>
          <w:lang w:val="en-ZA"/>
        </w:rPr>
        <w:t xml:space="preserve">billion through the Department’s Programme 2. The transfer constitutes baseline allocation for operational </w:t>
      </w:r>
      <w:r w:rsidR="00E61FEA">
        <w:rPr>
          <w:bCs/>
          <w:lang w:val="en-ZA"/>
        </w:rPr>
        <w:t xml:space="preserve">expenditure </w:t>
      </w:r>
      <w:r w:rsidRPr="005A669B">
        <w:rPr>
          <w:bCs/>
          <w:lang w:val="en-ZA"/>
        </w:rPr>
        <w:t>and capital expenditure</w:t>
      </w:r>
      <w:r w:rsidR="00E11504">
        <w:rPr>
          <w:bCs/>
          <w:lang w:val="en-ZA"/>
        </w:rPr>
        <w:t>.</w:t>
      </w:r>
      <w:r w:rsidR="00E96892">
        <w:rPr>
          <w:bCs/>
          <w:lang w:val="en-ZA"/>
        </w:rPr>
        <w:t xml:space="preserve"> The Parliamentary Grant (PG) has been declining over the years and in the current MTEF period ending in 2025, the entity will realise a 7 per cent decline in the PG. </w:t>
      </w:r>
      <w:r w:rsidR="00E11504">
        <w:rPr>
          <w:bCs/>
          <w:lang w:val="en-ZA"/>
        </w:rPr>
        <w:t xml:space="preserve">Due </w:t>
      </w:r>
      <w:r w:rsidR="00001B62">
        <w:rPr>
          <w:bCs/>
          <w:lang w:val="en-ZA"/>
        </w:rPr>
        <w:t xml:space="preserve">to the constrained national fiscus, </w:t>
      </w:r>
      <w:r w:rsidR="00226FAE">
        <w:rPr>
          <w:bCs/>
          <w:lang w:val="en-ZA"/>
        </w:rPr>
        <w:t xml:space="preserve">from the </w:t>
      </w:r>
      <w:r w:rsidR="00E11504">
        <w:rPr>
          <w:bCs/>
          <w:lang w:val="en-ZA"/>
        </w:rPr>
        <w:t xml:space="preserve">previous </w:t>
      </w:r>
      <w:r w:rsidR="00226FAE">
        <w:rPr>
          <w:bCs/>
          <w:lang w:val="en-ZA"/>
        </w:rPr>
        <w:t xml:space="preserve">financial year onwards, </w:t>
      </w:r>
      <w:r w:rsidR="00001B62">
        <w:rPr>
          <w:bCs/>
          <w:lang w:val="en-ZA"/>
        </w:rPr>
        <w:t xml:space="preserve">the </w:t>
      </w:r>
      <w:r w:rsidR="00E11504">
        <w:rPr>
          <w:bCs/>
          <w:lang w:val="en-ZA"/>
        </w:rPr>
        <w:t xml:space="preserve">ARC has not been </w:t>
      </w:r>
      <w:r w:rsidR="00001B62">
        <w:rPr>
          <w:bCs/>
          <w:lang w:val="en-ZA"/>
        </w:rPr>
        <w:t xml:space="preserve">expecting the </w:t>
      </w:r>
      <w:r w:rsidRPr="005A669B">
        <w:rPr>
          <w:bCs/>
          <w:lang w:val="en-ZA"/>
        </w:rPr>
        <w:t xml:space="preserve">additional funding </w:t>
      </w:r>
      <w:r w:rsidR="00001B62">
        <w:rPr>
          <w:bCs/>
          <w:lang w:val="en-ZA"/>
        </w:rPr>
        <w:t>it used to receive f</w:t>
      </w:r>
      <w:r w:rsidRPr="005A669B">
        <w:rPr>
          <w:bCs/>
          <w:lang w:val="en-ZA"/>
        </w:rPr>
        <w:t>rom the Department of Science and Innovation</w:t>
      </w:r>
      <w:r w:rsidR="00E11504">
        <w:rPr>
          <w:bCs/>
          <w:lang w:val="en-ZA"/>
        </w:rPr>
        <w:t xml:space="preserve"> (DSI)</w:t>
      </w:r>
      <w:r w:rsidR="00001B62">
        <w:rPr>
          <w:bCs/>
          <w:lang w:val="en-ZA"/>
        </w:rPr>
        <w:t xml:space="preserve">. </w:t>
      </w:r>
      <w:r w:rsidR="00836A57">
        <w:rPr>
          <w:bCs/>
          <w:lang w:val="en-ZA"/>
        </w:rPr>
        <w:t>The entity’s budget process is based on zer</w:t>
      </w:r>
      <w:r w:rsidR="00E96892">
        <w:rPr>
          <w:bCs/>
          <w:lang w:val="en-ZA"/>
        </w:rPr>
        <w:t>o</w:t>
      </w:r>
      <w:r w:rsidR="00836A57">
        <w:rPr>
          <w:bCs/>
          <w:lang w:val="en-ZA"/>
        </w:rPr>
        <w:t>-based budgeting principles</w:t>
      </w:r>
      <w:r w:rsidR="00E96892">
        <w:rPr>
          <w:bCs/>
          <w:lang w:val="en-ZA"/>
        </w:rPr>
        <w:t xml:space="preserve"> i.e. all expenses must be justified for each new period and every function is analysed for its needs and costs.</w:t>
      </w:r>
      <w:r w:rsidR="00836A57">
        <w:rPr>
          <w:bCs/>
          <w:lang w:val="en-ZA"/>
        </w:rPr>
        <w:t xml:space="preserve"> </w:t>
      </w:r>
      <w:r w:rsidR="00E11504">
        <w:rPr>
          <w:bCs/>
          <w:lang w:val="en-ZA"/>
        </w:rPr>
        <w:t>P</w:t>
      </w:r>
      <w:r w:rsidRPr="005A669B">
        <w:rPr>
          <w:bCs/>
          <w:lang w:val="en-ZA"/>
        </w:rPr>
        <w:t xml:space="preserve">ersonnel costs </w:t>
      </w:r>
      <w:r w:rsidR="00226FAE">
        <w:rPr>
          <w:bCs/>
          <w:lang w:val="en-ZA"/>
        </w:rPr>
        <w:t xml:space="preserve">remain </w:t>
      </w:r>
      <w:r w:rsidRPr="005A669B">
        <w:rPr>
          <w:bCs/>
          <w:lang w:val="en-ZA"/>
        </w:rPr>
        <w:t xml:space="preserve">the highest cost driver, constituting </w:t>
      </w:r>
      <w:r w:rsidR="00891200">
        <w:rPr>
          <w:bCs/>
          <w:lang w:val="en-ZA"/>
        </w:rPr>
        <w:t>48</w:t>
      </w:r>
      <w:r w:rsidRPr="005A669B">
        <w:rPr>
          <w:bCs/>
          <w:lang w:val="en-ZA"/>
        </w:rPr>
        <w:t xml:space="preserve"> per cent of total expenditure for 202</w:t>
      </w:r>
      <w:r w:rsidR="00E11504">
        <w:rPr>
          <w:bCs/>
          <w:lang w:val="en-ZA"/>
        </w:rPr>
        <w:t xml:space="preserve">2/23, </w:t>
      </w:r>
      <w:r w:rsidR="00891200">
        <w:rPr>
          <w:bCs/>
          <w:lang w:val="en-ZA"/>
        </w:rPr>
        <w:t xml:space="preserve">and approximately 69 per cent of the Parliamentary Grant. </w:t>
      </w:r>
      <w:r w:rsidR="00E11504">
        <w:rPr>
          <w:bCs/>
          <w:lang w:val="en-ZA"/>
        </w:rPr>
        <w:t xml:space="preserve">The entity’s operational costs continue to surpass the operational revenue and the ARC plans to address the challenge by enhancing external income and reducing </w:t>
      </w:r>
      <w:r w:rsidR="00734B72">
        <w:rPr>
          <w:bCs/>
          <w:lang w:val="en-ZA"/>
        </w:rPr>
        <w:t xml:space="preserve">the </w:t>
      </w:r>
      <w:r w:rsidR="00E11504">
        <w:rPr>
          <w:bCs/>
          <w:lang w:val="en-ZA"/>
        </w:rPr>
        <w:t>cost</w:t>
      </w:r>
      <w:r w:rsidR="00734B72">
        <w:rPr>
          <w:bCs/>
          <w:lang w:val="en-ZA"/>
        </w:rPr>
        <w:t xml:space="preserve"> of doing business</w:t>
      </w:r>
      <w:r w:rsidR="00E11504">
        <w:rPr>
          <w:bCs/>
          <w:lang w:val="en-ZA"/>
        </w:rPr>
        <w:t xml:space="preserve">. </w:t>
      </w:r>
    </w:p>
    <w:p w:rsidR="00505D38" w:rsidRDefault="00505D38" w:rsidP="00011A2B">
      <w:pPr>
        <w:autoSpaceDE w:val="0"/>
        <w:autoSpaceDN w:val="0"/>
        <w:adjustRightInd w:val="0"/>
        <w:spacing w:line="360" w:lineRule="auto"/>
        <w:jc w:val="both"/>
        <w:rPr>
          <w:bCs/>
          <w:lang w:val="en-ZA"/>
        </w:rPr>
      </w:pPr>
    </w:p>
    <w:p w:rsidR="007841BF" w:rsidRDefault="007841BF" w:rsidP="00011A2B">
      <w:pPr>
        <w:autoSpaceDE w:val="0"/>
        <w:autoSpaceDN w:val="0"/>
        <w:adjustRightInd w:val="0"/>
        <w:spacing w:line="360" w:lineRule="auto"/>
        <w:jc w:val="both"/>
        <w:rPr>
          <w:bCs/>
          <w:lang w:val="en-ZA"/>
        </w:rPr>
      </w:pPr>
      <w:r>
        <w:rPr>
          <w:bCs/>
          <w:lang w:val="en-ZA"/>
        </w:rPr>
        <w:t>The ARC’s key strategic projects are:</w:t>
      </w:r>
    </w:p>
    <w:p w:rsidR="007841BF" w:rsidRPr="00004F3D" w:rsidRDefault="007841BF" w:rsidP="000B7E0D">
      <w:pPr>
        <w:pStyle w:val="ListParagraph"/>
        <w:numPr>
          <w:ilvl w:val="0"/>
          <w:numId w:val="5"/>
        </w:numPr>
        <w:autoSpaceDE w:val="0"/>
        <w:autoSpaceDN w:val="0"/>
        <w:adjustRightInd w:val="0"/>
        <w:spacing w:line="360" w:lineRule="auto"/>
        <w:jc w:val="both"/>
        <w:rPr>
          <w:bCs/>
        </w:rPr>
      </w:pPr>
      <w:r w:rsidRPr="00004F3D">
        <w:rPr>
          <w:b/>
          <w:bCs/>
        </w:rPr>
        <w:t>Optimisation of personnel</w:t>
      </w:r>
      <w:r w:rsidRPr="00004F3D">
        <w:rPr>
          <w:bCs/>
        </w:rPr>
        <w:t xml:space="preserve"> costs for which R60 </w:t>
      </w:r>
      <w:r w:rsidR="00175E8B" w:rsidRPr="00004F3D">
        <w:rPr>
          <w:bCs/>
        </w:rPr>
        <w:t>million</w:t>
      </w:r>
      <w:r w:rsidRPr="00004F3D">
        <w:rPr>
          <w:bCs/>
        </w:rPr>
        <w:t xml:space="preserve"> has been budgeted.</w:t>
      </w:r>
    </w:p>
    <w:p w:rsidR="007841BF" w:rsidRPr="00004F3D" w:rsidRDefault="007841BF" w:rsidP="000B7E0D">
      <w:pPr>
        <w:pStyle w:val="ListParagraph"/>
        <w:numPr>
          <w:ilvl w:val="0"/>
          <w:numId w:val="5"/>
        </w:numPr>
        <w:autoSpaceDE w:val="0"/>
        <w:autoSpaceDN w:val="0"/>
        <w:adjustRightInd w:val="0"/>
        <w:spacing w:line="360" w:lineRule="auto"/>
        <w:jc w:val="both"/>
        <w:rPr>
          <w:bCs/>
        </w:rPr>
      </w:pPr>
      <w:r w:rsidRPr="00004F3D">
        <w:rPr>
          <w:b/>
          <w:bCs/>
        </w:rPr>
        <w:t>Benchmarking of salaries</w:t>
      </w:r>
      <w:r w:rsidRPr="00004F3D">
        <w:rPr>
          <w:bCs/>
        </w:rPr>
        <w:t xml:space="preserve">, which is not budgeted for and not affordable.  </w:t>
      </w:r>
    </w:p>
    <w:p w:rsidR="007841BF" w:rsidRDefault="007841BF" w:rsidP="000B7E0D">
      <w:pPr>
        <w:pStyle w:val="ListParagraph"/>
        <w:numPr>
          <w:ilvl w:val="0"/>
          <w:numId w:val="5"/>
        </w:numPr>
        <w:autoSpaceDE w:val="0"/>
        <w:autoSpaceDN w:val="0"/>
        <w:adjustRightInd w:val="0"/>
        <w:spacing w:line="360" w:lineRule="auto"/>
        <w:jc w:val="both"/>
        <w:rPr>
          <w:bCs/>
        </w:rPr>
      </w:pPr>
      <w:r w:rsidRPr="00004F3D">
        <w:rPr>
          <w:b/>
          <w:bCs/>
        </w:rPr>
        <w:t>The Turnaround Strategy</w:t>
      </w:r>
      <w:r w:rsidRPr="00004F3D">
        <w:rPr>
          <w:bCs/>
        </w:rPr>
        <w:t xml:space="preserve"> for which a budget of R32 million has been set aside. This will also include the Commercialisation Strategy, which will be funded with R11.3 million from the aforementioned R32 million. </w:t>
      </w:r>
    </w:p>
    <w:p w:rsidR="007841BF" w:rsidRPr="00004F3D" w:rsidRDefault="007841BF" w:rsidP="000B7E0D">
      <w:pPr>
        <w:pStyle w:val="ListParagraph"/>
        <w:numPr>
          <w:ilvl w:val="0"/>
          <w:numId w:val="5"/>
        </w:numPr>
        <w:autoSpaceDE w:val="0"/>
        <w:autoSpaceDN w:val="0"/>
        <w:adjustRightInd w:val="0"/>
        <w:spacing w:line="360" w:lineRule="auto"/>
        <w:jc w:val="both"/>
        <w:rPr>
          <w:bCs/>
        </w:rPr>
      </w:pPr>
      <w:r>
        <w:rPr>
          <w:b/>
          <w:bCs/>
        </w:rPr>
        <w:t xml:space="preserve">The amalgamation of Pretoria campuses, </w:t>
      </w:r>
      <w:r w:rsidRPr="00004F3D">
        <w:rPr>
          <w:bCs/>
        </w:rPr>
        <w:t>which is not budgeted</w:t>
      </w:r>
      <w:r>
        <w:rPr>
          <w:bCs/>
        </w:rPr>
        <w:t xml:space="preserve">. </w:t>
      </w:r>
    </w:p>
    <w:p w:rsidR="007841BF" w:rsidRDefault="007841BF" w:rsidP="00011A2B">
      <w:pPr>
        <w:autoSpaceDE w:val="0"/>
        <w:autoSpaceDN w:val="0"/>
        <w:adjustRightInd w:val="0"/>
        <w:spacing w:line="360" w:lineRule="auto"/>
        <w:jc w:val="both"/>
        <w:rPr>
          <w:bCs/>
          <w:lang w:val="en-ZA"/>
        </w:rPr>
      </w:pPr>
    </w:p>
    <w:p w:rsidR="005C2B5E" w:rsidRDefault="00B0636A" w:rsidP="00011A2B">
      <w:pPr>
        <w:autoSpaceDE w:val="0"/>
        <w:autoSpaceDN w:val="0"/>
        <w:adjustRightInd w:val="0"/>
        <w:spacing w:line="360" w:lineRule="auto"/>
        <w:jc w:val="both"/>
        <w:rPr>
          <w:bCs/>
          <w:lang w:val="en-ZA"/>
        </w:rPr>
      </w:pPr>
      <w:r>
        <w:rPr>
          <w:bCs/>
          <w:lang w:val="en-ZA"/>
        </w:rPr>
        <w:t>For the medium ter</w:t>
      </w:r>
      <w:r w:rsidR="00AF20D5">
        <w:rPr>
          <w:bCs/>
          <w:lang w:val="en-ZA"/>
        </w:rPr>
        <w:t>m</w:t>
      </w:r>
      <w:r>
        <w:rPr>
          <w:bCs/>
          <w:lang w:val="en-ZA"/>
        </w:rPr>
        <w:t xml:space="preserve">, the ARC will be focusing </w:t>
      </w:r>
      <w:r w:rsidR="009F03F6">
        <w:rPr>
          <w:bCs/>
          <w:lang w:val="en-ZA"/>
        </w:rPr>
        <w:t xml:space="preserve">on meeting the Medium Term Strategic Framework (MTSF) Priorities through six Outcomes that are aligned with the MTSF Priorities. </w:t>
      </w:r>
      <w:r w:rsidR="009F03F6">
        <w:rPr>
          <w:bCs/>
          <w:lang w:val="en-ZA"/>
        </w:rPr>
        <w:lastRenderedPageBreak/>
        <w:t xml:space="preserve">Some of the key activities that will be undertaken </w:t>
      </w:r>
      <w:r w:rsidR="005C2B5E">
        <w:rPr>
          <w:bCs/>
          <w:lang w:val="en-ZA"/>
        </w:rPr>
        <w:t xml:space="preserve">under </w:t>
      </w:r>
      <w:r w:rsidR="009F03F6">
        <w:rPr>
          <w:bCs/>
          <w:lang w:val="en-ZA"/>
        </w:rPr>
        <w:t xml:space="preserve">the entity’s 9 </w:t>
      </w:r>
      <w:r w:rsidR="005C2B5E">
        <w:rPr>
          <w:bCs/>
          <w:lang w:val="en-ZA"/>
        </w:rPr>
        <w:t>P</w:t>
      </w:r>
      <w:r w:rsidR="009F03F6">
        <w:rPr>
          <w:bCs/>
          <w:lang w:val="en-ZA"/>
        </w:rPr>
        <w:t>rogrammes that are located within its different Business Divisions</w:t>
      </w:r>
      <w:r w:rsidR="005C2B5E">
        <w:rPr>
          <w:bCs/>
          <w:lang w:val="en-ZA"/>
        </w:rPr>
        <w:t xml:space="preserve"> include: </w:t>
      </w:r>
    </w:p>
    <w:p w:rsidR="000711C9" w:rsidRDefault="000711C9" w:rsidP="000711C9"/>
    <w:p w:rsidR="000711C9" w:rsidRPr="000B66E4" w:rsidRDefault="000711C9" w:rsidP="000B7E0D">
      <w:pPr>
        <w:pStyle w:val="Default"/>
        <w:numPr>
          <w:ilvl w:val="0"/>
          <w:numId w:val="6"/>
        </w:numPr>
        <w:spacing w:line="360" w:lineRule="auto"/>
        <w:jc w:val="both"/>
        <w:rPr>
          <w:rFonts w:ascii="Times New Roman" w:hAnsi="Times New Roman" w:cs="Times New Roman"/>
        </w:rPr>
      </w:pPr>
      <w:r w:rsidRPr="000B66E4">
        <w:rPr>
          <w:rFonts w:ascii="Times New Roman" w:hAnsi="Times New Roman" w:cs="Times New Roman"/>
        </w:rPr>
        <w:t>Develop</w:t>
      </w:r>
      <w:r>
        <w:rPr>
          <w:rFonts w:ascii="Times New Roman" w:hAnsi="Times New Roman" w:cs="Times New Roman"/>
        </w:rPr>
        <w:t>ing</w:t>
      </w:r>
      <w:r w:rsidRPr="000B66E4">
        <w:rPr>
          <w:rFonts w:ascii="Times New Roman" w:hAnsi="Times New Roman" w:cs="Times New Roman"/>
        </w:rPr>
        <w:t xml:space="preserve"> new cultivars/varieties with improved desired characteristics, namely high yield, improved quality and improved nutritional quality, resistance/tolerance to biotic and abiotic stresses and adaptation to different environments and growing conditions; considering the needs of producers, processors and consumers.</w:t>
      </w:r>
    </w:p>
    <w:p w:rsidR="000711C9" w:rsidRPr="000B66E4" w:rsidRDefault="000711C9" w:rsidP="000B7E0D">
      <w:pPr>
        <w:pStyle w:val="Default"/>
        <w:numPr>
          <w:ilvl w:val="0"/>
          <w:numId w:val="6"/>
        </w:numPr>
        <w:spacing w:line="360" w:lineRule="auto"/>
        <w:jc w:val="both"/>
        <w:rPr>
          <w:rFonts w:ascii="Times New Roman" w:hAnsi="Times New Roman" w:cs="Times New Roman"/>
        </w:rPr>
      </w:pPr>
      <w:r w:rsidRPr="000B66E4">
        <w:rPr>
          <w:rFonts w:ascii="Times New Roman" w:hAnsi="Times New Roman" w:cs="Times New Roman"/>
        </w:rPr>
        <w:t>Biosecurity</w:t>
      </w:r>
      <w:r>
        <w:rPr>
          <w:rFonts w:ascii="Times New Roman" w:hAnsi="Times New Roman" w:cs="Times New Roman"/>
        </w:rPr>
        <w:t xml:space="preserve"> </w:t>
      </w:r>
      <w:r w:rsidRPr="000B66E4">
        <w:rPr>
          <w:rFonts w:ascii="Times New Roman" w:hAnsi="Times New Roman" w:cs="Times New Roman"/>
        </w:rPr>
        <w:t>–</w:t>
      </w:r>
      <w:r>
        <w:rPr>
          <w:rFonts w:ascii="Times New Roman" w:hAnsi="Times New Roman" w:cs="Times New Roman"/>
        </w:rPr>
        <w:t xml:space="preserve"> </w:t>
      </w:r>
      <w:r w:rsidRPr="000B66E4">
        <w:rPr>
          <w:rFonts w:ascii="Times New Roman" w:hAnsi="Times New Roman" w:cs="Times New Roman"/>
        </w:rPr>
        <w:t>Development</w:t>
      </w:r>
      <w:r>
        <w:rPr>
          <w:rFonts w:ascii="Times New Roman" w:hAnsi="Times New Roman" w:cs="Times New Roman"/>
        </w:rPr>
        <w:t xml:space="preserve"> </w:t>
      </w:r>
      <w:r w:rsidRPr="000B66E4">
        <w:rPr>
          <w:rFonts w:ascii="Times New Roman" w:hAnsi="Times New Roman" w:cs="Times New Roman"/>
        </w:rPr>
        <w:t>of</w:t>
      </w:r>
      <w:r>
        <w:rPr>
          <w:rFonts w:ascii="Times New Roman" w:hAnsi="Times New Roman" w:cs="Times New Roman"/>
        </w:rPr>
        <w:t xml:space="preserve"> </w:t>
      </w:r>
      <w:r w:rsidRPr="000B66E4">
        <w:rPr>
          <w:rFonts w:ascii="Times New Roman" w:hAnsi="Times New Roman" w:cs="Times New Roman"/>
        </w:rPr>
        <w:t>risk</w:t>
      </w:r>
      <w:r>
        <w:rPr>
          <w:rFonts w:ascii="Times New Roman" w:hAnsi="Times New Roman" w:cs="Times New Roman"/>
        </w:rPr>
        <w:t xml:space="preserve"> </w:t>
      </w:r>
      <w:r w:rsidRPr="000B66E4">
        <w:rPr>
          <w:rFonts w:ascii="Times New Roman" w:hAnsi="Times New Roman" w:cs="Times New Roman"/>
        </w:rPr>
        <w:t>management</w:t>
      </w:r>
      <w:r>
        <w:rPr>
          <w:rFonts w:ascii="Times New Roman" w:hAnsi="Times New Roman" w:cs="Times New Roman"/>
        </w:rPr>
        <w:t xml:space="preserve"> </w:t>
      </w:r>
      <w:r w:rsidRPr="000B66E4">
        <w:rPr>
          <w:rFonts w:ascii="Times New Roman" w:hAnsi="Times New Roman" w:cs="Times New Roman"/>
        </w:rPr>
        <w:t>and</w:t>
      </w:r>
      <w:r>
        <w:rPr>
          <w:rFonts w:ascii="Times New Roman" w:hAnsi="Times New Roman" w:cs="Times New Roman"/>
        </w:rPr>
        <w:t xml:space="preserve"> </w:t>
      </w:r>
      <w:r w:rsidRPr="000B66E4">
        <w:rPr>
          <w:rFonts w:ascii="Times New Roman" w:hAnsi="Times New Roman" w:cs="Times New Roman"/>
        </w:rPr>
        <w:t>mitigation</w:t>
      </w:r>
      <w:r>
        <w:rPr>
          <w:rFonts w:ascii="Times New Roman" w:hAnsi="Times New Roman" w:cs="Times New Roman"/>
        </w:rPr>
        <w:t xml:space="preserve"> </w:t>
      </w:r>
      <w:r w:rsidRPr="000B66E4">
        <w:rPr>
          <w:rFonts w:ascii="Times New Roman" w:hAnsi="Times New Roman" w:cs="Times New Roman"/>
        </w:rPr>
        <w:t>methods</w:t>
      </w:r>
      <w:r>
        <w:rPr>
          <w:rFonts w:ascii="Times New Roman" w:hAnsi="Times New Roman" w:cs="Times New Roman"/>
        </w:rPr>
        <w:t xml:space="preserve"> </w:t>
      </w:r>
      <w:r w:rsidRPr="000B66E4">
        <w:rPr>
          <w:rFonts w:ascii="Times New Roman" w:hAnsi="Times New Roman" w:cs="Times New Roman"/>
        </w:rPr>
        <w:t>for</w:t>
      </w:r>
      <w:r>
        <w:rPr>
          <w:rFonts w:ascii="Times New Roman" w:hAnsi="Times New Roman" w:cs="Times New Roman"/>
        </w:rPr>
        <w:t xml:space="preserve"> </w:t>
      </w:r>
      <w:r w:rsidRPr="000B66E4">
        <w:rPr>
          <w:rFonts w:ascii="Times New Roman" w:hAnsi="Times New Roman" w:cs="Times New Roman"/>
        </w:rPr>
        <w:t>crop</w:t>
      </w:r>
      <w:r>
        <w:rPr>
          <w:rFonts w:ascii="Times New Roman" w:hAnsi="Times New Roman" w:cs="Times New Roman"/>
        </w:rPr>
        <w:t xml:space="preserve"> </w:t>
      </w:r>
      <w:r w:rsidRPr="000B66E4">
        <w:rPr>
          <w:rFonts w:ascii="Times New Roman" w:hAnsi="Times New Roman" w:cs="Times New Roman"/>
        </w:rPr>
        <w:t>production</w:t>
      </w:r>
      <w:r>
        <w:rPr>
          <w:rFonts w:ascii="Times New Roman" w:hAnsi="Times New Roman" w:cs="Times New Roman"/>
        </w:rPr>
        <w:t xml:space="preserve"> </w:t>
      </w:r>
      <w:r w:rsidRPr="000B66E4">
        <w:rPr>
          <w:rFonts w:ascii="Times New Roman" w:hAnsi="Times New Roman" w:cs="Times New Roman"/>
        </w:rPr>
        <w:t>that</w:t>
      </w:r>
      <w:r>
        <w:rPr>
          <w:rFonts w:ascii="Times New Roman" w:hAnsi="Times New Roman" w:cs="Times New Roman"/>
        </w:rPr>
        <w:t xml:space="preserve"> </w:t>
      </w:r>
      <w:r w:rsidRPr="000B66E4">
        <w:rPr>
          <w:rFonts w:ascii="Times New Roman" w:hAnsi="Times New Roman" w:cs="Times New Roman"/>
        </w:rPr>
        <w:t>includes</w:t>
      </w:r>
      <w:r>
        <w:rPr>
          <w:rFonts w:ascii="Times New Roman" w:hAnsi="Times New Roman" w:cs="Times New Roman"/>
        </w:rPr>
        <w:t xml:space="preserve"> </w:t>
      </w:r>
      <w:r w:rsidRPr="000B66E4">
        <w:rPr>
          <w:rFonts w:ascii="Times New Roman" w:hAnsi="Times New Roman" w:cs="Times New Roman"/>
        </w:rPr>
        <w:t>the</w:t>
      </w:r>
      <w:r>
        <w:rPr>
          <w:rFonts w:ascii="Times New Roman" w:hAnsi="Times New Roman" w:cs="Times New Roman"/>
        </w:rPr>
        <w:t xml:space="preserve"> </w:t>
      </w:r>
      <w:r w:rsidRPr="000B66E4">
        <w:rPr>
          <w:rFonts w:ascii="Times New Roman" w:hAnsi="Times New Roman" w:cs="Times New Roman"/>
        </w:rPr>
        <w:t>plant</w:t>
      </w:r>
      <w:r>
        <w:rPr>
          <w:rFonts w:ascii="Times New Roman" w:hAnsi="Times New Roman" w:cs="Times New Roman"/>
        </w:rPr>
        <w:t xml:space="preserve"> </w:t>
      </w:r>
      <w:r w:rsidRPr="000B66E4">
        <w:rPr>
          <w:rFonts w:ascii="Times New Roman" w:hAnsi="Times New Roman" w:cs="Times New Roman"/>
        </w:rPr>
        <w:t>health</w:t>
      </w:r>
      <w:r>
        <w:rPr>
          <w:rFonts w:ascii="Times New Roman" w:hAnsi="Times New Roman" w:cs="Times New Roman"/>
        </w:rPr>
        <w:t xml:space="preserve"> </w:t>
      </w:r>
      <w:r w:rsidRPr="000B66E4">
        <w:rPr>
          <w:rFonts w:ascii="Times New Roman" w:hAnsi="Times New Roman" w:cs="Times New Roman"/>
        </w:rPr>
        <w:t>research</w:t>
      </w:r>
      <w:r>
        <w:rPr>
          <w:rFonts w:ascii="Times New Roman" w:hAnsi="Times New Roman" w:cs="Times New Roman"/>
        </w:rPr>
        <w:t xml:space="preserve"> </w:t>
      </w:r>
      <w:r w:rsidRPr="000B66E4">
        <w:rPr>
          <w:rFonts w:ascii="Times New Roman" w:hAnsi="Times New Roman" w:cs="Times New Roman"/>
        </w:rPr>
        <w:t>and</w:t>
      </w:r>
      <w:r>
        <w:rPr>
          <w:rFonts w:ascii="Times New Roman" w:hAnsi="Times New Roman" w:cs="Times New Roman"/>
        </w:rPr>
        <w:t xml:space="preserve"> </w:t>
      </w:r>
      <w:r w:rsidRPr="000B66E4">
        <w:rPr>
          <w:rFonts w:ascii="Times New Roman" w:hAnsi="Times New Roman" w:cs="Times New Roman"/>
        </w:rPr>
        <w:t>services,</w:t>
      </w:r>
      <w:r>
        <w:rPr>
          <w:rFonts w:ascii="Times New Roman" w:hAnsi="Times New Roman" w:cs="Times New Roman"/>
        </w:rPr>
        <w:t xml:space="preserve"> </w:t>
      </w:r>
      <w:r w:rsidRPr="000B66E4">
        <w:rPr>
          <w:rFonts w:ascii="Times New Roman" w:hAnsi="Times New Roman" w:cs="Times New Roman"/>
        </w:rPr>
        <w:t>climate</w:t>
      </w:r>
      <w:r>
        <w:rPr>
          <w:rFonts w:ascii="Times New Roman" w:hAnsi="Times New Roman" w:cs="Times New Roman"/>
        </w:rPr>
        <w:t xml:space="preserve"> </w:t>
      </w:r>
      <w:r w:rsidRPr="000B66E4">
        <w:rPr>
          <w:rFonts w:ascii="Times New Roman" w:hAnsi="Times New Roman" w:cs="Times New Roman"/>
        </w:rPr>
        <w:t>mitigation</w:t>
      </w:r>
      <w:r>
        <w:rPr>
          <w:rFonts w:ascii="Times New Roman" w:hAnsi="Times New Roman" w:cs="Times New Roman"/>
        </w:rPr>
        <w:t xml:space="preserve"> </w:t>
      </w:r>
      <w:r w:rsidRPr="000B66E4">
        <w:rPr>
          <w:rFonts w:ascii="Times New Roman" w:hAnsi="Times New Roman" w:cs="Times New Roman"/>
        </w:rPr>
        <w:t>research</w:t>
      </w:r>
      <w:r>
        <w:rPr>
          <w:rFonts w:ascii="Times New Roman" w:hAnsi="Times New Roman" w:cs="Times New Roman"/>
        </w:rPr>
        <w:t xml:space="preserve"> </w:t>
      </w:r>
      <w:r w:rsidRPr="000B66E4">
        <w:rPr>
          <w:rFonts w:ascii="Times New Roman" w:hAnsi="Times New Roman" w:cs="Times New Roman"/>
        </w:rPr>
        <w:t>and</w:t>
      </w:r>
      <w:r>
        <w:rPr>
          <w:rFonts w:ascii="Times New Roman" w:hAnsi="Times New Roman" w:cs="Times New Roman"/>
        </w:rPr>
        <w:t xml:space="preserve"> </w:t>
      </w:r>
      <w:r w:rsidRPr="000B66E4">
        <w:rPr>
          <w:rFonts w:ascii="Times New Roman" w:hAnsi="Times New Roman" w:cs="Times New Roman"/>
        </w:rPr>
        <w:t>services,</w:t>
      </w:r>
      <w:r>
        <w:rPr>
          <w:rFonts w:ascii="Times New Roman" w:hAnsi="Times New Roman" w:cs="Times New Roman"/>
        </w:rPr>
        <w:t xml:space="preserve"> </w:t>
      </w:r>
      <w:r w:rsidRPr="000B66E4">
        <w:rPr>
          <w:rFonts w:ascii="Times New Roman" w:hAnsi="Times New Roman" w:cs="Times New Roman"/>
        </w:rPr>
        <w:t>genetic</w:t>
      </w:r>
      <w:r>
        <w:rPr>
          <w:rFonts w:ascii="Times New Roman" w:hAnsi="Times New Roman" w:cs="Times New Roman"/>
        </w:rPr>
        <w:t xml:space="preserve"> </w:t>
      </w:r>
      <w:r w:rsidRPr="000B66E4">
        <w:rPr>
          <w:rFonts w:ascii="Times New Roman" w:hAnsi="Times New Roman" w:cs="Times New Roman"/>
        </w:rPr>
        <w:t>purity</w:t>
      </w:r>
      <w:r>
        <w:rPr>
          <w:rFonts w:ascii="Times New Roman" w:hAnsi="Times New Roman" w:cs="Times New Roman"/>
        </w:rPr>
        <w:t xml:space="preserve"> </w:t>
      </w:r>
      <w:r w:rsidRPr="000B66E4">
        <w:rPr>
          <w:rFonts w:ascii="Times New Roman" w:hAnsi="Times New Roman" w:cs="Times New Roman"/>
        </w:rPr>
        <w:t>testing</w:t>
      </w:r>
      <w:r>
        <w:rPr>
          <w:rFonts w:ascii="Times New Roman" w:hAnsi="Times New Roman" w:cs="Times New Roman"/>
        </w:rPr>
        <w:t xml:space="preserve"> </w:t>
      </w:r>
      <w:r w:rsidRPr="000B66E4">
        <w:rPr>
          <w:rFonts w:ascii="Times New Roman" w:hAnsi="Times New Roman" w:cs="Times New Roman"/>
        </w:rPr>
        <w:t>and</w:t>
      </w:r>
      <w:r>
        <w:rPr>
          <w:rFonts w:ascii="Times New Roman" w:hAnsi="Times New Roman" w:cs="Times New Roman"/>
        </w:rPr>
        <w:t xml:space="preserve"> </w:t>
      </w:r>
      <w:r w:rsidRPr="000B66E4">
        <w:rPr>
          <w:rFonts w:ascii="Times New Roman" w:hAnsi="Times New Roman" w:cs="Times New Roman"/>
        </w:rPr>
        <w:t>services.</w:t>
      </w:r>
    </w:p>
    <w:p w:rsidR="000711C9" w:rsidRPr="000B66E4" w:rsidRDefault="000711C9" w:rsidP="000B7E0D">
      <w:pPr>
        <w:pStyle w:val="ListParagraph"/>
        <w:numPr>
          <w:ilvl w:val="0"/>
          <w:numId w:val="6"/>
        </w:numPr>
        <w:spacing w:line="360" w:lineRule="auto"/>
        <w:jc w:val="both"/>
      </w:pPr>
      <w:r w:rsidRPr="000B66E4">
        <w:t xml:space="preserve">Post-harvest management and product development for decreased food waste and longer shelf life; and agroprocessing of fruit, vegetables, medical plants, herbs, teas into various products. </w:t>
      </w:r>
    </w:p>
    <w:p w:rsidR="000711C9" w:rsidRPr="000B66E4" w:rsidRDefault="000711C9" w:rsidP="000B7E0D">
      <w:pPr>
        <w:pStyle w:val="Default"/>
        <w:numPr>
          <w:ilvl w:val="0"/>
          <w:numId w:val="6"/>
        </w:numPr>
        <w:spacing w:line="360" w:lineRule="auto"/>
        <w:rPr>
          <w:rFonts w:ascii="Times New Roman" w:hAnsi="Times New Roman" w:cs="Times New Roman"/>
        </w:rPr>
      </w:pPr>
      <w:r w:rsidRPr="000B66E4">
        <w:rPr>
          <w:rFonts w:ascii="Times New Roman" w:hAnsi="Times New Roman" w:cs="Times New Roman"/>
        </w:rPr>
        <w:t>Genomic selection and genomic assisted breeding in crop</w:t>
      </w:r>
      <w:r>
        <w:rPr>
          <w:rFonts w:ascii="Times New Roman" w:hAnsi="Times New Roman" w:cs="Times New Roman"/>
        </w:rPr>
        <w:t xml:space="preserve"> and livestock</w:t>
      </w:r>
      <w:r w:rsidRPr="000B66E4">
        <w:rPr>
          <w:rFonts w:ascii="Times New Roman" w:hAnsi="Times New Roman" w:cs="Times New Roman"/>
        </w:rPr>
        <w:t xml:space="preserve"> improvement.</w:t>
      </w:r>
    </w:p>
    <w:p w:rsidR="000711C9" w:rsidRPr="000B66E4" w:rsidRDefault="000711C9" w:rsidP="000B7E0D">
      <w:pPr>
        <w:pStyle w:val="ListParagraph"/>
        <w:numPr>
          <w:ilvl w:val="0"/>
          <w:numId w:val="6"/>
        </w:numPr>
        <w:spacing w:line="360" w:lineRule="auto"/>
        <w:jc w:val="both"/>
      </w:pPr>
      <w:r w:rsidRPr="000B66E4">
        <w:t xml:space="preserve">Provide </w:t>
      </w:r>
      <w:r w:rsidRPr="000B66E4">
        <w:rPr>
          <w:bCs/>
        </w:rPr>
        <w:t xml:space="preserve">much-needed analytical services </w:t>
      </w:r>
      <w:r w:rsidRPr="000B66E4">
        <w:t xml:space="preserve">to national, provincial and local government and clients in the food and feed industry through its SANAS accredited laboratories. The services include </w:t>
      </w:r>
      <w:r w:rsidRPr="000B66E4">
        <w:rPr>
          <w:bCs/>
        </w:rPr>
        <w:t xml:space="preserve">product, chemical, microbiological and physical tests </w:t>
      </w:r>
      <w:r w:rsidRPr="000B66E4">
        <w:t>on feed and food samples.</w:t>
      </w:r>
    </w:p>
    <w:p w:rsidR="005C2B5E" w:rsidRDefault="005C2B5E" w:rsidP="00011A2B">
      <w:pPr>
        <w:autoSpaceDE w:val="0"/>
        <w:autoSpaceDN w:val="0"/>
        <w:adjustRightInd w:val="0"/>
        <w:spacing w:line="360" w:lineRule="auto"/>
        <w:jc w:val="both"/>
        <w:rPr>
          <w:bCs/>
          <w:lang w:val="en-ZA"/>
        </w:rPr>
      </w:pPr>
    </w:p>
    <w:p w:rsidR="00F27C16" w:rsidRPr="005A669B" w:rsidRDefault="001D5378" w:rsidP="00011A2B">
      <w:pPr>
        <w:autoSpaceDE w:val="0"/>
        <w:autoSpaceDN w:val="0"/>
        <w:adjustRightInd w:val="0"/>
        <w:spacing w:line="360" w:lineRule="auto"/>
        <w:jc w:val="both"/>
        <w:rPr>
          <w:bCs/>
          <w:lang w:val="en-ZA"/>
        </w:rPr>
      </w:pPr>
      <w:r>
        <w:rPr>
          <w:bCs/>
          <w:lang w:val="en-ZA"/>
        </w:rPr>
        <w:t>The C</w:t>
      </w:r>
      <w:r w:rsidR="00F27C16" w:rsidRPr="005A669B">
        <w:rPr>
          <w:bCs/>
          <w:lang w:val="en-ZA"/>
        </w:rPr>
        <w:t>ommittee</w:t>
      </w:r>
      <w:r>
        <w:rPr>
          <w:bCs/>
          <w:lang w:val="en-ZA"/>
        </w:rPr>
        <w:t xml:space="preserve"> </w:t>
      </w:r>
      <w:r w:rsidR="00785091">
        <w:rPr>
          <w:bCs/>
          <w:lang w:val="en-ZA"/>
        </w:rPr>
        <w:t xml:space="preserve">appreciated the </w:t>
      </w:r>
      <w:r w:rsidR="00447B81">
        <w:rPr>
          <w:bCs/>
          <w:lang w:val="en-ZA"/>
        </w:rPr>
        <w:t xml:space="preserve">work of the </w:t>
      </w:r>
      <w:r w:rsidR="00785091">
        <w:rPr>
          <w:bCs/>
          <w:lang w:val="en-ZA"/>
        </w:rPr>
        <w:t>Board</w:t>
      </w:r>
      <w:r w:rsidR="00447B81">
        <w:rPr>
          <w:bCs/>
          <w:lang w:val="en-ZA"/>
        </w:rPr>
        <w:t xml:space="preserve"> including the appointment of the CEO. However</w:t>
      </w:r>
      <w:r w:rsidR="00785091">
        <w:rPr>
          <w:bCs/>
          <w:lang w:val="en-ZA"/>
        </w:rPr>
        <w:t>,</w:t>
      </w:r>
      <w:r w:rsidR="00447B81">
        <w:rPr>
          <w:bCs/>
          <w:lang w:val="en-ZA"/>
        </w:rPr>
        <w:t xml:space="preserve"> there was a concern regarding the impact of executive management vacancies at Human Resources; Impact and Partnerships and the recently vacant position of the Chief Financial Officer (CFO)</w:t>
      </w:r>
      <w:r w:rsidR="00D75B9F">
        <w:rPr>
          <w:bCs/>
          <w:lang w:val="en-ZA"/>
        </w:rPr>
        <w:t xml:space="preserve"> and the strategic project that were not budgeted for</w:t>
      </w:r>
      <w:r w:rsidR="00447B81">
        <w:rPr>
          <w:bCs/>
          <w:lang w:val="en-ZA"/>
        </w:rPr>
        <w:t>. F</w:t>
      </w:r>
      <w:r w:rsidR="00B0636A">
        <w:rPr>
          <w:bCs/>
          <w:lang w:val="en-ZA"/>
        </w:rPr>
        <w:t>unding constraints and</w:t>
      </w:r>
      <w:r>
        <w:rPr>
          <w:bCs/>
          <w:lang w:val="en-ZA"/>
        </w:rPr>
        <w:t xml:space="preserve"> </w:t>
      </w:r>
      <w:r w:rsidR="00785091">
        <w:rPr>
          <w:bCs/>
          <w:lang w:val="en-ZA"/>
        </w:rPr>
        <w:t xml:space="preserve">personnel </w:t>
      </w:r>
      <w:r>
        <w:rPr>
          <w:bCs/>
          <w:lang w:val="en-ZA"/>
        </w:rPr>
        <w:t xml:space="preserve">capacity particularly balancing </w:t>
      </w:r>
      <w:r w:rsidRPr="005A669B">
        <w:rPr>
          <w:bCs/>
          <w:lang w:val="en-ZA"/>
        </w:rPr>
        <w:t xml:space="preserve">optimisation of personnel costs </w:t>
      </w:r>
      <w:r>
        <w:rPr>
          <w:bCs/>
          <w:lang w:val="en-ZA"/>
        </w:rPr>
        <w:t>with job losses while the entity on one hand was highlighting the need to appoint high-profile scientists who can generate external revenue</w:t>
      </w:r>
      <w:r w:rsidR="00447B81">
        <w:rPr>
          <w:bCs/>
          <w:lang w:val="en-ZA"/>
        </w:rPr>
        <w:t xml:space="preserve"> were </w:t>
      </w:r>
      <w:r w:rsidR="00FC2B41">
        <w:rPr>
          <w:bCs/>
          <w:lang w:val="en-ZA"/>
        </w:rPr>
        <w:t>recognised</w:t>
      </w:r>
      <w:r w:rsidR="00447B81">
        <w:rPr>
          <w:bCs/>
          <w:lang w:val="en-ZA"/>
        </w:rPr>
        <w:t xml:space="preserve"> as areas needing attention</w:t>
      </w:r>
      <w:r>
        <w:rPr>
          <w:bCs/>
          <w:lang w:val="en-ZA"/>
        </w:rPr>
        <w:t xml:space="preserve">.  </w:t>
      </w:r>
      <w:r w:rsidR="00615AFC">
        <w:rPr>
          <w:bCs/>
          <w:lang w:val="en-ZA"/>
        </w:rPr>
        <w:t>In light of the frequency and ongoing FMD outbreaks, t</w:t>
      </w:r>
      <w:r w:rsidR="00F27C16" w:rsidRPr="005A669B">
        <w:rPr>
          <w:bCs/>
          <w:lang w:val="en-ZA"/>
        </w:rPr>
        <w:t>he slow pace of the establishment of the FMD Facility</w:t>
      </w:r>
      <w:r w:rsidR="00704EAF">
        <w:rPr>
          <w:bCs/>
          <w:lang w:val="en-ZA"/>
        </w:rPr>
        <w:t xml:space="preserve"> </w:t>
      </w:r>
      <w:r w:rsidR="00615AFC">
        <w:rPr>
          <w:bCs/>
          <w:lang w:val="en-ZA"/>
        </w:rPr>
        <w:t xml:space="preserve">remains a </w:t>
      </w:r>
      <w:r w:rsidR="00FC2B41">
        <w:rPr>
          <w:bCs/>
          <w:lang w:val="en-ZA"/>
        </w:rPr>
        <w:t xml:space="preserve">major </w:t>
      </w:r>
      <w:r w:rsidR="00615AFC">
        <w:rPr>
          <w:bCs/>
          <w:lang w:val="en-ZA"/>
        </w:rPr>
        <w:t>concern particula</w:t>
      </w:r>
      <w:r w:rsidR="00527C8E">
        <w:rPr>
          <w:bCs/>
          <w:lang w:val="en-ZA"/>
        </w:rPr>
        <w:t>r</w:t>
      </w:r>
      <w:r w:rsidR="00615AFC">
        <w:rPr>
          <w:bCs/>
          <w:lang w:val="en-ZA"/>
        </w:rPr>
        <w:t xml:space="preserve">ly as </w:t>
      </w:r>
      <w:r w:rsidR="00704EAF">
        <w:rPr>
          <w:bCs/>
          <w:lang w:val="en-ZA"/>
        </w:rPr>
        <w:t>funding allocation for the Facility was first made in 2018/19</w:t>
      </w:r>
      <w:r w:rsidR="00615AFC">
        <w:rPr>
          <w:bCs/>
          <w:lang w:val="en-ZA"/>
        </w:rPr>
        <w:t>.</w:t>
      </w:r>
      <w:r w:rsidR="00785091">
        <w:rPr>
          <w:bCs/>
          <w:lang w:val="en-ZA"/>
        </w:rPr>
        <w:t xml:space="preserve"> </w:t>
      </w:r>
      <w:r w:rsidR="00615AFC">
        <w:rPr>
          <w:bCs/>
          <w:lang w:val="en-ZA"/>
        </w:rPr>
        <w:t xml:space="preserve"> </w:t>
      </w:r>
      <w:r w:rsidR="00AA657C">
        <w:rPr>
          <w:bCs/>
          <w:lang w:val="en-ZA"/>
        </w:rPr>
        <w:t>However, the prioritisation of the FMD Facility including the establishment of the Task Team by the Board to address FMD challenges was welcomed.</w:t>
      </w:r>
      <w:r w:rsidR="00615AFC">
        <w:rPr>
          <w:bCs/>
          <w:lang w:val="en-ZA"/>
        </w:rPr>
        <w:t xml:space="preserve">  </w:t>
      </w:r>
      <w:r w:rsidR="00704EAF">
        <w:rPr>
          <w:bCs/>
          <w:lang w:val="en-ZA"/>
        </w:rPr>
        <w:t xml:space="preserve"> </w:t>
      </w:r>
      <w:r w:rsidR="00F27C16" w:rsidRPr="005A669B">
        <w:rPr>
          <w:bCs/>
          <w:lang w:val="en-ZA"/>
        </w:rPr>
        <w:t xml:space="preserve">  </w:t>
      </w:r>
    </w:p>
    <w:p w:rsidR="002C4C35" w:rsidRDefault="002C4C35" w:rsidP="00011A2B">
      <w:pPr>
        <w:autoSpaceDE w:val="0"/>
        <w:autoSpaceDN w:val="0"/>
        <w:adjustRightInd w:val="0"/>
        <w:spacing w:line="360" w:lineRule="auto"/>
        <w:rPr>
          <w:color w:val="000000"/>
          <w:lang w:val="en-ZA" w:eastAsia="en-ZA"/>
        </w:rPr>
      </w:pPr>
    </w:p>
    <w:p w:rsidR="00F27C16" w:rsidRPr="005A669B" w:rsidRDefault="004338CE" w:rsidP="00011A2B">
      <w:pPr>
        <w:tabs>
          <w:tab w:val="left" w:pos="567"/>
          <w:tab w:val="left" w:pos="2012"/>
        </w:tabs>
        <w:autoSpaceDE w:val="0"/>
        <w:autoSpaceDN w:val="0"/>
        <w:adjustRightInd w:val="0"/>
        <w:spacing w:line="360" w:lineRule="auto"/>
        <w:jc w:val="both"/>
        <w:rPr>
          <w:b/>
          <w:lang w:val="en-ZA"/>
        </w:rPr>
      </w:pPr>
      <w:r>
        <w:rPr>
          <w:b/>
          <w:lang w:val="en-ZA"/>
        </w:rPr>
        <w:t>4</w:t>
      </w:r>
      <w:r w:rsidR="00F27C16" w:rsidRPr="005A669B">
        <w:rPr>
          <w:b/>
          <w:lang w:val="en-ZA"/>
        </w:rPr>
        <w:t>.</w:t>
      </w:r>
      <w:r w:rsidR="00445EF3" w:rsidRPr="005A669B">
        <w:rPr>
          <w:b/>
          <w:lang w:val="en-ZA"/>
        </w:rPr>
        <w:t>5</w:t>
      </w:r>
      <w:r w:rsidR="0097755E" w:rsidRPr="005A669B">
        <w:rPr>
          <w:b/>
          <w:lang w:val="en-ZA"/>
        </w:rPr>
        <w:tab/>
      </w:r>
      <w:r w:rsidR="00F27C16" w:rsidRPr="005A669B">
        <w:rPr>
          <w:b/>
          <w:lang w:val="en-ZA"/>
        </w:rPr>
        <w:t xml:space="preserve">The Onderstepoort Biological Products (OBP) </w:t>
      </w:r>
    </w:p>
    <w:p w:rsidR="00F27C16" w:rsidRPr="005A669B" w:rsidRDefault="00F27C16" w:rsidP="00011A2B">
      <w:pPr>
        <w:tabs>
          <w:tab w:val="left" w:pos="567"/>
          <w:tab w:val="left" w:pos="2012"/>
        </w:tabs>
        <w:autoSpaceDE w:val="0"/>
        <w:autoSpaceDN w:val="0"/>
        <w:adjustRightInd w:val="0"/>
        <w:spacing w:line="360" w:lineRule="auto"/>
        <w:jc w:val="both"/>
        <w:rPr>
          <w:b/>
          <w:lang w:val="en-ZA"/>
        </w:rPr>
      </w:pPr>
    </w:p>
    <w:p w:rsidR="0022454D" w:rsidRDefault="00F27C16" w:rsidP="00011A2B">
      <w:pPr>
        <w:spacing w:line="360" w:lineRule="auto"/>
        <w:jc w:val="both"/>
        <w:rPr>
          <w:lang w:val="en-ZA"/>
        </w:rPr>
      </w:pPr>
      <w:r w:rsidRPr="005A669B">
        <w:rPr>
          <w:bCs/>
          <w:lang w:val="en-ZA" w:eastAsia="en-ZA"/>
        </w:rPr>
        <w:lastRenderedPageBreak/>
        <w:t xml:space="preserve">The OBP </w:t>
      </w:r>
      <w:r w:rsidRPr="005A669B">
        <w:rPr>
          <w:lang w:val="en-ZA"/>
        </w:rPr>
        <w:t xml:space="preserve">was established </w:t>
      </w:r>
      <w:r w:rsidRPr="005A669B">
        <w:rPr>
          <w:rFonts w:cs="Arial"/>
          <w:lang w:val="en-ZA"/>
        </w:rPr>
        <w:t xml:space="preserve">in terms of the Onderstepoort Biological Products Incorporation Act, 1999 (Act No.19 of 1999). It is </w:t>
      </w:r>
      <w:r w:rsidRPr="005A669B">
        <w:rPr>
          <w:rFonts w:cs="Arial"/>
          <w:bCs/>
          <w:lang w:val="en-ZA"/>
        </w:rPr>
        <w:t xml:space="preserve">listed under Schedule 3B of the </w:t>
      </w:r>
      <w:r w:rsidR="00122A3C" w:rsidRPr="005A669B">
        <w:rPr>
          <w:rFonts w:cs="Arial"/>
          <w:lang w:val="en-ZA"/>
        </w:rPr>
        <w:t>PFMA</w:t>
      </w:r>
      <w:r w:rsidR="00122A3C">
        <w:rPr>
          <w:rFonts w:cs="Arial"/>
          <w:lang w:val="en-ZA"/>
        </w:rPr>
        <w:t xml:space="preserve"> </w:t>
      </w:r>
      <w:r w:rsidRPr="005A669B">
        <w:rPr>
          <w:rFonts w:cs="Arial"/>
          <w:bCs/>
          <w:lang w:val="en-ZA"/>
        </w:rPr>
        <w:t xml:space="preserve">i.e. National Government Business Enterprise. It is governed by Act No. 19 of 1999, which should be read together with the </w:t>
      </w:r>
      <w:r w:rsidRPr="005A669B">
        <w:rPr>
          <w:rFonts w:cs="Arial"/>
          <w:lang w:val="en-ZA"/>
        </w:rPr>
        <w:t>Onderstepoort Biological Products</w:t>
      </w:r>
      <w:r w:rsidRPr="005A669B">
        <w:rPr>
          <w:rFonts w:cs="Arial"/>
          <w:bCs/>
          <w:lang w:val="en-ZA"/>
        </w:rPr>
        <w:t xml:space="preserve"> Memorandum of Incorporation (MOI)</w:t>
      </w:r>
      <w:r w:rsidR="004B4CE4">
        <w:rPr>
          <w:rFonts w:cs="Arial"/>
          <w:bCs/>
          <w:lang w:val="en-ZA"/>
        </w:rPr>
        <w:t>;</w:t>
      </w:r>
      <w:r w:rsidR="001A3832">
        <w:rPr>
          <w:rFonts w:cs="Arial"/>
          <w:bCs/>
          <w:lang w:val="en-ZA"/>
        </w:rPr>
        <w:t xml:space="preserve"> and </w:t>
      </w:r>
      <w:r w:rsidRPr="005A669B">
        <w:rPr>
          <w:rFonts w:cs="Arial"/>
          <w:bCs/>
          <w:lang w:val="en-ZA"/>
        </w:rPr>
        <w:t xml:space="preserve">was declared as a National Key Point in 2007. </w:t>
      </w:r>
      <w:r w:rsidR="005D25F2">
        <w:rPr>
          <w:rFonts w:cs="Arial"/>
          <w:bCs/>
          <w:lang w:val="en-ZA"/>
        </w:rPr>
        <w:t>The OBP</w:t>
      </w:r>
      <w:r w:rsidR="005D25F2" w:rsidRPr="008B6F35">
        <w:rPr>
          <w:rFonts w:cs="Arial"/>
          <w:bCs/>
        </w:rPr>
        <w:t xml:space="preserve"> is a state-owned bio-technical company that manufactures </w:t>
      </w:r>
      <w:r w:rsidR="001F2B13">
        <w:rPr>
          <w:rFonts w:cs="Arial"/>
          <w:bCs/>
        </w:rPr>
        <w:t>animal</w:t>
      </w:r>
      <w:r w:rsidR="005D25F2" w:rsidRPr="008B6F35">
        <w:rPr>
          <w:rFonts w:cs="Arial"/>
          <w:bCs/>
        </w:rPr>
        <w:t xml:space="preserve"> vaccines and </w:t>
      </w:r>
      <w:r w:rsidR="005D25F2" w:rsidRPr="008B6F35">
        <w:rPr>
          <w:bCs/>
        </w:rPr>
        <w:t xml:space="preserve">related products for the global animal health care industry.  </w:t>
      </w:r>
      <w:r w:rsidR="00256CD1">
        <w:rPr>
          <w:bCs/>
        </w:rPr>
        <w:t>T</w:t>
      </w:r>
      <w:r w:rsidRPr="005A669B">
        <w:rPr>
          <w:bCs/>
          <w:lang w:val="en-ZA"/>
        </w:rPr>
        <w:t>he</w:t>
      </w:r>
      <w:r w:rsidR="001F2B13">
        <w:rPr>
          <w:bCs/>
          <w:lang w:val="en-ZA"/>
        </w:rPr>
        <w:t xml:space="preserve"> entity </w:t>
      </w:r>
      <w:r w:rsidRPr="005A669B">
        <w:rPr>
          <w:lang w:val="en-ZA"/>
        </w:rPr>
        <w:t xml:space="preserve">does not get a financial transfer from the Department </w:t>
      </w:r>
      <w:r w:rsidRPr="005A669B">
        <w:rPr>
          <w:rFonts w:eastAsia="Calibri"/>
          <w:lang w:val="en-ZA"/>
        </w:rPr>
        <w:t xml:space="preserve">but funds all its operations from </w:t>
      </w:r>
      <w:r w:rsidRPr="005A669B">
        <w:rPr>
          <w:lang w:val="en-ZA"/>
        </w:rPr>
        <w:t>i</w:t>
      </w:r>
      <w:r w:rsidRPr="005A669B">
        <w:rPr>
          <w:rFonts w:eastAsia="Calibri"/>
          <w:lang w:val="en-ZA"/>
        </w:rPr>
        <w:t>ts self-generated revenue</w:t>
      </w:r>
      <w:r w:rsidR="0024632E">
        <w:rPr>
          <w:rFonts w:eastAsia="Calibri"/>
          <w:lang w:val="en-ZA"/>
        </w:rPr>
        <w:t xml:space="preserve">, </w:t>
      </w:r>
      <w:r w:rsidRPr="005A669B">
        <w:rPr>
          <w:rFonts w:eastAsia="Calibri"/>
          <w:lang w:val="en-ZA"/>
        </w:rPr>
        <w:t>mostly from sale of vaccines</w:t>
      </w:r>
      <w:r w:rsidRPr="005A669B">
        <w:rPr>
          <w:lang w:val="en-ZA"/>
        </w:rPr>
        <w:t xml:space="preserve">. </w:t>
      </w:r>
      <w:r w:rsidRPr="005A669B">
        <w:rPr>
          <w:lang w:val="en-ZA" w:eastAsia="en-ZA"/>
        </w:rPr>
        <w:t xml:space="preserve">The entity’s total budget for </w:t>
      </w:r>
      <w:r w:rsidR="004B4CE4">
        <w:rPr>
          <w:lang w:val="en-ZA" w:eastAsia="en-ZA"/>
        </w:rPr>
        <w:t>2022/23 is R</w:t>
      </w:r>
      <w:r w:rsidR="00C75B95">
        <w:rPr>
          <w:lang w:val="en-ZA" w:eastAsia="en-ZA"/>
        </w:rPr>
        <w:t>166 million</w:t>
      </w:r>
      <w:r w:rsidR="00256CD1">
        <w:rPr>
          <w:lang w:val="en-ZA" w:eastAsia="en-ZA"/>
        </w:rPr>
        <w:t xml:space="preserve">. </w:t>
      </w:r>
      <w:r w:rsidR="0022454D">
        <w:rPr>
          <w:lang w:val="en-ZA"/>
        </w:rPr>
        <w:t>Challenges with aged equipment breakages meant that the OBP suffered revenue losses</w:t>
      </w:r>
      <w:r w:rsidR="006C10EB">
        <w:rPr>
          <w:lang w:val="en-ZA"/>
        </w:rPr>
        <w:t xml:space="preserve"> in the past few years</w:t>
      </w:r>
      <w:r w:rsidR="0022454D">
        <w:rPr>
          <w:lang w:val="en-ZA"/>
        </w:rPr>
        <w:t xml:space="preserve"> as it could not</w:t>
      </w:r>
      <w:r w:rsidR="006C10EB">
        <w:rPr>
          <w:lang w:val="en-ZA"/>
        </w:rPr>
        <w:t xml:space="preserve"> timeously</w:t>
      </w:r>
      <w:r w:rsidR="0022454D">
        <w:rPr>
          <w:lang w:val="en-ZA"/>
        </w:rPr>
        <w:t xml:space="preserve"> produce some of the required vaccines. </w:t>
      </w:r>
      <w:r w:rsidR="00256CD1">
        <w:rPr>
          <w:lang w:val="en-ZA"/>
        </w:rPr>
        <w:t xml:space="preserve"> </w:t>
      </w:r>
    </w:p>
    <w:p w:rsidR="00256CD1" w:rsidRDefault="00256CD1" w:rsidP="00011A2B">
      <w:pPr>
        <w:spacing w:line="360" w:lineRule="auto"/>
        <w:jc w:val="both"/>
        <w:rPr>
          <w:lang w:val="en-ZA"/>
        </w:rPr>
      </w:pPr>
    </w:p>
    <w:p w:rsidR="00622D58" w:rsidRDefault="00F27C16" w:rsidP="00011A2B">
      <w:pPr>
        <w:spacing w:line="360" w:lineRule="auto"/>
        <w:jc w:val="both"/>
        <w:rPr>
          <w:lang w:val="en-ZA"/>
        </w:rPr>
      </w:pPr>
      <w:r w:rsidRPr="005A669B">
        <w:rPr>
          <w:lang w:val="en-ZA"/>
        </w:rPr>
        <w:t xml:space="preserve">The </w:t>
      </w:r>
      <w:r w:rsidR="006A7EBB">
        <w:rPr>
          <w:lang w:val="en-ZA"/>
        </w:rPr>
        <w:t>main focus remains ensuring a steady supply of vaccines and continued work on the modernisation of the vaccine manufacturing plant</w:t>
      </w:r>
      <w:r w:rsidR="00C75B95">
        <w:rPr>
          <w:lang w:val="en-ZA"/>
        </w:rPr>
        <w:t xml:space="preserve"> i.e. the </w:t>
      </w:r>
      <w:r w:rsidR="00C75B95" w:rsidRPr="005A669B">
        <w:rPr>
          <w:lang w:val="en-ZA"/>
        </w:rPr>
        <w:t>good manufacturing practice</w:t>
      </w:r>
      <w:r w:rsidR="00C75B95">
        <w:rPr>
          <w:lang w:val="en-ZA"/>
        </w:rPr>
        <w:t xml:space="preserve"> (GMP) Facility</w:t>
      </w:r>
      <w:r w:rsidR="006A7EBB" w:rsidRPr="005A669B">
        <w:rPr>
          <w:lang w:val="en-ZA"/>
        </w:rPr>
        <w:t xml:space="preserve">. </w:t>
      </w:r>
      <w:r w:rsidR="006A7EBB">
        <w:rPr>
          <w:lang w:val="en-ZA"/>
        </w:rPr>
        <w:t xml:space="preserve">Therefore, a significant </w:t>
      </w:r>
      <w:r w:rsidRPr="005A669B">
        <w:rPr>
          <w:lang w:val="en-ZA"/>
        </w:rPr>
        <w:t>proportion of the entity’s budget will go to</w:t>
      </w:r>
      <w:r w:rsidR="00414A3F">
        <w:rPr>
          <w:lang w:val="en-ZA"/>
        </w:rPr>
        <w:t xml:space="preserve">wards </w:t>
      </w:r>
      <w:r w:rsidR="00D545F9">
        <w:rPr>
          <w:lang w:val="en-ZA"/>
        </w:rPr>
        <w:t xml:space="preserve">production </w:t>
      </w:r>
      <w:r w:rsidR="00414A3F">
        <w:rPr>
          <w:lang w:val="en-ZA"/>
        </w:rPr>
        <w:t>o</w:t>
      </w:r>
      <w:r w:rsidRPr="005A669B">
        <w:rPr>
          <w:lang w:val="en-ZA"/>
        </w:rPr>
        <w:t xml:space="preserve">perations and </w:t>
      </w:r>
      <w:r w:rsidR="00D545F9">
        <w:rPr>
          <w:lang w:val="en-ZA"/>
        </w:rPr>
        <w:t>revenue generation with approximately 59 per cent of the budget allocated to the Continuous Improvement of Business Operations Programme and 20 per cent to the Financial Stability Programme.</w:t>
      </w:r>
      <w:r w:rsidRPr="005A669B">
        <w:rPr>
          <w:lang w:val="en-ZA"/>
        </w:rPr>
        <w:t xml:space="preserve"> </w:t>
      </w:r>
      <w:r w:rsidR="00622D58">
        <w:rPr>
          <w:lang w:val="en-ZA"/>
        </w:rPr>
        <w:t xml:space="preserve">Some of the challenges that were highlighted by the Board of the </w:t>
      </w:r>
      <w:r w:rsidRPr="005A669B">
        <w:rPr>
          <w:lang w:val="en-ZA"/>
        </w:rPr>
        <w:t xml:space="preserve">OBP </w:t>
      </w:r>
      <w:r w:rsidR="00EB6C7C">
        <w:rPr>
          <w:lang w:val="en-ZA"/>
        </w:rPr>
        <w:t xml:space="preserve">including solutions </w:t>
      </w:r>
      <w:r w:rsidR="00622D58">
        <w:rPr>
          <w:lang w:val="en-ZA"/>
        </w:rPr>
        <w:t xml:space="preserve">include: </w:t>
      </w:r>
    </w:p>
    <w:p w:rsidR="00622D58" w:rsidRPr="00004F3D" w:rsidRDefault="00622D58" w:rsidP="000B7E0D">
      <w:pPr>
        <w:pStyle w:val="ListParagraph"/>
        <w:numPr>
          <w:ilvl w:val="0"/>
          <w:numId w:val="7"/>
        </w:numPr>
        <w:spacing w:line="360" w:lineRule="auto"/>
        <w:jc w:val="both"/>
      </w:pPr>
      <w:r w:rsidRPr="00004F3D">
        <w:t xml:space="preserve">People within the organisation - ongoing labour disputes that the Board inherited when it started its term in November 2020. Training of personnel and fostering engagements with unions is ongoing. </w:t>
      </w:r>
    </w:p>
    <w:p w:rsidR="00622D58" w:rsidRPr="00004F3D" w:rsidRDefault="00622D58" w:rsidP="000B7E0D">
      <w:pPr>
        <w:pStyle w:val="ListParagraph"/>
        <w:numPr>
          <w:ilvl w:val="0"/>
          <w:numId w:val="7"/>
        </w:numPr>
        <w:spacing w:line="360" w:lineRule="auto"/>
        <w:jc w:val="both"/>
      </w:pPr>
      <w:r w:rsidRPr="00004F3D">
        <w:t xml:space="preserve">Market share challenges – safeguarding the OBP’s Intellectual Property (IP) as some competitors are entering markets with unregistered vaccines. OBP is working with the ARC attorneys in defining and safeguarding IP. </w:t>
      </w:r>
    </w:p>
    <w:p w:rsidR="00622D58" w:rsidRDefault="00622D58" w:rsidP="000B7E0D">
      <w:pPr>
        <w:pStyle w:val="ListParagraph"/>
        <w:numPr>
          <w:ilvl w:val="0"/>
          <w:numId w:val="7"/>
        </w:numPr>
        <w:spacing w:line="360" w:lineRule="auto"/>
        <w:jc w:val="both"/>
      </w:pPr>
      <w:r w:rsidRPr="00004F3D">
        <w:t>Production – old and aged infrastructure resulting in regular breakdowns; water and electricity inter</w:t>
      </w:r>
      <w:r w:rsidR="00D545F9">
        <w:t>r</w:t>
      </w:r>
      <w:r w:rsidRPr="00004F3D">
        <w:t>uptions. T</w:t>
      </w:r>
      <w:r w:rsidR="00D545F9">
        <w:t>o address the challenges</w:t>
      </w:r>
      <w:r w:rsidR="00175E8B">
        <w:t>,</w:t>
      </w:r>
      <w:r w:rsidR="00D545F9">
        <w:t xml:space="preserve"> t</w:t>
      </w:r>
      <w:r w:rsidRPr="00004F3D">
        <w:t>he entity has developed a 7-year</w:t>
      </w:r>
      <w:r w:rsidR="00175E8B">
        <w:t xml:space="preserve"> </w:t>
      </w:r>
      <w:r w:rsidRPr="00004F3D">
        <w:t xml:space="preserve">CAPIN Plan; planning </w:t>
      </w:r>
      <w:r w:rsidR="00D545F9">
        <w:t xml:space="preserve">on utilities </w:t>
      </w:r>
      <w:r w:rsidRPr="00004F3D">
        <w:t>jointly with the ARC’s Onderstepoort Veterinary Research</w:t>
      </w:r>
      <w:r w:rsidR="00175E8B">
        <w:t xml:space="preserve"> </w:t>
      </w:r>
      <w:r w:rsidRPr="00004F3D">
        <w:t>Institute (OVR)</w:t>
      </w:r>
      <w:r w:rsidR="00E7785B">
        <w:t xml:space="preserve">, which is located adjascent to the OBP </w:t>
      </w:r>
      <w:r w:rsidRPr="00004F3D">
        <w:t xml:space="preserve">and also got the </w:t>
      </w:r>
      <w:r w:rsidR="00EB6C7C">
        <w:t>Council for Scientific and Industrial Research (</w:t>
      </w:r>
      <w:r w:rsidRPr="00004F3D">
        <w:t>CSIR</w:t>
      </w:r>
      <w:r w:rsidR="00EB6C7C">
        <w:t>)</w:t>
      </w:r>
      <w:r w:rsidRPr="00004F3D">
        <w:t xml:space="preserve"> involved. </w:t>
      </w:r>
    </w:p>
    <w:p w:rsidR="00EB6C7C" w:rsidRDefault="00EB6C7C" w:rsidP="000B7E0D">
      <w:pPr>
        <w:pStyle w:val="ListParagraph"/>
        <w:numPr>
          <w:ilvl w:val="0"/>
          <w:numId w:val="7"/>
        </w:numPr>
        <w:spacing w:line="360" w:lineRule="auto"/>
        <w:jc w:val="both"/>
      </w:pPr>
      <w:r>
        <w:lastRenderedPageBreak/>
        <w:t>Protection of information – leakage of information including theft of information and documentation. The Board has requested the</w:t>
      </w:r>
      <w:r w:rsidR="004537C5">
        <w:t xml:space="preserve"> State Security Agency (</w:t>
      </w:r>
      <w:r>
        <w:t>SSA</w:t>
      </w:r>
      <w:r w:rsidR="004537C5">
        <w:t>)</w:t>
      </w:r>
      <w:r>
        <w:t xml:space="preserve"> to vet the entire staff complement. </w:t>
      </w:r>
    </w:p>
    <w:p w:rsidR="00EB6C7C" w:rsidRDefault="00EB6C7C" w:rsidP="000B7E0D">
      <w:pPr>
        <w:pStyle w:val="ListParagraph"/>
        <w:numPr>
          <w:ilvl w:val="0"/>
          <w:numId w:val="7"/>
        </w:numPr>
        <w:spacing w:line="360" w:lineRule="auto"/>
        <w:jc w:val="both"/>
      </w:pPr>
      <w:r>
        <w:t xml:space="preserve">GMP Project – delays in project completion. The Board and management are addressing contract management and </w:t>
      </w:r>
      <w:r w:rsidR="009F7BD6">
        <w:t xml:space="preserve">have </w:t>
      </w:r>
      <w:r>
        <w:t xml:space="preserve">instituted an investigation of role players. </w:t>
      </w:r>
    </w:p>
    <w:p w:rsidR="00EB6C7C" w:rsidRPr="00004F3D" w:rsidRDefault="00EB6C7C" w:rsidP="000B7E0D">
      <w:pPr>
        <w:pStyle w:val="ListParagraph"/>
        <w:numPr>
          <w:ilvl w:val="0"/>
          <w:numId w:val="7"/>
        </w:numPr>
        <w:spacing w:line="360" w:lineRule="auto"/>
        <w:jc w:val="both"/>
      </w:pPr>
      <w:r>
        <w:t xml:space="preserve">Governance – outdated policies and procedures. Review and development of policies has been prioritised for presentation to, and approval by, the Board in accordance with the Board and Sub-committee </w:t>
      </w:r>
      <w:r w:rsidR="00175E8B">
        <w:t>work plans</w:t>
      </w:r>
      <w:r>
        <w:t xml:space="preserve"> for 2022/23.</w:t>
      </w:r>
    </w:p>
    <w:p w:rsidR="00622D58" w:rsidRDefault="00622D58" w:rsidP="00622D58">
      <w:pPr>
        <w:spacing w:line="360" w:lineRule="auto"/>
        <w:jc w:val="both"/>
        <w:rPr>
          <w:lang w:val="en-ZA"/>
        </w:rPr>
      </w:pPr>
    </w:p>
    <w:p w:rsidR="00F27C16" w:rsidRPr="005A669B" w:rsidRDefault="00F27C16" w:rsidP="00011A2B">
      <w:pPr>
        <w:spacing w:line="360" w:lineRule="auto"/>
        <w:jc w:val="both"/>
        <w:rPr>
          <w:lang w:val="en-ZA"/>
        </w:rPr>
      </w:pPr>
      <w:r w:rsidRPr="005A669B">
        <w:rPr>
          <w:lang w:val="en-ZA"/>
        </w:rPr>
        <w:t xml:space="preserve">The </w:t>
      </w:r>
      <w:r w:rsidR="006C10EB">
        <w:rPr>
          <w:lang w:val="en-ZA"/>
        </w:rPr>
        <w:t>OBP further reported that</w:t>
      </w:r>
      <w:r w:rsidR="00674B52">
        <w:rPr>
          <w:lang w:val="en-ZA"/>
        </w:rPr>
        <w:t>,</w:t>
      </w:r>
      <w:r w:rsidR="006C10EB">
        <w:rPr>
          <w:lang w:val="en-ZA"/>
        </w:rPr>
        <w:t xml:space="preserve"> of the initial once-off allocation of R492.4 million that was allocated in 2013/14 for the GMP Project, R71 </w:t>
      </w:r>
      <w:r w:rsidR="001D10E1">
        <w:rPr>
          <w:lang w:val="en-ZA"/>
        </w:rPr>
        <w:t xml:space="preserve">million is remaining while the project is far from being completed meaning that additional funding will be required to finalise the GMP Project. </w:t>
      </w:r>
      <w:r w:rsidR="006C10EB">
        <w:rPr>
          <w:lang w:val="en-ZA"/>
        </w:rPr>
        <w:t xml:space="preserve">The </w:t>
      </w:r>
      <w:r w:rsidR="009F7BD6">
        <w:rPr>
          <w:lang w:val="en-ZA"/>
        </w:rPr>
        <w:t xml:space="preserve">lack of progress in the </w:t>
      </w:r>
      <w:r w:rsidR="006A7EBB">
        <w:rPr>
          <w:lang w:val="en-ZA"/>
        </w:rPr>
        <w:t xml:space="preserve">modernisation of </w:t>
      </w:r>
      <w:r w:rsidR="00EE5B41">
        <w:rPr>
          <w:lang w:val="en-ZA"/>
        </w:rPr>
        <w:t xml:space="preserve">the </w:t>
      </w:r>
      <w:r w:rsidR="006A7EBB">
        <w:rPr>
          <w:lang w:val="en-ZA"/>
        </w:rPr>
        <w:t>vaccine manufacturing plant</w:t>
      </w:r>
      <w:r w:rsidR="009F7BD6">
        <w:rPr>
          <w:lang w:val="en-ZA"/>
        </w:rPr>
        <w:t xml:space="preserve"> (GMP)</w:t>
      </w:r>
      <w:r w:rsidR="001A3832">
        <w:rPr>
          <w:lang w:val="en-ZA"/>
        </w:rPr>
        <w:t xml:space="preserve"> project</w:t>
      </w:r>
      <w:r w:rsidR="00833359">
        <w:rPr>
          <w:lang w:val="en-ZA"/>
        </w:rPr>
        <w:t>, equipment breakages that affect vaccine production</w:t>
      </w:r>
      <w:r w:rsidR="00D749C9">
        <w:rPr>
          <w:lang w:val="en-ZA"/>
        </w:rPr>
        <w:t xml:space="preserve"> and </w:t>
      </w:r>
      <w:r w:rsidR="009F7BD6">
        <w:rPr>
          <w:lang w:val="en-ZA"/>
        </w:rPr>
        <w:t>availability,</w:t>
      </w:r>
      <w:r w:rsidR="00ED061B">
        <w:rPr>
          <w:lang w:val="en-ZA"/>
        </w:rPr>
        <w:t xml:space="preserve"> historical</w:t>
      </w:r>
      <w:r w:rsidR="009F7BD6">
        <w:rPr>
          <w:lang w:val="en-ZA"/>
        </w:rPr>
        <w:t xml:space="preserve"> </w:t>
      </w:r>
      <w:r w:rsidR="00ED061B">
        <w:rPr>
          <w:lang w:val="en-ZA"/>
        </w:rPr>
        <w:t>procurement and contract management challenges, as</w:t>
      </w:r>
      <w:r w:rsidR="009F7BD6">
        <w:rPr>
          <w:lang w:val="en-ZA"/>
        </w:rPr>
        <w:t xml:space="preserve"> well as </w:t>
      </w:r>
      <w:r w:rsidR="004E1BC1">
        <w:rPr>
          <w:lang w:val="en-ZA"/>
        </w:rPr>
        <w:t xml:space="preserve">the entity’s </w:t>
      </w:r>
      <w:r w:rsidR="00D749C9">
        <w:rPr>
          <w:lang w:val="en-ZA"/>
        </w:rPr>
        <w:t xml:space="preserve">personnel challenges </w:t>
      </w:r>
      <w:r w:rsidR="009F7BD6">
        <w:rPr>
          <w:lang w:val="en-ZA"/>
        </w:rPr>
        <w:t xml:space="preserve">including leakage of information </w:t>
      </w:r>
      <w:r w:rsidR="00833359">
        <w:rPr>
          <w:lang w:val="en-ZA"/>
        </w:rPr>
        <w:t>w</w:t>
      </w:r>
      <w:r w:rsidR="001A3832">
        <w:rPr>
          <w:lang w:val="en-ZA"/>
        </w:rPr>
        <w:t xml:space="preserve">ere </w:t>
      </w:r>
      <w:r w:rsidR="009F7BD6">
        <w:rPr>
          <w:lang w:val="en-ZA"/>
        </w:rPr>
        <w:t xml:space="preserve">of </w:t>
      </w:r>
      <w:r w:rsidR="001A3832">
        <w:rPr>
          <w:lang w:val="en-ZA"/>
        </w:rPr>
        <w:t>ma</w:t>
      </w:r>
      <w:r w:rsidR="00D749C9">
        <w:rPr>
          <w:lang w:val="en-ZA"/>
        </w:rPr>
        <w:t>jor</w:t>
      </w:r>
      <w:r w:rsidR="001A3832">
        <w:rPr>
          <w:lang w:val="en-ZA"/>
        </w:rPr>
        <w:t xml:space="preserve"> </w:t>
      </w:r>
      <w:r w:rsidR="009F7BD6">
        <w:rPr>
          <w:lang w:val="en-ZA"/>
        </w:rPr>
        <w:t xml:space="preserve">concern to </w:t>
      </w:r>
      <w:r w:rsidR="001A3832">
        <w:rPr>
          <w:lang w:val="en-ZA"/>
        </w:rPr>
        <w:t>the Committee</w:t>
      </w:r>
      <w:r w:rsidR="00EE5B41">
        <w:rPr>
          <w:lang w:val="en-ZA"/>
        </w:rPr>
        <w:t xml:space="preserve">. It </w:t>
      </w:r>
      <w:r w:rsidR="00414A3F">
        <w:rPr>
          <w:lang w:val="en-ZA"/>
        </w:rPr>
        <w:t>acknowledged t</w:t>
      </w:r>
      <w:r w:rsidR="00EE5B41">
        <w:rPr>
          <w:lang w:val="en-ZA"/>
        </w:rPr>
        <w:t>he</w:t>
      </w:r>
      <w:r w:rsidR="009F7BD6">
        <w:rPr>
          <w:lang w:val="en-ZA"/>
        </w:rPr>
        <w:t xml:space="preserve"> interventions that have been introduced by the Board to address the numerous challenges within OBP including </w:t>
      </w:r>
      <w:r w:rsidR="00796A74">
        <w:rPr>
          <w:lang w:val="en-ZA"/>
        </w:rPr>
        <w:t xml:space="preserve">plans to appoint a new CEO and </w:t>
      </w:r>
      <w:r w:rsidR="009F7BD6">
        <w:rPr>
          <w:lang w:val="en-ZA"/>
        </w:rPr>
        <w:t xml:space="preserve">the </w:t>
      </w:r>
      <w:r w:rsidR="00EE5B41">
        <w:rPr>
          <w:lang w:val="en-ZA"/>
        </w:rPr>
        <w:t>measures</w:t>
      </w:r>
      <w:r w:rsidR="009F7BD6">
        <w:rPr>
          <w:lang w:val="en-ZA"/>
        </w:rPr>
        <w:t xml:space="preserve"> to investigate and criminally charge transgressors and those involved in fraud and corruption. </w:t>
      </w:r>
    </w:p>
    <w:p w:rsidR="00F27C16" w:rsidRPr="005A669B" w:rsidRDefault="00F27C16" w:rsidP="00011A2B">
      <w:pPr>
        <w:tabs>
          <w:tab w:val="left" w:pos="567"/>
          <w:tab w:val="left" w:pos="2012"/>
        </w:tabs>
        <w:autoSpaceDE w:val="0"/>
        <w:autoSpaceDN w:val="0"/>
        <w:adjustRightInd w:val="0"/>
        <w:spacing w:line="360" w:lineRule="auto"/>
        <w:jc w:val="both"/>
        <w:rPr>
          <w:lang w:val="en-ZA"/>
        </w:rPr>
      </w:pPr>
    </w:p>
    <w:p w:rsidR="00F27C16" w:rsidRPr="005A669B" w:rsidRDefault="004338CE" w:rsidP="00011A2B">
      <w:pPr>
        <w:tabs>
          <w:tab w:val="left" w:pos="567"/>
          <w:tab w:val="left" w:pos="2012"/>
        </w:tabs>
        <w:autoSpaceDE w:val="0"/>
        <w:autoSpaceDN w:val="0"/>
        <w:adjustRightInd w:val="0"/>
        <w:spacing w:line="360" w:lineRule="auto"/>
        <w:jc w:val="both"/>
        <w:rPr>
          <w:b/>
          <w:lang w:val="en-ZA"/>
        </w:rPr>
      </w:pPr>
      <w:r>
        <w:rPr>
          <w:b/>
          <w:lang w:val="en-ZA"/>
        </w:rPr>
        <w:t>4</w:t>
      </w:r>
      <w:r w:rsidR="00F27C16" w:rsidRPr="005A669B">
        <w:rPr>
          <w:b/>
          <w:lang w:val="en-ZA"/>
        </w:rPr>
        <w:t>.</w:t>
      </w:r>
      <w:r w:rsidR="00445EF3" w:rsidRPr="005A669B">
        <w:rPr>
          <w:b/>
          <w:lang w:val="en-ZA"/>
        </w:rPr>
        <w:t>6</w:t>
      </w:r>
      <w:r w:rsidR="00445EF3" w:rsidRPr="005A669B">
        <w:rPr>
          <w:b/>
          <w:lang w:val="en-ZA"/>
        </w:rPr>
        <w:tab/>
      </w:r>
      <w:r w:rsidR="00F27C16" w:rsidRPr="005A669B">
        <w:rPr>
          <w:b/>
          <w:lang w:val="en-ZA"/>
        </w:rPr>
        <w:t xml:space="preserve">The National Agricultural Marketing Council (NAMC) </w:t>
      </w:r>
    </w:p>
    <w:p w:rsidR="00F27C16" w:rsidRPr="005A669B" w:rsidRDefault="00F27C16" w:rsidP="00011A2B">
      <w:pPr>
        <w:spacing w:line="360" w:lineRule="auto"/>
        <w:rPr>
          <w:lang w:val="en-ZA"/>
        </w:rPr>
      </w:pPr>
    </w:p>
    <w:p w:rsidR="006C7411" w:rsidRPr="00796199" w:rsidRDefault="00F27C16" w:rsidP="006C7411">
      <w:pPr>
        <w:spacing w:line="360" w:lineRule="auto"/>
        <w:jc w:val="both"/>
      </w:pPr>
      <w:r w:rsidRPr="005A669B">
        <w:rPr>
          <w:lang w:val="en-ZA" w:eastAsia="en-ZA"/>
        </w:rPr>
        <w:t xml:space="preserve">The NAMC </w:t>
      </w:r>
      <w:r w:rsidRPr="005A669B">
        <w:rPr>
          <w:lang w:val="en-ZA"/>
        </w:rPr>
        <w:t>was established in terms of Section 3 and 4 of the Marketing of Agricultural Products Act, 1996 (Act No. 47 of 1996) as amended by Act No. 59 of 1997 and No. 52 of 2001.</w:t>
      </w:r>
      <w:r w:rsidR="00DD0FB8">
        <w:rPr>
          <w:lang w:val="en-ZA"/>
        </w:rPr>
        <w:t xml:space="preserve"> </w:t>
      </w:r>
      <w:r w:rsidR="00DD0FB8" w:rsidRPr="008B6F35">
        <w:rPr>
          <w:rFonts w:cs="Arial"/>
        </w:rPr>
        <w:t xml:space="preserve">It is listed under Schedule 3A of the PFMA. </w:t>
      </w:r>
      <w:r w:rsidR="00DD0FB8" w:rsidRPr="008B6F35">
        <w:rPr>
          <w:rFonts w:cs="Arial"/>
          <w:bCs/>
        </w:rPr>
        <w:t xml:space="preserve">The core mandate of the NAMC is to advise the Minister of Agriculture, </w:t>
      </w:r>
      <w:r w:rsidR="00DD0FB8">
        <w:rPr>
          <w:rFonts w:cs="Arial"/>
          <w:bCs/>
        </w:rPr>
        <w:t xml:space="preserve">Land Reform and Rural Development </w:t>
      </w:r>
      <w:r w:rsidR="00DD0FB8" w:rsidRPr="008B6F35">
        <w:rPr>
          <w:rFonts w:cs="Arial"/>
          <w:bCs/>
        </w:rPr>
        <w:t>on agricultural marketing policies and their application,</w:t>
      </w:r>
      <w:r w:rsidR="004B4ED3">
        <w:rPr>
          <w:rFonts w:cs="Arial"/>
          <w:bCs/>
        </w:rPr>
        <w:t xml:space="preserve"> advise the Minister on statutory measures</w:t>
      </w:r>
      <w:r w:rsidR="00DD0FB8" w:rsidRPr="008B6F35">
        <w:rPr>
          <w:rFonts w:cs="Arial"/>
          <w:bCs/>
        </w:rPr>
        <w:t xml:space="preserve"> and </w:t>
      </w:r>
      <w:r w:rsidR="004B4ED3" w:rsidRPr="00796199">
        <w:rPr>
          <w:color w:val="000000"/>
          <w:spacing w:val="6"/>
          <w:lang w:val="en-GB" w:eastAsia="en-GB"/>
        </w:rPr>
        <w:t>undertakes research, on its own accord or as directed by the Minister</w:t>
      </w:r>
      <w:r w:rsidR="004B4ED3">
        <w:rPr>
          <w:color w:val="000000"/>
          <w:spacing w:val="6"/>
          <w:lang w:val="en-GB" w:eastAsia="en-GB"/>
        </w:rPr>
        <w:t xml:space="preserve"> on</w:t>
      </w:r>
      <w:r w:rsidR="00DD0FB8" w:rsidRPr="008B6F35">
        <w:rPr>
          <w:rFonts w:cs="Arial"/>
          <w:bCs/>
        </w:rPr>
        <w:t xml:space="preserve"> agricultural marketing policy in relation to national </w:t>
      </w:r>
      <w:r w:rsidR="00DD0FB8" w:rsidRPr="008B6F35">
        <w:rPr>
          <w:bCs/>
        </w:rPr>
        <w:t>economic, social and development policies and international trends and developments.</w:t>
      </w:r>
      <w:r w:rsidR="00B74E1D">
        <w:rPr>
          <w:lang w:val="en-ZA"/>
        </w:rPr>
        <w:t xml:space="preserve"> </w:t>
      </w:r>
      <w:r w:rsidR="006C7411">
        <w:rPr>
          <w:lang w:val="en-ZA"/>
        </w:rPr>
        <w:t xml:space="preserve">It </w:t>
      </w:r>
      <w:r w:rsidR="006C7411" w:rsidRPr="00796199">
        <w:rPr>
          <w:color w:val="000000"/>
          <w:spacing w:val="6"/>
          <w:lang w:val="en-GB" w:eastAsia="en-GB"/>
        </w:rPr>
        <w:t xml:space="preserve">also </w:t>
      </w:r>
      <w:r w:rsidR="006C7411" w:rsidRPr="00796199">
        <w:rPr>
          <w:bCs/>
          <w:color w:val="000000"/>
          <w:spacing w:val="6"/>
          <w:lang w:eastAsia="en-GB"/>
        </w:rPr>
        <w:t>coordinates work relating to the statutory measures as mentioned in the Act and the work of Agricultural Industry Trusts.</w:t>
      </w:r>
    </w:p>
    <w:p w:rsidR="0006035C" w:rsidRDefault="0006035C" w:rsidP="00011A2B">
      <w:pPr>
        <w:tabs>
          <w:tab w:val="left" w:pos="207"/>
          <w:tab w:val="left" w:pos="567"/>
        </w:tabs>
        <w:spacing w:line="360" w:lineRule="auto"/>
        <w:jc w:val="both"/>
        <w:rPr>
          <w:lang w:val="en-ZA"/>
        </w:rPr>
      </w:pPr>
    </w:p>
    <w:p w:rsidR="00762EBC" w:rsidRDefault="00EA4E80" w:rsidP="00011A2B">
      <w:pPr>
        <w:tabs>
          <w:tab w:val="left" w:pos="207"/>
          <w:tab w:val="left" w:pos="567"/>
        </w:tabs>
        <w:spacing w:line="360" w:lineRule="auto"/>
        <w:jc w:val="both"/>
        <w:rPr>
          <w:lang w:val="en-ZA"/>
        </w:rPr>
      </w:pPr>
      <w:r>
        <w:rPr>
          <w:lang w:val="en-ZA"/>
        </w:rPr>
        <w:t>For the 2022</w:t>
      </w:r>
      <w:r w:rsidR="006C7411">
        <w:rPr>
          <w:lang w:val="en-ZA"/>
        </w:rPr>
        <w:t>/23</w:t>
      </w:r>
      <w:r>
        <w:rPr>
          <w:lang w:val="en-ZA"/>
        </w:rPr>
        <w:t xml:space="preserve"> financial year, t</w:t>
      </w:r>
      <w:r w:rsidR="00F27C16" w:rsidRPr="005A669B">
        <w:rPr>
          <w:lang w:val="en-ZA"/>
        </w:rPr>
        <w:t xml:space="preserve">he NAMC </w:t>
      </w:r>
      <w:r w:rsidR="003556AC">
        <w:rPr>
          <w:lang w:val="en-ZA"/>
        </w:rPr>
        <w:t xml:space="preserve">has a total budget of R51.2 million which comprised of the </w:t>
      </w:r>
      <w:r w:rsidR="00F27C16" w:rsidRPr="005A669B">
        <w:rPr>
          <w:lang w:val="en-ZA"/>
        </w:rPr>
        <w:t>Parliamentary Grant</w:t>
      </w:r>
      <w:r>
        <w:rPr>
          <w:lang w:val="en-ZA"/>
        </w:rPr>
        <w:t xml:space="preserve"> of R4</w:t>
      </w:r>
      <w:r w:rsidR="00C708F3">
        <w:rPr>
          <w:lang w:val="en-ZA"/>
        </w:rPr>
        <w:t xml:space="preserve">8.5 </w:t>
      </w:r>
      <w:r>
        <w:rPr>
          <w:lang w:val="en-ZA"/>
        </w:rPr>
        <w:t xml:space="preserve">million </w:t>
      </w:r>
      <w:r w:rsidR="003556AC">
        <w:rPr>
          <w:lang w:val="en-ZA"/>
        </w:rPr>
        <w:t xml:space="preserve">that has been transferred </w:t>
      </w:r>
      <w:r w:rsidR="00F27C16" w:rsidRPr="005A669B">
        <w:rPr>
          <w:lang w:val="en-ZA"/>
        </w:rPr>
        <w:t xml:space="preserve">through </w:t>
      </w:r>
      <w:r w:rsidR="003556AC">
        <w:rPr>
          <w:lang w:val="en-ZA"/>
        </w:rPr>
        <w:t xml:space="preserve">Programme 5 of </w:t>
      </w:r>
      <w:r w:rsidR="00F27C16" w:rsidRPr="005A669B">
        <w:rPr>
          <w:lang w:val="en-ZA"/>
        </w:rPr>
        <w:t>the Department</w:t>
      </w:r>
      <w:r w:rsidR="003556AC">
        <w:rPr>
          <w:lang w:val="en-ZA"/>
        </w:rPr>
        <w:t xml:space="preserve"> and R2.7 million from its own revenue (bank interest and project management fees). </w:t>
      </w:r>
      <w:r>
        <w:rPr>
          <w:lang w:val="en-ZA"/>
        </w:rPr>
        <w:t>A</w:t>
      </w:r>
      <w:r w:rsidR="00F27C16" w:rsidRPr="005A669B">
        <w:rPr>
          <w:lang w:val="en-ZA"/>
        </w:rPr>
        <w:t xml:space="preserve">pproximately </w:t>
      </w:r>
      <w:r w:rsidR="00FF71D1">
        <w:rPr>
          <w:lang w:val="en-ZA"/>
        </w:rPr>
        <w:t>67</w:t>
      </w:r>
      <w:r w:rsidR="004313AA">
        <w:rPr>
          <w:lang w:val="en-ZA"/>
        </w:rPr>
        <w:t xml:space="preserve"> per cent</w:t>
      </w:r>
      <w:r w:rsidR="00F27C16" w:rsidRPr="005A669B">
        <w:rPr>
          <w:lang w:val="en-ZA"/>
        </w:rPr>
        <w:t xml:space="preserve"> of the entity’s total </w:t>
      </w:r>
      <w:r w:rsidR="00FF71D1">
        <w:rPr>
          <w:lang w:val="en-ZA"/>
        </w:rPr>
        <w:t xml:space="preserve">budget will go </w:t>
      </w:r>
      <w:r w:rsidR="00F27C16" w:rsidRPr="005A669B">
        <w:rPr>
          <w:lang w:val="en-ZA"/>
        </w:rPr>
        <w:t>to compensation of employees</w:t>
      </w:r>
      <w:r w:rsidR="00FF71D1">
        <w:rPr>
          <w:lang w:val="en-ZA"/>
        </w:rPr>
        <w:t xml:space="preserve"> and 33 per cent to goods and services</w:t>
      </w:r>
      <w:r w:rsidR="00F27C16" w:rsidRPr="005A669B">
        <w:rPr>
          <w:lang w:val="en-ZA"/>
        </w:rPr>
        <w:t xml:space="preserve">. </w:t>
      </w:r>
      <w:r w:rsidR="00D26A82">
        <w:rPr>
          <w:lang w:val="en-ZA"/>
        </w:rPr>
        <w:t xml:space="preserve">In order to streamline activities and strengthen its legislative mandate, the entity </w:t>
      </w:r>
      <w:r w:rsidR="00674B52">
        <w:rPr>
          <w:lang w:val="en-ZA"/>
        </w:rPr>
        <w:t xml:space="preserve">has </w:t>
      </w:r>
      <w:r w:rsidR="00D26A82">
        <w:rPr>
          <w:lang w:val="en-ZA"/>
        </w:rPr>
        <w:t>under</w:t>
      </w:r>
      <w:r w:rsidR="00674B52">
        <w:rPr>
          <w:lang w:val="en-ZA"/>
        </w:rPr>
        <w:t xml:space="preserve">taken </w:t>
      </w:r>
      <w:r w:rsidR="00D26A82">
        <w:rPr>
          <w:lang w:val="en-ZA"/>
        </w:rPr>
        <w:t xml:space="preserve">a review of its organisational structure. </w:t>
      </w:r>
      <w:r w:rsidR="00FF71D1">
        <w:rPr>
          <w:lang w:val="en-ZA"/>
        </w:rPr>
        <w:t xml:space="preserve">However, it highlighted that </w:t>
      </w:r>
      <w:r w:rsidR="00762EBC">
        <w:rPr>
          <w:lang w:val="en-ZA"/>
        </w:rPr>
        <w:t xml:space="preserve">available </w:t>
      </w:r>
      <w:r w:rsidR="00FF71D1">
        <w:rPr>
          <w:lang w:val="en-ZA"/>
        </w:rPr>
        <w:t>funding is not sufficient for operational (for example, traveling to farmers</w:t>
      </w:r>
      <w:r w:rsidR="00544CDA">
        <w:rPr>
          <w:lang w:val="en-ZA"/>
        </w:rPr>
        <w:t xml:space="preserve"> as it expands its footprint to all provinces</w:t>
      </w:r>
      <w:r w:rsidR="00FF71D1">
        <w:rPr>
          <w:lang w:val="en-ZA"/>
        </w:rPr>
        <w:t>) and administrative expenses including the additional positions</w:t>
      </w:r>
      <w:r w:rsidR="00674B52">
        <w:rPr>
          <w:lang w:val="en-ZA"/>
        </w:rPr>
        <w:t xml:space="preserve"> on the approved new structure</w:t>
      </w:r>
      <w:r w:rsidR="00FF71D1">
        <w:rPr>
          <w:lang w:val="en-ZA"/>
        </w:rPr>
        <w:t xml:space="preserve">. </w:t>
      </w:r>
      <w:r w:rsidR="00762EBC">
        <w:rPr>
          <w:lang w:val="en-ZA"/>
        </w:rPr>
        <w:t>Therefore, the entity is working on a Resource Mobilisation Strategy to ensure its financial stability.</w:t>
      </w:r>
    </w:p>
    <w:p w:rsidR="00762EBC" w:rsidRDefault="00762EBC" w:rsidP="00011A2B">
      <w:pPr>
        <w:tabs>
          <w:tab w:val="left" w:pos="207"/>
          <w:tab w:val="left" w:pos="567"/>
        </w:tabs>
        <w:spacing w:line="360" w:lineRule="auto"/>
        <w:jc w:val="both"/>
        <w:rPr>
          <w:lang w:val="en-ZA"/>
        </w:rPr>
      </w:pPr>
    </w:p>
    <w:p w:rsidR="00F27C16" w:rsidRPr="005A669B" w:rsidRDefault="00D26A82" w:rsidP="00011A2B">
      <w:pPr>
        <w:tabs>
          <w:tab w:val="left" w:pos="207"/>
          <w:tab w:val="left" w:pos="567"/>
        </w:tabs>
        <w:spacing w:line="360" w:lineRule="auto"/>
        <w:jc w:val="both"/>
        <w:rPr>
          <w:lang w:val="en-ZA"/>
        </w:rPr>
      </w:pPr>
      <w:r>
        <w:rPr>
          <w:lang w:val="en-ZA"/>
        </w:rPr>
        <w:t xml:space="preserve">In addition to its </w:t>
      </w:r>
      <w:r w:rsidR="00F83C32">
        <w:rPr>
          <w:lang w:val="en-ZA"/>
        </w:rPr>
        <w:t xml:space="preserve">legislated </w:t>
      </w:r>
      <w:r>
        <w:rPr>
          <w:lang w:val="en-ZA"/>
        </w:rPr>
        <w:t xml:space="preserve">core mandate, the </w:t>
      </w:r>
      <w:r w:rsidR="00F27C16" w:rsidRPr="005A669B">
        <w:rPr>
          <w:bCs/>
          <w:lang w:val="en-ZA"/>
        </w:rPr>
        <w:t>NAMC</w:t>
      </w:r>
      <w:r>
        <w:rPr>
          <w:bCs/>
          <w:lang w:val="en-ZA"/>
        </w:rPr>
        <w:t xml:space="preserve"> was</w:t>
      </w:r>
      <w:r w:rsidR="00F27C16" w:rsidRPr="005A669B">
        <w:rPr>
          <w:bCs/>
          <w:lang w:val="en-ZA"/>
        </w:rPr>
        <w:t xml:space="preserve"> </w:t>
      </w:r>
      <w:r w:rsidR="00F27C16" w:rsidRPr="005A669B">
        <w:rPr>
          <w:lang w:val="en-ZA"/>
        </w:rPr>
        <w:t xml:space="preserve">appointed </w:t>
      </w:r>
      <w:r>
        <w:rPr>
          <w:lang w:val="en-ZA"/>
        </w:rPr>
        <w:t xml:space="preserve">in 2019 </w:t>
      </w:r>
      <w:r w:rsidR="00F27C16" w:rsidRPr="005A669B">
        <w:rPr>
          <w:lang w:val="en-ZA"/>
        </w:rPr>
        <w:t>by the Minister</w:t>
      </w:r>
      <w:r w:rsidR="00122A3C">
        <w:rPr>
          <w:lang w:val="en-ZA"/>
        </w:rPr>
        <w:t xml:space="preserve"> of Agriculture, Land Reform and Rural Development </w:t>
      </w:r>
      <w:r w:rsidR="00F27C16" w:rsidRPr="005A669B">
        <w:rPr>
          <w:lang w:val="en-ZA"/>
        </w:rPr>
        <w:t xml:space="preserve">to coordinate the process of compiling the Agriculture and Agroprocessing Master Plan (AAMP). </w:t>
      </w:r>
      <w:r w:rsidR="00762EBC">
        <w:rPr>
          <w:lang w:val="en-ZA"/>
        </w:rPr>
        <w:t xml:space="preserve">The </w:t>
      </w:r>
      <w:r w:rsidR="0023034D">
        <w:rPr>
          <w:lang w:val="en-ZA"/>
        </w:rPr>
        <w:t xml:space="preserve">Master </w:t>
      </w:r>
      <w:r w:rsidR="00762EBC">
        <w:rPr>
          <w:lang w:val="en-ZA"/>
        </w:rPr>
        <w:t xml:space="preserve">Plan has since been finalised and will be launched on 12 May 2022. For a period of 10 years, the NAMC will be involved in the monitoring and evaluation (M&amp;E) of the implementation of the AAMP.  </w:t>
      </w:r>
      <w:r w:rsidR="00F27C16" w:rsidRPr="005A669B">
        <w:rPr>
          <w:lang w:val="en-ZA"/>
        </w:rPr>
        <w:t xml:space="preserve">The </w:t>
      </w:r>
      <w:r w:rsidR="009E618C" w:rsidRPr="005A669B">
        <w:rPr>
          <w:lang w:val="en-ZA"/>
        </w:rPr>
        <w:t>Committee</w:t>
      </w:r>
      <w:r w:rsidR="009E618C">
        <w:rPr>
          <w:lang w:val="en-ZA"/>
        </w:rPr>
        <w:t xml:space="preserve"> </w:t>
      </w:r>
      <w:r w:rsidR="00732E83">
        <w:rPr>
          <w:lang w:val="en-ZA"/>
        </w:rPr>
        <w:t xml:space="preserve">welcomed </w:t>
      </w:r>
      <w:r w:rsidR="009E618C">
        <w:rPr>
          <w:lang w:val="en-ZA"/>
        </w:rPr>
        <w:t xml:space="preserve">the </w:t>
      </w:r>
      <w:r w:rsidR="005579B6">
        <w:rPr>
          <w:lang w:val="en-ZA"/>
        </w:rPr>
        <w:t xml:space="preserve">NAMC’s </w:t>
      </w:r>
      <w:r w:rsidR="00732E83">
        <w:rPr>
          <w:lang w:val="en-ZA"/>
        </w:rPr>
        <w:t xml:space="preserve">improved </w:t>
      </w:r>
      <w:r w:rsidR="005579B6">
        <w:rPr>
          <w:lang w:val="en-ZA"/>
        </w:rPr>
        <w:t>Annual Plan</w:t>
      </w:r>
      <w:r w:rsidR="00732E83">
        <w:rPr>
          <w:lang w:val="en-ZA"/>
        </w:rPr>
        <w:t xml:space="preserve"> as previous matters that were raised by the Committee have been addressed</w:t>
      </w:r>
      <w:r w:rsidR="00374DF1">
        <w:rPr>
          <w:lang w:val="en-ZA"/>
        </w:rPr>
        <w:t xml:space="preserve"> but questioned the rationale for expanding its organisational structure when it does not have funding for additional posts. The Committee </w:t>
      </w:r>
      <w:r w:rsidR="005579B6">
        <w:rPr>
          <w:lang w:val="en-ZA"/>
        </w:rPr>
        <w:t xml:space="preserve">further </w:t>
      </w:r>
      <w:r w:rsidR="00877478">
        <w:rPr>
          <w:lang w:val="en-ZA"/>
        </w:rPr>
        <w:t xml:space="preserve">appreciated </w:t>
      </w:r>
      <w:r w:rsidR="002C23FE">
        <w:rPr>
          <w:lang w:val="en-ZA"/>
        </w:rPr>
        <w:t xml:space="preserve">expansion of some of </w:t>
      </w:r>
      <w:r w:rsidR="00877478">
        <w:rPr>
          <w:lang w:val="en-ZA"/>
        </w:rPr>
        <w:t>t</w:t>
      </w:r>
      <w:r w:rsidR="00374DF1">
        <w:rPr>
          <w:lang w:val="en-ZA"/>
        </w:rPr>
        <w:t xml:space="preserve">he NAMC’s </w:t>
      </w:r>
      <w:r w:rsidR="002C23FE">
        <w:rPr>
          <w:lang w:val="en-ZA"/>
        </w:rPr>
        <w:t xml:space="preserve">activities </w:t>
      </w:r>
      <w:r w:rsidR="00374DF1">
        <w:rPr>
          <w:lang w:val="en-ZA"/>
        </w:rPr>
        <w:t xml:space="preserve">in </w:t>
      </w:r>
      <w:r w:rsidR="002C23FE">
        <w:rPr>
          <w:lang w:val="en-ZA"/>
        </w:rPr>
        <w:t>provinces</w:t>
      </w:r>
      <w:r w:rsidR="00374DF1">
        <w:rPr>
          <w:lang w:val="en-ZA"/>
        </w:rPr>
        <w:t>,</w:t>
      </w:r>
      <w:r w:rsidR="002C23FE">
        <w:rPr>
          <w:lang w:val="en-ZA"/>
        </w:rPr>
        <w:t xml:space="preserve"> where farmers have limited or no access to markets</w:t>
      </w:r>
      <w:r w:rsidR="00374DF1">
        <w:rPr>
          <w:lang w:val="en-ZA"/>
        </w:rPr>
        <w:t xml:space="preserve">; </w:t>
      </w:r>
      <w:r w:rsidR="00877478">
        <w:rPr>
          <w:lang w:val="en-ZA"/>
        </w:rPr>
        <w:t xml:space="preserve">and raised a concern regarding </w:t>
      </w:r>
      <w:r w:rsidR="00FD7BA8">
        <w:rPr>
          <w:lang w:val="en-ZA"/>
        </w:rPr>
        <w:t>coordination</w:t>
      </w:r>
      <w:r w:rsidR="00877478">
        <w:rPr>
          <w:lang w:val="en-ZA"/>
        </w:rPr>
        <w:t xml:space="preserve"> of activities between the NAMC and </w:t>
      </w:r>
      <w:r w:rsidR="00FD7BA8">
        <w:rPr>
          <w:lang w:val="en-ZA"/>
        </w:rPr>
        <w:t>the Department in identifying farmers that need support on market access</w:t>
      </w:r>
      <w:r w:rsidR="002C23FE">
        <w:rPr>
          <w:lang w:val="en-ZA"/>
        </w:rPr>
        <w:t xml:space="preserve">. </w:t>
      </w:r>
      <w:r w:rsidR="00067871">
        <w:rPr>
          <w:lang w:val="en-ZA"/>
        </w:rPr>
        <w:t xml:space="preserve"> </w:t>
      </w:r>
      <w:r w:rsidR="00F27C16" w:rsidRPr="005A669B">
        <w:rPr>
          <w:lang w:val="en-ZA"/>
        </w:rPr>
        <w:t xml:space="preserve">    </w:t>
      </w:r>
    </w:p>
    <w:p w:rsidR="00F27C16" w:rsidRDefault="00F27C16" w:rsidP="00011A2B">
      <w:pPr>
        <w:spacing w:line="360" w:lineRule="auto"/>
        <w:jc w:val="both"/>
        <w:rPr>
          <w:lang w:val="en-ZA"/>
        </w:rPr>
      </w:pPr>
    </w:p>
    <w:p w:rsidR="00F27C16" w:rsidRPr="005A669B" w:rsidRDefault="004338CE" w:rsidP="00011A2B">
      <w:pPr>
        <w:tabs>
          <w:tab w:val="left" w:pos="567"/>
          <w:tab w:val="left" w:pos="2012"/>
        </w:tabs>
        <w:autoSpaceDE w:val="0"/>
        <w:autoSpaceDN w:val="0"/>
        <w:adjustRightInd w:val="0"/>
        <w:spacing w:line="360" w:lineRule="auto"/>
        <w:jc w:val="both"/>
        <w:rPr>
          <w:b/>
          <w:lang w:val="en-ZA"/>
        </w:rPr>
      </w:pPr>
      <w:r>
        <w:rPr>
          <w:b/>
          <w:lang w:val="en-ZA"/>
        </w:rPr>
        <w:t>4</w:t>
      </w:r>
      <w:r w:rsidR="00F27C16" w:rsidRPr="005A669B">
        <w:rPr>
          <w:b/>
          <w:lang w:val="en-ZA"/>
        </w:rPr>
        <w:t>.7</w:t>
      </w:r>
      <w:r w:rsidR="00445EF3" w:rsidRPr="005A669B">
        <w:rPr>
          <w:b/>
          <w:lang w:val="en-ZA"/>
        </w:rPr>
        <w:tab/>
      </w:r>
      <w:r w:rsidR="00F27C16" w:rsidRPr="005A669B">
        <w:rPr>
          <w:b/>
          <w:lang w:val="en-ZA"/>
        </w:rPr>
        <w:t>Perishable Products Export Control Board (PPECB)</w:t>
      </w:r>
    </w:p>
    <w:p w:rsidR="00F27C16" w:rsidRPr="005A669B" w:rsidRDefault="00F27C16" w:rsidP="00011A2B">
      <w:pPr>
        <w:tabs>
          <w:tab w:val="left" w:pos="567"/>
          <w:tab w:val="left" w:pos="2012"/>
        </w:tabs>
        <w:autoSpaceDE w:val="0"/>
        <w:autoSpaceDN w:val="0"/>
        <w:adjustRightInd w:val="0"/>
        <w:spacing w:line="360" w:lineRule="auto"/>
        <w:jc w:val="both"/>
        <w:rPr>
          <w:b/>
          <w:lang w:val="en-ZA"/>
        </w:rPr>
      </w:pPr>
    </w:p>
    <w:p w:rsidR="007B37E0" w:rsidRDefault="00F27C16" w:rsidP="00011A2B">
      <w:pPr>
        <w:spacing w:line="360" w:lineRule="auto"/>
        <w:jc w:val="both"/>
        <w:rPr>
          <w:lang w:val="en-ZA"/>
        </w:rPr>
      </w:pPr>
      <w:r w:rsidRPr="005A669B">
        <w:rPr>
          <w:lang w:val="en-ZA" w:eastAsia="en-ZA"/>
        </w:rPr>
        <w:t xml:space="preserve">The PPECB </w:t>
      </w:r>
      <w:r w:rsidRPr="005A669B">
        <w:rPr>
          <w:lang w:val="en-ZA"/>
        </w:rPr>
        <w:t xml:space="preserve">was established in terms of Section 2 of the Perishable Products Export Control (PPEC) Act, 1983 (Act No. 9 of 1983). In addition to the PPEC Act, it is also governed by the Agricultural Product Standards (APS) Act, 1990 (Act No. 119 of 1990). </w:t>
      </w:r>
      <w:r w:rsidR="006F2FEE">
        <w:rPr>
          <w:lang w:val="en-ZA"/>
        </w:rPr>
        <w:t xml:space="preserve">It is listed under Schedule 3A of the PFMA. </w:t>
      </w:r>
      <w:r w:rsidR="001D1091">
        <w:rPr>
          <w:lang w:val="en-ZA"/>
        </w:rPr>
        <w:t xml:space="preserve">The </w:t>
      </w:r>
      <w:r w:rsidRPr="005A669B">
        <w:rPr>
          <w:lang w:val="en-ZA"/>
        </w:rPr>
        <w:t xml:space="preserve">PPECB does not receive a Parliamentary Grant but generates its own </w:t>
      </w:r>
      <w:r w:rsidRPr="005A669B">
        <w:rPr>
          <w:lang w:val="en-ZA"/>
        </w:rPr>
        <w:lastRenderedPageBreak/>
        <w:t xml:space="preserve">revenue through fees and levies charged for inspections done on perishable products that are due for export and issuance of export certificates. </w:t>
      </w:r>
    </w:p>
    <w:p w:rsidR="007B37E0" w:rsidRDefault="007B37E0" w:rsidP="00011A2B">
      <w:pPr>
        <w:spacing w:line="360" w:lineRule="auto"/>
        <w:jc w:val="both"/>
        <w:rPr>
          <w:lang w:val="en-ZA"/>
        </w:rPr>
      </w:pPr>
    </w:p>
    <w:p w:rsidR="00F27C16" w:rsidRPr="005A669B" w:rsidRDefault="007B37E0" w:rsidP="00011A2B">
      <w:pPr>
        <w:spacing w:line="360" w:lineRule="auto"/>
        <w:jc w:val="both"/>
        <w:rPr>
          <w:lang w:val="en-ZA"/>
        </w:rPr>
      </w:pPr>
      <w:r>
        <w:rPr>
          <w:lang w:val="en-ZA"/>
        </w:rPr>
        <w:t xml:space="preserve">Its </w:t>
      </w:r>
      <w:r w:rsidR="00F27C16" w:rsidRPr="005A669B">
        <w:rPr>
          <w:lang w:val="en-ZA"/>
        </w:rPr>
        <w:t xml:space="preserve">total budget </w:t>
      </w:r>
      <w:r w:rsidR="00B55153">
        <w:rPr>
          <w:lang w:val="en-ZA"/>
        </w:rPr>
        <w:t>f</w:t>
      </w:r>
      <w:r w:rsidR="00B55153" w:rsidRPr="005A669B">
        <w:rPr>
          <w:lang w:val="en-ZA"/>
        </w:rPr>
        <w:t>or the 202</w:t>
      </w:r>
      <w:r w:rsidR="00B55153">
        <w:rPr>
          <w:lang w:val="en-ZA"/>
        </w:rPr>
        <w:t>2</w:t>
      </w:r>
      <w:r>
        <w:rPr>
          <w:lang w:val="en-ZA"/>
        </w:rPr>
        <w:t>/23</w:t>
      </w:r>
      <w:r w:rsidR="00B55153" w:rsidRPr="005A669B">
        <w:rPr>
          <w:lang w:val="en-ZA"/>
        </w:rPr>
        <w:t xml:space="preserve"> financial year</w:t>
      </w:r>
      <w:r w:rsidR="00B55153">
        <w:rPr>
          <w:lang w:val="en-ZA"/>
        </w:rPr>
        <w:t xml:space="preserve"> is</w:t>
      </w:r>
      <w:r w:rsidR="00DE5EAF">
        <w:rPr>
          <w:lang w:val="en-ZA"/>
        </w:rPr>
        <w:t xml:space="preserve"> R5</w:t>
      </w:r>
      <w:r>
        <w:rPr>
          <w:lang w:val="en-ZA"/>
        </w:rPr>
        <w:t xml:space="preserve">88.3 </w:t>
      </w:r>
      <w:r w:rsidR="00F27C16" w:rsidRPr="005A669B">
        <w:rPr>
          <w:lang w:val="en-ZA"/>
        </w:rPr>
        <w:t>million</w:t>
      </w:r>
      <w:r w:rsidR="00DE5EAF">
        <w:rPr>
          <w:lang w:val="en-ZA"/>
        </w:rPr>
        <w:t xml:space="preserve">. </w:t>
      </w:r>
      <w:r>
        <w:rPr>
          <w:lang w:val="en-ZA"/>
        </w:rPr>
        <w:t>In terms of economic classification, d</w:t>
      </w:r>
      <w:r w:rsidR="00DE5EAF" w:rsidRPr="005A669B">
        <w:rPr>
          <w:bCs/>
          <w:lang w:val="en-ZA"/>
        </w:rPr>
        <w:t xml:space="preserve">ue to the nature of </w:t>
      </w:r>
      <w:r w:rsidR="00DE5EAF">
        <w:rPr>
          <w:bCs/>
          <w:lang w:val="en-ZA"/>
        </w:rPr>
        <w:t>the PPECB’s</w:t>
      </w:r>
      <w:r w:rsidR="00DE5EAF" w:rsidRPr="005A669B">
        <w:rPr>
          <w:bCs/>
          <w:lang w:val="en-ZA"/>
        </w:rPr>
        <w:t xml:space="preserve"> </w:t>
      </w:r>
      <w:r w:rsidR="00DE5EAF">
        <w:rPr>
          <w:bCs/>
          <w:lang w:val="en-ZA"/>
        </w:rPr>
        <w:t>operations</w:t>
      </w:r>
      <w:r w:rsidR="00DE5EAF" w:rsidRPr="005A669B">
        <w:rPr>
          <w:bCs/>
          <w:lang w:val="en-ZA"/>
        </w:rPr>
        <w:t xml:space="preserve">, </w:t>
      </w:r>
      <w:r w:rsidR="00DE5EAF">
        <w:rPr>
          <w:lang w:val="en-ZA"/>
        </w:rPr>
        <w:t>a</w:t>
      </w:r>
      <w:r w:rsidR="00F27C16" w:rsidRPr="005A669B">
        <w:rPr>
          <w:lang w:val="en-ZA"/>
        </w:rPr>
        <w:t>pproximately 6</w:t>
      </w:r>
      <w:r w:rsidR="00DE5EAF">
        <w:rPr>
          <w:lang w:val="en-ZA"/>
        </w:rPr>
        <w:t>8</w:t>
      </w:r>
      <w:r w:rsidR="004313AA">
        <w:rPr>
          <w:lang w:val="en-ZA"/>
        </w:rPr>
        <w:t xml:space="preserve"> per cent</w:t>
      </w:r>
      <w:r w:rsidR="00F27C16" w:rsidRPr="005A669B">
        <w:rPr>
          <w:lang w:val="en-ZA"/>
        </w:rPr>
        <w:t xml:space="preserve"> of its budget </w:t>
      </w:r>
      <w:r>
        <w:rPr>
          <w:lang w:val="en-ZA"/>
        </w:rPr>
        <w:t xml:space="preserve">is </w:t>
      </w:r>
      <w:r w:rsidR="00F27C16" w:rsidRPr="005A669B">
        <w:rPr>
          <w:lang w:val="en-ZA"/>
        </w:rPr>
        <w:t xml:space="preserve">spent on </w:t>
      </w:r>
      <w:r w:rsidR="00DE5EAF">
        <w:rPr>
          <w:lang w:val="en-ZA"/>
        </w:rPr>
        <w:t>compensation of employees.</w:t>
      </w:r>
      <w:r>
        <w:rPr>
          <w:lang w:val="en-ZA"/>
        </w:rPr>
        <w:t xml:space="preserve"> In terms of Programmes, 63 per cent of the budget is allocated to the Statutory Operations Programme while 25 per cent goes to Corporate Services. </w:t>
      </w:r>
      <w:r w:rsidR="00DE5EAF">
        <w:rPr>
          <w:lang w:val="en-ZA"/>
        </w:rPr>
        <w:t xml:space="preserve"> </w:t>
      </w:r>
      <w:r w:rsidR="007E20A5">
        <w:rPr>
          <w:lang w:val="en-ZA"/>
        </w:rPr>
        <w:t xml:space="preserve"> </w:t>
      </w:r>
      <w:r w:rsidR="00F27C16" w:rsidRPr="005A669B">
        <w:rPr>
          <w:lang w:val="en-ZA"/>
        </w:rPr>
        <w:t>The</w:t>
      </w:r>
      <w:r>
        <w:rPr>
          <w:lang w:val="en-ZA"/>
        </w:rPr>
        <w:t xml:space="preserve"> PPECB also introduced additional strategic projects to focus on Women in Leadership, People with Disabilities and a digital programme called Intellex (to assist producers with </w:t>
      </w:r>
      <w:r w:rsidR="008609F0">
        <w:rPr>
          <w:lang w:val="en-ZA"/>
        </w:rPr>
        <w:t xml:space="preserve">identifying potential export destinations). </w:t>
      </w:r>
      <w:r>
        <w:rPr>
          <w:lang w:val="en-ZA"/>
        </w:rPr>
        <w:t xml:space="preserve">The </w:t>
      </w:r>
      <w:r w:rsidR="00F27C16" w:rsidRPr="005A669B">
        <w:rPr>
          <w:lang w:val="en-ZA"/>
        </w:rPr>
        <w:t xml:space="preserve">Committee </w:t>
      </w:r>
      <w:r w:rsidR="002C23FE">
        <w:rPr>
          <w:lang w:val="en-ZA"/>
        </w:rPr>
        <w:t xml:space="preserve">commended the PPECB for its clear and well-articulated </w:t>
      </w:r>
      <w:r w:rsidR="00B153A6">
        <w:rPr>
          <w:lang w:val="en-ZA"/>
        </w:rPr>
        <w:t xml:space="preserve">Annual </w:t>
      </w:r>
      <w:r w:rsidR="002C23FE">
        <w:rPr>
          <w:lang w:val="en-ZA"/>
        </w:rPr>
        <w:t>Plan</w:t>
      </w:r>
      <w:r w:rsidR="00B153A6">
        <w:rPr>
          <w:lang w:val="en-ZA"/>
        </w:rPr>
        <w:t xml:space="preserve">, the continued good work and the </w:t>
      </w:r>
      <w:r w:rsidR="00F27C16" w:rsidRPr="005A669B">
        <w:rPr>
          <w:lang w:val="en-ZA"/>
        </w:rPr>
        <w:t>role that i</w:t>
      </w:r>
      <w:r w:rsidR="002C23FE">
        <w:rPr>
          <w:lang w:val="en-ZA"/>
        </w:rPr>
        <w:t xml:space="preserve">t </w:t>
      </w:r>
      <w:r w:rsidR="00F27C16" w:rsidRPr="005A669B">
        <w:rPr>
          <w:lang w:val="en-ZA"/>
        </w:rPr>
        <w:t>play</w:t>
      </w:r>
      <w:r w:rsidR="002C23FE">
        <w:rPr>
          <w:lang w:val="en-ZA"/>
        </w:rPr>
        <w:t xml:space="preserve">s </w:t>
      </w:r>
      <w:r w:rsidR="00F27C16" w:rsidRPr="005A669B">
        <w:rPr>
          <w:lang w:val="en-ZA"/>
        </w:rPr>
        <w:t>in the export of perishable products from South Africa</w:t>
      </w:r>
      <w:r w:rsidR="002C23FE">
        <w:rPr>
          <w:lang w:val="en-ZA"/>
        </w:rPr>
        <w:t xml:space="preserve"> including capacity building of smallholder farmers for export market access.   </w:t>
      </w:r>
    </w:p>
    <w:p w:rsidR="00F27C16" w:rsidRDefault="00F27C16" w:rsidP="00011A2B">
      <w:pPr>
        <w:spacing w:line="360" w:lineRule="auto"/>
        <w:jc w:val="both"/>
        <w:rPr>
          <w:lang w:val="en-ZA"/>
        </w:rPr>
      </w:pPr>
    </w:p>
    <w:p w:rsidR="00F773C0" w:rsidRPr="00D00A94" w:rsidRDefault="004338CE" w:rsidP="00F773C0">
      <w:pPr>
        <w:tabs>
          <w:tab w:val="left" w:pos="270"/>
          <w:tab w:val="left" w:pos="540"/>
        </w:tabs>
        <w:autoSpaceDE w:val="0"/>
        <w:autoSpaceDN w:val="0"/>
        <w:adjustRightInd w:val="0"/>
        <w:spacing w:line="360" w:lineRule="auto"/>
        <w:ind w:left="540" w:hanging="540"/>
        <w:rPr>
          <w:b/>
          <w:color w:val="000000"/>
        </w:rPr>
      </w:pPr>
      <w:r>
        <w:rPr>
          <w:b/>
        </w:rPr>
        <w:t xml:space="preserve">5.  </w:t>
      </w:r>
      <w:r>
        <w:rPr>
          <w:b/>
        </w:rPr>
        <w:tab/>
      </w:r>
      <w:r w:rsidR="00F773C0">
        <w:rPr>
          <w:b/>
          <w:color w:val="000000"/>
        </w:rPr>
        <w:t xml:space="preserve">Summary of Key </w:t>
      </w:r>
      <w:r w:rsidR="006C7C08">
        <w:rPr>
          <w:b/>
          <w:color w:val="000000"/>
        </w:rPr>
        <w:t>Conclusions</w:t>
      </w:r>
      <w:r w:rsidR="007A30A2">
        <w:rPr>
          <w:b/>
          <w:color w:val="000000"/>
        </w:rPr>
        <w:t xml:space="preserve"> d</w:t>
      </w:r>
      <w:r w:rsidR="00F773C0">
        <w:rPr>
          <w:b/>
          <w:color w:val="000000"/>
        </w:rPr>
        <w:t xml:space="preserve">rawn from the </w:t>
      </w:r>
      <w:r w:rsidR="00F773C0" w:rsidRPr="00D00A94">
        <w:rPr>
          <w:b/>
          <w:color w:val="000000"/>
        </w:rPr>
        <w:t>Committee Deliberations on the 20</w:t>
      </w:r>
      <w:r w:rsidR="00F773C0">
        <w:rPr>
          <w:b/>
          <w:color w:val="000000"/>
        </w:rPr>
        <w:t>22/23</w:t>
      </w:r>
      <w:r w:rsidR="00F773C0" w:rsidRPr="00D00A94">
        <w:rPr>
          <w:b/>
          <w:color w:val="000000"/>
        </w:rPr>
        <w:t xml:space="preserve"> APP</w:t>
      </w:r>
      <w:r w:rsidR="00F773C0">
        <w:rPr>
          <w:b/>
          <w:color w:val="000000"/>
        </w:rPr>
        <w:t>s</w:t>
      </w:r>
      <w:r w:rsidR="00F773C0" w:rsidRPr="00D00A94">
        <w:rPr>
          <w:b/>
          <w:color w:val="000000"/>
        </w:rPr>
        <w:t xml:space="preserve"> and MTEF Budget of </w:t>
      </w:r>
      <w:r w:rsidR="00F773C0">
        <w:rPr>
          <w:b/>
          <w:color w:val="000000"/>
        </w:rPr>
        <w:t>the Department (DALRRD) and its Entities</w:t>
      </w:r>
    </w:p>
    <w:p w:rsidR="00F27C16" w:rsidRPr="005A669B" w:rsidRDefault="00F27C16" w:rsidP="00004F3D">
      <w:pPr>
        <w:tabs>
          <w:tab w:val="left" w:pos="567"/>
        </w:tabs>
        <w:autoSpaceDE w:val="0"/>
        <w:autoSpaceDN w:val="0"/>
        <w:adjustRightInd w:val="0"/>
        <w:spacing w:line="360" w:lineRule="auto"/>
        <w:ind w:left="567" w:hanging="567"/>
        <w:jc w:val="both"/>
        <w:rPr>
          <w:lang w:val="en-ZA"/>
        </w:rPr>
      </w:pPr>
      <w:r w:rsidRPr="005A669B">
        <w:rPr>
          <w:b/>
          <w:color w:val="000000"/>
          <w:lang w:val="en-ZA"/>
        </w:rPr>
        <w:t xml:space="preserve"> </w:t>
      </w:r>
    </w:p>
    <w:p w:rsidR="00F27C16" w:rsidRPr="005A669B" w:rsidRDefault="00F27C16" w:rsidP="00011A2B">
      <w:pPr>
        <w:spacing w:line="360" w:lineRule="auto"/>
        <w:jc w:val="both"/>
        <w:rPr>
          <w:color w:val="000000"/>
          <w:lang w:val="en-ZA"/>
        </w:rPr>
      </w:pPr>
      <w:r w:rsidRPr="005A669B">
        <w:rPr>
          <w:lang w:val="en-ZA"/>
        </w:rPr>
        <w:t xml:space="preserve">The Committee, having deliberated </w:t>
      </w:r>
      <w:r w:rsidR="006A1E81" w:rsidRPr="00B5535C">
        <w:t xml:space="preserve">the findings and observations </w:t>
      </w:r>
      <w:r w:rsidRPr="005A669B">
        <w:rPr>
          <w:lang w:val="en-ZA"/>
        </w:rPr>
        <w:t xml:space="preserve">on the </w:t>
      </w:r>
      <w:r w:rsidR="005F1991">
        <w:rPr>
          <w:lang w:val="en-ZA"/>
        </w:rPr>
        <w:t>202</w:t>
      </w:r>
      <w:r w:rsidR="00DC287F">
        <w:rPr>
          <w:lang w:val="en-ZA"/>
        </w:rPr>
        <w:t>2</w:t>
      </w:r>
      <w:r w:rsidR="006C7C08">
        <w:rPr>
          <w:lang w:val="en-ZA"/>
        </w:rPr>
        <w:t>/23</w:t>
      </w:r>
      <w:r w:rsidR="005F1991">
        <w:rPr>
          <w:lang w:val="en-ZA"/>
        </w:rPr>
        <w:t xml:space="preserve"> </w:t>
      </w:r>
      <w:r w:rsidRPr="005A669B">
        <w:rPr>
          <w:lang w:val="en-ZA"/>
        </w:rPr>
        <w:t xml:space="preserve">APPs and budget allocations of the Department and Entities, </w:t>
      </w:r>
      <w:r w:rsidR="006C7C08">
        <w:rPr>
          <w:lang w:val="en-ZA"/>
        </w:rPr>
        <w:t>drew</w:t>
      </w:r>
      <w:r w:rsidRPr="005A669B">
        <w:rPr>
          <w:lang w:val="en-ZA"/>
        </w:rPr>
        <w:t xml:space="preserve"> the following </w:t>
      </w:r>
      <w:r w:rsidR="006C7C08">
        <w:rPr>
          <w:lang w:val="en-ZA"/>
        </w:rPr>
        <w:t>conclusions</w:t>
      </w:r>
      <w:r w:rsidRPr="005A669B">
        <w:rPr>
          <w:lang w:val="en-ZA"/>
        </w:rPr>
        <w:t xml:space="preserve">:  </w:t>
      </w:r>
    </w:p>
    <w:p w:rsidR="00F27C16" w:rsidRPr="005A669B" w:rsidRDefault="00F27C16" w:rsidP="00011A2B">
      <w:pPr>
        <w:spacing w:line="360" w:lineRule="auto"/>
        <w:jc w:val="both"/>
        <w:rPr>
          <w:lang w:val="en-ZA"/>
        </w:rPr>
      </w:pPr>
    </w:p>
    <w:p w:rsidR="00F27C16" w:rsidRPr="00922CDB" w:rsidRDefault="00F27C16" w:rsidP="000B7E0D">
      <w:pPr>
        <w:pStyle w:val="ListParagraph"/>
        <w:numPr>
          <w:ilvl w:val="1"/>
          <w:numId w:val="2"/>
        </w:numPr>
        <w:spacing w:line="360" w:lineRule="auto"/>
        <w:jc w:val="both"/>
        <w:rPr>
          <w:b/>
        </w:rPr>
      </w:pPr>
      <w:r w:rsidRPr="00922CDB">
        <w:rPr>
          <w:b/>
        </w:rPr>
        <w:t>The Department of Agriculture, Land Reform and Rural Development</w:t>
      </w:r>
    </w:p>
    <w:p w:rsidR="00F27C16" w:rsidRPr="005A669B" w:rsidRDefault="00F27C16" w:rsidP="00011A2B">
      <w:pPr>
        <w:spacing w:line="360" w:lineRule="auto"/>
        <w:jc w:val="both"/>
        <w:rPr>
          <w:b/>
          <w:lang w:val="en-ZA"/>
        </w:rPr>
      </w:pPr>
    </w:p>
    <w:p w:rsidR="006B0942" w:rsidRDefault="00B029C5" w:rsidP="000B7E0D">
      <w:pPr>
        <w:pStyle w:val="ListParagraph"/>
        <w:numPr>
          <w:ilvl w:val="2"/>
          <w:numId w:val="2"/>
        </w:numPr>
        <w:spacing w:line="360" w:lineRule="auto"/>
        <w:jc w:val="both"/>
      </w:pPr>
      <w:r w:rsidRPr="005A669B">
        <w:t xml:space="preserve">Whilst being cognisant of the fiscal constraints of the country, the </w:t>
      </w:r>
      <w:r>
        <w:t xml:space="preserve">overall decline in the Department’s </w:t>
      </w:r>
      <w:r w:rsidR="006C3A8C">
        <w:t xml:space="preserve">overall </w:t>
      </w:r>
      <w:r>
        <w:t>budget</w:t>
      </w:r>
      <w:r w:rsidR="006C3A8C">
        <w:t xml:space="preserve"> allocation</w:t>
      </w:r>
      <w:r>
        <w:t xml:space="preserve"> over the MTEF period and </w:t>
      </w:r>
      <w:r w:rsidR="006C3A8C">
        <w:t xml:space="preserve">particularly </w:t>
      </w:r>
      <w:r w:rsidRPr="005A669B">
        <w:t>budget reduction in key departmental Programmes such as</w:t>
      </w:r>
      <w:r>
        <w:t xml:space="preserve"> Agricultural Production, Biosecurity and Resources Management</w:t>
      </w:r>
      <w:r w:rsidR="006C3A8C">
        <w:t xml:space="preserve"> (Programme 2) </w:t>
      </w:r>
      <w:r w:rsidR="006B0942">
        <w:t>and F</w:t>
      </w:r>
      <w:r w:rsidRPr="005A669B">
        <w:t>ood Security, Land Reform and Restitution</w:t>
      </w:r>
      <w:r w:rsidR="006C3A8C">
        <w:t xml:space="preserve"> (Programme 3) </w:t>
      </w:r>
      <w:r>
        <w:t xml:space="preserve">are contrary to the Department’s aim and strategic focus for the medium term; and </w:t>
      </w:r>
      <w:r w:rsidRPr="005A669B">
        <w:t>could potentially undermine service delivery</w:t>
      </w:r>
      <w:r>
        <w:t xml:space="preserve"> in respect of the Department’s NDP mandate</w:t>
      </w:r>
      <w:r w:rsidR="006C3A8C">
        <w:t xml:space="preserve"> and MTSF priorities</w:t>
      </w:r>
      <w:r w:rsidRPr="005A669B">
        <w:t xml:space="preserve">. </w:t>
      </w:r>
      <w:r w:rsidR="006B0942">
        <w:t xml:space="preserve">The miniscule budget allocation to the Biosecurity sub-programme in Programme 2 remains a concern in light of the continuing </w:t>
      </w:r>
      <w:r w:rsidR="006B0942">
        <w:lastRenderedPageBreak/>
        <w:t>FMD challenge and most recently, avian influenza. Both diseases have a negative impact on export revenue, sector employment and sustainability.</w:t>
      </w:r>
    </w:p>
    <w:p w:rsidR="006D2EE6" w:rsidRDefault="006D2EE6" w:rsidP="00004F3D">
      <w:pPr>
        <w:spacing w:line="360" w:lineRule="auto"/>
        <w:jc w:val="both"/>
      </w:pPr>
    </w:p>
    <w:p w:rsidR="00B029C5" w:rsidRDefault="006D2EE6" w:rsidP="000B7E0D">
      <w:pPr>
        <w:pStyle w:val="ListParagraph"/>
        <w:numPr>
          <w:ilvl w:val="2"/>
          <w:numId w:val="2"/>
        </w:numPr>
        <w:spacing w:line="360" w:lineRule="auto"/>
        <w:jc w:val="both"/>
      </w:pPr>
      <w:r>
        <w:t xml:space="preserve">The </w:t>
      </w:r>
      <w:r w:rsidR="00B029C5">
        <w:t xml:space="preserve">reduction in the Department’s </w:t>
      </w:r>
      <w:r w:rsidR="002C1ACE">
        <w:t xml:space="preserve">overall </w:t>
      </w:r>
      <w:r w:rsidR="00B029C5">
        <w:t>budget</w:t>
      </w:r>
      <w:r w:rsidR="002C1ACE">
        <w:t xml:space="preserve"> during the MTEF period</w:t>
      </w:r>
      <w:r w:rsidR="00B029C5">
        <w:t xml:space="preserve"> also</w:t>
      </w:r>
      <w:r w:rsidR="002C1ACE">
        <w:t xml:space="preserve"> negatively</w:t>
      </w:r>
      <w:r w:rsidR="00B029C5">
        <w:t xml:space="preserve"> impact</w:t>
      </w:r>
      <w:r w:rsidR="002C1ACE">
        <w:t>s</w:t>
      </w:r>
      <w:r w:rsidR="00B029C5">
        <w:t xml:space="preserve"> transfers to entities such as the ARC, which is not adequately funded given its essential role in ensuring up to date agricultural research and innovation to address imminent sectoral challenges that include climate change related high temperatures, water shortages, disease outbreaks and new pests; as well as impact of global trade competition</w:t>
      </w:r>
      <w:r w:rsidR="006C3A8C">
        <w:t xml:space="preserve"> to the agricultural sector. </w:t>
      </w:r>
    </w:p>
    <w:p w:rsidR="006C3A8C" w:rsidRDefault="006C3A8C" w:rsidP="00004F3D">
      <w:pPr>
        <w:pStyle w:val="ListParagraph"/>
        <w:spacing w:line="360" w:lineRule="auto"/>
        <w:jc w:val="both"/>
      </w:pPr>
    </w:p>
    <w:p w:rsidR="00055651" w:rsidRDefault="006C3A8C" w:rsidP="000B7E0D">
      <w:pPr>
        <w:pStyle w:val="ListParagraph"/>
        <w:numPr>
          <w:ilvl w:val="2"/>
          <w:numId w:val="2"/>
        </w:numPr>
        <w:spacing w:line="360" w:lineRule="auto"/>
        <w:jc w:val="both"/>
      </w:pPr>
      <w:r>
        <w:t>There is misalignment between financial resource allocation and performance targets</w:t>
      </w:r>
      <w:r w:rsidR="006D2EE6">
        <w:t xml:space="preserve"> among and within </w:t>
      </w:r>
      <w:r w:rsidR="00175E8B">
        <w:t>Departmental</w:t>
      </w:r>
      <w:r w:rsidR="006D2EE6">
        <w:t xml:space="preserve"> Programmes. As an example, the </w:t>
      </w:r>
      <w:r w:rsidR="00175E8B">
        <w:t>Administration</w:t>
      </w:r>
      <w:r w:rsidR="006D2EE6">
        <w:t xml:space="preserve"> Programme, which also has a largest staff complement, receives a larger budget than the more technical Programme 2 that is central to agricultural production, health and safety of agricultural products, resource conservation and management as well as disaster management. Despite its strategic role and large budget, Administration has two targets and 57 per cent of its budget goes to compensation of employees.</w:t>
      </w:r>
      <w:r w:rsidR="00F27C16" w:rsidRPr="005A669B">
        <w:t xml:space="preserve"> </w:t>
      </w:r>
    </w:p>
    <w:p w:rsidR="004B4E02" w:rsidRDefault="004B4E02" w:rsidP="00004F3D">
      <w:pPr>
        <w:pStyle w:val="ListParagraph"/>
        <w:spacing w:line="360" w:lineRule="auto"/>
        <w:jc w:val="both"/>
      </w:pPr>
    </w:p>
    <w:p w:rsidR="008E1890" w:rsidRDefault="008E1890" w:rsidP="000B7E0D">
      <w:pPr>
        <w:pStyle w:val="ListParagraph"/>
        <w:numPr>
          <w:ilvl w:val="2"/>
          <w:numId w:val="2"/>
        </w:numPr>
        <w:spacing w:line="360" w:lineRule="auto"/>
        <w:jc w:val="both"/>
      </w:pPr>
      <w:r>
        <w:t>C</w:t>
      </w:r>
      <w:r w:rsidRPr="005A669B">
        <w:t xml:space="preserve">onsidering that </w:t>
      </w:r>
      <w:r>
        <w:t xml:space="preserve">more than half (53 per cent) of the </w:t>
      </w:r>
      <w:r w:rsidRPr="005A669B">
        <w:t xml:space="preserve">total </w:t>
      </w:r>
      <w:r>
        <w:t xml:space="preserve">Budget </w:t>
      </w:r>
      <w:r w:rsidRPr="005A669B">
        <w:t>Vote goes to transfers and subsidies</w:t>
      </w:r>
      <w:r>
        <w:t xml:space="preserve"> in the current financial year, specific targets to strengthen monitoring and evaluation (M&amp;E) would have been expected under the Administration’s Provincial Operations sub-programme. Weak M&amp;E in the Department remains a challenge and will continue to</w:t>
      </w:r>
      <w:r w:rsidRPr="005A669B">
        <w:t xml:space="preserve"> affect accountability on </w:t>
      </w:r>
      <w:r>
        <w:t xml:space="preserve">transferred funds </w:t>
      </w:r>
      <w:r w:rsidR="002C1ACE">
        <w:t>including the assessment of interventions that are implemented by provinces and other service providers (e.g. farmer support and food production programmes, infrastructure development</w:t>
      </w:r>
      <w:r w:rsidR="00AC667B">
        <w:t>, capacity development programmes, etc.</w:t>
      </w:r>
      <w:r w:rsidR="002C1ACE">
        <w:t xml:space="preserve">). </w:t>
      </w:r>
    </w:p>
    <w:p w:rsidR="00CC50B5" w:rsidRDefault="00CC50B5" w:rsidP="00004F3D">
      <w:pPr>
        <w:pStyle w:val="ListParagraph"/>
        <w:spacing w:line="360" w:lineRule="auto"/>
        <w:jc w:val="both"/>
      </w:pPr>
    </w:p>
    <w:p w:rsidR="00052900" w:rsidRDefault="00EA0026" w:rsidP="000B7E0D">
      <w:pPr>
        <w:pStyle w:val="ListParagraph"/>
        <w:numPr>
          <w:ilvl w:val="2"/>
          <w:numId w:val="2"/>
        </w:numPr>
        <w:spacing w:line="360" w:lineRule="auto"/>
        <w:jc w:val="both"/>
      </w:pPr>
      <w:r w:rsidRPr="005A669B">
        <w:t>The</w:t>
      </w:r>
      <w:r w:rsidR="00D75B9F">
        <w:t xml:space="preserve"> </w:t>
      </w:r>
      <w:r w:rsidRPr="005A669B">
        <w:t xml:space="preserve">need for further engagements on the </w:t>
      </w:r>
      <w:r>
        <w:t>B</w:t>
      </w:r>
      <w:r w:rsidRPr="005A669B">
        <w:t xml:space="preserve">lended Finance </w:t>
      </w:r>
      <w:r>
        <w:t>Initiative</w:t>
      </w:r>
      <w:r w:rsidR="0084003E">
        <w:t xml:space="preserve"> (BFI)</w:t>
      </w:r>
      <w:r>
        <w:t>,</w:t>
      </w:r>
      <w:r w:rsidR="00052900">
        <w:t xml:space="preserve"> which is mentioned in the APP but and the National Treasury’s Estimates of National Expenditure (ENE) for the Vote, but with no specific targets in the APP.</w:t>
      </w:r>
      <w:r>
        <w:t xml:space="preserve"> </w:t>
      </w:r>
      <w:r w:rsidR="00052900">
        <w:t xml:space="preserve"> Engagements should include </w:t>
      </w:r>
      <w:r>
        <w:t xml:space="preserve">the </w:t>
      </w:r>
      <w:r w:rsidRPr="005A669B">
        <w:t xml:space="preserve">Commercialisation of Black Producers </w:t>
      </w:r>
      <w:r>
        <w:t xml:space="preserve">Programme, for which </w:t>
      </w:r>
      <w:r w:rsidR="0084003E">
        <w:t>BFI</w:t>
      </w:r>
      <w:r>
        <w:t xml:space="preserve"> was established, </w:t>
      </w:r>
      <w:r>
        <w:lastRenderedPageBreak/>
        <w:t xml:space="preserve">other </w:t>
      </w:r>
      <w:r w:rsidR="005C45CE">
        <w:t xml:space="preserve">Departmental </w:t>
      </w:r>
      <w:r>
        <w:t>funding programmes</w:t>
      </w:r>
      <w:r w:rsidR="005C45CE">
        <w:t xml:space="preserve"> as well as </w:t>
      </w:r>
      <w:r>
        <w:t xml:space="preserve">sector transformation instruments such as </w:t>
      </w:r>
      <w:r w:rsidRPr="005A669B">
        <w:t xml:space="preserve">the AgriBEE Fund and Mafisa, which </w:t>
      </w:r>
      <w:r>
        <w:t xml:space="preserve">were historically </w:t>
      </w:r>
      <w:r w:rsidRPr="005A669B">
        <w:t>administered by the Land Bank</w:t>
      </w:r>
      <w:r>
        <w:t xml:space="preserve">. </w:t>
      </w:r>
    </w:p>
    <w:p w:rsidR="00EA0026" w:rsidRDefault="00A77E8A" w:rsidP="00F86CB3">
      <w:pPr>
        <w:pStyle w:val="ListParagraph"/>
        <w:spacing w:line="360" w:lineRule="auto"/>
        <w:jc w:val="both"/>
      </w:pPr>
      <w:r>
        <w:t xml:space="preserve">This should include an update on all funds that have been previously and currently transferred to the Land Bank </w:t>
      </w:r>
      <w:r w:rsidR="00052900">
        <w:t xml:space="preserve">through Programmes 3 and 5. </w:t>
      </w:r>
      <w:r>
        <w:t xml:space="preserve"> </w:t>
      </w:r>
    </w:p>
    <w:p w:rsidR="00EA0026" w:rsidRDefault="00EA0026" w:rsidP="00F86CB3">
      <w:pPr>
        <w:pStyle w:val="ListParagraph"/>
        <w:spacing w:line="360" w:lineRule="auto"/>
        <w:jc w:val="both"/>
      </w:pPr>
    </w:p>
    <w:p w:rsidR="005C45CE" w:rsidRDefault="005C45CE" w:rsidP="000B7E0D">
      <w:pPr>
        <w:pStyle w:val="ListParagraph"/>
        <w:numPr>
          <w:ilvl w:val="2"/>
          <w:numId w:val="2"/>
        </w:numPr>
        <w:spacing w:line="360" w:lineRule="auto"/>
        <w:jc w:val="both"/>
      </w:pPr>
      <w:r>
        <w:t xml:space="preserve">Lack of concrete plans </w:t>
      </w:r>
      <w:r w:rsidR="008609F0">
        <w:t>in capacitating subsistence and smallholder producers to fully participate and benefit from the Poultry, Sugar and Cannabis Master Plans</w:t>
      </w:r>
      <w:r w:rsidR="00B45029">
        <w:t xml:space="preserve"> that have been also cited in the SONA</w:t>
      </w:r>
      <w:r w:rsidR="008609F0">
        <w:t>. With respect to the Cannabis Master Plan,</w:t>
      </w:r>
      <w:r w:rsidR="00E47B86">
        <w:t xml:space="preserve"> save for the development of an annual report,</w:t>
      </w:r>
      <w:r w:rsidR="008609F0">
        <w:t xml:space="preserve"> there is no clear and specific </w:t>
      </w:r>
      <w:r w:rsidR="00E47B86">
        <w:t xml:space="preserve">target with an </w:t>
      </w:r>
      <w:r w:rsidR="008609F0">
        <w:t xml:space="preserve">action plan </w:t>
      </w:r>
      <w:r w:rsidR="00E47B86">
        <w:t xml:space="preserve">to </w:t>
      </w:r>
      <w:r w:rsidR="008609F0">
        <w:t xml:space="preserve">ensure that </w:t>
      </w:r>
      <w:r>
        <w:t xml:space="preserve">indigenous </w:t>
      </w:r>
      <w:r w:rsidR="008609F0">
        <w:t xml:space="preserve">and historical </w:t>
      </w:r>
      <w:r>
        <w:t>growers of Cannabis</w:t>
      </w:r>
      <w:r w:rsidR="008609F0">
        <w:t xml:space="preserve"> (e.g. in the Eastern Cape and KwaZulu-Natal</w:t>
      </w:r>
      <w:r w:rsidR="002C1ACE">
        <w:t xml:space="preserve"> provinces</w:t>
      </w:r>
      <w:r w:rsidR="008609F0">
        <w:t xml:space="preserve">) </w:t>
      </w:r>
      <w:r>
        <w:t xml:space="preserve">are prioritised and capacitated to </w:t>
      </w:r>
      <w:r w:rsidR="00657F3E">
        <w:t xml:space="preserve">participate and </w:t>
      </w:r>
      <w:r>
        <w:t xml:space="preserve">benefit from the implementation of the Cannabis Master Plan. </w:t>
      </w:r>
      <w:r w:rsidR="008609F0">
        <w:t xml:space="preserve"> </w:t>
      </w:r>
    </w:p>
    <w:p w:rsidR="005C45CE" w:rsidRDefault="005C45CE" w:rsidP="0025016C">
      <w:pPr>
        <w:pStyle w:val="ListParagraph"/>
      </w:pPr>
    </w:p>
    <w:p w:rsidR="002C1ACE" w:rsidRDefault="002C1ACE" w:rsidP="000B7E0D">
      <w:pPr>
        <w:pStyle w:val="ListParagraph"/>
        <w:numPr>
          <w:ilvl w:val="2"/>
          <w:numId w:val="2"/>
        </w:numPr>
        <w:spacing w:line="360" w:lineRule="auto"/>
        <w:jc w:val="both"/>
      </w:pPr>
      <w:r>
        <w:t xml:space="preserve">The finalisation of the Agriculture and Agroprocessing Master Plan (AAMP) is welcomed and is expected to play a central role in the development and promotion of agroprocessing as well as facilitating market access for the smallholder producers.  </w:t>
      </w:r>
    </w:p>
    <w:p w:rsidR="0056311B" w:rsidRDefault="0056311B" w:rsidP="0025016C">
      <w:pPr>
        <w:pStyle w:val="ListParagraph"/>
      </w:pPr>
    </w:p>
    <w:p w:rsidR="00126385" w:rsidRDefault="00F8768D" w:rsidP="000B7E0D">
      <w:pPr>
        <w:pStyle w:val="ListParagraph"/>
        <w:numPr>
          <w:ilvl w:val="2"/>
          <w:numId w:val="2"/>
        </w:numPr>
        <w:spacing w:line="360" w:lineRule="auto"/>
        <w:jc w:val="both"/>
      </w:pPr>
      <w:r>
        <w:t>While t</w:t>
      </w:r>
      <w:r w:rsidR="005E076E">
        <w:t xml:space="preserve">he </w:t>
      </w:r>
      <w:r w:rsidR="00C96A37">
        <w:t xml:space="preserve">target on trade negotiations including the </w:t>
      </w:r>
      <w:r w:rsidR="005E076E">
        <w:t>Agreement on African Continental Free Trade Area</w:t>
      </w:r>
      <w:r w:rsidR="00C96A37">
        <w:t xml:space="preserve"> (AfCTA) is </w:t>
      </w:r>
      <w:r>
        <w:t xml:space="preserve">important and </w:t>
      </w:r>
      <w:r w:rsidR="00C96A37">
        <w:t>appreciated</w:t>
      </w:r>
      <w:r w:rsidR="005E076E">
        <w:t>,</w:t>
      </w:r>
      <w:r w:rsidR="00C96A37">
        <w:t xml:space="preserve"> there is a need for clear targets </w:t>
      </w:r>
      <w:r>
        <w:t>and assessm</w:t>
      </w:r>
      <w:r w:rsidR="00D40121">
        <w:t>en</w:t>
      </w:r>
      <w:r>
        <w:t xml:space="preserve">t of </w:t>
      </w:r>
      <w:r w:rsidR="00C96A37">
        <w:t xml:space="preserve">interventions to capacitate and assist smallholder producers in particular to fully participate and benefit from such agreements once they become operational. </w:t>
      </w:r>
      <w:r w:rsidR="00D50A86">
        <w:t xml:space="preserve"> </w:t>
      </w:r>
    </w:p>
    <w:p w:rsidR="00C66CDF" w:rsidRDefault="00C66CDF" w:rsidP="00381E72"/>
    <w:p w:rsidR="004B4E02" w:rsidRDefault="00115251" w:rsidP="000B7E0D">
      <w:pPr>
        <w:pStyle w:val="ListParagraph"/>
        <w:numPr>
          <w:ilvl w:val="2"/>
          <w:numId w:val="2"/>
        </w:numPr>
        <w:spacing w:line="360" w:lineRule="auto"/>
        <w:jc w:val="both"/>
      </w:pPr>
      <w:r w:rsidRPr="00715D6E">
        <w:t>The Committee noted silences with regard to the target of the number of labour tenants’ applications to settled over the medium-term, thus raising questions about implementation of the Court order and the oversight over the Department by the Special Master for Labour Tenants. Similarly, targets for implementation of the target for Transformation of Certain Rural Areas Act, (No. 94 of 1998) transfers has been dropped. It thus means that performance on these crucial areas that addresses tenure security envisaged in Section 25(6) will not form part of reporting on quarterly and annual reports, and can be easily overshadowed by other programmes that have been elevated</w:t>
      </w:r>
    </w:p>
    <w:p w:rsidR="004B4E02" w:rsidRDefault="004B4E02" w:rsidP="00004F3D">
      <w:pPr>
        <w:pStyle w:val="ListParagraph"/>
      </w:pPr>
    </w:p>
    <w:p w:rsidR="005C35C4" w:rsidRDefault="00115251" w:rsidP="000B7E0D">
      <w:pPr>
        <w:pStyle w:val="ListParagraph"/>
        <w:numPr>
          <w:ilvl w:val="2"/>
          <w:numId w:val="2"/>
        </w:numPr>
        <w:spacing w:line="360" w:lineRule="auto"/>
        <w:jc w:val="both"/>
      </w:pPr>
      <w:r w:rsidRPr="00715D6E">
        <w:t xml:space="preserve">An expected increase in the rate of land delivery has not been matched with requisite complementary support services as evidenced by the decline in the number of farms </w:t>
      </w:r>
      <w:r w:rsidRPr="00715D6E">
        <w:lastRenderedPageBreak/>
        <w:t>supported through LDS. Inability to match land delivery with complementary support is one of the factors resulting in a decline in land reform farms</w:t>
      </w:r>
      <w:r>
        <w:t>’</w:t>
      </w:r>
      <w:r w:rsidRPr="00715D6E">
        <w:t xml:space="preserve"> productivity.</w:t>
      </w:r>
      <w:r>
        <w:t xml:space="preserve"> </w:t>
      </w:r>
    </w:p>
    <w:p w:rsidR="00115251" w:rsidRDefault="00115251" w:rsidP="00D753EE">
      <w:pPr>
        <w:pStyle w:val="ListParagraph"/>
      </w:pPr>
    </w:p>
    <w:p w:rsidR="00115251" w:rsidRDefault="00115251" w:rsidP="000B7E0D">
      <w:pPr>
        <w:pStyle w:val="ListParagraph"/>
        <w:numPr>
          <w:ilvl w:val="2"/>
          <w:numId w:val="2"/>
        </w:numPr>
        <w:spacing w:line="360" w:lineRule="auto"/>
        <w:jc w:val="both"/>
      </w:pPr>
      <w:r>
        <w:t xml:space="preserve">The plan lacks </w:t>
      </w:r>
      <w:r w:rsidRPr="00715D6E">
        <w:t>demonstrable evidence of implementation of amendments to the Extension of Security of Tenure Act and the Communal Property Association Act, approved by Parliament in 2016 and 2017 respectively. The Committee, having noted that these important pieces of legislation have not been</w:t>
      </w:r>
      <w:r>
        <w:t xml:space="preserve"> </w:t>
      </w:r>
      <w:r w:rsidRPr="00715D6E">
        <w:t>signed into law by the President, expressed concerns with regard to delays and its impact on target groups/beneficiaries who will continue to suffer from the legislative gaps</w:t>
      </w:r>
      <w:r>
        <w:t xml:space="preserve">. </w:t>
      </w:r>
    </w:p>
    <w:p w:rsidR="00115251" w:rsidRDefault="00115251" w:rsidP="00D753EE">
      <w:pPr>
        <w:pStyle w:val="ListParagraph"/>
      </w:pPr>
    </w:p>
    <w:p w:rsidR="00115251" w:rsidRPr="00D753EE" w:rsidRDefault="00115251" w:rsidP="000B7E0D">
      <w:pPr>
        <w:pStyle w:val="ListParagraph"/>
        <w:numPr>
          <w:ilvl w:val="2"/>
          <w:numId w:val="2"/>
        </w:numPr>
        <w:spacing w:line="360" w:lineRule="auto"/>
        <w:jc w:val="both"/>
      </w:pPr>
      <w:r>
        <w:t xml:space="preserve">There is </w:t>
      </w:r>
      <w:r w:rsidRPr="00715D6E">
        <w:t xml:space="preserve">lack of clear evidence of coordination of the </w:t>
      </w:r>
      <w:r>
        <w:t>R</w:t>
      </w:r>
      <w:r w:rsidRPr="00715D6E">
        <w:t xml:space="preserve">ural </w:t>
      </w:r>
      <w:r>
        <w:t>D</w:t>
      </w:r>
      <w:r w:rsidRPr="00715D6E">
        <w:t>evelopment</w:t>
      </w:r>
      <w:r>
        <w:t xml:space="preserve"> Programme</w:t>
      </w:r>
      <w:r w:rsidRPr="00715D6E">
        <w:t xml:space="preserve"> with </w:t>
      </w:r>
      <w:r w:rsidRPr="00D753EE">
        <w:t xml:space="preserve">other government departments. A particular area of concern was with regard to a link of the work of the Department in the context of the District Development Model (DDM). DDM was thought to be a great opportunity for area-based approach and addressing communities needs and aspirations holistically. </w:t>
      </w:r>
    </w:p>
    <w:p w:rsidR="00115251" w:rsidRPr="00D753EE" w:rsidRDefault="00115251" w:rsidP="00D753EE">
      <w:pPr>
        <w:pStyle w:val="ListParagraph"/>
      </w:pPr>
    </w:p>
    <w:p w:rsidR="00115251" w:rsidRDefault="00115251" w:rsidP="000B7E0D">
      <w:pPr>
        <w:pStyle w:val="Default"/>
        <w:numPr>
          <w:ilvl w:val="2"/>
          <w:numId w:val="2"/>
        </w:numPr>
        <w:spacing w:line="360" w:lineRule="auto"/>
        <w:jc w:val="both"/>
        <w:rPr>
          <w:rFonts w:ascii="Times New Roman" w:hAnsi="Times New Roman" w:cs="Times New Roman"/>
          <w:color w:val="auto"/>
        </w:rPr>
      </w:pPr>
      <w:r w:rsidRPr="00D753EE">
        <w:rPr>
          <w:rFonts w:ascii="Times New Roman" w:hAnsi="Times New Roman" w:cs="Times New Roman"/>
        </w:rPr>
        <w:t xml:space="preserve">The decrease </w:t>
      </w:r>
      <w:r w:rsidRPr="00D753EE">
        <w:rPr>
          <w:rFonts w:ascii="Times New Roman" w:hAnsi="Times New Roman" w:cs="Times New Roman"/>
          <w:color w:val="auto"/>
        </w:rPr>
        <w:t xml:space="preserve">in the budget for NARYSEC and other sub-programmes means that the time taken to reach some of the most vulnerable groups in line to be assisted, especially the youth majority of whom are unemployed, will take longer as fewer people will receive the support from this </w:t>
      </w:r>
      <w:r>
        <w:rPr>
          <w:rFonts w:ascii="Times New Roman" w:hAnsi="Times New Roman" w:cs="Times New Roman"/>
          <w:color w:val="auto"/>
        </w:rPr>
        <w:t>P</w:t>
      </w:r>
      <w:r w:rsidRPr="00D753EE">
        <w:rPr>
          <w:rFonts w:ascii="Times New Roman" w:hAnsi="Times New Roman" w:cs="Times New Roman"/>
          <w:color w:val="auto"/>
        </w:rPr>
        <w:t>rogramme.</w:t>
      </w:r>
      <w:r>
        <w:rPr>
          <w:rFonts w:ascii="Times New Roman" w:hAnsi="Times New Roman" w:cs="Times New Roman"/>
          <w:color w:val="auto"/>
        </w:rPr>
        <w:t xml:space="preserve"> </w:t>
      </w:r>
    </w:p>
    <w:p w:rsidR="00115251" w:rsidRPr="00D753EE" w:rsidRDefault="00115251" w:rsidP="00D753EE">
      <w:pPr>
        <w:pStyle w:val="ListParagraph"/>
      </w:pPr>
    </w:p>
    <w:p w:rsidR="00115251" w:rsidRPr="00D753EE" w:rsidRDefault="00115251" w:rsidP="000B7E0D">
      <w:pPr>
        <w:pStyle w:val="Default"/>
        <w:numPr>
          <w:ilvl w:val="2"/>
          <w:numId w:val="2"/>
        </w:numPr>
        <w:spacing w:line="360" w:lineRule="auto"/>
        <w:jc w:val="both"/>
        <w:rPr>
          <w:rFonts w:ascii="Times New Roman" w:hAnsi="Times New Roman" w:cs="Times New Roman"/>
          <w:color w:val="auto"/>
        </w:rPr>
      </w:pPr>
      <w:r w:rsidRPr="00D753EE">
        <w:rPr>
          <w:rFonts w:ascii="Times New Roman" w:hAnsi="Times New Roman" w:cs="Times New Roman"/>
          <w:color w:val="auto"/>
        </w:rPr>
        <w:t>The focus on infrastructure development was a welcome development and a step in their right direction. It has a potential to create jobs and thus improve the livelihoods of communities.</w:t>
      </w:r>
    </w:p>
    <w:p w:rsidR="004A36ED" w:rsidRPr="00D753EE" w:rsidRDefault="004A36ED" w:rsidP="00381E72"/>
    <w:p w:rsidR="00F27C16" w:rsidRPr="00D753EE" w:rsidRDefault="00FE288B" w:rsidP="000B7E0D">
      <w:pPr>
        <w:pStyle w:val="ListParagraph"/>
        <w:numPr>
          <w:ilvl w:val="1"/>
          <w:numId w:val="2"/>
        </w:numPr>
        <w:spacing w:line="360" w:lineRule="auto"/>
        <w:jc w:val="both"/>
        <w:rPr>
          <w:b/>
        </w:rPr>
      </w:pPr>
      <w:r>
        <w:rPr>
          <w:b/>
        </w:rPr>
        <w:t xml:space="preserve">Public </w:t>
      </w:r>
      <w:r w:rsidR="002861D6" w:rsidRPr="00D753EE">
        <w:rPr>
          <w:b/>
        </w:rPr>
        <w:t xml:space="preserve">Entities of the Department </w:t>
      </w:r>
    </w:p>
    <w:p w:rsidR="00F27C16" w:rsidRPr="00D753EE" w:rsidRDefault="00F27C16" w:rsidP="00011A2B">
      <w:pPr>
        <w:spacing w:line="360" w:lineRule="auto"/>
        <w:jc w:val="both"/>
        <w:rPr>
          <w:b/>
          <w:lang w:val="en-ZA"/>
        </w:rPr>
      </w:pPr>
    </w:p>
    <w:p w:rsidR="004A1FCF" w:rsidRPr="00D753EE" w:rsidRDefault="00175E8B" w:rsidP="000B7E0D">
      <w:pPr>
        <w:pStyle w:val="Default"/>
        <w:numPr>
          <w:ilvl w:val="2"/>
          <w:numId w:val="2"/>
        </w:numPr>
        <w:spacing w:line="360" w:lineRule="auto"/>
        <w:jc w:val="both"/>
        <w:rPr>
          <w:rFonts w:ascii="Times New Roman" w:hAnsi="Times New Roman" w:cs="Times New Roman"/>
          <w:color w:val="auto"/>
        </w:rPr>
      </w:pPr>
      <w:r w:rsidRPr="00D753EE">
        <w:rPr>
          <w:rFonts w:ascii="Times New Roman" w:hAnsi="Times New Roman" w:cs="Times New Roman"/>
          <w:b/>
        </w:rPr>
        <w:t>Commission</w:t>
      </w:r>
      <w:r w:rsidR="004A1FCF" w:rsidRPr="00D753EE">
        <w:rPr>
          <w:rFonts w:ascii="Times New Roman" w:hAnsi="Times New Roman" w:cs="Times New Roman"/>
          <w:b/>
        </w:rPr>
        <w:t xml:space="preserve"> (C</w:t>
      </w:r>
      <w:r w:rsidR="00F8768D" w:rsidRPr="00D753EE">
        <w:rPr>
          <w:rFonts w:ascii="Times New Roman" w:hAnsi="Times New Roman" w:cs="Times New Roman"/>
          <w:b/>
        </w:rPr>
        <w:t>RLR</w:t>
      </w:r>
      <w:r w:rsidR="004A1FCF" w:rsidRPr="00D753EE">
        <w:rPr>
          <w:rFonts w:ascii="Times New Roman" w:hAnsi="Times New Roman" w:cs="Times New Roman"/>
          <w:b/>
        </w:rPr>
        <w:t>):</w:t>
      </w:r>
      <w:r w:rsidR="004A1FCF" w:rsidRPr="00D753EE">
        <w:rPr>
          <w:rFonts w:ascii="Times New Roman" w:hAnsi="Times New Roman" w:cs="Times New Roman"/>
        </w:rPr>
        <w:t xml:space="preserve"> </w:t>
      </w:r>
      <w:r w:rsidR="004A1FCF" w:rsidRPr="00D753EE">
        <w:rPr>
          <w:rFonts w:ascii="Times New Roman" w:hAnsi="Times New Roman" w:cs="Times New Roman"/>
          <w:color w:val="auto"/>
        </w:rPr>
        <w:t xml:space="preserve">Given the ensuing process for research and gazetting of outstanding land claims, there is a room for a margin of error in the R65 billion needed to settle all outstanding old order claims because 43% of the outstanding claims to be researched and claimed properties valued by the Valuer-General. </w:t>
      </w:r>
    </w:p>
    <w:p w:rsidR="006D40DC" w:rsidRPr="00D753EE" w:rsidRDefault="00F8768D" w:rsidP="000B7E0D">
      <w:pPr>
        <w:pStyle w:val="ListParagraph"/>
        <w:numPr>
          <w:ilvl w:val="2"/>
          <w:numId w:val="2"/>
        </w:numPr>
        <w:spacing w:line="360" w:lineRule="auto"/>
        <w:jc w:val="both"/>
        <w:rPr>
          <w:i/>
        </w:rPr>
      </w:pPr>
      <w:r w:rsidRPr="00D753EE">
        <w:lastRenderedPageBreak/>
        <w:t xml:space="preserve"> </w:t>
      </w:r>
      <w:r w:rsidR="001930BB" w:rsidRPr="00715D6E">
        <w:t xml:space="preserve">The </w:t>
      </w:r>
      <w:r w:rsidR="001930BB" w:rsidRPr="00D753EE">
        <w:t>Committee welcomed a process in motion to develop a defined process to determine a more accurate estimate cost related to finalisation of outstanding claims and quantification of the budget for clearing the commitment register.</w:t>
      </w:r>
    </w:p>
    <w:p w:rsidR="006F43E6" w:rsidRPr="00D753EE" w:rsidRDefault="006F43E6" w:rsidP="006F43E6">
      <w:pPr>
        <w:pStyle w:val="ListParagraph"/>
        <w:spacing w:line="360" w:lineRule="auto"/>
        <w:jc w:val="both"/>
        <w:rPr>
          <w:i/>
        </w:rPr>
      </w:pPr>
    </w:p>
    <w:p w:rsidR="001930BB" w:rsidRPr="00D753EE" w:rsidRDefault="00F8768D" w:rsidP="000B7E0D">
      <w:pPr>
        <w:pStyle w:val="Default"/>
        <w:numPr>
          <w:ilvl w:val="2"/>
          <w:numId w:val="2"/>
        </w:numPr>
        <w:spacing w:line="360" w:lineRule="auto"/>
        <w:jc w:val="both"/>
        <w:rPr>
          <w:rFonts w:ascii="Times New Roman" w:hAnsi="Times New Roman" w:cs="Times New Roman"/>
          <w:color w:val="auto"/>
        </w:rPr>
      </w:pPr>
      <w:r w:rsidRPr="00D753EE">
        <w:rPr>
          <w:rFonts w:ascii="Times New Roman" w:hAnsi="Times New Roman" w:cs="Times New Roman"/>
          <w:b/>
        </w:rPr>
        <w:t>ITB</w:t>
      </w:r>
      <w:r w:rsidR="001930BB" w:rsidRPr="00D753EE">
        <w:rPr>
          <w:rFonts w:ascii="Times New Roman" w:hAnsi="Times New Roman" w:cs="Times New Roman"/>
          <w:b/>
        </w:rPr>
        <w:t>:</w:t>
      </w:r>
      <w:r w:rsidR="001930BB" w:rsidRPr="00D753EE">
        <w:rPr>
          <w:rFonts w:ascii="Times New Roman" w:hAnsi="Times New Roman" w:cs="Times New Roman"/>
        </w:rPr>
        <w:t xml:space="preserve"> </w:t>
      </w:r>
      <w:r w:rsidR="001930BB" w:rsidRPr="00D753EE">
        <w:rPr>
          <w:rFonts w:ascii="Times New Roman" w:hAnsi="Times New Roman" w:cs="Times New Roman"/>
          <w:color w:val="auto"/>
        </w:rPr>
        <w:t xml:space="preserve">Failure of the ITB to table its budget together with the APP was seen as a total disregard of the National Treasury guidelines on the submission of APPs and strategic plans. It could further be interpreted as a subtle evasion of accountability and transparency by the Ingonyama Trust Board. Since the Fourth Parliament, the ITB has been given chance to address some of these issues. However, it appears as situation has regressed with the lowest being failure to present financial report of the Ingonyama Trust for the 2020/21 and Budget for 2022/23. It calls for honest conversation by all affected and concerned about the importance of the entity, the role it currently plays in land ownership and administration in a democratic South Africa and whether its programmes and current stature is in line with what the legislators envisaged. </w:t>
      </w:r>
    </w:p>
    <w:p w:rsidR="001930BB" w:rsidRPr="00D753EE" w:rsidRDefault="001930BB" w:rsidP="00D753EE">
      <w:pPr>
        <w:pStyle w:val="ListParagraph"/>
      </w:pPr>
    </w:p>
    <w:p w:rsidR="001930BB" w:rsidRPr="00D753EE" w:rsidRDefault="001930BB" w:rsidP="000B7E0D">
      <w:pPr>
        <w:pStyle w:val="Default"/>
        <w:numPr>
          <w:ilvl w:val="2"/>
          <w:numId w:val="2"/>
        </w:numPr>
        <w:spacing w:line="360" w:lineRule="auto"/>
        <w:jc w:val="both"/>
        <w:rPr>
          <w:rFonts w:ascii="Times New Roman" w:hAnsi="Times New Roman" w:cs="Times New Roman"/>
          <w:color w:val="auto"/>
        </w:rPr>
      </w:pPr>
      <w:r w:rsidRPr="00D753EE">
        <w:rPr>
          <w:rFonts w:ascii="Times New Roman" w:hAnsi="Times New Roman" w:cs="Times New Roman"/>
          <w:b/>
        </w:rPr>
        <w:t>OVG:</w:t>
      </w:r>
      <w:r w:rsidRPr="00D753EE">
        <w:rPr>
          <w:rFonts w:ascii="Times New Roman" w:hAnsi="Times New Roman" w:cs="Times New Roman"/>
        </w:rPr>
        <w:t xml:space="preserve"> </w:t>
      </w:r>
      <w:r w:rsidRPr="00D753EE">
        <w:rPr>
          <w:rFonts w:ascii="Times New Roman" w:hAnsi="Times New Roman" w:cs="Times New Roman"/>
          <w:color w:val="auto"/>
        </w:rPr>
        <w:t xml:space="preserve">The Committee welcomed the report that the OVG has completed 100 per cent of backlog valuations in 2021/22.  </w:t>
      </w:r>
    </w:p>
    <w:p w:rsidR="001930BB" w:rsidRPr="00D753EE" w:rsidRDefault="001930BB" w:rsidP="00D753EE">
      <w:pPr>
        <w:pStyle w:val="ListParagraph"/>
      </w:pPr>
    </w:p>
    <w:p w:rsidR="001930BB" w:rsidRDefault="001930BB" w:rsidP="000B7E0D">
      <w:pPr>
        <w:pStyle w:val="Default"/>
        <w:numPr>
          <w:ilvl w:val="2"/>
          <w:numId w:val="2"/>
        </w:numPr>
        <w:spacing w:line="360" w:lineRule="auto"/>
        <w:jc w:val="both"/>
        <w:rPr>
          <w:rFonts w:ascii="Times New Roman" w:hAnsi="Times New Roman" w:cs="Times New Roman"/>
          <w:color w:val="auto"/>
        </w:rPr>
      </w:pPr>
      <w:r w:rsidRPr="00D753EE">
        <w:rPr>
          <w:rFonts w:ascii="Times New Roman" w:hAnsi="Times New Roman" w:cs="Times New Roman"/>
          <w:color w:val="auto"/>
        </w:rPr>
        <w:t>Whilst there are signs of improvement in the performance of the OVG, the offices of the Valuer-General and the Chief Operations Officers were yet to be filled. These are strategic positions that require urgent attention, and they remain unoccupied, there are risks that the organisation may not stabilis</w:t>
      </w:r>
      <w:r w:rsidRPr="00715D6E">
        <w:rPr>
          <w:rFonts w:ascii="Times New Roman" w:hAnsi="Times New Roman" w:cs="Times New Roman"/>
          <w:color w:val="auto"/>
        </w:rPr>
        <w:t>e. It noted that in the past, the Committee had recommended that the Minister prioritise building the capacity of the OVG by filling the vacant positions of the Valuer-General (VG) and the Chief Operating Officer (COO).</w:t>
      </w:r>
      <w:r>
        <w:rPr>
          <w:rFonts w:ascii="Times New Roman" w:hAnsi="Times New Roman" w:cs="Times New Roman"/>
          <w:color w:val="auto"/>
        </w:rPr>
        <w:t xml:space="preserve"> </w:t>
      </w:r>
    </w:p>
    <w:p w:rsidR="001930BB" w:rsidRDefault="001930BB" w:rsidP="00D753EE">
      <w:pPr>
        <w:pStyle w:val="ListParagraph"/>
      </w:pPr>
    </w:p>
    <w:p w:rsidR="001930BB" w:rsidRDefault="001930BB" w:rsidP="000B7E0D">
      <w:pPr>
        <w:pStyle w:val="ListParagraph"/>
        <w:numPr>
          <w:ilvl w:val="2"/>
          <w:numId w:val="2"/>
        </w:numPr>
        <w:spacing w:line="360" w:lineRule="auto"/>
        <w:ind w:left="709" w:hanging="709"/>
        <w:contextualSpacing w:val="0"/>
        <w:jc w:val="both"/>
      </w:pPr>
      <w:r>
        <w:t xml:space="preserve">Whilst the Moloto matter </w:t>
      </w:r>
      <w:r w:rsidRPr="00715D6E">
        <w:t>has demonstrated that compensation may not be market value, it was a concern that the Court did not use the VG calculations. There is a need for the OVG to seek guidance from the courts on the question of just and equitable compensation. It noted that property values and compensation were two separate values.</w:t>
      </w:r>
    </w:p>
    <w:p w:rsidR="001930BB" w:rsidRDefault="001930BB" w:rsidP="00D753EE">
      <w:pPr>
        <w:pStyle w:val="ListParagraph"/>
      </w:pPr>
    </w:p>
    <w:p w:rsidR="00D723B2" w:rsidRPr="00004F3D" w:rsidRDefault="00D723B2" w:rsidP="000B7E0D">
      <w:pPr>
        <w:pStyle w:val="ListParagraph"/>
        <w:numPr>
          <w:ilvl w:val="2"/>
          <w:numId w:val="2"/>
        </w:numPr>
        <w:spacing w:line="360" w:lineRule="auto"/>
        <w:jc w:val="both"/>
      </w:pPr>
      <w:r w:rsidRPr="00004F3D">
        <w:rPr>
          <w:b/>
          <w:bCs/>
        </w:rPr>
        <w:t>ARC:</w:t>
      </w:r>
      <w:r>
        <w:rPr>
          <w:bCs/>
        </w:rPr>
        <w:t xml:space="preserve"> While the C</w:t>
      </w:r>
      <w:r w:rsidRPr="005A669B">
        <w:rPr>
          <w:bCs/>
        </w:rPr>
        <w:t>ommittee</w:t>
      </w:r>
      <w:r>
        <w:rPr>
          <w:bCs/>
        </w:rPr>
        <w:t xml:space="preserve"> commended the appointment of the CEO to ensure stability at executive management level, it remained concerned regarding the impact of </w:t>
      </w:r>
      <w:r w:rsidR="00F41070">
        <w:rPr>
          <w:bCs/>
        </w:rPr>
        <w:t xml:space="preserve">critical </w:t>
      </w:r>
      <w:r>
        <w:rPr>
          <w:bCs/>
        </w:rPr>
        <w:t xml:space="preserve">vacancies </w:t>
      </w:r>
      <w:r w:rsidR="00F41070">
        <w:rPr>
          <w:bCs/>
        </w:rPr>
        <w:t xml:space="preserve">in the ARC particularly the positions </w:t>
      </w:r>
      <w:r>
        <w:rPr>
          <w:bCs/>
        </w:rPr>
        <w:t xml:space="preserve">of the Group Executive (GE) for Human </w:t>
      </w:r>
      <w:r>
        <w:rPr>
          <w:bCs/>
        </w:rPr>
        <w:lastRenderedPageBreak/>
        <w:t xml:space="preserve">Resources and Management; GE for Impact and Partnerships and the Chief Financial Officer (CFO). </w:t>
      </w:r>
    </w:p>
    <w:p w:rsidR="00D723B2" w:rsidRPr="00004F3D" w:rsidRDefault="00D723B2" w:rsidP="00004F3D">
      <w:pPr>
        <w:pStyle w:val="ListParagraph"/>
        <w:rPr>
          <w:bCs/>
        </w:rPr>
      </w:pPr>
    </w:p>
    <w:p w:rsidR="00D723B2" w:rsidRPr="00004F3D" w:rsidRDefault="00D723B2" w:rsidP="000B7E0D">
      <w:pPr>
        <w:pStyle w:val="ListParagraph"/>
        <w:numPr>
          <w:ilvl w:val="2"/>
          <w:numId w:val="2"/>
        </w:numPr>
        <w:spacing w:line="360" w:lineRule="auto"/>
        <w:jc w:val="both"/>
      </w:pPr>
      <w:r>
        <w:rPr>
          <w:bCs/>
        </w:rPr>
        <w:t xml:space="preserve">The 7 per cent decline in the </w:t>
      </w:r>
      <w:r w:rsidR="00175E8B">
        <w:rPr>
          <w:bCs/>
        </w:rPr>
        <w:t>Parliamentary</w:t>
      </w:r>
      <w:r>
        <w:rPr>
          <w:bCs/>
        </w:rPr>
        <w:t xml:space="preserve"> Grant allocation to the ARC over the MTEF period was a serious concern. Funding constraints and personnel capacity particularly balancing </w:t>
      </w:r>
      <w:r w:rsidRPr="005A669B">
        <w:rPr>
          <w:bCs/>
        </w:rPr>
        <w:t xml:space="preserve">optimisation of personnel costs </w:t>
      </w:r>
      <w:r>
        <w:rPr>
          <w:bCs/>
        </w:rPr>
        <w:t xml:space="preserve">while the entity also highlighted the need to appoint high-profile scientists who can generate external revenue were recognised as areas needing urgent attention.  </w:t>
      </w:r>
    </w:p>
    <w:p w:rsidR="00D723B2" w:rsidRPr="00004F3D" w:rsidRDefault="00D723B2" w:rsidP="00004F3D">
      <w:pPr>
        <w:pStyle w:val="ListParagraph"/>
        <w:rPr>
          <w:bCs/>
        </w:rPr>
      </w:pPr>
    </w:p>
    <w:p w:rsidR="00D723B2" w:rsidRDefault="00D723B2" w:rsidP="000B7E0D">
      <w:pPr>
        <w:pStyle w:val="ListParagraph"/>
        <w:numPr>
          <w:ilvl w:val="2"/>
          <w:numId w:val="2"/>
        </w:numPr>
        <w:spacing w:line="360" w:lineRule="auto"/>
        <w:jc w:val="both"/>
      </w:pPr>
      <w:r>
        <w:rPr>
          <w:bCs/>
        </w:rPr>
        <w:t>In light of the frequency and ongoing FMD outbreaks,</w:t>
      </w:r>
      <w:r w:rsidR="00CF1323">
        <w:rPr>
          <w:bCs/>
        </w:rPr>
        <w:t xml:space="preserve"> intervention is required on </w:t>
      </w:r>
      <w:r>
        <w:rPr>
          <w:bCs/>
        </w:rPr>
        <w:t>t</w:t>
      </w:r>
      <w:r w:rsidRPr="005A669B">
        <w:rPr>
          <w:bCs/>
        </w:rPr>
        <w:t>he slow pace of the establishment of the FMD Facility</w:t>
      </w:r>
      <w:r w:rsidR="000F3B53">
        <w:rPr>
          <w:bCs/>
        </w:rPr>
        <w:t xml:space="preserve"> to develop FMD vaccines, for which the ARC received funding allocation in 2018/19</w:t>
      </w:r>
      <w:r w:rsidR="00CF1323">
        <w:rPr>
          <w:bCs/>
        </w:rPr>
        <w:t xml:space="preserve"> </w:t>
      </w:r>
      <w:r w:rsidR="00CF1323">
        <w:t>to enhance the country’s vaccine research capacity and ensure there is a secure local supply of the FMD vaccine. De</w:t>
      </w:r>
      <w:r w:rsidR="000F3B53">
        <w:rPr>
          <w:bCs/>
        </w:rPr>
        <w:t>pendence on imports for FMD vaccines may be costly and risky</w:t>
      </w:r>
      <w:r w:rsidR="00675DE5">
        <w:rPr>
          <w:bCs/>
        </w:rPr>
        <w:t xml:space="preserve"> to the country’s livestock industry</w:t>
      </w:r>
      <w:r w:rsidR="000F3B53">
        <w:rPr>
          <w:bCs/>
        </w:rPr>
        <w:t xml:space="preserve"> in the long term.  </w:t>
      </w:r>
    </w:p>
    <w:p w:rsidR="00D723B2" w:rsidRDefault="00D723B2" w:rsidP="00004F3D">
      <w:pPr>
        <w:pStyle w:val="ListParagraph"/>
      </w:pPr>
    </w:p>
    <w:p w:rsidR="00F63482" w:rsidRDefault="000F3B53" w:rsidP="000B7E0D">
      <w:pPr>
        <w:pStyle w:val="ListParagraph"/>
        <w:numPr>
          <w:ilvl w:val="2"/>
          <w:numId w:val="2"/>
        </w:numPr>
        <w:spacing w:line="360" w:lineRule="auto"/>
        <w:jc w:val="both"/>
      </w:pPr>
      <w:r w:rsidRPr="00004F3D">
        <w:rPr>
          <w:b/>
        </w:rPr>
        <w:t>OBP:</w:t>
      </w:r>
      <w:r>
        <w:t xml:space="preserve"> </w:t>
      </w:r>
      <w:r w:rsidR="00675DE5">
        <w:t xml:space="preserve">The Committee appreciated the interventions by the Board of the OBP to address the entity’s numerous challenges that it encountered when it started its term in November 2020. However, the Committee </w:t>
      </w:r>
      <w:r w:rsidR="00CF1323">
        <w:t>noted that issues at OBP require urgent intervention from</w:t>
      </w:r>
      <w:r w:rsidR="00175E8B">
        <w:t xml:space="preserve"> </w:t>
      </w:r>
      <w:r w:rsidR="00CF1323">
        <w:t xml:space="preserve">the Executive Authority as the Committee </w:t>
      </w:r>
      <w:r w:rsidR="00675DE5">
        <w:t>remains very concerned by the extent of the challenges</w:t>
      </w:r>
      <w:r w:rsidR="006B74DA">
        <w:t xml:space="preserve"> in the National Key Point</w:t>
      </w:r>
      <w:r w:rsidR="00675DE5">
        <w:t>, which</w:t>
      </w:r>
      <w:r w:rsidR="00170975">
        <w:t xml:space="preserve"> include inter alia </w:t>
      </w:r>
      <w:r w:rsidR="00675DE5">
        <w:t>the aged infrastructure</w:t>
      </w:r>
      <w:r w:rsidR="00CF1323">
        <w:t xml:space="preserve"> </w:t>
      </w:r>
      <w:r w:rsidR="00175E8B">
        <w:t xml:space="preserve">and </w:t>
      </w:r>
      <w:r w:rsidR="00CF1323">
        <w:t>frequent equipment breakages</w:t>
      </w:r>
      <w:r w:rsidR="00675DE5">
        <w:t>, lack of progress on the GMP project</w:t>
      </w:r>
      <w:r w:rsidR="004537C5">
        <w:t>, information leakage</w:t>
      </w:r>
      <w:r w:rsidR="006B74DA">
        <w:t>,</w:t>
      </w:r>
      <w:r w:rsidR="00175E8B">
        <w:t xml:space="preserve"> </w:t>
      </w:r>
      <w:r w:rsidR="006B74DA">
        <w:t xml:space="preserve">IP protection and </w:t>
      </w:r>
      <w:r w:rsidR="00675DE5">
        <w:t xml:space="preserve">ongoing labour disputes.  </w:t>
      </w:r>
    </w:p>
    <w:p w:rsidR="00F63482" w:rsidRDefault="00F63482" w:rsidP="0025016C">
      <w:pPr>
        <w:pStyle w:val="ListParagraph"/>
      </w:pPr>
    </w:p>
    <w:p w:rsidR="00F63482" w:rsidRDefault="00F63482" w:rsidP="000B7E0D">
      <w:pPr>
        <w:pStyle w:val="ListParagraph"/>
        <w:numPr>
          <w:ilvl w:val="2"/>
          <w:numId w:val="2"/>
        </w:numPr>
        <w:spacing w:line="360" w:lineRule="auto"/>
        <w:jc w:val="both"/>
      </w:pPr>
      <w:r>
        <w:t xml:space="preserve">Fast tracking the </w:t>
      </w:r>
      <w:r w:rsidRPr="005A669B">
        <w:t>modernisation of the vaccine manufacturing facility</w:t>
      </w:r>
      <w:r w:rsidR="00170975">
        <w:t xml:space="preserve"> (GMP project)</w:t>
      </w:r>
      <w:r w:rsidRPr="005A669B">
        <w:t xml:space="preserve"> to ensure that </w:t>
      </w:r>
      <w:r>
        <w:t xml:space="preserve">the OBP is GMP-compliant and able to be a globally competitive supplier and distributor of vaccines and other biological products remains key. </w:t>
      </w:r>
      <w:r w:rsidR="00170975">
        <w:t xml:space="preserve">Lack of progress in the project was flagged for urgent attention as the impact of frequent equipment breakages threatens vaccine production and therefore, the sustainability of the OBP. </w:t>
      </w:r>
    </w:p>
    <w:p w:rsidR="00782B93" w:rsidRDefault="00782B93" w:rsidP="00004F3D">
      <w:pPr>
        <w:pStyle w:val="ListParagraph"/>
      </w:pPr>
    </w:p>
    <w:p w:rsidR="00782B93" w:rsidRDefault="00782B93" w:rsidP="000B7E0D">
      <w:pPr>
        <w:pStyle w:val="ListParagraph"/>
        <w:numPr>
          <w:ilvl w:val="2"/>
          <w:numId w:val="2"/>
        </w:numPr>
        <w:spacing w:line="360" w:lineRule="auto"/>
        <w:jc w:val="both"/>
      </w:pPr>
      <w:r>
        <w:t xml:space="preserve">The handing over of some cases to the South African Police Services (SAPS) and the </w:t>
      </w:r>
      <w:r w:rsidR="00DB2150">
        <w:t>Special Investigating Unit (</w:t>
      </w:r>
      <w:r>
        <w:t>SIU</w:t>
      </w:r>
      <w:r w:rsidR="00DB2150">
        <w:t>)</w:t>
      </w:r>
      <w:r>
        <w:t xml:space="preserve"> for further investigation </w:t>
      </w:r>
      <w:r w:rsidR="00DB2150">
        <w:t xml:space="preserve">by the OBP’s Board </w:t>
      </w:r>
      <w:r>
        <w:t xml:space="preserve">was </w:t>
      </w:r>
      <w:r>
        <w:lastRenderedPageBreak/>
        <w:t xml:space="preserve">commended to ensure that there </w:t>
      </w:r>
      <w:r w:rsidR="00C1038C">
        <w:t>are</w:t>
      </w:r>
      <w:r>
        <w:t xml:space="preserve"> consequence</w:t>
      </w:r>
      <w:r w:rsidR="00C1038C">
        <w:t>s</w:t>
      </w:r>
      <w:r>
        <w:t xml:space="preserve"> for people who contributed to </w:t>
      </w:r>
      <w:r w:rsidR="00DB2150">
        <w:t xml:space="preserve">some of </w:t>
      </w:r>
      <w:r>
        <w:t xml:space="preserve">the </w:t>
      </w:r>
      <w:r w:rsidR="0073309D">
        <w:t xml:space="preserve">many </w:t>
      </w:r>
      <w:r w:rsidR="00DB2150">
        <w:t xml:space="preserve">challenges </w:t>
      </w:r>
      <w:r w:rsidR="00C1038C">
        <w:t xml:space="preserve">in the </w:t>
      </w:r>
      <w:r>
        <w:t xml:space="preserve">entity. </w:t>
      </w:r>
    </w:p>
    <w:p w:rsidR="00674B52" w:rsidRDefault="00674B52" w:rsidP="00004F3D">
      <w:pPr>
        <w:pStyle w:val="ListParagraph"/>
      </w:pPr>
    </w:p>
    <w:p w:rsidR="00674B52" w:rsidRDefault="00674B52" w:rsidP="000B7E0D">
      <w:pPr>
        <w:pStyle w:val="ListParagraph"/>
        <w:numPr>
          <w:ilvl w:val="2"/>
          <w:numId w:val="2"/>
        </w:numPr>
        <w:spacing w:line="360" w:lineRule="auto"/>
        <w:jc w:val="both"/>
      </w:pPr>
      <w:r>
        <w:t xml:space="preserve">The need for additional funding to the OBP specifically to finalise the GMP project was recognised pending completion of investigations and full account of the initial funding that was allocated for the project. </w:t>
      </w:r>
    </w:p>
    <w:p w:rsidR="00F63482" w:rsidRDefault="00F63482" w:rsidP="0025016C">
      <w:pPr>
        <w:pStyle w:val="ListParagraph"/>
      </w:pPr>
    </w:p>
    <w:p w:rsidR="00877478" w:rsidRDefault="00544CDA" w:rsidP="000B7E0D">
      <w:pPr>
        <w:pStyle w:val="ListParagraph"/>
        <w:numPr>
          <w:ilvl w:val="2"/>
          <w:numId w:val="2"/>
        </w:numPr>
        <w:spacing w:line="360" w:lineRule="auto"/>
        <w:jc w:val="both"/>
      </w:pPr>
      <w:r w:rsidRPr="00004F3D">
        <w:rPr>
          <w:b/>
        </w:rPr>
        <w:t>NAMC:</w:t>
      </w:r>
      <w:r>
        <w:t xml:space="preserve"> </w:t>
      </w:r>
      <w:r w:rsidR="005E73D9">
        <w:t>Recognition of the NAMC</w:t>
      </w:r>
      <w:r>
        <w:t xml:space="preserve">’s plans to </w:t>
      </w:r>
      <w:r w:rsidR="005E73D9">
        <w:t>expan</w:t>
      </w:r>
      <w:r>
        <w:t xml:space="preserve">d </w:t>
      </w:r>
      <w:r w:rsidR="005E73D9">
        <w:t>its footprint to all provinces with respect to facilitation of market access for smallholder producers</w:t>
      </w:r>
      <w:r w:rsidR="00877478">
        <w:t xml:space="preserve">; and further raised a concern regarding lack of coordination of activities between the NAMC and the Department in identifying and capacitating farmers that need support on market access.  </w:t>
      </w:r>
      <w:r w:rsidR="00877478" w:rsidRPr="005A669B">
        <w:t xml:space="preserve">    </w:t>
      </w:r>
    </w:p>
    <w:p w:rsidR="00877478" w:rsidRDefault="00877478" w:rsidP="00004F3D">
      <w:pPr>
        <w:pStyle w:val="ListParagraph"/>
      </w:pPr>
    </w:p>
    <w:p w:rsidR="005E73D9" w:rsidRDefault="00877478" w:rsidP="000B7E0D">
      <w:pPr>
        <w:pStyle w:val="ListParagraph"/>
        <w:numPr>
          <w:ilvl w:val="2"/>
          <w:numId w:val="2"/>
        </w:numPr>
        <w:spacing w:line="360" w:lineRule="auto"/>
        <w:jc w:val="both"/>
      </w:pPr>
      <w:r>
        <w:t xml:space="preserve">The Committee questioned </w:t>
      </w:r>
      <w:r w:rsidR="001C26E4">
        <w:t xml:space="preserve">the NAMC’s </w:t>
      </w:r>
      <w:r>
        <w:t xml:space="preserve">rationale for expanding </w:t>
      </w:r>
      <w:r w:rsidR="001C26E4">
        <w:t xml:space="preserve">its organisational structure when it did not have funding for the </w:t>
      </w:r>
      <w:r w:rsidR="00544CDA">
        <w:t xml:space="preserve">additional positions in the newly approved structure.  </w:t>
      </w:r>
      <w:r w:rsidR="00F63482">
        <w:t xml:space="preserve"> </w:t>
      </w:r>
    </w:p>
    <w:p w:rsidR="005E73D9" w:rsidRDefault="005E73D9" w:rsidP="0025016C">
      <w:pPr>
        <w:pStyle w:val="ListParagraph"/>
      </w:pPr>
    </w:p>
    <w:p w:rsidR="00544BC5" w:rsidRDefault="00544CDA" w:rsidP="000B7E0D">
      <w:pPr>
        <w:pStyle w:val="ListParagraph"/>
        <w:numPr>
          <w:ilvl w:val="2"/>
          <w:numId w:val="2"/>
        </w:numPr>
        <w:spacing w:line="360" w:lineRule="auto"/>
        <w:jc w:val="both"/>
      </w:pPr>
      <w:r w:rsidRPr="00004F3D">
        <w:rPr>
          <w:b/>
        </w:rPr>
        <w:t>PPECB:</w:t>
      </w:r>
      <w:r>
        <w:t xml:space="preserve"> </w:t>
      </w:r>
      <w:r w:rsidR="00632932">
        <w:t xml:space="preserve">Appreciation of the PPECB for the clear and well </w:t>
      </w:r>
      <w:r w:rsidR="00175E8B">
        <w:t>a</w:t>
      </w:r>
      <w:r w:rsidR="00632932">
        <w:t xml:space="preserve">rticulated Annual Plan and the continued work in assisting farmers with exports of perishable products and capacity building of smallholder farmers for export markets </w:t>
      </w:r>
      <w:r w:rsidR="000F3B53">
        <w:t xml:space="preserve">despite not receiving </w:t>
      </w:r>
      <w:r w:rsidR="00632932">
        <w:t>government financial support.</w:t>
      </w:r>
    </w:p>
    <w:p w:rsidR="002D1C45" w:rsidRPr="00D87670" w:rsidRDefault="002D1C45" w:rsidP="00EC33C2">
      <w:pPr>
        <w:pStyle w:val="ListParagraph"/>
        <w:tabs>
          <w:tab w:val="left" w:pos="426"/>
        </w:tabs>
        <w:spacing w:line="360" w:lineRule="auto"/>
        <w:ind w:left="567"/>
        <w:jc w:val="both"/>
      </w:pPr>
    </w:p>
    <w:p w:rsidR="00F27C16" w:rsidRPr="005A669B" w:rsidRDefault="00922CDB" w:rsidP="00011A2B">
      <w:pPr>
        <w:spacing w:line="360" w:lineRule="auto"/>
        <w:jc w:val="both"/>
        <w:rPr>
          <w:b/>
          <w:lang w:val="en-ZA"/>
        </w:rPr>
      </w:pPr>
      <w:r>
        <w:rPr>
          <w:b/>
          <w:lang w:val="en-ZA"/>
        </w:rPr>
        <w:t>6</w:t>
      </w:r>
      <w:r w:rsidR="00F27C16" w:rsidRPr="005A669B">
        <w:rPr>
          <w:b/>
          <w:lang w:val="en-ZA"/>
        </w:rPr>
        <w:t xml:space="preserve">.    </w:t>
      </w:r>
      <w:r w:rsidR="00F27C16" w:rsidRPr="005A669B">
        <w:rPr>
          <w:b/>
          <w:lang w:val="en-ZA"/>
        </w:rPr>
        <w:tab/>
        <w:t>Committee Recommendations</w:t>
      </w:r>
    </w:p>
    <w:p w:rsidR="00F27C16" w:rsidRPr="005A669B" w:rsidRDefault="00F27C16" w:rsidP="00011A2B">
      <w:pPr>
        <w:spacing w:line="360" w:lineRule="auto"/>
        <w:rPr>
          <w:lang w:val="en-ZA"/>
        </w:rPr>
      </w:pPr>
    </w:p>
    <w:p w:rsidR="004C2942" w:rsidRPr="005A669B" w:rsidRDefault="00F27C16" w:rsidP="00011A2B">
      <w:pPr>
        <w:spacing w:line="360" w:lineRule="auto"/>
        <w:jc w:val="both"/>
        <w:rPr>
          <w:lang w:val="en-ZA"/>
        </w:rPr>
      </w:pPr>
      <w:r w:rsidRPr="005A669B">
        <w:rPr>
          <w:lang w:val="en-ZA"/>
        </w:rPr>
        <w:t xml:space="preserve">After discussions and deliberations on the </w:t>
      </w:r>
      <w:r w:rsidR="003E6D42">
        <w:rPr>
          <w:lang w:val="en-ZA"/>
        </w:rPr>
        <w:t>2022</w:t>
      </w:r>
      <w:r w:rsidR="001C26E4">
        <w:rPr>
          <w:lang w:val="en-ZA"/>
        </w:rPr>
        <w:t>/23</w:t>
      </w:r>
      <w:r w:rsidR="003E6D42">
        <w:rPr>
          <w:lang w:val="en-ZA"/>
        </w:rPr>
        <w:t xml:space="preserve"> </w:t>
      </w:r>
      <w:r w:rsidR="003E6D42" w:rsidRPr="005A669B">
        <w:rPr>
          <w:lang w:val="en-ZA"/>
        </w:rPr>
        <w:t xml:space="preserve">Annual Performance Plans (APPs) </w:t>
      </w:r>
      <w:r w:rsidR="003E6D42">
        <w:rPr>
          <w:lang w:val="en-ZA"/>
        </w:rPr>
        <w:t xml:space="preserve">and Budget of the </w:t>
      </w:r>
      <w:r w:rsidRPr="005A669B">
        <w:rPr>
          <w:lang w:val="en-ZA"/>
        </w:rPr>
        <w:t>Department and the Entities</w:t>
      </w:r>
      <w:r w:rsidR="003E6D42">
        <w:rPr>
          <w:lang w:val="en-ZA"/>
        </w:rPr>
        <w:t xml:space="preserve"> (</w:t>
      </w:r>
      <w:r w:rsidRPr="005A669B">
        <w:rPr>
          <w:lang w:val="en-ZA"/>
        </w:rPr>
        <w:t>Budget Vote 29</w:t>
      </w:r>
      <w:r w:rsidR="003E6D42">
        <w:rPr>
          <w:lang w:val="en-ZA"/>
        </w:rPr>
        <w:t>)</w:t>
      </w:r>
      <w:r w:rsidRPr="005A669B">
        <w:rPr>
          <w:lang w:val="en-ZA"/>
        </w:rPr>
        <w:t>, the Portfolio Committee on Agriculture, Land Reform and Rural Development makes the following recommendations to the National Assembly (NA) for the attention of the Minister of Agriculture, Land Reform and Rural Development regarding Budget Vote 29</w:t>
      </w:r>
      <w:r w:rsidR="00011A2B">
        <w:rPr>
          <w:lang w:val="en-ZA"/>
        </w:rPr>
        <w:t xml:space="preserve">. </w:t>
      </w:r>
      <w:r w:rsidR="004C2942" w:rsidRPr="005A669B">
        <w:rPr>
          <w:lang w:val="en-ZA"/>
        </w:rPr>
        <w:t>The Minister should -</w:t>
      </w:r>
    </w:p>
    <w:p w:rsidR="004C2942" w:rsidRPr="005A669B" w:rsidRDefault="004C2942" w:rsidP="00011A2B">
      <w:pPr>
        <w:spacing w:line="360" w:lineRule="auto"/>
        <w:jc w:val="both"/>
        <w:rPr>
          <w:lang w:val="en-ZA"/>
        </w:rPr>
      </w:pPr>
    </w:p>
    <w:p w:rsidR="00BC4398" w:rsidRDefault="0055513A" w:rsidP="000B7E0D">
      <w:pPr>
        <w:pStyle w:val="ListParagraph"/>
        <w:numPr>
          <w:ilvl w:val="1"/>
          <w:numId w:val="3"/>
        </w:numPr>
        <w:spacing w:line="360" w:lineRule="auto"/>
        <w:ind w:left="567" w:hanging="567"/>
        <w:jc w:val="both"/>
      </w:pPr>
      <w:r>
        <w:t>Liaise with the Minister of F</w:t>
      </w:r>
      <w:r w:rsidR="00BC4398">
        <w:t>i</w:t>
      </w:r>
      <w:r>
        <w:t>n</w:t>
      </w:r>
      <w:r w:rsidR="00BC4398">
        <w:t>a</w:t>
      </w:r>
      <w:r>
        <w:t>nce to discuss</w:t>
      </w:r>
      <w:r w:rsidR="00BC4398">
        <w:t xml:space="preserve"> </w:t>
      </w:r>
      <w:r>
        <w:t xml:space="preserve">the </w:t>
      </w:r>
      <w:r w:rsidR="00C74F2D">
        <w:t xml:space="preserve">declining </w:t>
      </w:r>
      <w:r w:rsidR="00BC4398">
        <w:t xml:space="preserve">budgetary </w:t>
      </w:r>
      <w:r>
        <w:t>allocation</w:t>
      </w:r>
      <w:r w:rsidR="00BC4398">
        <w:t xml:space="preserve"> to the Vote despite the Department’s important mandate in respect of agrarian transformation through land reform</w:t>
      </w:r>
      <w:r w:rsidR="00D40121">
        <w:t>, job creation</w:t>
      </w:r>
      <w:r w:rsidR="00BC4398">
        <w:t xml:space="preserve"> and the important contribution to food security, biosecurity, natural resource and disaster management. </w:t>
      </w:r>
      <w:r w:rsidR="009B0F9C">
        <w:t xml:space="preserve">Advocate for increased funding for Programme 2 as </w:t>
      </w:r>
      <w:r w:rsidR="009B0F9C">
        <w:lastRenderedPageBreak/>
        <w:t xml:space="preserve">inadequate biosecurity can pose a threat to food safety and a reputational risk to the country’s agricultural exports.  </w:t>
      </w:r>
    </w:p>
    <w:p w:rsidR="00BC4398" w:rsidRDefault="00BC4398" w:rsidP="00004F3D">
      <w:pPr>
        <w:pStyle w:val="ListParagraph"/>
        <w:spacing w:line="360" w:lineRule="auto"/>
        <w:ind w:left="567"/>
        <w:jc w:val="both"/>
      </w:pPr>
    </w:p>
    <w:p w:rsidR="00C74F2D" w:rsidRDefault="00D40121" w:rsidP="003D3250">
      <w:pPr>
        <w:pStyle w:val="ListParagraph"/>
        <w:numPr>
          <w:ilvl w:val="1"/>
          <w:numId w:val="3"/>
        </w:numPr>
        <w:spacing w:line="360" w:lineRule="auto"/>
        <w:ind w:left="567" w:hanging="567"/>
        <w:jc w:val="both"/>
      </w:pPr>
      <w:r>
        <w:t>Submit to Parliament and present for discussion</w:t>
      </w:r>
      <w:r w:rsidR="009B0F9C">
        <w:t>,</w:t>
      </w:r>
      <w:r>
        <w:t xml:space="preserve"> the </w:t>
      </w:r>
      <w:r w:rsidR="00DF12CF">
        <w:t>fit-for-purpose org</w:t>
      </w:r>
      <w:r w:rsidR="008F20D6">
        <w:t>an</w:t>
      </w:r>
      <w:r w:rsidR="00DF12CF">
        <w:t>isational structure of the Department</w:t>
      </w:r>
      <w:r w:rsidR="00C74F2D">
        <w:t xml:space="preserve">, which </w:t>
      </w:r>
      <w:r>
        <w:t xml:space="preserve">should clearly illustrate </w:t>
      </w:r>
      <w:r w:rsidR="008F20D6">
        <w:t xml:space="preserve">how </w:t>
      </w:r>
      <w:r>
        <w:t xml:space="preserve">the merger of the two former Departments addressed </w:t>
      </w:r>
      <w:r w:rsidR="008F20D6">
        <w:t>duplication of functions among Programmes</w:t>
      </w:r>
      <w:r w:rsidR="00C74F2D">
        <w:t xml:space="preserve">. </w:t>
      </w:r>
    </w:p>
    <w:p w:rsidR="002544EB" w:rsidRDefault="002544EB" w:rsidP="000F031C">
      <w:pPr>
        <w:pStyle w:val="ListParagraph"/>
      </w:pPr>
    </w:p>
    <w:p w:rsidR="002544EB" w:rsidRPr="00EB345B" w:rsidRDefault="002544EB" w:rsidP="000F031C">
      <w:pPr>
        <w:pStyle w:val="ListParagraph"/>
        <w:numPr>
          <w:ilvl w:val="1"/>
          <w:numId w:val="3"/>
        </w:numPr>
        <w:spacing w:line="360" w:lineRule="auto"/>
        <w:ind w:left="567" w:hanging="567"/>
        <w:jc w:val="both"/>
      </w:pPr>
      <w:r w:rsidRPr="002544EB">
        <w:t xml:space="preserve">Submit to Parliament </w:t>
      </w:r>
      <w:r w:rsidR="00EB345B">
        <w:t xml:space="preserve">an </w:t>
      </w:r>
      <w:r w:rsidRPr="002544EB">
        <w:t>updated Legislation and Policy Review Programmes with clear time lines</w:t>
      </w:r>
      <w:r w:rsidRPr="00EB345B">
        <w:t xml:space="preserve"> and resources for processing and finalisation during the current financial year</w:t>
      </w:r>
      <w:r w:rsidR="00EB345B">
        <w:t>. I</w:t>
      </w:r>
      <w:r w:rsidRPr="00EB345B">
        <w:t xml:space="preserve">n the case of legislation, </w:t>
      </w:r>
      <w:r w:rsidR="000F031C">
        <w:t>submit</w:t>
      </w:r>
      <w:r w:rsidR="00EB345B">
        <w:t xml:space="preserve"> timeframes for </w:t>
      </w:r>
      <w:r w:rsidRPr="00EB345B">
        <w:t>planned introduction to Parliament.</w:t>
      </w:r>
    </w:p>
    <w:p w:rsidR="00C74F2D" w:rsidRDefault="00C74F2D" w:rsidP="000F031C">
      <w:pPr>
        <w:pStyle w:val="ListParagraph"/>
        <w:spacing w:line="360" w:lineRule="auto"/>
        <w:ind w:left="567"/>
        <w:jc w:val="both"/>
      </w:pPr>
    </w:p>
    <w:p w:rsidR="008F20D6" w:rsidRDefault="00C74F2D" w:rsidP="003D3250">
      <w:pPr>
        <w:pStyle w:val="ListParagraph"/>
        <w:numPr>
          <w:ilvl w:val="1"/>
          <w:numId w:val="3"/>
        </w:numPr>
        <w:spacing w:line="360" w:lineRule="auto"/>
        <w:ind w:left="567" w:hanging="567"/>
        <w:jc w:val="both"/>
      </w:pPr>
      <w:r>
        <w:t>Submit to Parliament a</w:t>
      </w:r>
      <w:r w:rsidR="00BE268C">
        <w:t xml:space="preserve"> Human Resource </w:t>
      </w:r>
      <w:r>
        <w:t xml:space="preserve">Plan </w:t>
      </w:r>
      <w:r w:rsidR="00BE268C">
        <w:t xml:space="preserve">with a specific focus </w:t>
      </w:r>
      <w:r>
        <w:t xml:space="preserve">on </w:t>
      </w:r>
      <w:r w:rsidR="00BE268C">
        <w:t xml:space="preserve">building </w:t>
      </w:r>
      <w:r w:rsidR="003D3250">
        <w:t xml:space="preserve">and strengthening </w:t>
      </w:r>
      <w:r w:rsidR="00BE268C">
        <w:t xml:space="preserve">personnel capacity </w:t>
      </w:r>
      <w:r w:rsidR="003D3250">
        <w:t xml:space="preserve">to address the challenges that were identified and reported by the Department of Public Service and Administration (DPSA) </w:t>
      </w:r>
      <w:r w:rsidR="00C53332">
        <w:t>among some senior management service</w:t>
      </w:r>
      <w:r w:rsidR="00D40121">
        <w:t xml:space="preserve"> (SMS)</w:t>
      </w:r>
      <w:r w:rsidR="00C53332">
        <w:t xml:space="preserve"> level personnel</w:t>
      </w:r>
      <w:r w:rsidR="003D3250">
        <w:t xml:space="preserve">. </w:t>
      </w:r>
      <w:r w:rsidR="00D40121">
        <w:t xml:space="preserve"> </w:t>
      </w:r>
      <w:r w:rsidR="008F20D6">
        <w:t xml:space="preserve"> </w:t>
      </w:r>
    </w:p>
    <w:p w:rsidR="008F20D6" w:rsidRDefault="008F20D6" w:rsidP="003D3250">
      <w:pPr>
        <w:pStyle w:val="ListParagraph"/>
        <w:spacing w:line="360" w:lineRule="auto"/>
        <w:ind w:left="567"/>
        <w:jc w:val="both"/>
      </w:pPr>
    </w:p>
    <w:p w:rsidR="00447649" w:rsidRDefault="0022461F" w:rsidP="003D3250">
      <w:pPr>
        <w:pStyle w:val="ListParagraph"/>
        <w:numPr>
          <w:ilvl w:val="1"/>
          <w:numId w:val="3"/>
        </w:numPr>
        <w:spacing w:line="360" w:lineRule="auto"/>
        <w:ind w:left="567" w:hanging="567"/>
        <w:jc w:val="both"/>
      </w:pPr>
      <w:r>
        <w:t>Ensure the development of an Action Plan to review</w:t>
      </w:r>
      <w:r w:rsidR="00F22074">
        <w:t xml:space="preserve"> and </w:t>
      </w:r>
      <w:r w:rsidR="002148A9">
        <w:t xml:space="preserve">streamline </w:t>
      </w:r>
      <w:r>
        <w:t xml:space="preserve">the Department’s existing </w:t>
      </w:r>
      <w:r w:rsidR="00F22074">
        <w:t xml:space="preserve">support programmes and </w:t>
      </w:r>
      <w:r w:rsidR="002148A9">
        <w:t xml:space="preserve">conditional </w:t>
      </w:r>
      <w:r w:rsidR="00F22074">
        <w:t xml:space="preserve">grants into an integrated Producer Support Programme/Scheme that was envisaged when the National Policy on Comprehensive Producer Development Support was developed to avoid duplication and resource wastage. The Action Plan should </w:t>
      </w:r>
      <w:r w:rsidR="009B0F9C">
        <w:t>illustrate t</w:t>
      </w:r>
      <w:r w:rsidR="00F22074">
        <w:t>he alignment to the Department’s new mandate and the Farmer Production Support Units</w:t>
      </w:r>
      <w:r w:rsidR="00850731">
        <w:t xml:space="preserve"> (FPSUs)</w:t>
      </w:r>
      <w:r w:rsidR="00F22074">
        <w:t xml:space="preserve"> that are expected to be central to the implementation of the Agriculture and Agroprocessing Master Plan.  </w:t>
      </w:r>
    </w:p>
    <w:p w:rsidR="00D226EF" w:rsidRDefault="00D226EF" w:rsidP="003D3250">
      <w:pPr>
        <w:pStyle w:val="ListParagraph"/>
        <w:spacing w:line="360" w:lineRule="auto"/>
        <w:ind w:left="567" w:hanging="567"/>
      </w:pPr>
    </w:p>
    <w:p w:rsidR="00F22074" w:rsidRDefault="003F4562" w:rsidP="000B7E0D">
      <w:pPr>
        <w:pStyle w:val="ListParagraph"/>
        <w:numPr>
          <w:ilvl w:val="1"/>
          <w:numId w:val="3"/>
        </w:numPr>
        <w:spacing w:line="360" w:lineRule="auto"/>
        <w:ind w:left="567" w:hanging="567"/>
        <w:jc w:val="both"/>
      </w:pPr>
      <w:r>
        <w:t xml:space="preserve">Strengthen Reporting </w:t>
      </w:r>
      <w:r w:rsidR="00952374" w:rsidRPr="009A5B3A">
        <w:t xml:space="preserve">Guidelines and </w:t>
      </w:r>
      <w:r>
        <w:t xml:space="preserve">ensure the development of </w:t>
      </w:r>
      <w:r w:rsidR="00952374" w:rsidRPr="009A5B3A">
        <w:t xml:space="preserve">Monitoring and </w:t>
      </w:r>
      <w:r w:rsidR="00952374">
        <w:t xml:space="preserve">Evaluation (M&amp;E) </w:t>
      </w:r>
      <w:r w:rsidR="00952374" w:rsidRPr="009A5B3A">
        <w:t>Framework</w:t>
      </w:r>
      <w:r w:rsidR="00F41426">
        <w:t>s</w:t>
      </w:r>
      <w:r w:rsidR="00952374" w:rsidRPr="009A5B3A">
        <w:t xml:space="preserve"> for</w:t>
      </w:r>
      <w:r w:rsidR="00952374">
        <w:t xml:space="preserve"> conditional </w:t>
      </w:r>
      <w:r w:rsidR="00850731">
        <w:t xml:space="preserve">and other farmer support </w:t>
      </w:r>
      <w:r w:rsidR="00952374">
        <w:t>grants a</w:t>
      </w:r>
      <w:r w:rsidR="00850731">
        <w:t xml:space="preserve">s well as </w:t>
      </w:r>
      <w:r w:rsidR="00952374">
        <w:t>all</w:t>
      </w:r>
      <w:r w:rsidR="00952374" w:rsidRPr="009A5B3A">
        <w:t xml:space="preserve"> funds that have been transferred </w:t>
      </w:r>
      <w:r w:rsidR="00952374">
        <w:t>to</w:t>
      </w:r>
      <w:r w:rsidR="00862A7C">
        <w:t xml:space="preserve"> other service providers</w:t>
      </w:r>
      <w:r w:rsidR="00850731">
        <w:t xml:space="preserve"> (e.g. Land Bank, </w:t>
      </w:r>
      <w:r w:rsidR="00DF01B3">
        <w:t xml:space="preserve">infrastructure </w:t>
      </w:r>
      <w:r w:rsidR="00850731">
        <w:t>contractors</w:t>
      </w:r>
      <w:r w:rsidR="00DF01B3">
        <w:t>, consultants</w:t>
      </w:r>
      <w:r w:rsidR="00850731">
        <w:t xml:space="preserve">) and </w:t>
      </w:r>
      <w:r>
        <w:t>Entities</w:t>
      </w:r>
      <w:r w:rsidR="00850731">
        <w:t xml:space="preserve"> </w:t>
      </w:r>
      <w:r w:rsidR="00F41426">
        <w:t>for</w:t>
      </w:r>
      <w:r w:rsidR="00850731">
        <w:t xml:space="preserve"> the </w:t>
      </w:r>
      <w:r w:rsidR="00F41426">
        <w:t>implementation</w:t>
      </w:r>
      <w:r w:rsidR="00850731">
        <w:t xml:space="preserve"> of the Department’s programmes/projects</w:t>
      </w:r>
      <w:r w:rsidR="00862A7C">
        <w:t xml:space="preserve">. </w:t>
      </w:r>
      <w:r w:rsidR="00952374" w:rsidRPr="009A5B3A">
        <w:t xml:space="preserve">The Department should report to Parliament on </w:t>
      </w:r>
      <w:r w:rsidR="00952374">
        <w:t xml:space="preserve">its M&amp;E </w:t>
      </w:r>
      <w:r w:rsidR="00952374" w:rsidRPr="009A5B3A">
        <w:t>activities during each quarterly briefing</w:t>
      </w:r>
      <w:r w:rsidR="00952374">
        <w:t xml:space="preserve">. </w:t>
      </w:r>
    </w:p>
    <w:p w:rsidR="00D226EF" w:rsidRDefault="00D226EF" w:rsidP="000931C6">
      <w:pPr>
        <w:pStyle w:val="ListParagraph"/>
        <w:ind w:left="567" w:hanging="567"/>
      </w:pPr>
    </w:p>
    <w:p w:rsidR="003F4562" w:rsidRDefault="00850731" w:rsidP="000B7E0D">
      <w:pPr>
        <w:pStyle w:val="ListParagraph"/>
        <w:numPr>
          <w:ilvl w:val="1"/>
          <w:numId w:val="3"/>
        </w:numPr>
        <w:spacing w:line="360" w:lineRule="auto"/>
        <w:ind w:left="567" w:hanging="567"/>
        <w:jc w:val="both"/>
      </w:pPr>
      <w:r>
        <w:lastRenderedPageBreak/>
        <w:t>Submit to Parliament comprehensive reports on the</w:t>
      </w:r>
      <w:r w:rsidR="00DF01B3">
        <w:t xml:space="preserve"> implementation of the Blended Finance Initiative, transformation activities through the AgriBEE Fund, disbursement of Mafisa loans and utilisation of funds that have been transferred to the Land Bank since 2019/20. </w:t>
      </w:r>
      <w:r>
        <w:t xml:space="preserve"> </w:t>
      </w:r>
      <w:r w:rsidR="00DF01B3">
        <w:t xml:space="preserve"> </w:t>
      </w:r>
    </w:p>
    <w:p w:rsidR="00850731" w:rsidRDefault="00850731" w:rsidP="00004F3D">
      <w:pPr>
        <w:pStyle w:val="ListParagraph"/>
      </w:pPr>
    </w:p>
    <w:p w:rsidR="00DF01B3" w:rsidRDefault="00DF01B3" w:rsidP="000B7E0D">
      <w:pPr>
        <w:pStyle w:val="ListParagraph"/>
        <w:numPr>
          <w:ilvl w:val="1"/>
          <w:numId w:val="3"/>
        </w:numPr>
        <w:spacing w:line="360" w:lineRule="auto"/>
        <w:ind w:left="567" w:hanging="567"/>
        <w:jc w:val="both"/>
      </w:pPr>
      <w:r>
        <w:t xml:space="preserve">Submit to Parliament comprehensive reports on the activities </w:t>
      </w:r>
      <w:r w:rsidR="003F69A9">
        <w:t>(including planned</w:t>
      </w:r>
      <w:r w:rsidR="003D3250">
        <w:t xml:space="preserve"> ones</w:t>
      </w:r>
      <w:r w:rsidR="003F69A9">
        <w:t xml:space="preserve">) </w:t>
      </w:r>
      <w:r>
        <w:t>of the Department to facilitate and promote the participation of smallholder producers in the Poultry, Sugar</w:t>
      </w:r>
      <w:r w:rsidR="003D3250">
        <w:t xml:space="preserve"> </w:t>
      </w:r>
      <w:r>
        <w:t>and Agriculture &amp; Agroprocessing Master Plans</w:t>
      </w:r>
      <w:r w:rsidR="003F69A9">
        <w:t xml:space="preserve"> including M&amp;E of agricultural interventions in respect of the implementation of the Master Plans.</w:t>
      </w:r>
      <w:r>
        <w:t xml:space="preserve"> </w:t>
      </w:r>
    </w:p>
    <w:p w:rsidR="003D3250" w:rsidRDefault="003D3250" w:rsidP="003D3250">
      <w:pPr>
        <w:pStyle w:val="ListParagraph"/>
      </w:pPr>
    </w:p>
    <w:p w:rsidR="003D3250" w:rsidRDefault="003D3250" w:rsidP="003D3250">
      <w:pPr>
        <w:pStyle w:val="ListParagraph"/>
        <w:numPr>
          <w:ilvl w:val="1"/>
          <w:numId w:val="3"/>
        </w:numPr>
        <w:spacing w:line="360" w:lineRule="auto"/>
        <w:ind w:left="567" w:hanging="567"/>
        <w:jc w:val="both"/>
      </w:pPr>
      <w:r>
        <w:t>Provide a</w:t>
      </w:r>
      <w:r w:rsidR="00D53FB8">
        <w:t xml:space="preserve"> progress report </w:t>
      </w:r>
      <w:r>
        <w:t xml:space="preserve">on the </w:t>
      </w:r>
      <w:r w:rsidR="00D53FB8">
        <w:t xml:space="preserve">finalisation of the Cannabis Master Plan including </w:t>
      </w:r>
      <w:r w:rsidR="00D956F7">
        <w:t xml:space="preserve">roles and responsibilities of other sector departments. </w:t>
      </w:r>
      <w:r w:rsidR="00E1718E">
        <w:t>For the 2022/23 financial year (including outer years of the medium term), t</w:t>
      </w:r>
      <w:r w:rsidR="00D956F7">
        <w:t xml:space="preserve">he Department has a performance target to “develop an </w:t>
      </w:r>
      <w:r w:rsidR="00E1718E">
        <w:t>a</w:t>
      </w:r>
      <w:r w:rsidR="00D956F7">
        <w:t xml:space="preserve">nnual </w:t>
      </w:r>
      <w:r w:rsidR="00E1718E">
        <w:t>r</w:t>
      </w:r>
      <w:r w:rsidR="00D956F7">
        <w:t>eport on the implementation of the Cannabis Master Plan”</w:t>
      </w:r>
      <w:r w:rsidR="00E1718E">
        <w:t xml:space="preserve">, specify the </w:t>
      </w:r>
      <w:r w:rsidR="00D53FB8">
        <w:t xml:space="preserve">activities that will be </w:t>
      </w:r>
      <w:r w:rsidR="00D956F7">
        <w:t xml:space="preserve">undertaken in 2022/23 </w:t>
      </w:r>
      <w:r w:rsidR="00E1718E">
        <w:t xml:space="preserve">towards the development of the annual report on the implementation of the Cannabis Master Plan. </w:t>
      </w:r>
      <w:r w:rsidR="00D956F7">
        <w:t xml:space="preserve"> </w:t>
      </w:r>
      <w:r>
        <w:t xml:space="preserve"> </w:t>
      </w:r>
    </w:p>
    <w:p w:rsidR="00DF01B3" w:rsidRDefault="00DF01B3" w:rsidP="00004F3D">
      <w:pPr>
        <w:pStyle w:val="ListParagraph"/>
        <w:spacing w:line="360" w:lineRule="auto"/>
        <w:ind w:left="567"/>
        <w:jc w:val="both"/>
      </w:pPr>
    </w:p>
    <w:p w:rsidR="00850731" w:rsidRDefault="003F69A9" w:rsidP="000B7E0D">
      <w:pPr>
        <w:pStyle w:val="ListParagraph"/>
        <w:numPr>
          <w:ilvl w:val="1"/>
          <w:numId w:val="3"/>
        </w:numPr>
        <w:spacing w:line="360" w:lineRule="auto"/>
        <w:ind w:left="567" w:hanging="567"/>
        <w:jc w:val="both"/>
      </w:pPr>
      <w:r>
        <w:t>Submit an Action Plan to f</w:t>
      </w:r>
      <w:r w:rsidR="00850731">
        <w:t xml:space="preserve">ast-track the participation of the agricultural sector in the Trade Agreement on African Continental Free Trade Area (AfCFTA) while ensuring protection of local producers from unfair imports; and </w:t>
      </w:r>
      <w:r>
        <w:t xml:space="preserve">also </w:t>
      </w:r>
      <w:r w:rsidR="00850731">
        <w:t xml:space="preserve">present an Action Plan on capacity building of smallholder producers to enable their full participation in the Agreement on AfCFTA.  </w:t>
      </w:r>
    </w:p>
    <w:p w:rsidR="00D226EF" w:rsidRDefault="00D226EF" w:rsidP="000931C6">
      <w:pPr>
        <w:pStyle w:val="ListParagraph"/>
        <w:ind w:left="567" w:hanging="567"/>
      </w:pPr>
    </w:p>
    <w:p w:rsidR="00641C81" w:rsidRDefault="00641C81" w:rsidP="000B7E0D">
      <w:pPr>
        <w:pStyle w:val="ListParagraph"/>
        <w:numPr>
          <w:ilvl w:val="1"/>
          <w:numId w:val="3"/>
        </w:numPr>
        <w:spacing w:line="360" w:lineRule="auto"/>
        <w:ind w:left="567" w:hanging="567"/>
        <w:jc w:val="both"/>
      </w:pPr>
      <w:r w:rsidRPr="003F3B86">
        <w:t>Ensure consistent monitoring of the implementation of the Comprehensive Backlog Reduction Strategy</w:t>
      </w:r>
      <w:r>
        <w:t xml:space="preserve"> of the CRLR</w:t>
      </w:r>
      <w:r w:rsidRPr="003F3B86">
        <w:t xml:space="preserve"> and submit quarterly reports to Parliament, including the financial reports.</w:t>
      </w:r>
      <w:r w:rsidRPr="00715D6E">
        <w:t xml:space="preserve">  </w:t>
      </w:r>
    </w:p>
    <w:p w:rsidR="00641C81" w:rsidRDefault="00641C81" w:rsidP="00D753EE">
      <w:pPr>
        <w:pStyle w:val="ListParagraph"/>
      </w:pPr>
    </w:p>
    <w:p w:rsidR="00641C81" w:rsidRDefault="006B74DA" w:rsidP="000B7E0D">
      <w:pPr>
        <w:pStyle w:val="ListParagraph"/>
        <w:numPr>
          <w:ilvl w:val="1"/>
          <w:numId w:val="3"/>
        </w:numPr>
        <w:spacing w:line="360" w:lineRule="auto"/>
        <w:ind w:left="567" w:hanging="567"/>
        <w:jc w:val="both"/>
      </w:pPr>
      <w:r>
        <w:t>Ensure that the CRLR q</w:t>
      </w:r>
      <w:r w:rsidR="00641C81" w:rsidRPr="00715D6E">
        <w:t>uantif</w:t>
      </w:r>
      <w:r>
        <w:t>ies</w:t>
      </w:r>
      <w:r w:rsidR="00641C81" w:rsidRPr="00715D6E">
        <w:t xml:space="preserve"> the cost of </w:t>
      </w:r>
      <w:r>
        <w:t xml:space="preserve">its </w:t>
      </w:r>
      <w:r w:rsidR="00641C81">
        <w:t>C</w:t>
      </w:r>
      <w:r w:rsidR="00641C81" w:rsidRPr="00715D6E">
        <w:t xml:space="preserve">ommitment </w:t>
      </w:r>
      <w:r w:rsidR="00641C81">
        <w:t>R</w:t>
      </w:r>
      <w:r w:rsidR="00641C81" w:rsidRPr="00715D6E">
        <w:t xml:space="preserve">egister and develop a three-year plan for clearing the Commitment Register and submit quarterly implementation reports to </w:t>
      </w:r>
      <w:r w:rsidR="00641C81">
        <w:t xml:space="preserve">Parliament. </w:t>
      </w:r>
      <w:r w:rsidR="00641C81" w:rsidRPr="00715D6E">
        <w:t xml:space="preserve">  </w:t>
      </w:r>
    </w:p>
    <w:p w:rsidR="00641C81" w:rsidRDefault="00641C81" w:rsidP="00D753EE">
      <w:pPr>
        <w:pStyle w:val="ListParagraph"/>
      </w:pPr>
    </w:p>
    <w:p w:rsidR="00641C81" w:rsidRDefault="00641C81" w:rsidP="000B7E0D">
      <w:pPr>
        <w:pStyle w:val="ListParagraph"/>
        <w:numPr>
          <w:ilvl w:val="1"/>
          <w:numId w:val="3"/>
        </w:numPr>
        <w:spacing w:line="360" w:lineRule="auto"/>
        <w:ind w:left="567" w:hanging="567"/>
        <w:jc w:val="both"/>
      </w:pPr>
      <w:r>
        <w:t>Ensure that the CRLR d</w:t>
      </w:r>
      <w:r w:rsidRPr="00715D6E">
        <w:t xml:space="preserve">evelop and implement a research plan to ensure that all the outstanding land claims are researched by the end of 2022/23, and further present to </w:t>
      </w:r>
      <w:r>
        <w:t xml:space="preserve">Parliament </w:t>
      </w:r>
      <w:r w:rsidRPr="00715D6E">
        <w:t xml:space="preserve">quarterly implementation reports.  </w:t>
      </w:r>
    </w:p>
    <w:p w:rsidR="00641C81" w:rsidRDefault="00641C81" w:rsidP="00D753EE">
      <w:pPr>
        <w:pStyle w:val="ListParagraph"/>
      </w:pPr>
    </w:p>
    <w:p w:rsidR="00641C81" w:rsidRPr="00EB345B" w:rsidRDefault="00641C81" w:rsidP="000F031C">
      <w:pPr>
        <w:pStyle w:val="ListParagraph"/>
        <w:numPr>
          <w:ilvl w:val="1"/>
          <w:numId w:val="3"/>
        </w:numPr>
        <w:spacing w:line="360" w:lineRule="auto"/>
        <w:ind w:left="567" w:hanging="567"/>
        <w:jc w:val="both"/>
      </w:pPr>
      <w:r w:rsidRPr="00EB345B">
        <w:lastRenderedPageBreak/>
        <w:t>Ensure that the ITB officially tables the 2022/23 budget allocations for both the ITB</w:t>
      </w:r>
      <w:r w:rsidR="00F3545D" w:rsidRPr="00EB345B">
        <w:t xml:space="preserve">. </w:t>
      </w:r>
      <w:r w:rsidR="002544EB" w:rsidRPr="00EB345B">
        <w:t xml:space="preserve">In line with sections 22(1) and (2) of </w:t>
      </w:r>
      <w:r w:rsidR="002544EB" w:rsidRPr="000F031C">
        <w:t xml:space="preserve">the KwaZulu-Natal Ingonyama Trust Financial Regulations(1998), the ITB must also </w:t>
      </w:r>
      <w:r w:rsidR="002544EB" w:rsidRPr="00EB345B">
        <w:t xml:space="preserve">submit to the Minister a written report on the activities of the Trust during 2020/21 financial year; a report which </w:t>
      </w:r>
      <w:r w:rsidR="002544EB" w:rsidRPr="000F031C">
        <w:t xml:space="preserve">shall include audited financial statements, reflecting the Trust’s financial affairs during that year for tabling and consideration by the Portfolio Committee. </w:t>
      </w:r>
    </w:p>
    <w:p w:rsidR="002544EB" w:rsidRDefault="002544EB" w:rsidP="000F031C">
      <w:pPr>
        <w:pStyle w:val="ListParagraph"/>
        <w:spacing w:line="360" w:lineRule="auto"/>
        <w:ind w:left="567"/>
        <w:jc w:val="both"/>
      </w:pPr>
    </w:p>
    <w:p w:rsidR="00641C81" w:rsidRDefault="00641C81" w:rsidP="00E1718E">
      <w:pPr>
        <w:pStyle w:val="ListParagraph"/>
        <w:numPr>
          <w:ilvl w:val="1"/>
          <w:numId w:val="3"/>
        </w:numPr>
        <w:spacing w:line="360" w:lineRule="auto"/>
        <w:ind w:left="567" w:hanging="567"/>
        <w:jc w:val="both"/>
      </w:pPr>
      <w:r w:rsidRPr="00715D6E">
        <w:t xml:space="preserve">Develop an implementation plan for the recommendations of the previous </w:t>
      </w:r>
      <w:r w:rsidR="002544EB">
        <w:t xml:space="preserve">2021/22 </w:t>
      </w:r>
      <w:r w:rsidRPr="00715D6E">
        <w:t xml:space="preserve">Budget Vote Report and the </w:t>
      </w:r>
      <w:r w:rsidR="002544EB">
        <w:t xml:space="preserve">2021/22 </w:t>
      </w:r>
      <w:r w:rsidRPr="00715D6E">
        <w:t>B</w:t>
      </w:r>
      <w:r w:rsidR="002544EB">
        <w:t xml:space="preserve">udget </w:t>
      </w:r>
      <w:r w:rsidRPr="00715D6E">
        <w:t>R</w:t>
      </w:r>
      <w:r w:rsidR="002544EB">
        <w:t xml:space="preserve">eview </w:t>
      </w:r>
      <w:r w:rsidRPr="00715D6E">
        <w:t>R</w:t>
      </w:r>
      <w:r w:rsidR="002544EB">
        <w:t xml:space="preserve">ecommendations </w:t>
      </w:r>
      <w:r w:rsidRPr="00715D6E">
        <w:t>R</w:t>
      </w:r>
      <w:r w:rsidR="002544EB">
        <w:t>eport</w:t>
      </w:r>
      <w:r w:rsidRPr="00715D6E">
        <w:t xml:space="preserve"> with regard to the ITB and present </w:t>
      </w:r>
      <w:r w:rsidR="002544EB">
        <w:t>implementation r</w:t>
      </w:r>
      <w:r w:rsidRPr="00715D6E">
        <w:t>eports to Parliament.</w:t>
      </w:r>
      <w:r>
        <w:t xml:space="preserve"> </w:t>
      </w:r>
    </w:p>
    <w:p w:rsidR="00EB345B" w:rsidRDefault="00EB345B" w:rsidP="000F031C">
      <w:pPr>
        <w:pStyle w:val="ListParagraph"/>
        <w:spacing w:line="360" w:lineRule="auto"/>
        <w:ind w:left="567"/>
        <w:jc w:val="both"/>
      </w:pPr>
    </w:p>
    <w:p w:rsidR="00EB345B" w:rsidRPr="00C60CA8" w:rsidRDefault="00EB345B" w:rsidP="000F031C">
      <w:pPr>
        <w:pStyle w:val="ListParagraph"/>
        <w:numPr>
          <w:ilvl w:val="1"/>
          <w:numId w:val="3"/>
        </w:numPr>
        <w:spacing w:line="360" w:lineRule="auto"/>
        <w:ind w:left="567" w:hanging="567"/>
        <w:jc w:val="both"/>
      </w:pPr>
      <w:r>
        <w:t>Clear programmes and specific targets f</w:t>
      </w:r>
      <w:r w:rsidRPr="005A669B">
        <w:t>o</w:t>
      </w:r>
      <w:r>
        <w:t xml:space="preserve">r </w:t>
      </w:r>
      <w:r w:rsidRPr="005A669B">
        <w:t xml:space="preserve">empowerment of youth, women and people with disabilities </w:t>
      </w:r>
      <w:r>
        <w:t>with</w:t>
      </w:r>
      <w:r w:rsidRPr="005A669B">
        <w:t>in the rural communities</w:t>
      </w:r>
      <w:r>
        <w:t xml:space="preserve"> are streamlined in various programmes of the Department and entities; for example, prioritising them for access to land and productive use of land as well as giving the opportunity for development in the agricultural sector. </w:t>
      </w:r>
    </w:p>
    <w:p w:rsidR="00641C81" w:rsidRDefault="00641C81" w:rsidP="00E1718E">
      <w:pPr>
        <w:pStyle w:val="ListParagraph"/>
        <w:spacing w:line="360" w:lineRule="auto"/>
      </w:pPr>
    </w:p>
    <w:p w:rsidR="00641C81" w:rsidRPr="00715D6E" w:rsidRDefault="00641C81" w:rsidP="00E1718E">
      <w:pPr>
        <w:pStyle w:val="ListParagraph"/>
        <w:numPr>
          <w:ilvl w:val="1"/>
          <w:numId w:val="3"/>
        </w:numPr>
        <w:spacing w:line="360" w:lineRule="auto"/>
        <w:ind w:left="567" w:hanging="567"/>
        <w:jc w:val="both"/>
      </w:pPr>
      <w:r w:rsidRPr="00715D6E">
        <w:t xml:space="preserve">Prioritise engagement with the Ingonyama Trust Board, the Trustee and other relevant stakeholders </w:t>
      </w:r>
      <w:r w:rsidR="002544EB">
        <w:t xml:space="preserve">including the National Treasury and the Auditor-General </w:t>
      </w:r>
      <w:r w:rsidRPr="00715D6E">
        <w:t xml:space="preserve">to address the challenges confronting the ITB, including its mandate and funding, the separation of the ITB from the Ingonyama Trust and </w:t>
      </w:r>
      <w:r w:rsidR="002544EB">
        <w:t>i</w:t>
      </w:r>
      <w:r w:rsidRPr="00715D6E">
        <w:t>t</w:t>
      </w:r>
      <w:r w:rsidR="002544EB">
        <w:t>s r</w:t>
      </w:r>
      <w:r w:rsidRPr="00715D6E">
        <w:t xml:space="preserve">elevance in the current dispensation. </w:t>
      </w:r>
    </w:p>
    <w:p w:rsidR="00641C81" w:rsidRDefault="00641C81" w:rsidP="00E1718E">
      <w:pPr>
        <w:pStyle w:val="ListParagraph"/>
        <w:spacing w:line="360" w:lineRule="auto"/>
        <w:ind w:left="567"/>
        <w:jc w:val="both"/>
      </w:pPr>
    </w:p>
    <w:p w:rsidR="00BC4398" w:rsidRDefault="00BC4398" w:rsidP="00E1718E">
      <w:pPr>
        <w:pStyle w:val="ListParagraph"/>
        <w:numPr>
          <w:ilvl w:val="1"/>
          <w:numId w:val="3"/>
        </w:numPr>
        <w:spacing w:line="360" w:lineRule="auto"/>
        <w:ind w:left="567" w:hanging="567"/>
        <w:jc w:val="both"/>
      </w:pPr>
      <w:r>
        <w:t xml:space="preserve">Motivate for additional funding for the ARC in respect of its important and central role in agricultural research, the agricultural sector competitiveness and contribution to the development of innovations to address the country’s agricultural challenges including </w:t>
      </w:r>
      <w:r w:rsidR="007E5160">
        <w:t xml:space="preserve">natural </w:t>
      </w:r>
      <w:r>
        <w:t xml:space="preserve">disasters. </w:t>
      </w:r>
      <w:r w:rsidR="00796A74">
        <w:t>Further ensure the entity fast-tracks the filling of the three vacant executive management positions and other critical vacancies.</w:t>
      </w:r>
    </w:p>
    <w:p w:rsidR="00796A74" w:rsidRDefault="00796A74" w:rsidP="00E1718E">
      <w:pPr>
        <w:pStyle w:val="ListParagraph"/>
        <w:spacing w:line="360" w:lineRule="auto"/>
        <w:ind w:left="567"/>
        <w:jc w:val="both"/>
      </w:pPr>
    </w:p>
    <w:p w:rsidR="00796A74" w:rsidRDefault="00796A74" w:rsidP="00E1718E">
      <w:pPr>
        <w:pStyle w:val="ListParagraph"/>
        <w:numPr>
          <w:ilvl w:val="1"/>
          <w:numId w:val="3"/>
        </w:numPr>
        <w:spacing w:line="360" w:lineRule="auto"/>
        <w:ind w:left="567" w:hanging="567"/>
        <w:jc w:val="both"/>
      </w:pPr>
      <w:r>
        <w:t xml:space="preserve">Facilitate the prioritisation of the FMD Facility by the ARC and </w:t>
      </w:r>
      <w:r w:rsidR="009564E4">
        <w:t xml:space="preserve">make sure that it submits to Parliament a detailed Action Plan with timeframes on the development and completion of the FMD Facility. Further ensure </w:t>
      </w:r>
      <w:r>
        <w:t xml:space="preserve">that the Task Team that has been established by the ARC </w:t>
      </w:r>
      <w:r>
        <w:lastRenderedPageBreak/>
        <w:t xml:space="preserve">Board to address FMD challenges carries out its responsibilities and report on intervention progress on a quarterly basis. </w:t>
      </w:r>
    </w:p>
    <w:p w:rsidR="00796A74" w:rsidRDefault="00796A74" w:rsidP="00E1718E">
      <w:pPr>
        <w:pStyle w:val="ListParagraph"/>
        <w:spacing w:line="360" w:lineRule="auto"/>
      </w:pPr>
    </w:p>
    <w:p w:rsidR="004537C5" w:rsidRDefault="004537C5" w:rsidP="00E1718E">
      <w:pPr>
        <w:pStyle w:val="ListParagraph"/>
        <w:numPr>
          <w:ilvl w:val="1"/>
          <w:numId w:val="3"/>
        </w:numPr>
        <w:spacing w:line="360" w:lineRule="auto"/>
        <w:ind w:left="567" w:hanging="567"/>
        <w:jc w:val="both"/>
      </w:pPr>
      <w:r>
        <w:t xml:space="preserve">Strengthen oversight over the OBP </w:t>
      </w:r>
      <w:r w:rsidR="00641C81">
        <w:t xml:space="preserve">and </w:t>
      </w:r>
      <w:r w:rsidR="00175E8B">
        <w:t>prioritise</w:t>
      </w:r>
      <w:r w:rsidR="00641C81">
        <w:t xml:space="preserve"> engagements </w:t>
      </w:r>
      <w:r w:rsidR="00F3545D">
        <w:t xml:space="preserve">with the entity </w:t>
      </w:r>
      <w:r w:rsidR="009564E4">
        <w:t xml:space="preserve">while ensuring that </w:t>
      </w:r>
      <w:r>
        <w:t xml:space="preserve">the Board and the entity are supported to effectively address the serious challenges that the OBP face. The current state and security measures in the entity, which is a National Key Point, are of serious concern to the Committee. Provide quarterly updates to Parliament on interventions to address challenges at OBP. </w:t>
      </w:r>
    </w:p>
    <w:p w:rsidR="004537C5" w:rsidRDefault="004537C5" w:rsidP="00004F3D">
      <w:pPr>
        <w:pStyle w:val="ListParagraph"/>
      </w:pPr>
    </w:p>
    <w:p w:rsidR="00796A74" w:rsidRDefault="00C9380A" w:rsidP="000B7E0D">
      <w:pPr>
        <w:pStyle w:val="ListParagraph"/>
        <w:numPr>
          <w:ilvl w:val="1"/>
          <w:numId w:val="3"/>
        </w:numPr>
        <w:spacing w:line="360" w:lineRule="auto"/>
        <w:ind w:left="567" w:hanging="567"/>
        <w:jc w:val="both"/>
      </w:pPr>
      <w:r>
        <w:t xml:space="preserve">Ensure </w:t>
      </w:r>
      <w:r w:rsidR="00796A74">
        <w:t xml:space="preserve">that the OBP fast-tracks the appointment of the CEO and the filling of other critical vacancies to avoid further instability at the entity. </w:t>
      </w:r>
    </w:p>
    <w:p w:rsidR="00796A74" w:rsidRDefault="00796A74" w:rsidP="00004F3D">
      <w:pPr>
        <w:pStyle w:val="ListParagraph"/>
      </w:pPr>
    </w:p>
    <w:p w:rsidR="00796A74" w:rsidRDefault="004537C5" w:rsidP="000B7E0D">
      <w:pPr>
        <w:pStyle w:val="ListParagraph"/>
        <w:numPr>
          <w:ilvl w:val="1"/>
          <w:numId w:val="3"/>
        </w:numPr>
        <w:spacing w:line="360" w:lineRule="auto"/>
        <w:ind w:left="567" w:hanging="567"/>
        <w:jc w:val="both"/>
      </w:pPr>
      <w:r>
        <w:t xml:space="preserve">Ensure that the OBP </w:t>
      </w:r>
      <w:r w:rsidR="009564E4">
        <w:t xml:space="preserve">submits an Action Plan with timeframes and funding needs for the completion of the GMP Facility; and also </w:t>
      </w:r>
      <w:r>
        <w:t xml:space="preserve">provides </w:t>
      </w:r>
      <w:r w:rsidR="00175E8B">
        <w:t>quarterly</w:t>
      </w:r>
      <w:r w:rsidR="009564E4">
        <w:t xml:space="preserve"> </w:t>
      </w:r>
      <w:r>
        <w:t>updates on</w:t>
      </w:r>
      <w:r w:rsidR="009564E4">
        <w:t xml:space="preserve"> ongoing</w:t>
      </w:r>
      <w:r>
        <w:t xml:space="preserve"> investigations</w:t>
      </w:r>
      <w:r w:rsidR="00E1718E">
        <w:t xml:space="preserve"> and vaccine availability</w:t>
      </w:r>
      <w:r w:rsidR="009564E4">
        <w:t xml:space="preserve">. </w:t>
      </w:r>
      <w:r>
        <w:t xml:space="preserve"> </w:t>
      </w:r>
    </w:p>
    <w:p w:rsidR="009564E4" w:rsidRDefault="009564E4" w:rsidP="00004F3D">
      <w:pPr>
        <w:pStyle w:val="ListParagraph"/>
      </w:pPr>
    </w:p>
    <w:p w:rsidR="009564E4" w:rsidRDefault="00316F41" w:rsidP="000B7E0D">
      <w:pPr>
        <w:pStyle w:val="ListParagraph"/>
        <w:numPr>
          <w:ilvl w:val="1"/>
          <w:numId w:val="3"/>
        </w:numPr>
        <w:spacing w:line="360" w:lineRule="auto"/>
        <w:ind w:left="567" w:hanging="567"/>
        <w:jc w:val="both"/>
      </w:pPr>
      <w:r>
        <w:t xml:space="preserve">Submit a framework on coordination of activities between the Department and the NAMC including differences between interventions of the Department to those of the NAMC in respect of capacity building programmes for market access for smallholder producers. The framework should also provide information on targeted commodities, areas/districts of intervention in different provinces and impact of such interventions. </w:t>
      </w:r>
    </w:p>
    <w:p w:rsidR="00BC4398" w:rsidRDefault="00BC4398" w:rsidP="00004F3D">
      <w:pPr>
        <w:pStyle w:val="ListParagraph"/>
      </w:pPr>
    </w:p>
    <w:p w:rsidR="00E1718E" w:rsidRDefault="00E1718E" w:rsidP="00004F3D">
      <w:pPr>
        <w:pStyle w:val="ListParagraph"/>
      </w:pPr>
    </w:p>
    <w:p w:rsidR="00F27C16" w:rsidRPr="005A669B" w:rsidRDefault="00F27C16" w:rsidP="00FB5C78">
      <w:pPr>
        <w:spacing w:line="360" w:lineRule="auto"/>
        <w:jc w:val="both"/>
        <w:outlineLvl w:val="0"/>
        <w:rPr>
          <w:b/>
          <w:bCs/>
          <w:i/>
          <w:iCs/>
          <w:lang w:val="en-ZA"/>
        </w:rPr>
      </w:pPr>
      <w:r w:rsidRPr="005A669B">
        <w:rPr>
          <w:bCs/>
          <w:i/>
          <w:iCs/>
          <w:lang w:val="en-ZA"/>
        </w:rPr>
        <w:t>The Committee further recommends that</w:t>
      </w:r>
      <w:r w:rsidR="00011A2B">
        <w:rPr>
          <w:bCs/>
          <w:i/>
          <w:iCs/>
          <w:lang w:val="en-ZA"/>
        </w:rPr>
        <w:t>,</w:t>
      </w:r>
      <w:r w:rsidRPr="005A669B">
        <w:rPr>
          <w:bCs/>
          <w:i/>
          <w:iCs/>
          <w:lang w:val="en-ZA"/>
        </w:rPr>
        <w:t xml:space="preserve"> </w:t>
      </w:r>
      <w:r w:rsidR="00F20CC5">
        <w:rPr>
          <w:bCs/>
          <w:i/>
          <w:iCs/>
          <w:lang w:val="en-ZA"/>
        </w:rPr>
        <w:t xml:space="preserve">unless otherwise indicated, </w:t>
      </w:r>
      <w:r w:rsidRPr="005A669B">
        <w:rPr>
          <w:bCs/>
          <w:i/>
          <w:iCs/>
          <w:lang w:val="en-ZA"/>
        </w:rPr>
        <w:t xml:space="preserve">within three months after the adoption of this report by the National Assembly, the Minister should submit </w:t>
      </w:r>
      <w:r w:rsidR="0027269A">
        <w:rPr>
          <w:bCs/>
          <w:i/>
          <w:iCs/>
          <w:lang w:val="en-ZA"/>
        </w:rPr>
        <w:t xml:space="preserve">to Parliament, </w:t>
      </w:r>
      <w:r w:rsidRPr="005A669B">
        <w:rPr>
          <w:bCs/>
          <w:i/>
          <w:iCs/>
          <w:lang w:val="en-ZA"/>
        </w:rPr>
        <w:t>response</w:t>
      </w:r>
      <w:r w:rsidR="00F1677F">
        <w:rPr>
          <w:bCs/>
          <w:i/>
          <w:iCs/>
          <w:lang w:val="en-ZA"/>
        </w:rPr>
        <w:t>s to</w:t>
      </w:r>
      <w:r w:rsidRPr="005A669B">
        <w:rPr>
          <w:bCs/>
          <w:i/>
          <w:iCs/>
          <w:lang w:val="en-ZA"/>
        </w:rPr>
        <w:t xml:space="preserve"> the above recommendations</w:t>
      </w:r>
      <w:r w:rsidR="0027269A">
        <w:rPr>
          <w:bCs/>
          <w:i/>
          <w:iCs/>
          <w:lang w:val="en-ZA"/>
        </w:rPr>
        <w:t xml:space="preserve">. </w:t>
      </w:r>
      <w:r w:rsidRPr="005A669B">
        <w:rPr>
          <w:b/>
          <w:bCs/>
          <w:i/>
          <w:iCs/>
          <w:lang w:val="en-ZA"/>
        </w:rPr>
        <w:t xml:space="preserve"> </w:t>
      </w:r>
    </w:p>
    <w:p w:rsidR="00F27C16" w:rsidRPr="005A669B" w:rsidRDefault="00F27C16" w:rsidP="00EC33C2">
      <w:pPr>
        <w:spacing w:line="360" w:lineRule="auto"/>
        <w:jc w:val="both"/>
        <w:rPr>
          <w:lang w:val="en-ZA"/>
        </w:rPr>
      </w:pPr>
    </w:p>
    <w:p w:rsidR="00734E06" w:rsidRDefault="00F27C16" w:rsidP="00EC33C2">
      <w:pPr>
        <w:autoSpaceDE w:val="0"/>
        <w:autoSpaceDN w:val="0"/>
        <w:adjustRightInd w:val="0"/>
        <w:spacing w:line="360" w:lineRule="auto"/>
        <w:rPr>
          <w:i/>
          <w:lang w:val="en-ZA"/>
        </w:rPr>
      </w:pPr>
      <w:r w:rsidRPr="005A669B">
        <w:rPr>
          <w:i/>
          <w:lang w:val="en-ZA"/>
        </w:rPr>
        <w:t xml:space="preserve">Report to be considered. </w:t>
      </w:r>
      <w:bookmarkStart w:id="1" w:name="_MailEndCompose"/>
      <w:bookmarkEnd w:id="1"/>
      <w:r w:rsidR="008E1890">
        <w:rPr>
          <w:i/>
          <w:lang w:val="en-ZA"/>
        </w:rPr>
        <w:t xml:space="preserve"> </w:t>
      </w:r>
    </w:p>
    <w:p w:rsidR="008E1890" w:rsidRDefault="008E1890" w:rsidP="00EC33C2">
      <w:pPr>
        <w:autoSpaceDE w:val="0"/>
        <w:autoSpaceDN w:val="0"/>
        <w:adjustRightInd w:val="0"/>
        <w:spacing w:line="360" w:lineRule="auto"/>
        <w:rPr>
          <w:i/>
          <w:lang w:val="en-ZA"/>
        </w:rPr>
      </w:pPr>
    </w:p>
    <w:p w:rsidR="008E1890" w:rsidRDefault="008E1890" w:rsidP="00EC33C2">
      <w:pPr>
        <w:autoSpaceDE w:val="0"/>
        <w:autoSpaceDN w:val="0"/>
        <w:adjustRightInd w:val="0"/>
        <w:spacing w:line="360" w:lineRule="auto"/>
        <w:rPr>
          <w:i/>
          <w:lang w:val="en-ZA"/>
        </w:rPr>
      </w:pPr>
    </w:p>
    <w:p w:rsidR="008E1890" w:rsidRPr="005A669B" w:rsidRDefault="008E1890" w:rsidP="00E1718E">
      <w:pPr>
        <w:pStyle w:val="ListParagraph"/>
        <w:spacing w:line="360" w:lineRule="auto"/>
        <w:jc w:val="both"/>
        <w:rPr>
          <w:b/>
          <w:color w:val="FF0000"/>
        </w:rPr>
      </w:pPr>
    </w:p>
    <w:sectPr w:rsidR="008E1890" w:rsidRPr="005A669B" w:rsidSect="00DB50B6">
      <w:footerReference w:type="even" r:id="rId8"/>
      <w:footerReference w:type="default" r:id="rId9"/>
      <w:pgSz w:w="12240" w:h="15840"/>
      <w:pgMar w:top="1440"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E0C" w:rsidRDefault="00D52E0C">
      <w:r>
        <w:separator/>
      </w:r>
    </w:p>
  </w:endnote>
  <w:endnote w:type="continuationSeparator" w:id="0">
    <w:p w:rsidR="00D52E0C" w:rsidRDefault="00D5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45D" w:rsidRDefault="00F3545D" w:rsidP="00717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545D" w:rsidRDefault="00F3545D" w:rsidP="007C32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45D" w:rsidRDefault="00F3545D" w:rsidP="00717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32C">
      <w:rPr>
        <w:rStyle w:val="PageNumber"/>
        <w:noProof/>
      </w:rPr>
      <w:t>1</w:t>
    </w:r>
    <w:r>
      <w:rPr>
        <w:rStyle w:val="PageNumber"/>
      </w:rPr>
      <w:fldChar w:fldCharType="end"/>
    </w:r>
  </w:p>
  <w:p w:rsidR="00F3545D" w:rsidRDefault="00F3545D" w:rsidP="007C32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E0C" w:rsidRDefault="00D52E0C">
      <w:r>
        <w:separator/>
      </w:r>
    </w:p>
  </w:footnote>
  <w:footnote w:type="continuationSeparator" w:id="0">
    <w:p w:rsidR="00D52E0C" w:rsidRDefault="00D52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39E1"/>
    <w:multiLevelType w:val="multilevel"/>
    <w:tmpl w:val="78E8C4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152AAE"/>
    <w:multiLevelType w:val="hybridMultilevel"/>
    <w:tmpl w:val="880EFF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D676358"/>
    <w:multiLevelType w:val="hybridMultilevel"/>
    <w:tmpl w:val="46C8FCD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21C068C0"/>
    <w:multiLevelType w:val="hybridMultilevel"/>
    <w:tmpl w:val="A874FB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B940BC3"/>
    <w:multiLevelType w:val="hybridMultilevel"/>
    <w:tmpl w:val="36BE63A8"/>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959390E"/>
    <w:multiLevelType w:val="hybridMultilevel"/>
    <w:tmpl w:val="02B64A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470E1E98"/>
    <w:multiLevelType w:val="multilevel"/>
    <w:tmpl w:val="A6A6DB52"/>
    <w:lvl w:ilvl="0">
      <w:start w:val="6"/>
      <w:numFmt w:val="decimal"/>
      <w:lvlText w:val="%1"/>
      <w:lvlJc w:val="left"/>
      <w:pPr>
        <w:ind w:left="2061"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781" w:hanging="1080"/>
      </w:pPr>
      <w:rPr>
        <w:rFonts w:hint="default"/>
      </w:rPr>
    </w:lvl>
    <w:lvl w:ilvl="5">
      <w:start w:val="1"/>
      <w:numFmt w:val="decimal"/>
      <w:lvlText w:val="%1.%2.%3.%4.%5.%6"/>
      <w:lvlJc w:val="left"/>
      <w:pPr>
        <w:ind w:left="2781" w:hanging="1080"/>
      </w:pPr>
      <w:rPr>
        <w:rFonts w:hint="default"/>
      </w:rPr>
    </w:lvl>
    <w:lvl w:ilvl="6">
      <w:start w:val="1"/>
      <w:numFmt w:val="decimal"/>
      <w:lvlText w:val="%1.%2.%3.%4.%5.%6.%7"/>
      <w:lvlJc w:val="left"/>
      <w:pPr>
        <w:ind w:left="3141"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501" w:hanging="1800"/>
      </w:pPr>
      <w:rPr>
        <w:rFonts w:hint="default"/>
      </w:rPr>
    </w:lvl>
  </w:abstractNum>
  <w:abstractNum w:abstractNumId="7" w15:restartNumberingAfterBreak="0">
    <w:nsid w:val="54353F8F"/>
    <w:multiLevelType w:val="hybridMultilevel"/>
    <w:tmpl w:val="13E496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58394388"/>
    <w:multiLevelType w:val="multilevel"/>
    <w:tmpl w:val="719E29DE"/>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0D649FC"/>
    <w:multiLevelType w:val="hybridMultilevel"/>
    <w:tmpl w:val="65FAC3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6E2F46F5"/>
    <w:multiLevelType w:val="hybridMultilevel"/>
    <w:tmpl w:val="F29AB0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10"/>
  </w:num>
  <w:num w:numId="5">
    <w:abstractNumId w:val="1"/>
  </w:num>
  <w:num w:numId="6">
    <w:abstractNumId w:val="5"/>
  </w:num>
  <w:num w:numId="7">
    <w:abstractNumId w:val="3"/>
  </w:num>
  <w:num w:numId="8">
    <w:abstractNumId w:val="7"/>
  </w:num>
  <w:num w:numId="9">
    <w:abstractNumId w:val="9"/>
  </w:num>
  <w:num w:numId="10">
    <w:abstractNumId w:val="2"/>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73"/>
    <w:rsid w:val="00000821"/>
    <w:rsid w:val="000008F7"/>
    <w:rsid w:val="00001034"/>
    <w:rsid w:val="0000175A"/>
    <w:rsid w:val="00001B62"/>
    <w:rsid w:val="0000284E"/>
    <w:rsid w:val="00003168"/>
    <w:rsid w:val="00003CF5"/>
    <w:rsid w:val="000042F4"/>
    <w:rsid w:val="00004E3F"/>
    <w:rsid w:val="00004F3D"/>
    <w:rsid w:val="00004F4E"/>
    <w:rsid w:val="00005CC0"/>
    <w:rsid w:val="00005CDE"/>
    <w:rsid w:val="00006989"/>
    <w:rsid w:val="00006E76"/>
    <w:rsid w:val="00006EAB"/>
    <w:rsid w:val="00006F14"/>
    <w:rsid w:val="00007783"/>
    <w:rsid w:val="0001010B"/>
    <w:rsid w:val="0001024D"/>
    <w:rsid w:val="00010E6E"/>
    <w:rsid w:val="000115A4"/>
    <w:rsid w:val="00011A2B"/>
    <w:rsid w:val="00011C30"/>
    <w:rsid w:val="000125CE"/>
    <w:rsid w:val="00012EF2"/>
    <w:rsid w:val="000132B6"/>
    <w:rsid w:val="00013524"/>
    <w:rsid w:val="000146D1"/>
    <w:rsid w:val="000146DF"/>
    <w:rsid w:val="0001529F"/>
    <w:rsid w:val="00015A13"/>
    <w:rsid w:val="00015AEA"/>
    <w:rsid w:val="000201F3"/>
    <w:rsid w:val="0002078C"/>
    <w:rsid w:val="00020E1E"/>
    <w:rsid w:val="0002250D"/>
    <w:rsid w:val="00022A93"/>
    <w:rsid w:val="00024BDB"/>
    <w:rsid w:val="00024FC0"/>
    <w:rsid w:val="0002679D"/>
    <w:rsid w:val="000275D5"/>
    <w:rsid w:val="000276C3"/>
    <w:rsid w:val="0003012A"/>
    <w:rsid w:val="00030488"/>
    <w:rsid w:val="00030CF0"/>
    <w:rsid w:val="00030E02"/>
    <w:rsid w:val="00030E7B"/>
    <w:rsid w:val="00030F5C"/>
    <w:rsid w:val="000312EB"/>
    <w:rsid w:val="00031473"/>
    <w:rsid w:val="00031908"/>
    <w:rsid w:val="00032007"/>
    <w:rsid w:val="00032338"/>
    <w:rsid w:val="000324B9"/>
    <w:rsid w:val="00032636"/>
    <w:rsid w:val="00032779"/>
    <w:rsid w:val="00034665"/>
    <w:rsid w:val="00035654"/>
    <w:rsid w:val="00035F9F"/>
    <w:rsid w:val="000360C3"/>
    <w:rsid w:val="000361A4"/>
    <w:rsid w:val="0003650E"/>
    <w:rsid w:val="00036EB4"/>
    <w:rsid w:val="000371EE"/>
    <w:rsid w:val="000373F3"/>
    <w:rsid w:val="00037462"/>
    <w:rsid w:val="00037498"/>
    <w:rsid w:val="000403CF"/>
    <w:rsid w:val="00040BDE"/>
    <w:rsid w:val="0004102C"/>
    <w:rsid w:val="000429A3"/>
    <w:rsid w:val="00042E7D"/>
    <w:rsid w:val="00044A95"/>
    <w:rsid w:val="00045B24"/>
    <w:rsid w:val="00045C0A"/>
    <w:rsid w:val="000469FB"/>
    <w:rsid w:val="00047900"/>
    <w:rsid w:val="00047E76"/>
    <w:rsid w:val="000501DE"/>
    <w:rsid w:val="00050269"/>
    <w:rsid w:val="00050DF2"/>
    <w:rsid w:val="00050F20"/>
    <w:rsid w:val="000515AB"/>
    <w:rsid w:val="0005285A"/>
    <w:rsid w:val="00052900"/>
    <w:rsid w:val="000534E7"/>
    <w:rsid w:val="0005361A"/>
    <w:rsid w:val="00054059"/>
    <w:rsid w:val="00054324"/>
    <w:rsid w:val="00054D14"/>
    <w:rsid w:val="00054D47"/>
    <w:rsid w:val="00055651"/>
    <w:rsid w:val="00055D20"/>
    <w:rsid w:val="000564E2"/>
    <w:rsid w:val="0005670B"/>
    <w:rsid w:val="00056A5B"/>
    <w:rsid w:val="00057114"/>
    <w:rsid w:val="00057339"/>
    <w:rsid w:val="000578F6"/>
    <w:rsid w:val="00057BA0"/>
    <w:rsid w:val="00057C21"/>
    <w:rsid w:val="0006035C"/>
    <w:rsid w:val="00062246"/>
    <w:rsid w:val="00062B12"/>
    <w:rsid w:val="00063C11"/>
    <w:rsid w:val="00064096"/>
    <w:rsid w:val="00064532"/>
    <w:rsid w:val="000645AD"/>
    <w:rsid w:val="00064A5B"/>
    <w:rsid w:val="00065016"/>
    <w:rsid w:val="000652AF"/>
    <w:rsid w:val="00065BD4"/>
    <w:rsid w:val="00065D60"/>
    <w:rsid w:val="000661C5"/>
    <w:rsid w:val="000661E1"/>
    <w:rsid w:val="00067578"/>
    <w:rsid w:val="00067871"/>
    <w:rsid w:val="00070279"/>
    <w:rsid w:val="00070EDE"/>
    <w:rsid w:val="000711C9"/>
    <w:rsid w:val="00071297"/>
    <w:rsid w:val="00071592"/>
    <w:rsid w:val="000717B3"/>
    <w:rsid w:val="00071EBA"/>
    <w:rsid w:val="0007220D"/>
    <w:rsid w:val="0007389B"/>
    <w:rsid w:val="0007487E"/>
    <w:rsid w:val="0007531F"/>
    <w:rsid w:val="000756BA"/>
    <w:rsid w:val="00075FDC"/>
    <w:rsid w:val="000762CA"/>
    <w:rsid w:val="000775BC"/>
    <w:rsid w:val="000777C5"/>
    <w:rsid w:val="00077865"/>
    <w:rsid w:val="00077CCA"/>
    <w:rsid w:val="00077F0D"/>
    <w:rsid w:val="00080BC5"/>
    <w:rsid w:val="00080D25"/>
    <w:rsid w:val="00081106"/>
    <w:rsid w:val="00081B23"/>
    <w:rsid w:val="00082C0C"/>
    <w:rsid w:val="00082D37"/>
    <w:rsid w:val="00083E7A"/>
    <w:rsid w:val="00083FD6"/>
    <w:rsid w:val="000842CD"/>
    <w:rsid w:val="000845D4"/>
    <w:rsid w:val="00084651"/>
    <w:rsid w:val="00084850"/>
    <w:rsid w:val="00084C0F"/>
    <w:rsid w:val="00085EEA"/>
    <w:rsid w:val="00086029"/>
    <w:rsid w:val="000861AD"/>
    <w:rsid w:val="0008658E"/>
    <w:rsid w:val="000868AD"/>
    <w:rsid w:val="000871E7"/>
    <w:rsid w:val="000908E2"/>
    <w:rsid w:val="00090B1F"/>
    <w:rsid w:val="00091091"/>
    <w:rsid w:val="0009243D"/>
    <w:rsid w:val="000924AC"/>
    <w:rsid w:val="000925BF"/>
    <w:rsid w:val="000931C6"/>
    <w:rsid w:val="00094577"/>
    <w:rsid w:val="00094F9E"/>
    <w:rsid w:val="0009507B"/>
    <w:rsid w:val="00095395"/>
    <w:rsid w:val="00095C0E"/>
    <w:rsid w:val="00095FD3"/>
    <w:rsid w:val="00096D13"/>
    <w:rsid w:val="0009745A"/>
    <w:rsid w:val="00097545"/>
    <w:rsid w:val="0009787F"/>
    <w:rsid w:val="000A01E1"/>
    <w:rsid w:val="000A04C4"/>
    <w:rsid w:val="000A0733"/>
    <w:rsid w:val="000A0D34"/>
    <w:rsid w:val="000A1AAB"/>
    <w:rsid w:val="000A1AAD"/>
    <w:rsid w:val="000A1C72"/>
    <w:rsid w:val="000A2474"/>
    <w:rsid w:val="000A3C18"/>
    <w:rsid w:val="000A3EEA"/>
    <w:rsid w:val="000A45DC"/>
    <w:rsid w:val="000A47F3"/>
    <w:rsid w:val="000A48ED"/>
    <w:rsid w:val="000A4BD5"/>
    <w:rsid w:val="000A60B0"/>
    <w:rsid w:val="000A67A6"/>
    <w:rsid w:val="000A6D26"/>
    <w:rsid w:val="000A6D77"/>
    <w:rsid w:val="000A756B"/>
    <w:rsid w:val="000A7D54"/>
    <w:rsid w:val="000B0222"/>
    <w:rsid w:val="000B0A49"/>
    <w:rsid w:val="000B12D0"/>
    <w:rsid w:val="000B1B87"/>
    <w:rsid w:val="000B21F7"/>
    <w:rsid w:val="000B241B"/>
    <w:rsid w:val="000B25E0"/>
    <w:rsid w:val="000B2B3C"/>
    <w:rsid w:val="000B3140"/>
    <w:rsid w:val="000B37A6"/>
    <w:rsid w:val="000B4F10"/>
    <w:rsid w:val="000B64EF"/>
    <w:rsid w:val="000B6976"/>
    <w:rsid w:val="000B6BDA"/>
    <w:rsid w:val="000B6FA8"/>
    <w:rsid w:val="000B7431"/>
    <w:rsid w:val="000B7E0D"/>
    <w:rsid w:val="000C00D7"/>
    <w:rsid w:val="000C0976"/>
    <w:rsid w:val="000C14BD"/>
    <w:rsid w:val="000C18C0"/>
    <w:rsid w:val="000C1A61"/>
    <w:rsid w:val="000C1CE3"/>
    <w:rsid w:val="000C1D87"/>
    <w:rsid w:val="000C213F"/>
    <w:rsid w:val="000C27A6"/>
    <w:rsid w:val="000C2C97"/>
    <w:rsid w:val="000C34C2"/>
    <w:rsid w:val="000C3D5B"/>
    <w:rsid w:val="000C3F6E"/>
    <w:rsid w:val="000C45A4"/>
    <w:rsid w:val="000C4956"/>
    <w:rsid w:val="000C5340"/>
    <w:rsid w:val="000C5B61"/>
    <w:rsid w:val="000C5C78"/>
    <w:rsid w:val="000C6A7E"/>
    <w:rsid w:val="000C707E"/>
    <w:rsid w:val="000D03EB"/>
    <w:rsid w:val="000D0AE5"/>
    <w:rsid w:val="000D0F62"/>
    <w:rsid w:val="000D12BD"/>
    <w:rsid w:val="000D12F4"/>
    <w:rsid w:val="000D1D0B"/>
    <w:rsid w:val="000D1F77"/>
    <w:rsid w:val="000D247B"/>
    <w:rsid w:val="000D3063"/>
    <w:rsid w:val="000D41C4"/>
    <w:rsid w:val="000D47CB"/>
    <w:rsid w:val="000D4D76"/>
    <w:rsid w:val="000D4DD7"/>
    <w:rsid w:val="000D5291"/>
    <w:rsid w:val="000D5A55"/>
    <w:rsid w:val="000D6683"/>
    <w:rsid w:val="000D67A5"/>
    <w:rsid w:val="000D709B"/>
    <w:rsid w:val="000D7140"/>
    <w:rsid w:val="000D78C0"/>
    <w:rsid w:val="000D7E11"/>
    <w:rsid w:val="000D7EE2"/>
    <w:rsid w:val="000E1B2F"/>
    <w:rsid w:val="000E1FB8"/>
    <w:rsid w:val="000E2074"/>
    <w:rsid w:val="000E2639"/>
    <w:rsid w:val="000E2BC9"/>
    <w:rsid w:val="000E2CEA"/>
    <w:rsid w:val="000E4235"/>
    <w:rsid w:val="000E4E13"/>
    <w:rsid w:val="000E75C3"/>
    <w:rsid w:val="000E779F"/>
    <w:rsid w:val="000E77F5"/>
    <w:rsid w:val="000E7B92"/>
    <w:rsid w:val="000E7BDD"/>
    <w:rsid w:val="000F031C"/>
    <w:rsid w:val="000F1D18"/>
    <w:rsid w:val="000F25F3"/>
    <w:rsid w:val="000F3259"/>
    <w:rsid w:val="000F32AB"/>
    <w:rsid w:val="000F3518"/>
    <w:rsid w:val="000F3912"/>
    <w:rsid w:val="000F3B53"/>
    <w:rsid w:val="000F42D0"/>
    <w:rsid w:val="000F43F2"/>
    <w:rsid w:val="000F4D6B"/>
    <w:rsid w:val="000F5447"/>
    <w:rsid w:val="000F5838"/>
    <w:rsid w:val="000F5CB9"/>
    <w:rsid w:val="000F5E73"/>
    <w:rsid w:val="000F6F63"/>
    <w:rsid w:val="000F7710"/>
    <w:rsid w:val="000F7E88"/>
    <w:rsid w:val="00100A1F"/>
    <w:rsid w:val="0010105F"/>
    <w:rsid w:val="00101BF1"/>
    <w:rsid w:val="001020AE"/>
    <w:rsid w:val="0010370A"/>
    <w:rsid w:val="001037F2"/>
    <w:rsid w:val="00103899"/>
    <w:rsid w:val="001044AB"/>
    <w:rsid w:val="00104675"/>
    <w:rsid w:val="00104D0B"/>
    <w:rsid w:val="00104D26"/>
    <w:rsid w:val="0010503D"/>
    <w:rsid w:val="001051BC"/>
    <w:rsid w:val="001053EE"/>
    <w:rsid w:val="00105B0C"/>
    <w:rsid w:val="00106266"/>
    <w:rsid w:val="00106329"/>
    <w:rsid w:val="001067E6"/>
    <w:rsid w:val="00106C62"/>
    <w:rsid w:val="00106D95"/>
    <w:rsid w:val="00107867"/>
    <w:rsid w:val="00111650"/>
    <w:rsid w:val="001117C8"/>
    <w:rsid w:val="00111A2B"/>
    <w:rsid w:val="00112DB4"/>
    <w:rsid w:val="001147B8"/>
    <w:rsid w:val="00115251"/>
    <w:rsid w:val="0011591F"/>
    <w:rsid w:val="001175D3"/>
    <w:rsid w:val="0011763F"/>
    <w:rsid w:val="00120795"/>
    <w:rsid w:val="00120C20"/>
    <w:rsid w:val="00121ADE"/>
    <w:rsid w:val="00121D05"/>
    <w:rsid w:val="00121D33"/>
    <w:rsid w:val="001226B2"/>
    <w:rsid w:val="00122A3C"/>
    <w:rsid w:val="00122C35"/>
    <w:rsid w:val="001241AA"/>
    <w:rsid w:val="00125D6E"/>
    <w:rsid w:val="00125FBC"/>
    <w:rsid w:val="00126385"/>
    <w:rsid w:val="001267E6"/>
    <w:rsid w:val="00126D22"/>
    <w:rsid w:val="00127341"/>
    <w:rsid w:val="00127513"/>
    <w:rsid w:val="001277D0"/>
    <w:rsid w:val="00127910"/>
    <w:rsid w:val="00130520"/>
    <w:rsid w:val="00130DD5"/>
    <w:rsid w:val="001312A0"/>
    <w:rsid w:val="001312AE"/>
    <w:rsid w:val="0013135A"/>
    <w:rsid w:val="001318C2"/>
    <w:rsid w:val="00131E26"/>
    <w:rsid w:val="0013360D"/>
    <w:rsid w:val="0013391D"/>
    <w:rsid w:val="00133ECB"/>
    <w:rsid w:val="001343BB"/>
    <w:rsid w:val="001347C1"/>
    <w:rsid w:val="00134B3B"/>
    <w:rsid w:val="0013529D"/>
    <w:rsid w:val="001355B2"/>
    <w:rsid w:val="0013561F"/>
    <w:rsid w:val="00135640"/>
    <w:rsid w:val="001358C9"/>
    <w:rsid w:val="00136C84"/>
    <w:rsid w:val="00136F8A"/>
    <w:rsid w:val="00137181"/>
    <w:rsid w:val="00137374"/>
    <w:rsid w:val="001375FC"/>
    <w:rsid w:val="00140C26"/>
    <w:rsid w:val="00141339"/>
    <w:rsid w:val="001415D3"/>
    <w:rsid w:val="001417B6"/>
    <w:rsid w:val="0014215B"/>
    <w:rsid w:val="00142203"/>
    <w:rsid w:val="0014220E"/>
    <w:rsid w:val="001422F2"/>
    <w:rsid w:val="00142EE0"/>
    <w:rsid w:val="00143943"/>
    <w:rsid w:val="00143CC8"/>
    <w:rsid w:val="001444F4"/>
    <w:rsid w:val="001448BB"/>
    <w:rsid w:val="00146366"/>
    <w:rsid w:val="00146383"/>
    <w:rsid w:val="0014665F"/>
    <w:rsid w:val="00146AB1"/>
    <w:rsid w:val="00146E4E"/>
    <w:rsid w:val="00146F32"/>
    <w:rsid w:val="001471FC"/>
    <w:rsid w:val="001477F5"/>
    <w:rsid w:val="0014794C"/>
    <w:rsid w:val="00147FA1"/>
    <w:rsid w:val="00150D7D"/>
    <w:rsid w:val="00151637"/>
    <w:rsid w:val="00151C4F"/>
    <w:rsid w:val="00152329"/>
    <w:rsid w:val="0015274A"/>
    <w:rsid w:val="00154231"/>
    <w:rsid w:val="0015462F"/>
    <w:rsid w:val="0015554B"/>
    <w:rsid w:val="0015560D"/>
    <w:rsid w:val="00155F39"/>
    <w:rsid w:val="001572A9"/>
    <w:rsid w:val="001574E0"/>
    <w:rsid w:val="001628A7"/>
    <w:rsid w:val="00164534"/>
    <w:rsid w:val="00164CD8"/>
    <w:rsid w:val="0016567F"/>
    <w:rsid w:val="00166111"/>
    <w:rsid w:val="001666B0"/>
    <w:rsid w:val="00166A9D"/>
    <w:rsid w:val="00166AA4"/>
    <w:rsid w:val="00166C74"/>
    <w:rsid w:val="00167B59"/>
    <w:rsid w:val="00167E7C"/>
    <w:rsid w:val="0017007A"/>
    <w:rsid w:val="001701E3"/>
    <w:rsid w:val="00170975"/>
    <w:rsid w:val="00170B94"/>
    <w:rsid w:val="0017110D"/>
    <w:rsid w:val="00171C5A"/>
    <w:rsid w:val="00172973"/>
    <w:rsid w:val="00172D78"/>
    <w:rsid w:val="0017303B"/>
    <w:rsid w:val="00174306"/>
    <w:rsid w:val="001746A4"/>
    <w:rsid w:val="0017478E"/>
    <w:rsid w:val="00174971"/>
    <w:rsid w:val="00174D1F"/>
    <w:rsid w:val="0017577A"/>
    <w:rsid w:val="00175E8B"/>
    <w:rsid w:val="0017628A"/>
    <w:rsid w:val="001764A7"/>
    <w:rsid w:val="0017650C"/>
    <w:rsid w:val="00176621"/>
    <w:rsid w:val="001767B9"/>
    <w:rsid w:val="00176A67"/>
    <w:rsid w:val="00177426"/>
    <w:rsid w:val="001806FA"/>
    <w:rsid w:val="00180FA2"/>
    <w:rsid w:val="001817F9"/>
    <w:rsid w:val="001818AE"/>
    <w:rsid w:val="00181992"/>
    <w:rsid w:val="00182BA1"/>
    <w:rsid w:val="00182D86"/>
    <w:rsid w:val="001842D7"/>
    <w:rsid w:val="00184354"/>
    <w:rsid w:val="00185769"/>
    <w:rsid w:val="00185B80"/>
    <w:rsid w:val="00186317"/>
    <w:rsid w:val="001868B8"/>
    <w:rsid w:val="00186DA3"/>
    <w:rsid w:val="00187CB4"/>
    <w:rsid w:val="00190019"/>
    <w:rsid w:val="00190A79"/>
    <w:rsid w:val="00190FA9"/>
    <w:rsid w:val="00191183"/>
    <w:rsid w:val="0019232A"/>
    <w:rsid w:val="001930BB"/>
    <w:rsid w:val="00194F2E"/>
    <w:rsid w:val="00195289"/>
    <w:rsid w:val="00195431"/>
    <w:rsid w:val="0019579E"/>
    <w:rsid w:val="00195C87"/>
    <w:rsid w:val="00196DDB"/>
    <w:rsid w:val="0019764A"/>
    <w:rsid w:val="0019782C"/>
    <w:rsid w:val="00197D1C"/>
    <w:rsid w:val="00197DFC"/>
    <w:rsid w:val="001A0A0F"/>
    <w:rsid w:val="001A0A56"/>
    <w:rsid w:val="001A0CBB"/>
    <w:rsid w:val="001A10E4"/>
    <w:rsid w:val="001A1B2C"/>
    <w:rsid w:val="001A3080"/>
    <w:rsid w:val="001A3471"/>
    <w:rsid w:val="001A36EA"/>
    <w:rsid w:val="001A3832"/>
    <w:rsid w:val="001A43CC"/>
    <w:rsid w:val="001A4873"/>
    <w:rsid w:val="001A4BC7"/>
    <w:rsid w:val="001A4E6A"/>
    <w:rsid w:val="001A5FA8"/>
    <w:rsid w:val="001A7522"/>
    <w:rsid w:val="001A7A42"/>
    <w:rsid w:val="001A7A71"/>
    <w:rsid w:val="001B0202"/>
    <w:rsid w:val="001B0A68"/>
    <w:rsid w:val="001B0B9E"/>
    <w:rsid w:val="001B0D1D"/>
    <w:rsid w:val="001B0DC1"/>
    <w:rsid w:val="001B1346"/>
    <w:rsid w:val="001B1826"/>
    <w:rsid w:val="001B1DB3"/>
    <w:rsid w:val="001B21D7"/>
    <w:rsid w:val="001B26D0"/>
    <w:rsid w:val="001B27F8"/>
    <w:rsid w:val="001B28F8"/>
    <w:rsid w:val="001B2A86"/>
    <w:rsid w:val="001B37BE"/>
    <w:rsid w:val="001B387C"/>
    <w:rsid w:val="001B3921"/>
    <w:rsid w:val="001B3AB9"/>
    <w:rsid w:val="001B41FA"/>
    <w:rsid w:val="001B4295"/>
    <w:rsid w:val="001B4495"/>
    <w:rsid w:val="001B44AF"/>
    <w:rsid w:val="001B4CE0"/>
    <w:rsid w:val="001B53FF"/>
    <w:rsid w:val="001B61E6"/>
    <w:rsid w:val="001B680F"/>
    <w:rsid w:val="001B6B39"/>
    <w:rsid w:val="001B6B7F"/>
    <w:rsid w:val="001C0BEE"/>
    <w:rsid w:val="001C13DE"/>
    <w:rsid w:val="001C151C"/>
    <w:rsid w:val="001C1828"/>
    <w:rsid w:val="001C1E44"/>
    <w:rsid w:val="001C23FA"/>
    <w:rsid w:val="001C26E4"/>
    <w:rsid w:val="001C2B0B"/>
    <w:rsid w:val="001C3364"/>
    <w:rsid w:val="001C3879"/>
    <w:rsid w:val="001C3929"/>
    <w:rsid w:val="001C4760"/>
    <w:rsid w:val="001C47BE"/>
    <w:rsid w:val="001C5194"/>
    <w:rsid w:val="001C586A"/>
    <w:rsid w:val="001C65FF"/>
    <w:rsid w:val="001C6636"/>
    <w:rsid w:val="001C6D2F"/>
    <w:rsid w:val="001C727E"/>
    <w:rsid w:val="001D0312"/>
    <w:rsid w:val="001D03F1"/>
    <w:rsid w:val="001D086F"/>
    <w:rsid w:val="001D0CAA"/>
    <w:rsid w:val="001D0F9B"/>
    <w:rsid w:val="001D1091"/>
    <w:rsid w:val="001D10E1"/>
    <w:rsid w:val="001D16C4"/>
    <w:rsid w:val="001D1FDA"/>
    <w:rsid w:val="001D2732"/>
    <w:rsid w:val="001D3535"/>
    <w:rsid w:val="001D3E79"/>
    <w:rsid w:val="001D491D"/>
    <w:rsid w:val="001D4EA4"/>
    <w:rsid w:val="001D5378"/>
    <w:rsid w:val="001D5987"/>
    <w:rsid w:val="001D64F2"/>
    <w:rsid w:val="001D7B44"/>
    <w:rsid w:val="001E09BC"/>
    <w:rsid w:val="001E13B8"/>
    <w:rsid w:val="001E17F9"/>
    <w:rsid w:val="001E2212"/>
    <w:rsid w:val="001E280E"/>
    <w:rsid w:val="001E3DF3"/>
    <w:rsid w:val="001E4108"/>
    <w:rsid w:val="001E4FBE"/>
    <w:rsid w:val="001E50D7"/>
    <w:rsid w:val="001E54C4"/>
    <w:rsid w:val="001E64E7"/>
    <w:rsid w:val="001E65E9"/>
    <w:rsid w:val="001E7B3F"/>
    <w:rsid w:val="001F1B31"/>
    <w:rsid w:val="001F2510"/>
    <w:rsid w:val="001F29F1"/>
    <w:rsid w:val="001F2B13"/>
    <w:rsid w:val="001F37C1"/>
    <w:rsid w:val="001F58C9"/>
    <w:rsid w:val="001F7B90"/>
    <w:rsid w:val="001F7EB1"/>
    <w:rsid w:val="00200205"/>
    <w:rsid w:val="0020029D"/>
    <w:rsid w:val="00200803"/>
    <w:rsid w:val="00200C6F"/>
    <w:rsid w:val="00203B3B"/>
    <w:rsid w:val="00205560"/>
    <w:rsid w:val="00205E30"/>
    <w:rsid w:val="002061FE"/>
    <w:rsid w:val="0020688B"/>
    <w:rsid w:val="002069A0"/>
    <w:rsid w:val="00206AAE"/>
    <w:rsid w:val="00206E29"/>
    <w:rsid w:val="002071BF"/>
    <w:rsid w:val="00210653"/>
    <w:rsid w:val="0021163E"/>
    <w:rsid w:val="002116E8"/>
    <w:rsid w:val="0021183C"/>
    <w:rsid w:val="00211F96"/>
    <w:rsid w:val="00211FF8"/>
    <w:rsid w:val="00214131"/>
    <w:rsid w:val="002148A9"/>
    <w:rsid w:val="002148DE"/>
    <w:rsid w:val="00214F8D"/>
    <w:rsid w:val="00214FD1"/>
    <w:rsid w:val="0021554A"/>
    <w:rsid w:val="00215864"/>
    <w:rsid w:val="0021644E"/>
    <w:rsid w:val="002169EE"/>
    <w:rsid w:val="00217268"/>
    <w:rsid w:val="002202C3"/>
    <w:rsid w:val="002207B4"/>
    <w:rsid w:val="0022114A"/>
    <w:rsid w:val="00223101"/>
    <w:rsid w:val="002237DE"/>
    <w:rsid w:val="002242DF"/>
    <w:rsid w:val="00224500"/>
    <w:rsid w:val="0022454D"/>
    <w:rsid w:val="0022461F"/>
    <w:rsid w:val="00224D22"/>
    <w:rsid w:val="00224D25"/>
    <w:rsid w:val="00224DE9"/>
    <w:rsid w:val="00225DA7"/>
    <w:rsid w:val="00226116"/>
    <w:rsid w:val="00226FAE"/>
    <w:rsid w:val="0022707D"/>
    <w:rsid w:val="0023034D"/>
    <w:rsid w:val="00230770"/>
    <w:rsid w:val="00230B1C"/>
    <w:rsid w:val="00230C0F"/>
    <w:rsid w:val="002325EC"/>
    <w:rsid w:val="002334C4"/>
    <w:rsid w:val="002337CE"/>
    <w:rsid w:val="00233DA3"/>
    <w:rsid w:val="002341A4"/>
    <w:rsid w:val="0023480B"/>
    <w:rsid w:val="00234F3B"/>
    <w:rsid w:val="00235394"/>
    <w:rsid w:val="002353B9"/>
    <w:rsid w:val="00235D5A"/>
    <w:rsid w:val="00235D69"/>
    <w:rsid w:val="00236FDB"/>
    <w:rsid w:val="002371EE"/>
    <w:rsid w:val="0023741E"/>
    <w:rsid w:val="00237531"/>
    <w:rsid w:val="00240A7D"/>
    <w:rsid w:val="00240DBC"/>
    <w:rsid w:val="002410F5"/>
    <w:rsid w:val="00241B61"/>
    <w:rsid w:val="00241B86"/>
    <w:rsid w:val="00241F88"/>
    <w:rsid w:val="00242375"/>
    <w:rsid w:val="002425D1"/>
    <w:rsid w:val="0024316A"/>
    <w:rsid w:val="00244536"/>
    <w:rsid w:val="00245493"/>
    <w:rsid w:val="002455EE"/>
    <w:rsid w:val="0024632E"/>
    <w:rsid w:val="002474A8"/>
    <w:rsid w:val="0024788D"/>
    <w:rsid w:val="00247937"/>
    <w:rsid w:val="00247D12"/>
    <w:rsid w:val="0025016C"/>
    <w:rsid w:val="00250A17"/>
    <w:rsid w:val="00251BF5"/>
    <w:rsid w:val="00252864"/>
    <w:rsid w:val="00253EBB"/>
    <w:rsid w:val="002542CF"/>
    <w:rsid w:val="002544EB"/>
    <w:rsid w:val="00254611"/>
    <w:rsid w:val="00255B71"/>
    <w:rsid w:val="00256CD1"/>
    <w:rsid w:val="00256DC6"/>
    <w:rsid w:val="00256F0B"/>
    <w:rsid w:val="00261A53"/>
    <w:rsid w:val="00262166"/>
    <w:rsid w:val="00262FDA"/>
    <w:rsid w:val="00263D27"/>
    <w:rsid w:val="002650F0"/>
    <w:rsid w:val="0026511C"/>
    <w:rsid w:val="0026559B"/>
    <w:rsid w:val="00265AAC"/>
    <w:rsid w:val="00265D02"/>
    <w:rsid w:val="00266EAE"/>
    <w:rsid w:val="00266EB6"/>
    <w:rsid w:val="0026709A"/>
    <w:rsid w:val="0026716F"/>
    <w:rsid w:val="00267226"/>
    <w:rsid w:val="00267495"/>
    <w:rsid w:val="00267E2A"/>
    <w:rsid w:val="002712E7"/>
    <w:rsid w:val="0027180B"/>
    <w:rsid w:val="00271B40"/>
    <w:rsid w:val="002720BB"/>
    <w:rsid w:val="00272337"/>
    <w:rsid w:val="0027269A"/>
    <w:rsid w:val="00272EE2"/>
    <w:rsid w:val="002730FA"/>
    <w:rsid w:val="002733F2"/>
    <w:rsid w:val="0027363E"/>
    <w:rsid w:val="00273B51"/>
    <w:rsid w:val="00275630"/>
    <w:rsid w:val="00275A6D"/>
    <w:rsid w:val="00276168"/>
    <w:rsid w:val="002762CE"/>
    <w:rsid w:val="00276500"/>
    <w:rsid w:val="0027684F"/>
    <w:rsid w:val="002776AC"/>
    <w:rsid w:val="002776DA"/>
    <w:rsid w:val="00277885"/>
    <w:rsid w:val="00277F18"/>
    <w:rsid w:val="00280317"/>
    <w:rsid w:val="00280BC3"/>
    <w:rsid w:val="002813C4"/>
    <w:rsid w:val="002818FB"/>
    <w:rsid w:val="00282CFA"/>
    <w:rsid w:val="00283DCB"/>
    <w:rsid w:val="00284506"/>
    <w:rsid w:val="002854CB"/>
    <w:rsid w:val="00285952"/>
    <w:rsid w:val="002861D6"/>
    <w:rsid w:val="00286CE5"/>
    <w:rsid w:val="00286E8D"/>
    <w:rsid w:val="00287872"/>
    <w:rsid w:val="00290358"/>
    <w:rsid w:val="0029071F"/>
    <w:rsid w:val="00290CCA"/>
    <w:rsid w:val="00290FA5"/>
    <w:rsid w:val="00291FD7"/>
    <w:rsid w:val="00292148"/>
    <w:rsid w:val="00292C12"/>
    <w:rsid w:val="002936F0"/>
    <w:rsid w:val="00293AED"/>
    <w:rsid w:val="0029475A"/>
    <w:rsid w:val="0029511E"/>
    <w:rsid w:val="00295875"/>
    <w:rsid w:val="00295B1F"/>
    <w:rsid w:val="00295E9C"/>
    <w:rsid w:val="00296AB6"/>
    <w:rsid w:val="00296EBB"/>
    <w:rsid w:val="00296F17"/>
    <w:rsid w:val="002975DE"/>
    <w:rsid w:val="0029773A"/>
    <w:rsid w:val="002977A6"/>
    <w:rsid w:val="002A03A3"/>
    <w:rsid w:val="002A10BF"/>
    <w:rsid w:val="002A13A2"/>
    <w:rsid w:val="002A14C9"/>
    <w:rsid w:val="002A21C2"/>
    <w:rsid w:val="002A314F"/>
    <w:rsid w:val="002A4580"/>
    <w:rsid w:val="002A4943"/>
    <w:rsid w:val="002A5050"/>
    <w:rsid w:val="002A65F8"/>
    <w:rsid w:val="002A6673"/>
    <w:rsid w:val="002A6DAB"/>
    <w:rsid w:val="002A6F6B"/>
    <w:rsid w:val="002A7D7C"/>
    <w:rsid w:val="002B1627"/>
    <w:rsid w:val="002B17E2"/>
    <w:rsid w:val="002B2090"/>
    <w:rsid w:val="002B20A4"/>
    <w:rsid w:val="002B24F8"/>
    <w:rsid w:val="002B2577"/>
    <w:rsid w:val="002B272F"/>
    <w:rsid w:val="002B2747"/>
    <w:rsid w:val="002B2BE1"/>
    <w:rsid w:val="002B3FB3"/>
    <w:rsid w:val="002B448C"/>
    <w:rsid w:val="002B4B98"/>
    <w:rsid w:val="002B4D55"/>
    <w:rsid w:val="002B5001"/>
    <w:rsid w:val="002B5163"/>
    <w:rsid w:val="002B53D4"/>
    <w:rsid w:val="002B56DA"/>
    <w:rsid w:val="002B64FE"/>
    <w:rsid w:val="002B7163"/>
    <w:rsid w:val="002C0F72"/>
    <w:rsid w:val="002C1689"/>
    <w:rsid w:val="002C1ACE"/>
    <w:rsid w:val="002C1DD9"/>
    <w:rsid w:val="002C23FE"/>
    <w:rsid w:val="002C2AE5"/>
    <w:rsid w:val="002C2B65"/>
    <w:rsid w:val="002C2D0F"/>
    <w:rsid w:val="002C386A"/>
    <w:rsid w:val="002C3BB5"/>
    <w:rsid w:val="002C4A08"/>
    <w:rsid w:val="002C4C35"/>
    <w:rsid w:val="002C5444"/>
    <w:rsid w:val="002C67E9"/>
    <w:rsid w:val="002C7768"/>
    <w:rsid w:val="002D0038"/>
    <w:rsid w:val="002D0892"/>
    <w:rsid w:val="002D0B8F"/>
    <w:rsid w:val="002D12E7"/>
    <w:rsid w:val="002D1463"/>
    <w:rsid w:val="002D14D8"/>
    <w:rsid w:val="002D1C45"/>
    <w:rsid w:val="002D1EFB"/>
    <w:rsid w:val="002D2003"/>
    <w:rsid w:val="002D2565"/>
    <w:rsid w:val="002D2832"/>
    <w:rsid w:val="002D2A4A"/>
    <w:rsid w:val="002D2E78"/>
    <w:rsid w:val="002D3ADE"/>
    <w:rsid w:val="002D3B65"/>
    <w:rsid w:val="002D3BFC"/>
    <w:rsid w:val="002D42CC"/>
    <w:rsid w:val="002D43FD"/>
    <w:rsid w:val="002D4433"/>
    <w:rsid w:val="002D4740"/>
    <w:rsid w:val="002D4882"/>
    <w:rsid w:val="002D494C"/>
    <w:rsid w:val="002D4AC0"/>
    <w:rsid w:val="002D4E04"/>
    <w:rsid w:val="002D4F55"/>
    <w:rsid w:val="002D613E"/>
    <w:rsid w:val="002D634F"/>
    <w:rsid w:val="002D6377"/>
    <w:rsid w:val="002D7F4E"/>
    <w:rsid w:val="002E0B08"/>
    <w:rsid w:val="002E0BC8"/>
    <w:rsid w:val="002E2CF1"/>
    <w:rsid w:val="002E3A62"/>
    <w:rsid w:val="002E4342"/>
    <w:rsid w:val="002E43E2"/>
    <w:rsid w:val="002E4693"/>
    <w:rsid w:val="002E4C89"/>
    <w:rsid w:val="002E5857"/>
    <w:rsid w:val="002E585A"/>
    <w:rsid w:val="002E637F"/>
    <w:rsid w:val="002E6A5E"/>
    <w:rsid w:val="002E7187"/>
    <w:rsid w:val="002E7F7E"/>
    <w:rsid w:val="002F039A"/>
    <w:rsid w:val="002F158F"/>
    <w:rsid w:val="002F1CC9"/>
    <w:rsid w:val="002F28D7"/>
    <w:rsid w:val="002F2906"/>
    <w:rsid w:val="002F35A5"/>
    <w:rsid w:val="002F3AF7"/>
    <w:rsid w:val="002F3FDB"/>
    <w:rsid w:val="002F4802"/>
    <w:rsid w:val="002F5507"/>
    <w:rsid w:val="002F5D78"/>
    <w:rsid w:val="002F619B"/>
    <w:rsid w:val="002F6D79"/>
    <w:rsid w:val="002F79E3"/>
    <w:rsid w:val="002F7F01"/>
    <w:rsid w:val="003007DB"/>
    <w:rsid w:val="0030088B"/>
    <w:rsid w:val="00300FF5"/>
    <w:rsid w:val="003011C8"/>
    <w:rsid w:val="0030178D"/>
    <w:rsid w:val="00301E62"/>
    <w:rsid w:val="003024A3"/>
    <w:rsid w:val="003024DB"/>
    <w:rsid w:val="00304AB5"/>
    <w:rsid w:val="003052FC"/>
    <w:rsid w:val="00305693"/>
    <w:rsid w:val="003059F9"/>
    <w:rsid w:val="00305BCD"/>
    <w:rsid w:val="003065E6"/>
    <w:rsid w:val="00306BAF"/>
    <w:rsid w:val="003077E3"/>
    <w:rsid w:val="0031007D"/>
    <w:rsid w:val="00312106"/>
    <w:rsid w:val="003124E9"/>
    <w:rsid w:val="0031285B"/>
    <w:rsid w:val="00313061"/>
    <w:rsid w:val="00313E34"/>
    <w:rsid w:val="00314339"/>
    <w:rsid w:val="003147DA"/>
    <w:rsid w:val="003152E6"/>
    <w:rsid w:val="00315610"/>
    <w:rsid w:val="00315C2C"/>
    <w:rsid w:val="00315F44"/>
    <w:rsid w:val="00315FE8"/>
    <w:rsid w:val="00316178"/>
    <w:rsid w:val="003166FD"/>
    <w:rsid w:val="00316F41"/>
    <w:rsid w:val="00316F71"/>
    <w:rsid w:val="00317360"/>
    <w:rsid w:val="003179A5"/>
    <w:rsid w:val="00317EB4"/>
    <w:rsid w:val="0032055B"/>
    <w:rsid w:val="0032096A"/>
    <w:rsid w:val="00320FB6"/>
    <w:rsid w:val="003210E2"/>
    <w:rsid w:val="003213EF"/>
    <w:rsid w:val="003214A8"/>
    <w:rsid w:val="00321EC1"/>
    <w:rsid w:val="0032263D"/>
    <w:rsid w:val="0032288D"/>
    <w:rsid w:val="00323451"/>
    <w:rsid w:val="00324879"/>
    <w:rsid w:val="00324D88"/>
    <w:rsid w:val="00325226"/>
    <w:rsid w:val="00325283"/>
    <w:rsid w:val="003260D6"/>
    <w:rsid w:val="003261F6"/>
    <w:rsid w:val="003262F9"/>
    <w:rsid w:val="00326765"/>
    <w:rsid w:val="00326DA1"/>
    <w:rsid w:val="00327539"/>
    <w:rsid w:val="00330B14"/>
    <w:rsid w:val="00331597"/>
    <w:rsid w:val="003318B6"/>
    <w:rsid w:val="003319E4"/>
    <w:rsid w:val="00331D30"/>
    <w:rsid w:val="003325F9"/>
    <w:rsid w:val="00332ABC"/>
    <w:rsid w:val="00333864"/>
    <w:rsid w:val="00333F44"/>
    <w:rsid w:val="003344DC"/>
    <w:rsid w:val="00335CD6"/>
    <w:rsid w:val="00336C08"/>
    <w:rsid w:val="00336D84"/>
    <w:rsid w:val="00337926"/>
    <w:rsid w:val="003403A7"/>
    <w:rsid w:val="00340DEC"/>
    <w:rsid w:val="00342466"/>
    <w:rsid w:val="00342BAB"/>
    <w:rsid w:val="00343907"/>
    <w:rsid w:val="00343ABE"/>
    <w:rsid w:val="00344F3C"/>
    <w:rsid w:val="003452F5"/>
    <w:rsid w:val="00345497"/>
    <w:rsid w:val="00345730"/>
    <w:rsid w:val="00345919"/>
    <w:rsid w:val="00345C3E"/>
    <w:rsid w:val="003476AF"/>
    <w:rsid w:val="0035058B"/>
    <w:rsid w:val="00350B0B"/>
    <w:rsid w:val="00350C13"/>
    <w:rsid w:val="00350D47"/>
    <w:rsid w:val="003525D3"/>
    <w:rsid w:val="0035278A"/>
    <w:rsid w:val="00352B3F"/>
    <w:rsid w:val="0035396C"/>
    <w:rsid w:val="00353BF5"/>
    <w:rsid w:val="00353DC1"/>
    <w:rsid w:val="00354305"/>
    <w:rsid w:val="00354320"/>
    <w:rsid w:val="00354D8A"/>
    <w:rsid w:val="003552BA"/>
    <w:rsid w:val="003556AC"/>
    <w:rsid w:val="00355CD6"/>
    <w:rsid w:val="003567AF"/>
    <w:rsid w:val="00356DEA"/>
    <w:rsid w:val="00357068"/>
    <w:rsid w:val="003570AD"/>
    <w:rsid w:val="00357E48"/>
    <w:rsid w:val="0036038C"/>
    <w:rsid w:val="0036049F"/>
    <w:rsid w:val="00360DA7"/>
    <w:rsid w:val="00361470"/>
    <w:rsid w:val="003615E5"/>
    <w:rsid w:val="003618CA"/>
    <w:rsid w:val="00361F0D"/>
    <w:rsid w:val="0036234C"/>
    <w:rsid w:val="00362470"/>
    <w:rsid w:val="00362E14"/>
    <w:rsid w:val="00363120"/>
    <w:rsid w:val="0036405E"/>
    <w:rsid w:val="0036429C"/>
    <w:rsid w:val="0036437A"/>
    <w:rsid w:val="003645DB"/>
    <w:rsid w:val="00364B5F"/>
    <w:rsid w:val="00365F45"/>
    <w:rsid w:val="003668A4"/>
    <w:rsid w:val="00366BE4"/>
    <w:rsid w:val="00367B93"/>
    <w:rsid w:val="00370281"/>
    <w:rsid w:val="003704A4"/>
    <w:rsid w:val="00371A0A"/>
    <w:rsid w:val="00371EAA"/>
    <w:rsid w:val="00372F56"/>
    <w:rsid w:val="00372FA4"/>
    <w:rsid w:val="00373974"/>
    <w:rsid w:val="00373BFD"/>
    <w:rsid w:val="00374579"/>
    <w:rsid w:val="00374DF1"/>
    <w:rsid w:val="00374DFE"/>
    <w:rsid w:val="00375C5E"/>
    <w:rsid w:val="00375D2F"/>
    <w:rsid w:val="00375EF4"/>
    <w:rsid w:val="00376609"/>
    <w:rsid w:val="003768AE"/>
    <w:rsid w:val="003769BC"/>
    <w:rsid w:val="00376AC4"/>
    <w:rsid w:val="00376B63"/>
    <w:rsid w:val="00376DB9"/>
    <w:rsid w:val="00380282"/>
    <w:rsid w:val="003803A7"/>
    <w:rsid w:val="0038110E"/>
    <w:rsid w:val="0038183B"/>
    <w:rsid w:val="00381E72"/>
    <w:rsid w:val="0038202E"/>
    <w:rsid w:val="00382300"/>
    <w:rsid w:val="00382412"/>
    <w:rsid w:val="00384F46"/>
    <w:rsid w:val="00385317"/>
    <w:rsid w:val="00385FD6"/>
    <w:rsid w:val="00386618"/>
    <w:rsid w:val="003871D8"/>
    <w:rsid w:val="0038721B"/>
    <w:rsid w:val="0038764C"/>
    <w:rsid w:val="00387661"/>
    <w:rsid w:val="00387EAB"/>
    <w:rsid w:val="003902E6"/>
    <w:rsid w:val="00390694"/>
    <w:rsid w:val="003918CE"/>
    <w:rsid w:val="00391BC5"/>
    <w:rsid w:val="003920CB"/>
    <w:rsid w:val="003920FC"/>
    <w:rsid w:val="003923B4"/>
    <w:rsid w:val="00392984"/>
    <w:rsid w:val="0039332C"/>
    <w:rsid w:val="00393D7F"/>
    <w:rsid w:val="00393FA0"/>
    <w:rsid w:val="003941B7"/>
    <w:rsid w:val="003947CE"/>
    <w:rsid w:val="003955AA"/>
    <w:rsid w:val="00395D68"/>
    <w:rsid w:val="00396284"/>
    <w:rsid w:val="003969A5"/>
    <w:rsid w:val="00396C57"/>
    <w:rsid w:val="00396F4B"/>
    <w:rsid w:val="0039775F"/>
    <w:rsid w:val="0039783E"/>
    <w:rsid w:val="003A0667"/>
    <w:rsid w:val="003A0849"/>
    <w:rsid w:val="003A0F2A"/>
    <w:rsid w:val="003A169F"/>
    <w:rsid w:val="003A1B51"/>
    <w:rsid w:val="003A1B96"/>
    <w:rsid w:val="003A2536"/>
    <w:rsid w:val="003A3A06"/>
    <w:rsid w:val="003A3C96"/>
    <w:rsid w:val="003A3F46"/>
    <w:rsid w:val="003A4450"/>
    <w:rsid w:val="003A4519"/>
    <w:rsid w:val="003A4922"/>
    <w:rsid w:val="003A498A"/>
    <w:rsid w:val="003A4C8F"/>
    <w:rsid w:val="003A4CDF"/>
    <w:rsid w:val="003A5206"/>
    <w:rsid w:val="003A61B8"/>
    <w:rsid w:val="003A6B2C"/>
    <w:rsid w:val="003A756C"/>
    <w:rsid w:val="003B046A"/>
    <w:rsid w:val="003B148C"/>
    <w:rsid w:val="003B2438"/>
    <w:rsid w:val="003B247E"/>
    <w:rsid w:val="003B3272"/>
    <w:rsid w:val="003B4690"/>
    <w:rsid w:val="003B582B"/>
    <w:rsid w:val="003C1C2A"/>
    <w:rsid w:val="003C231F"/>
    <w:rsid w:val="003C27E9"/>
    <w:rsid w:val="003C2AF0"/>
    <w:rsid w:val="003C381D"/>
    <w:rsid w:val="003C4BC5"/>
    <w:rsid w:val="003C555F"/>
    <w:rsid w:val="003C61F4"/>
    <w:rsid w:val="003C6925"/>
    <w:rsid w:val="003C6FB8"/>
    <w:rsid w:val="003C700F"/>
    <w:rsid w:val="003C711D"/>
    <w:rsid w:val="003D018D"/>
    <w:rsid w:val="003D0279"/>
    <w:rsid w:val="003D0736"/>
    <w:rsid w:val="003D16C0"/>
    <w:rsid w:val="003D1F5C"/>
    <w:rsid w:val="003D2053"/>
    <w:rsid w:val="003D23D4"/>
    <w:rsid w:val="003D2E66"/>
    <w:rsid w:val="003D3000"/>
    <w:rsid w:val="003D3250"/>
    <w:rsid w:val="003D3580"/>
    <w:rsid w:val="003D3BD7"/>
    <w:rsid w:val="003D4043"/>
    <w:rsid w:val="003D4444"/>
    <w:rsid w:val="003D4450"/>
    <w:rsid w:val="003D4875"/>
    <w:rsid w:val="003D5209"/>
    <w:rsid w:val="003D53CF"/>
    <w:rsid w:val="003D56BF"/>
    <w:rsid w:val="003D5DD6"/>
    <w:rsid w:val="003D6127"/>
    <w:rsid w:val="003D61B1"/>
    <w:rsid w:val="003D69B1"/>
    <w:rsid w:val="003D7388"/>
    <w:rsid w:val="003E04FF"/>
    <w:rsid w:val="003E067F"/>
    <w:rsid w:val="003E1602"/>
    <w:rsid w:val="003E1B94"/>
    <w:rsid w:val="003E1D17"/>
    <w:rsid w:val="003E2528"/>
    <w:rsid w:val="003E25C2"/>
    <w:rsid w:val="003E3E42"/>
    <w:rsid w:val="003E5D7C"/>
    <w:rsid w:val="003E612E"/>
    <w:rsid w:val="003E6D42"/>
    <w:rsid w:val="003E7084"/>
    <w:rsid w:val="003E780E"/>
    <w:rsid w:val="003F0328"/>
    <w:rsid w:val="003F06C1"/>
    <w:rsid w:val="003F0D9D"/>
    <w:rsid w:val="003F1491"/>
    <w:rsid w:val="003F14B7"/>
    <w:rsid w:val="003F1BBC"/>
    <w:rsid w:val="003F20B0"/>
    <w:rsid w:val="003F4562"/>
    <w:rsid w:val="003F4E9E"/>
    <w:rsid w:val="003F4FED"/>
    <w:rsid w:val="003F5B6E"/>
    <w:rsid w:val="003F69A9"/>
    <w:rsid w:val="003F7284"/>
    <w:rsid w:val="003F72E4"/>
    <w:rsid w:val="003F74C9"/>
    <w:rsid w:val="003F7F8B"/>
    <w:rsid w:val="0040061B"/>
    <w:rsid w:val="00400787"/>
    <w:rsid w:val="00400887"/>
    <w:rsid w:val="004009F4"/>
    <w:rsid w:val="00400B20"/>
    <w:rsid w:val="00401048"/>
    <w:rsid w:val="00401106"/>
    <w:rsid w:val="00401F29"/>
    <w:rsid w:val="00402A2B"/>
    <w:rsid w:val="00404159"/>
    <w:rsid w:val="004043FA"/>
    <w:rsid w:val="004049C8"/>
    <w:rsid w:val="00405B96"/>
    <w:rsid w:val="004060CD"/>
    <w:rsid w:val="004067D7"/>
    <w:rsid w:val="004078CC"/>
    <w:rsid w:val="0040796A"/>
    <w:rsid w:val="00410391"/>
    <w:rsid w:val="00411905"/>
    <w:rsid w:val="00411B05"/>
    <w:rsid w:val="0041256C"/>
    <w:rsid w:val="00412667"/>
    <w:rsid w:val="00412D63"/>
    <w:rsid w:val="0041390C"/>
    <w:rsid w:val="00414A3F"/>
    <w:rsid w:val="00415106"/>
    <w:rsid w:val="004163BD"/>
    <w:rsid w:val="004167AB"/>
    <w:rsid w:val="00416B1C"/>
    <w:rsid w:val="00416EC2"/>
    <w:rsid w:val="00417026"/>
    <w:rsid w:val="00417619"/>
    <w:rsid w:val="00417D74"/>
    <w:rsid w:val="0042056D"/>
    <w:rsid w:val="004229C3"/>
    <w:rsid w:val="00422AC7"/>
    <w:rsid w:val="00423A45"/>
    <w:rsid w:val="00423B0C"/>
    <w:rsid w:val="00423B40"/>
    <w:rsid w:val="00423B89"/>
    <w:rsid w:val="00423F74"/>
    <w:rsid w:val="00424675"/>
    <w:rsid w:val="00424A72"/>
    <w:rsid w:val="00424AE6"/>
    <w:rsid w:val="00424F5E"/>
    <w:rsid w:val="00425139"/>
    <w:rsid w:val="0042515F"/>
    <w:rsid w:val="004252DF"/>
    <w:rsid w:val="0042545A"/>
    <w:rsid w:val="0042545D"/>
    <w:rsid w:val="00426263"/>
    <w:rsid w:val="00426510"/>
    <w:rsid w:val="004278E1"/>
    <w:rsid w:val="00430615"/>
    <w:rsid w:val="00430625"/>
    <w:rsid w:val="00431326"/>
    <w:rsid w:val="004313AA"/>
    <w:rsid w:val="004316AF"/>
    <w:rsid w:val="00431962"/>
    <w:rsid w:val="00432230"/>
    <w:rsid w:val="004332AA"/>
    <w:rsid w:val="004338CE"/>
    <w:rsid w:val="00433DEC"/>
    <w:rsid w:val="004342C8"/>
    <w:rsid w:val="0043483C"/>
    <w:rsid w:val="00434A59"/>
    <w:rsid w:val="00434C9F"/>
    <w:rsid w:val="004352AB"/>
    <w:rsid w:val="004354A3"/>
    <w:rsid w:val="0043609D"/>
    <w:rsid w:val="00437B87"/>
    <w:rsid w:val="00440410"/>
    <w:rsid w:val="004404BA"/>
    <w:rsid w:val="00441109"/>
    <w:rsid w:val="004412D7"/>
    <w:rsid w:val="00441C08"/>
    <w:rsid w:val="00441E10"/>
    <w:rsid w:val="00442813"/>
    <w:rsid w:val="004458AA"/>
    <w:rsid w:val="004459D9"/>
    <w:rsid w:val="00445E5E"/>
    <w:rsid w:val="00445EF3"/>
    <w:rsid w:val="00446216"/>
    <w:rsid w:val="004468F9"/>
    <w:rsid w:val="00447579"/>
    <w:rsid w:val="00447649"/>
    <w:rsid w:val="004477E6"/>
    <w:rsid w:val="00447B81"/>
    <w:rsid w:val="00450579"/>
    <w:rsid w:val="0045057F"/>
    <w:rsid w:val="00451BA4"/>
    <w:rsid w:val="00452342"/>
    <w:rsid w:val="0045290E"/>
    <w:rsid w:val="00452AEE"/>
    <w:rsid w:val="004537C5"/>
    <w:rsid w:val="004551EA"/>
    <w:rsid w:val="0045555E"/>
    <w:rsid w:val="00455841"/>
    <w:rsid w:val="004561E0"/>
    <w:rsid w:val="004570DA"/>
    <w:rsid w:val="0046048D"/>
    <w:rsid w:val="0046063D"/>
    <w:rsid w:val="00460BC8"/>
    <w:rsid w:val="00460D32"/>
    <w:rsid w:val="0046191F"/>
    <w:rsid w:val="00461FDF"/>
    <w:rsid w:val="00464426"/>
    <w:rsid w:val="004648DB"/>
    <w:rsid w:val="00464BD7"/>
    <w:rsid w:val="00464CCC"/>
    <w:rsid w:val="00464FDF"/>
    <w:rsid w:val="00465B15"/>
    <w:rsid w:val="00465CFB"/>
    <w:rsid w:val="00466C2F"/>
    <w:rsid w:val="004672DE"/>
    <w:rsid w:val="00470D12"/>
    <w:rsid w:val="004710D2"/>
    <w:rsid w:val="004714C2"/>
    <w:rsid w:val="00471C76"/>
    <w:rsid w:val="004725E4"/>
    <w:rsid w:val="00472797"/>
    <w:rsid w:val="004732E4"/>
    <w:rsid w:val="004733FA"/>
    <w:rsid w:val="004734D5"/>
    <w:rsid w:val="0047357A"/>
    <w:rsid w:val="0047395D"/>
    <w:rsid w:val="0047423C"/>
    <w:rsid w:val="00475130"/>
    <w:rsid w:val="00475150"/>
    <w:rsid w:val="00475D97"/>
    <w:rsid w:val="00475DF8"/>
    <w:rsid w:val="00476CBB"/>
    <w:rsid w:val="00476FC4"/>
    <w:rsid w:val="004770BB"/>
    <w:rsid w:val="004773B0"/>
    <w:rsid w:val="00477DDC"/>
    <w:rsid w:val="00477E37"/>
    <w:rsid w:val="004801CC"/>
    <w:rsid w:val="0048050D"/>
    <w:rsid w:val="004814A2"/>
    <w:rsid w:val="004816AC"/>
    <w:rsid w:val="004817E8"/>
    <w:rsid w:val="00481881"/>
    <w:rsid w:val="00482291"/>
    <w:rsid w:val="0048276E"/>
    <w:rsid w:val="00482874"/>
    <w:rsid w:val="004828C2"/>
    <w:rsid w:val="0048331B"/>
    <w:rsid w:val="00483F14"/>
    <w:rsid w:val="0048414D"/>
    <w:rsid w:val="004842E5"/>
    <w:rsid w:val="00484771"/>
    <w:rsid w:val="004848B5"/>
    <w:rsid w:val="00484B16"/>
    <w:rsid w:val="00484E75"/>
    <w:rsid w:val="00484F13"/>
    <w:rsid w:val="0048595F"/>
    <w:rsid w:val="00486061"/>
    <w:rsid w:val="00486928"/>
    <w:rsid w:val="00486DD4"/>
    <w:rsid w:val="00486F1B"/>
    <w:rsid w:val="00486F76"/>
    <w:rsid w:val="0048713C"/>
    <w:rsid w:val="00487CA2"/>
    <w:rsid w:val="00487E01"/>
    <w:rsid w:val="004904CB"/>
    <w:rsid w:val="004912B6"/>
    <w:rsid w:val="004913B2"/>
    <w:rsid w:val="00491643"/>
    <w:rsid w:val="004924ED"/>
    <w:rsid w:val="00492B36"/>
    <w:rsid w:val="00492DD2"/>
    <w:rsid w:val="00493211"/>
    <w:rsid w:val="004947FA"/>
    <w:rsid w:val="00494C31"/>
    <w:rsid w:val="00495051"/>
    <w:rsid w:val="004951BC"/>
    <w:rsid w:val="004951F5"/>
    <w:rsid w:val="004954A4"/>
    <w:rsid w:val="00495A36"/>
    <w:rsid w:val="00496587"/>
    <w:rsid w:val="00497454"/>
    <w:rsid w:val="00497890"/>
    <w:rsid w:val="004A1FCF"/>
    <w:rsid w:val="004A298D"/>
    <w:rsid w:val="004A2FCF"/>
    <w:rsid w:val="004A36ED"/>
    <w:rsid w:val="004A3BFD"/>
    <w:rsid w:val="004A4155"/>
    <w:rsid w:val="004A46B9"/>
    <w:rsid w:val="004A5538"/>
    <w:rsid w:val="004A5F16"/>
    <w:rsid w:val="004A653A"/>
    <w:rsid w:val="004A696A"/>
    <w:rsid w:val="004A6985"/>
    <w:rsid w:val="004A69CB"/>
    <w:rsid w:val="004A69E1"/>
    <w:rsid w:val="004A72F6"/>
    <w:rsid w:val="004A7DBE"/>
    <w:rsid w:val="004B029D"/>
    <w:rsid w:val="004B0F3E"/>
    <w:rsid w:val="004B1463"/>
    <w:rsid w:val="004B2254"/>
    <w:rsid w:val="004B24A3"/>
    <w:rsid w:val="004B292C"/>
    <w:rsid w:val="004B2DCE"/>
    <w:rsid w:val="004B32CA"/>
    <w:rsid w:val="004B3755"/>
    <w:rsid w:val="004B4493"/>
    <w:rsid w:val="004B486A"/>
    <w:rsid w:val="004B4CE4"/>
    <w:rsid w:val="004B4E02"/>
    <w:rsid w:val="004B4ED3"/>
    <w:rsid w:val="004B551D"/>
    <w:rsid w:val="004B561A"/>
    <w:rsid w:val="004B5630"/>
    <w:rsid w:val="004B6311"/>
    <w:rsid w:val="004B67F9"/>
    <w:rsid w:val="004B750E"/>
    <w:rsid w:val="004B76D0"/>
    <w:rsid w:val="004C104A"/>
    <w:rsid w:val="004C163B"/>
    <w:rsid w:val="004C1910"/>
    <w:rsid w:val="004C1BD2"/>
    <w:rsid w:val="004C1D2F"/>
    <w:rsid w:val="004C1EA0"/>
    <w:rsid w:val="004C1EFC"/>
    <w:rsid w:val="004C25F8"/>
    <w:rsid w:val="004C2942"/>
    <w:rsid w:val="004C2FAA"/>
    <w:rsid w:val="004C3960"/>
    <w:rsid w:val="004C3B77"/>
    <w:rsid w:val="004C425A"/>
    <w:rsid w:val="004C4844"/>
    <w:rsid w:val="004C488E"/>
    <w:rsid w:val="004C49A9"/>
    <w:rsid w:val="004C560E"/>
    <w:rsid w:val="004C60FB"/>
    <w:rsid w:val="004C6100"/>
    <w:rsid w:val="004C6841"/>
    <w:rsid w:val="004C6D54"/>
    <w:rsid w:val="004C7473"/>
    <w:rsid w:val="004C758C"/>
    <w:rsid w:val="004C779F"/>
    <w:rsid w:val="004C7B7C"/>
    <w:rsid w:val="004D0581"/>
    <w:rsid w:val="004D0E93"/>
    <w:rsid w:val="004D2F1D"/>
    <w:rsid w:val="004D3C5A"/>
    <w:rsid w:val="004D4042"/>
    <w:rsid w:val="004D4173"/>
    <w:rsid w:val="004D4FD4"/>
    <w:rsid w:val="004D60BA"/>
    <w:rsid w:val="004D6DE1"/>
    <w:rsid w:val="004D751D"/>
    <w:rsid w:val="004D768D"/>
    <w:rsid w:val="004D77A9"/>
    <w:rsid w:val="004D7A44"/>
    <w:rsid w:val="004D7AB8"/>
    <w:rsid w:val="004E087A"/>
    <w:rsid w:val="004E09FF"/>
    <w:rsid w:val="004E0D74"/>
    <w:rsid w:val="004E0E96"/>
    <w:rsid w:val="004E114D"/>
    <w:rsid w:val="004E1BBD"/>
    <w:rsid w:val="004E1BC1"/>
    <w:rsid w:val="004E1C7B"/>
    <w:rsid w:val="004E2054"/>
    <w:rsid w:val="004E3C2A"/>
    <w:rsid w:val="004E432E"/>
    <w:rsid w:val="004E43E4"/>
    <w:rsid w:val="004E4B32"/>
    <w:rsid w:val="004E516E"/>
    <w:rsid w:val="004E56D6"/>
    <w:rsid w:val="004E58C4"/>
    <w:rsid w:val="004E5A88"/>
    <w:rsid w:val="004E67EE"/>
    <w:rsid w:val="004E6FE6"/>
    <w:rsid w:val="004F0249"/>
    <w:rsid w:val="004F063B"/>
    <w:rsid w:val="004F1052"/>
    <w:rsid w:val="004F106A"/>
    <w:rsid w:val="004F19A2"/>
    <w:rsid w:val="004F1DC0"/>
    <w:rsid w:val="004F2BE8"/>
    <w:rsid w:val="004F3833"/>
    <w:rsid w:val="004F3BBE"/>
    <w:rsid w:val="004F48B0"/>
    <w:rsid w:val="004F4CA1"/>
    <w:rsid w:val="004F540C"/>
    <w:rsid w:val="004F6E5F"/>
    <w:rsid w:val="004F7068"/>
    <w:rsid w:val="004F7F95"/>
    <w:rsid w:val="00500FC4"/>
    <w:rsid w:val="0050193E"/>
    <w:rsid w:val="00501B68"/>
    <w:rsid w:val="00502579"/>
    <w:rsid w:val="0050259D"/>
    <w:rsid w:val="005027EF"/>
    <w:rsid w:val="00502A14"/>
    <w:rsid w:val="00502CE2"/>
    <w:rsid w:val="005032D5"/>
    <w:rsid w:val="00503ABB"/>
    <w:rsid w:val="0050474A"/>
    <w:rsid w:val="0050475C"/>
    <w:rsid w:val="00504B57"/>
    <w:rsid w:val="00505D38"/>
    <w:rsid w:val="00505EB0"/>
    <w:rsid w:val="005066CE"/>
    <w:rsid w:val="0050688D"/>
    <w:rsid w:val="00506CCD"/>
    <w:rsid w:val="00507156"/>
    <w:rsid w:val="005076A2"/>
    <w:rsid w:val="00507931"/>
    <w:rsid w:val="005103F9"/>
    <w:rsid w:val="0051099D"/>
    <w:rsid w:val="00510ACA"/>
    <w:rsid w:val="00510DEF"/>
    <w:rsid w:val="005139E8"/>
    <w:rsid w:val="00513EC1"/>
    <w:rsid w:val="00514452"/>
    <w:rsid w:val="00514655"/>
    <w:rsid w:val="00514B14"/>
    <w:rsid w:val="00515C21"/>
    <w:rsid w:val="00515E4E"/>
    <w:rsid w:val="00516CC5"/>
    <w:rsid w:val="00517092"/>
    <w:rsid w:val="00517C40"/>
    <w:rsid w:val="00520BB3"/>
    <w:rsid w:val="005210D9"/>
    <w:rsid w:val="005211C0"/>
    <w:rsid w:val="005228DD"/>
    <w:rsid w:val="00522E3F"/>
    <w:rsid w:val="0052307C"/>
    <w:rsid w:val="0052462C"/>
    <w:rsid w:val="005249C6"/>
    <w:rsid w:val="00525155"/>
    <w:rsid w:val="00525FB1"/>
    <w:rsid w:val="0052631B"/>
    <w:rsid w:val="00526923"/>
    <w:rsid w:val="00526A76"/>
    <w:rsid w:val="00526C4D"/>
    <w:rsid w:val="00526E44"/>
    <w:rsid w:val="00526F9A"/>
    <w:rsid w:val="00527378"/>
    <w:rsid w:val="0052777B"/>
    <w:rsid w:val="005277A8"/>
    <w:rsid w:val="00527934"/>
    <w:rsid w:val="00527C4C"/>
    <w:rsid w:val="00527C8E"/>
    <w:rsid w:val="00530868"/>
    <w:rsid w:val="00530931"/>
    <w:rsid w:val="00530D60"/>
    <w:rsid w:val="005324D5"/>
    <w:rsid w:val="00533DEC"/>
    <w:rsid w:val="005346C5"/>
    <w:rsid w:val="00534C90"/>
    <w:rsid w:val="00534DF4"/>
    <w:rsid w:val="00535005"/>
    <w:rsid w:val="005361E8"/>
    <w:rsid w:val="005362CF"/>
    <w:rsid w:val="00536302"/>
    <w:rsid w:val="005365FD"/>
    <w:rsid w:val="00536792"/>
    <w:rsid w:val="00537748"/>
    <w:rsid w:val="005378A4"/>
    <w:rsid w:val="00537B6A"/>
    <w:rsid w:val="00537E3B"/>
    <w:rsid w:val="00540C68"/>
    <w:rsid w:val="00541BF7"/>
    <w:rsid w:val="00542AE5"/>
    <w:rsid w:val="00542D6D"/>
    <w:rsid w:val="0054479B"/>
    <w:rsid w:val="0054490C"/>
    <w:rsid w:val="00544BC5"/>
    <w:rsid w:val="00544CDA"/>
    <w:rsid w:val="00545023"/>
    <w:rsid w:val="005452D5"/>
    <w:rsid w:val="00545E15"/>
    <w:rsid w:val="00547038"/>
    <w:rsid w:val="005475A6"/>
    <w:rsid w:val="00547752"/>
    <w:rsid w:val="0055085C"/>
    <w:rsid w:val="00550FCB"/>
    <w:rsid w:val="00552606"/>
    <w:rsid w:val="0055272A"/>
    <w:rsid w:val="00553119"/>
    <w:rsid w:val="00553E37"/>
    <w:rsid w:val="00554481"/>
    <w:rsid w:val="0055513A"/>
    <w:rsid w:val="005553F2"/>
    <w:rsid w:val="00555503"/>
    <w:rsid w:val="00555B20"/>
    <w:rsid w:val="005568E0"/>
    <w:rsid w:val="0055782C"/>
    <w:rsid w:val="005579B6"/>
    <w:rsid w:val="005579E6"/>
    <w:rsid w:val="005612A4"/>
    <w:rsid w:val="00561F50"/>
    <w:rsid w:val="005621AF"/>
    <w:rsid w:val="00562400"/>
    <w:rsid w:val="00562C9D"/>
    <w:rsid w:val="005630CC"/>
    <w:rsid w:val="0056311B"/>
    <w:rsid w:val="00563732"/>
    <w:rsid w:val="00563786"/>
    <w:rsid w:val="00564396"/>
    <w:rsid w:val="0056473D"/>
    <w:rsid w:val="005649C6"/>
    <w:rsid w:val="00564B69"/>
    <w:rsid w:val="00564D82"/>
    <w:rsid w:val="00565AD5"/>
    <w:rsid w:val="00565C85"/>
    <w:rsid w:val="00565D83"/>
    <w:rsid w:val="00565D9E"/>
    <w:rsid w:val="00565E2F"/>
    <w:rsid w:val="00566B2F"/>
    <w:rsid w:val="00566B59"/>
    <w:rsid w:val="005674F9"/>
    <w:rsid w:val="005679D0"/>
    <w:rsid w:val="00567FB4"/>
    <w:rsid w:val="005702B4"/>
    <w:rsid w:val="0057037B"/>
    <w:rsid w:val="0057082A"/>
    <w:rsid w:val="005722F2"/>
    <w:rsid w:val="00572B61"/>
    <w:rsid w:val="00573E4B"/>
    <w:rsid w:val="00575152"/>
    <w:rsid w:val="00575C00"/>
    <w:rsid w:val="00575E86"/>
    <w:rsid w:val="00577028"/>
    <w:rsid w:val="00577C34"/>
    <w:rsid w:val="0058051F"/>
    <w:rsid w:val="0058107F"/>
    <w:rsid w:val="005817B2"/>
    <w:rsid w:val="00581973"/>
    <w:rsid w:val="00581AF5"/>
    <w:rsid w:val="00582063"/>
    <w:rsid w:val="005820F7"/>
    <w:rsid w:val="00582D22"/>
    <w:rsid w:val="0058344A"/>
    <w:rsid w:val="00583719"/>
    <w:rsid w:val="00583F6D"/>
    <w:rsid w:val="00584050"/>
    <w:rsid w:val="005847F9"/>
    <w:rsid w:val="005854F6"/>
    <w:rsid w:val="0058573C"/>
    <w:rsid w:val="005859C9"/>
    <w:rsid w:val="0058649C"/>
    <w:rsid w:val="005865CF"/>
    <w:rsid w:val="00586BCA"/>
    <w:rsid w:val="005878C9"/>
    <w:rsid w:val="00587CF8"/>
    <w:rsid w:val="005907CC"/>
    <w:rsid w:val="00590C41"/>
    <w:rsid w:val="005910F6"/>
    <w:rsid w:val="00591BFC"/>
    <w:rsid w:val="00591E35"/>
    <w:rsid w:val="00591E70"/>
    <w:rsid w:val="00593D98"/>
    <w:rsid w:val="0059463D"/>
    <w:rsid w:val="005946FC"/>
    <w:rsid w:val="00594FC2"/>
    <w:rsid w:val="00595449"/>
    <w:rsid w:val="005955E9"/>
    <w:rsid w:val="00595765"/>
    <w:rsid w:val="005969F0"/>
    <w:rsid w:val="00596D60"/>
    <w:rsid w:val="005A0F9C"/>
    <w:rsid w:val="005A16A8"/>
    <w:rsid w:val="005A1866"/>
    <w:rsid w:val="005A2292"/>
    <w:rsid w:val="005A22C4"/>
    <w:rsid w:val="005A26D4"/>
    <w:rsid w:val="005A2BC1"/>
    <w:rsid w:val="005A2BDE"/>
    <w:rsid w:val="005A3490"/>
    <w:rsid w:val="005A35AA"/>
    <w:rsid w:val="005A38C6"/>
    <w:rsid w:val="005A4881"/>
    <w:rsid w:val="005A5B9B"/>
    <w:rsid w:val="005A60D0"/>
    <w:rsid w:val="005A63DC"/>
    <w:rsid w:val="005A64DC"/>
    <w:rsid w:val="005A6617"/>
    <w:rsid w:val="005A669B"/>
    <w:rsid w:val="005A6865"/>
    <w:rsid w:val="005A6C4F"/>
    <w:rsid w:val="005A6CD6"/>
    <w:rsid w:val="005A704C"/>
    <w:rsid w:val="005B01B6"/>
    <w:rsid w:val="005B09B9"/>
    <w:rsid w:val="005B17B4"/>
    <w:rsid w:val="005B23C7"/>
    <w:rsid w:val="005B24EF"/>
    <w:rsid w:val="005B289F"/>
    <w:rsid w:val="005B34F2"/>
    <w:rsid w:val="005B41AC"/>
    <w:rsid w:val="005B59E6"/>
    <w:rsid w:val="005B5C93"/>
    <w:rsid w:val="005B5EED"/>
    <w:rsid w:val="005B62AA"/>
    <w:rsid w:val="005B6302"/>
    <w:rsid w:val="005B648F"/>
    <w:rsid w:val="005B6D18"/>
    <w:rsid w:val="005B71D1"/>
    <w:rsid w:val="005C13E0"/>
    <w:rsid w:val="005C17C3"/>
    <w:rsid w:val="005C181C"/>
    <w:rsid w:val="005C1DB0"/>
    <w:rsid w:val="005C206E"/>
    <w:rsid w:val="005C231C"/>
    <w:rsid w:val="005C2602"/>
    <w:rsid w:val="005C2B5E"/>
    <w:rsid w:val="005C2F1B"/>
    <w:rsid w:val="005C30F7"/>
    <w:rsid w:val="005C35C4"/>
    <w:rsid w:val="005C3C25"/>
    <w:rsid w:val="005C45CE"/>
    <w:rsid w:val="005C4956"/>
    <w:rsid w:val="005C4F38"/>
    <w:rsid w:val="005C50ED"/>
    <w:rsid w:val="005C5336"/>
    <w:rsid w:val="005C6110"/>
    <w:rsid w:val="005C6669"/>
    <w:rsid w:val="005C704A"/>
    <w:rsid w:val="005C7836"/>
    <w:rsid w:val="005C7CCB"/>
    <w:rsid w:val="005D1046"/>
    <w:rsid w:val="005D1249"/>
    <w:rsid w:val="005D1B4B"/>
    <w:rsid w:val="005D1C63"/>
    <w:rsid w:val="005D25F2"/>
    <w:rsid w:val="005D2885"/>
    <w:rsid w:val="005D2E32"/>
    <w:rsid w:val="005D33D1"/>
    <w:rsid w:val="005D390D"/>
    <w:rsid w:val="005D3D85"/>
    <w:rsid w:val="005D454F"/>
    <w:rsid w:val="005D4726"/>
    <w:rsid w:val="005D49BF"/>
    <w:rsid w:val="005D4C2C"/>
    <w:rsid w:val="005D5A62"/>
    <w:rsid w:val="005D5E14"/>
    <w:rsid w:val="005D624B"/>
    <w:rsid w:val="005D6840"/>
    <w:rsid w:val="005D7B51"/>
    <w:rsid w:val="005D7D11"/>
    <w:rsid w:val="005E0089"/>
    <w:rsid w:val="005E0146"/>
    <w:rsid w:val="005E0584"/>
    <w:rsid w:val="005E076E"/>
    <w:rsid w:val="005E0CD0"/>
    <w:rsid w:val="005E0F82"/>
    <w:rsid w:val="005E2CE4"/>
    <w:rsid w:val="005E3C55"/>
    <w:rsid w:val="005E41A8"/>
    <w:rsid w:val="005E41DF"/>
    <w:rsid w:val="005E43D8"/>
    <w:rsid w:val="005E43F8"/>
    <w:rsid w:val="005E4724"/>
    <w:rsid w:val="005E4FBA"/>
    <w:rsid w:val="005E6066"/>
    <w:rsid w:val="005E6B8A"/>
    <w:rsid w:val="005E713A"/>
    <w:rsid w:val="005E71E5"/>
    <w:rsid w:val="005E73D9"/>
    <w:rsid w:val="005E7D71"/>
    <w:rsid w:val="005F08A3"/>
    <w:rsid w:val="005F17AB"/>
    <w:rsid w:val="005F1860"/>
    <w:rsid w:val="005F193D"/>
    <w:rsid w:val="005F1991"/>
    <w:rsid w:val="005F1A44"/>
    <w:rsid w:val="005F1B36"/>
    <w:rsid w:val="005F2056"/>
    <w:rsid w:val="005F26AE"/>
    <w:rsid w:val="005F4619"/>
    <w:rsid w:val="005F5676"/>
    <w:rsid w:val="005F5B23"/>
    <w:rsid w:val="005F685B"/>
    <w:rsid w:val="005F768E"/>
    <w:rsid w:val="00602682"/>
    <w:rsid w:val="00602A4E"/>
    <w:rsid w:val="00602F3B"/>
    <w:rsid w:val="006031B1"/>
    <w:rsid w:val="00603E49"/>
    <w:rsid w:val="00604B33"/>
    <w:rsid w:val="006052D2"/>
    <w:rsid w:val="006055FF"/>
    <w:rsid w:val="00605A02"/>
    <w:rsid w:val="00605C62"/>
    <w:rsid w:val="00605F8A"/>
    <w:rsid w:val="0060629C"/>
    <w:rsid w:val="00606852"/>
    <w:rsid w:val="00606F58"/>
    <w:rsid w:val="006077DE"/>
    <w:rsid w:val="00607AA7"/>
    <w:rsid w:val="006118EB"/>
    <w:rsid w:val="00612496"/>
    <w:rsid w:val="00612586"/>
    <w:rsid w:val="006129D1"/>
    <w:rsid w:val="00612F38"/>
    <w:rsid w:val="0061303F"/>
    <w:rsid w:val="0061353E"/>
    <w:rsid w:val="00614075"/>
    <w:rsid w:val="00614BA0"/>
    <w:rsid w:val="00614C87"/>
    <w:rsid w:val="00615AFC"/>
    <w:rsid w:val="00615DC7"/>
    <w:rsid w:val="00620A92"/>
    <w:rsid w:val="00620AF2"/>
    <w:rsid w:val="00620CA4"/>
    <w:rsid w:val="006214CE"/>
    <w:rsid w:val="0062164F"/>
    <w:rsid w:val="00622292"/>
    <w:rsid w:val="00622D58"/>
    <w:rsid w:val="00623239"/>
    <w:rsid w:val="006238B0"/>
    <w:rsid w:val="00623CE7"/>
    <w:rsid w:val="00623D9D"/>
    <w:rsid w:val="00624036"/>
    <w:rsid w:val="00624449"/>
    <w:rsid w:val="006246A7"/>
    <w:rsid w:val="00624AF1"/>
    <w:rsid w:val="00626328"/>
    <w:rsid w:val="0062636A"/>
    <w:rsid w:val="00626579"/>
    <w:rsid w:val="0062663C"/>
    <w:rsid w:val="0062724B"/>
    <w:rsid w:val="0062760F"/>
    <w:rsid w:val="006277E6"/>
    <w:rsid w:val="00627F47"/>
    <w:rsid w:val="006303B8"/>
    <w:rsid w:val="00630B0A"/>
    <w:rsid w:val="00630B74"/>
    <w:rsid w:val="0063185F"/>
    <w:rsid w:val="006320DB"/>
    <w:rsid w:val="00632146"/>
    <w:rsid w:val="00632932"/>
    <w:rsid w:val="00634226"/>
    <w:rsid w:val="006346B4"/>
    <w:rsid w:val="00634954"/>
    <w:rsid w:val="00634A87"/>
    <w:rsid w:val="00635208"/>
    <w:rsid w:val="0063574E"/>
    <w:rsid w:val="00635757"/>
    <w:rsid w:val="0063586E"/>
    <w:rsid w:val="00635C85"/>
    <w:rsid w:val="00636184"/>
    <w:rsid w:val="006368AF"/>
    <w:rsid w:val="0063785D"/>
    <w:rsid w:val="00637B89"/>
    <w:rsid w:val="00637ED6"/>
    <w:rsid w:val="0064046E"/>
    <w:rsid w:val="006410D8"/>
    <w:rsid w:val="006411F2"/>
    <w:rsid w:val="0064183D"/>
    <w:rsid w:val="00641A25"/>
    <w:rsid w:val="00641B14"/>
    <w:rsid w:val="00641C5E"/>
    <w:rsid w:val="00641C81"/>
    <w:rsid w:val="00642020"/>
    <w:rsid w:val="006438A5"/>
    <w:rsid w:val="00643A05"/>
    <w:rsid w:val="00644440"/>
    <w:rsid w:val="0064448A"/>
    <w:rsid w:val="00645C92"/>
    <w:rsid w:val="00646E21"/>
    <w:rsid w:val="006478B7"/>
    <w:rsid w:val="00647A65"/>
    <w:rsid w:val="00647FB1"/>
    <w:rsid w:val="006501B7"/>
    <w:rsid w:val="006503EC"/>
    <w:rsid w:val="006509A0"/>
    <w:rsid w:val="0065100A"/>
    <w:rsid w:val="00651272"/>
    <w:rsid w:val="00651321"/>
    <w:rsid w:val="00651518"/>
    <w:rsid w:val="00651588"/>
    <w:rsid w:val="0065174B"/>
    <w:rsid w:val="00651793"/>
    <w:rsid w:val="00652632"/>
    <w:rsid w:val="00653167"/>
    <w:rsid w:val="00653324"/>
    <w:rsid w:val="00653B6B"/>
    <w:rsid w:val="00653F8A"/>
    <w:rsid w:val="00654220"/>
    <w:rsid w:val="006557A4"/>
    <w:rsid w:val="006557DD"/>
    <w:rsid w:val="0065587D"/>
    <w:rsid w:val="00655FB5"/>
    <w:rsid w:val="00656694"/>
    <w:rsid w:val="006567ED"/>
    <w:rsid w:val="0065774B"/>
    <w:rsid w:val="006577D6"/>
    <w:rsid w:val="00657F16"/>
    <w:rsid w:val="00657F3E"/>
    <w:rsid w:val="006607FB"/>
    <w:rsid w:val="00660E7C"/>
    <w:rsid w:val="006631E2"/>
    <w:rsid w:val="0066356C"/>
    <w:rsid w:val="006638D0"/>
    <w:rsid w:val="00663F3B"/>
    <w:rsid w:val="006643E2"/>
    <w:rsid w:val="00664ABD"/>
    <w:rsid w:val="00664EDC"/>
    <w:rsid w:val="00664FF3"/>
    <w:rsid w:val="00664FFA"/>
    <w:rsid w:val="006654F4"/>
    <w:rsid w:val="0066630D"/>
    <w:rsid w:val="0066647A"/>
    <w:rsid w:val="006666CF"/>
    <w:rsid w:val="00667F5F"/>
    <w:rsid w:val="006700D1"/>
    <w:rsid w:val="00670942"/>
    <w:rsid w:val="00671005"/>
    <w:rsid w:val="0067107D"/>
    <w:rsid w:val="00671272"/>
    <w:rsid w:val="0067195B"/>
    <w:rsid w:val="00671A38"/>
    <w:rsid w:val="00671B49"/>
    <w:rsid w:val="00671C28"/>
    <w:rsid w:val="0067238F"/>
    <w:rsid w:val="0067252F"/>
    <w:rsid w:val="006729B1"/>
    <w:rsid w:val="006729B9"/>
    <w:rsid w:val="00672AE4"/>
    <w:rsid w:val="00673861"/>
    <w:rsid w:val="0067392D"/>
    <w:rsid w:val="0067470F"/>
    <w:rsid w:val="006748AA"/>
    <w:rsid w:val="00674B52"/>
    <w:rsid w:val="00675DE5"/>
    <w:rsid w:val="00675EDF"/>
    <w:rsid w:val="00676222"/>
    <w:rsid w:val="006764ED"/>
    <w:rsid w:val="00676F71"/>
    <w:rsid w:val="00676F96"/>
    <w:rsid w:val="00677827"/>
    <w:rsid w:val="0067787C"/>
    <w:rsid w:val="006778BA"/>
    <w:rsid w:val="00680CEA"/>
    <w:rsid w:val="00681120"/>
    <w:rsid w:val="0068147A"/>
    <w:rsid w:val="006816B1"/>
    <w:rsid w:val="006826B0"/>
    <w:rsid w:val="00682728"/>
    <w:rsid w:val="006828F2"/>
    <w:rsid w:val="006829DF"/>
    <w:rsid w:val="00685177"/>
    <w:rsid w:val="00685545"/>
    <w:rsid w:val="006857BA"/>
    <w:rsid w:val="00687453"/>
    <w:rsid w:val="00691171"/>
    <w:rsid w:val="00691576"/>
    <w:rsid w:val="00691E47"/>
    <w:rsid w:val="00692684"/>
    <w:rsid w:val="006928FD"/>
    <w:rsid w:val="006936EE"/>
    <w:rsid w:val="0069403C"/>
    <w:rsid w:val="006940B6"/>
    <w:rsid w:val="00694252"/>
    <w:rsid w:val="0069461B"/>
    <w:rsid w:val="006948E1"/>
    <w:rsid w:val="006951A2"/>
    <w:rsid w:val="00695481"/>
    <w:rsid w:val="00695A4B"/>
    <w:rsid w:val="00695E8A"/>
    <w:rsid w:val="00696701"/>
    <w:rsid w:val="00696A6B"/>
    <w:rsid w:val="00696C5A"/>
    <w:rsid w:val="00696DC0"/>
    <w:rsid w:val="00696FCB"/>
    <w:rsid w:val="006971E9"/>
    <w:rsid w:val="00697C58"/>
    <w:rsid w:val="006A136A"/>
    <w:rsid w:val="006A1A48"/>
    <w:rsid w:val="006A1E81"/>
    <w:rsid w:val="006A2271"/>
    <w:rsid w:val="006A2926"/>
    <w:rsid w:val="006A2BE5"/>
    <w:rsid w:val="006A3BC8"/>
    <w:rsid w:val="006A4919"/>
    <w:rsid w:val="006A57EB"/>
    <w:rsid w:val="006A60BA"/>
    <w:rsid w:val="006A6657"/>
    <w:rsid w:val="006A6B9B"/>
    <w:rsid w:val="006A6BE1"/>
    <w:rsid w:val="006A6D50"/>
    <w:rsid w:val="006A71E2"/>
    <w:rsid w:val="006A7CD6"/>
    <w:rsid w:val="006A7EBB"/>
    <w:rsid w:val="006B0079"/>
    <w:rsid w:val="006B028D"/>
    <w:rsid w:val="006B0942"/>
    <w:rsid w:val="006B0CFA"/>
    <w:rsid w:val="006B11BD"/>
    <w:rsid w:val="006B13D0"/>
    <w:rsid w:val="006B1F4B"/>
    <w:rsid w:val="006B25DF"/>
    <w:rsid w:val="006B2622"/>
    <w:rsid w:val="006B4907"/>
    <w:rsid w:val="006B4992"/>
    <w:rsid w:val="006B6321"/>
    <w:rsid w:val="006B6A38"/>
    <w:rsid w:val="006B74DA"/>
    <w:rsid w:val="006B7645"/>
    <w:rsid w:val="006B7A43"/>
    <w:rsid w:val="006C088E"/>
    <w:rsid w:val="006C0CE6"/>
    <w:rsid w:val="006C10EB"/>
    <w:rsid w:val="006C154D"/>
    <w:rsid w:val="006C17D7"/>
    <w:rsid w:val="006C1E24"/>
    <w:rsid w:val="006C2DE8"/>
    <w:rsid w:val="006C342B"/>
    <w:rsid w:val="006C3A8C"/>
    <w:rsid w:val="006C4082"/>
    <w:rsid w:val="006C470C"/>
    <w:rsid w:val="006C4F4B"/>
    <w:rsid w:val="006C5E8B"/>
    <w:rsid w:val="006C7411"/>
    <w:rsid w:val="006C7720"/>
    <w:rsid w:val="006C7C08"/>
    <w:rsid w:val="006D0497"/>
    <w:rsid w:val="006D0B62"/>
    <w:rsid w:val="006D1039"/>
    <w:rsid w:val="006D11EB"/>
    <w:rsid w:val="006D1C04"/>
    <w:rsid w:val="006D26D4"/>
    <w:rsid w:val="006D290F"/>
    <w:rsid w:val="006D298D"/>
    <w:rsid w:val="006D2EE6"/>
    <w:rsid w:val="006D3CEF"/>
    <w:rsid w:val="006D40DC"/>
    <w:rsid w:val="006D4B28"/>
    <w:rsid w:val="006D5851"/>
    <w:rsid w:val="006D5B24"/>
    <w:rsid w:val="006D5CA0"/>
    <w:rsid w:val="006D69B5"/>
    <w:rsid w:val="006D74A1"/>
    <w:rsid w:val="006D761D"/>
    <w:rsid w:val="006D7FDA"/>
    <w:rsid w:val="006E045D"/>
    <w:rsid w:val="006E08ED"/>
    <w:rsid w:val="006E0E83"/>
    <w:rsid w:val="006E13A9"/>
    <w:rsid w:val="006E1660"/>
    <w:rsid w:val="006E1C88"/>
    <w:rsid w:val="006E21C8"/>
    <w:rsid w:val="006E2327"/>
    <w:rsid w:val="006E2C4B"/>
    <w:rsid w:val="006E2D28"/>
    <w:rsid w:val="006E39A8"/>
    <w:rsid w:val="006E3D7E"/>
    <w:rsid w:val="006E4718"/>
    <w:rsid w:val="006E478A"/>
    <w:rsid w:val="006E5055"/>
    <w:rsid w:val="006E532D"/>
    <w:rsid w:val="006E6130"/>
    <w:rsid w:val="006E619D"/>
    <w:rsid w:val="006E6C45"/>
    <w:rsid w:val="006E7E19"/>
    <w:rsid w:val="006F134D"/>
    <w:rsid w:val="006F17DA"/>
    <w:rsid w:val="006F2FEE"/>
    <w:rsid w:val="006F354C"/>
    <w:rsid w:val="006F43E6"/>
    <w:rsid w:val="006F472F"/>
    <w:rsid w:val="006F4FAC"/>
    <w:rsid w:val="006F50C2"/>
    <w:rsid w:val="006F520F"/>
    <w:rsid w:val="006F5371"/>
    <w:rsid w:val="006F5497"/>
    <w:rsid w:val="006F58E3"/>
    <w:rsid w:val="006F696D"/>
    <w:rsid w:val="006F7FB6"/>
    <w:rsid w:val="00701619"/>
    <w:rsid w:val="00701A22"/>
    <w:rsid w:val="00702BFA"/>
    <w:rsid w:val="00703D62"/>
    <w:rsid w:val="00704AEE"/>
    <w:rsid w:val="00704EAF"/>
    <w:rsid w:val="0070645D"/>
    <w:rsid w:val="0070684B"/>
    <w:rsid w:val="00706E51"/>
    <w:rsid w:val="00706EC8"/>
    <w:rsid w:val="007070F2"/>
    <w:rsid w:val="00707160"/>
    <w:rsid w:val="00707264"/>
    <w:rsid w:val="007103A8"/>
    <w:rsid w:val="00710982"/>
    <w:rsid w:val="00710A7C"/>
    <w:rsid w:val="00710F79"/>
    <w:rsid w:val="00711869"/>
    <w:rsid w:val="00711BD9"/>
    <w:rsid w:val="00711EDF"/>
    <w:rsid w:val="00711F99"/>
    <w:rsid w:val="007137A8"/>
    <w:rsid w:val="007144F9"/>
    <w:rsid w:val="00714723"/>
    <w:rsid w:val="007149E9"/>
    <w:rsid w:val="00715F13"/>
    <w:rsid w:val="0071614C"/>
    <w:rsid w:val="0071655C"/>
    <w:rsid w:val="0071691F"/>
    <w:rsid w:val="00716E9C"/>
    <w:rsid w:val="00717437"/>
    <w:rsid w:val="00717E12"/>
    <w:rsid w:val="0072048F"/>
    <w:rsid w:val="00720E24"/>
    <w:rsid w:val="007214A7"/>
    <w:rsid w:val="00723DD8"/>
    <w:rsid w:val="00724FBF"/>
    <w:rsid w:val="0072608B"/>
    <w:rsid w:val="007264AB"/>
    <w:rsid w:val="00726612"/>
    <w:rsid w:val="00727824"/>
    <w:rsid w:val="00727A60"/>
    <w:rsid w:val="0073049F"/>
    <w:rsid w:val="007315DF"/>
    <w:rsid w:val="00732E83"/>
    <w:rsid w:val="0073309D"/>
    <w:rsid w:val="00733D6E"/>
    <w:rsid w:val="007345E6"/>
    <w:rsid w:val="00734A39"/>
    <w:rsid w:val="00734B5A"/>
    <w:rsid w:val="00734B72"/>
    <w:rsid w:val="00734E06"/>
    <w:rsid w:val="0073592A"/>
    <w:rsid w:val="007360A4"/>
    <w:rsid w:val="00736C1D"/>
    <w:rsid w:val="00736E9A"/>
    <w:rsid w:val="00737090"/>
    <w:rsid w:val="00741827"/>
    <w:rsid w:val="00741947"/>
    <w:rsid w:val="00743068"/>
    <w:rsid w:val="007434FB"/>
    <w:rsid w:val="0074374A"/>
    <w:rsid w:val="00743E26"/>
    <w:rsid w:val="0074433B"/>
    <w:rsid w:val="007445CD"/>
    <w:rsid w:val="00744A61"/>
    <w:rsid w:val="00744E82"/>
    <w:rsid w:val="007451FA"/>
    <w:rsid w:val="00746CA8"/>
    <w:rsid w:val="00747484"/>
    <w:rsid w:val="00747BA7"/>
    <w:rsid w:val="00747EBF"/>
    <w:rsid w:val="00751440"/>
    <w:rsid w:val="00751D0B"/>
    <w:rsid w:val="0075223A"/>
    <w:rsid w:val="0075226F"/>
    <w:rsid w:val="00753B55"/>
    <w:rsid w:val="00753C25"/>
    <w:rsid w:val="00754545"/>
    <w:rsid w:val="007549F9"/>
    <w:rsid w:val="00755C88"/>
    <w:rsid w:val="00755DB5"/>
    <w:rsid w:val="00756DBB"/>
    <w:rsid w:val="00756F5B"/>
    <w:rsid w:val="007576FF"/>
    <w:rsid w:val="00757758"/>
    <w:rsid w:val="00757B70"/>
    <w:rsid w:val="00757CF4"/>
    <w:rsid w:val="00760563"/>
    <w:rsid w:val="007616EF"/>
    <w:rsid w:val="00761F97"/>
    <w:rsid w:val="00761FEC"/>
    <w:rsid w:val="00762075"/>
    <w:rsid w:val="007624B0"/>
    <w:rsid w:val="00762EBC"/>
    <w:rsid w:val="00763683"/>
    <w:rsid w:val="00764EDF"/>
    <w:rsid w:val="00765016"/>
    <w:rsid w:val="00765A26"/>
    <w:rsid w:val="00765DF5"/>
    <w:rsid w:val="00765E6D"/>
    <w:rsid w:val="007671BF"/>
    <w:rsid w:val="0076743D"/>
    <w:rsid w:val="007676F0"/>
    <w:rsid w:val="00770C8C"/>
    <w:rsid w:val="00771ABA"/>
    <w:rsid w:val="00771B7E"/>
    <w:rsid w:val="0077374C"/>
    <w:rsid w:val="007737C7"/>
    <w:rsid w:val="00773859"/>
    <w:rsid w:val="0077460D"/>
    <w:rsid w:val="00775381"/>
    <w:rsid w:val="00775B67"/>
    <w:rsid w:val="00776824"/>
    <w:rsid w:val="00776C17"/>
    <w:rsid w:val="00776EB0"/>
    <w:rsid w:val="007771C9"/>
    <w:rsid w:val="007776A8"/>
    <w:rsid w:val="00777A91"/>
    <w:rsid w:val="00780B3F"/>
    <w:rsid w:val="00781C06"/>
    <w:rsid w:val="00781EB0"/>
    <w:rsid w:val="007822F2"/>
    <w:rsid w:val="00782B93"/>
    <w:rsid w:val="00782CBF"/>
    <w:rsid w:val="00782D07"/>
    <w:rsid w:val="00782DA6"/>
    <w:rsid w:val="00783D31"/>
    <w:rsid w:val="007841BF"/>
    <w:rsid w:val="00785049"/>
    <w:rsid w:val="00785074"/>
    <w:rsid w:val="00785091"/>
    <w:rsid w:val="007858DB"/>
    <w:rsid w:val="0078632E"/>
    <w:rsid w:val="007868D8"/>
    <w:rsid w:val="00786F53"/>
    <w:rsid w:val="0079021C"/>
    <w:rsid w:val="00790DDB"/>
    <w:rsid w:val="007910C3"/>
    <w:rsid w:val="00791842"/>
    <w:rsid w:val="00792DFE"/>
    <w:rsid w:val="007933BE"/>
    <w:rsid w:val="00794550"/>
    <w:rsid w:val="0079585E"/>
    <w:rsid w:val="00795A60"/>
    <w:rsid w:val="00796151"/>
    <w:rsid w:val="00796A74"/>
    <w:rsid w:val="0079763B"/>
    <w:rsid w:val="007979CF"/>
    <w:rsid w:val="007A0FF8"/>
    <w:rsid w:val="007A124A"/>
    <w:rsid w:val="007A1C3D"/>
    <w:rsid w:val="007A28D7"/>
    <w:rsid w:val="007A30A2"/>
    <w:rsid w:val="007A3129"/>
    <w:rsid w:val="007A3864"/>
    <w:rsid w:val="007A3AC7"/>
    <w:rsid w:val="007A3C04"/>
    <w:rsid w:val="007A4AFD"/>
    <w:rsid w:val="007A5340"/>
    <w:rsid w:val="007A5517"/>
    <w:rsid w:val="007A5A1D"/>
    <w:rsid w:val="007A5CAD"/>
    <w:rsid w:val="007A6072"/>
    <w:rsid w:val="007A651F"/>
    <w:rsid w:val="007A6D73"/>
    <w:rsid w:val="007A7BB9"/>
    <w:rsid w:val="007B04C3"/>
    <w:rsid w:val="007B1951"/>
    <w:rsid w:val="007B1C0C"/>
    <w:rsid w:val="007B21DD"/>
    <w:rsid w:val="007B284D"/>
    <w:rsid w:val="007B2930"/>
    <w:rsid w:val="007B3545"/>
    <w:rsid w:val="007B37E0"/>
    <w:rsid w:val="007B38D4"/>
    <w:rsid w:val="007B41B3"/>
    <w:rsid w:val="007B4C0C"/>
    <w:rsid w:val="007B4C33"/>
    <w:rsid w:val="007B5C63"/>
    <w:rsid w:val="007B653F"/>
    <w:rsid w:val="007B6D98"/>
    <w:rsid w:val="007B7231"/>
    <w:rsid w:val="007B781D"/>
    <w:rsid w:val="007B7C72"/>
    <w:rsid w:val="007B7E43"/>
    <w:rsid w:val="007C0917"/>
    <w:rsid w:val="007C099B"/>
    <w:rsid w:val="007C10B6"/>
    <w:rsid w:val="007C3279"/>
    <w:rsid w:val="007C335E"/>
    <w:rsid w:val="007C37AF"/>
    <w:rsid w:val="007C4368"/>
    <w:rsid w:val="007C43BC"/>
    <w:rsid w:val="007C4720"/>
    <w:rsid w:val="007C48FF"/>
    <w:rsid w:val="007C4E13"/>
    <w:rsid w:val="007C507D"/>
    <w:rsid w:val="007C512D"/>
    <w:rsid w:val="007C53F5"/>
    <w:rsid w:val="007C57FF"/>
    <w:rsid w:val="007C59EE"/>
    <w:rsid w:val="007C5F17"/>
    <w:rsid w:val="007C618C"/>
    <w:rsid w:val="007C6C44"/>
    <w:rsid w:val="007C6C63"/>
    <w:rsid w:val="007D0457"/>
    <w:rsid w:val="007D0991"/>
    <w:rsid w:val="007D0B3B"/>
    <w:rsid w:val="007D0DA2"/>
    <w:rsid w:val="007D2034"/>
    <w:rsid w:val="007D2FD9"/>
    <w:rsid w:val="007D30FF"/>
    <w:rsid w:val="007D31CA"/>
    <w:rsid w:val="007D3FAD"/>
    <w:rsid w:val="007D419B"/>
    <w:rsid w:val="007D5202"/>
    <w:rsid w:val="007D659F"/>
    <w:rsid w:val="007D679E"/>
    <w:rsid w:val="007D70DD"/>
    <w:rsid w:val="007D7BA9"/>
    <w:rsid w:val="007D7E6F"/>
    <w:rsid w:val="007E03D7"/>
    <w:rsid w:val="007E07D7"/>
    <w:rsid w:val="007E154F"/>
    <w:rsid w:val="007E15B4"/>
    <w:rsid w:val="007E1B9B"/>
    <w:rsid w:val="007E20A5"/>
    <w:rsid w:val="007E2105"/>
    <w:rsid w:val="007E22F2"/>
    <w:rsid w:val="007E2BF6"/>
    <w:rsid w:val="007E2CA7"/>
    <w:rsid w:val="007E38E3"/>
    <w:rsid w:val="007E44D9"/>
    <w:rsid w:val="007E46F1"/>
    <w:rsid w:val="007E5160"/>
    <w:rsid w:val="007E5669"/>
    <w:rsid w:val="007E6C3D"/>
    <w:rsid w:val="007E74A4"/>
    <w:rsid w:val="007F02F9"/>
    <w:rsid w:val="007F0564"/>
    <w:rsid w:val="007F19C1"/>
    <w:rsid w:val="007F1BEA"/>
    <w:rsid w:val="007F23B3"/>
    <w:rsid w:val="007F27A0"/>
    <w:rsid w:val="007F3635"/>
    <w:rsid w:val="007F3DA6"/>
    <w:rsid w:val="007F56F6"/>
    <w:rsid w:val="007F5872"/>
    <w:rsid w:val="007F5A16"/>
    <w:rsid w:val="007F5C4C"/>
    <w:rsid w:val="007F6054"/>
    <w:rsid w:val="007F68F8"/>
    <w:rsid w:val="007F748F"/>
    <w:rsid w:val="007F7A86"/>
    <w:rsid w:val="007F7E66"/>
    <w:rsid w:val="00800462"/>
    <w:rsid w:val="0080123B"/>
    <w:rsid w:val="008018F7"/>
    <w:rsid w:val="00801A92"/>
    <w:rsid w:val="0080206B"/>
    <w:rsid w:val="00802239"/>
    <w:rsid w:val="0080232B"/>
    <w:rsid w:val="00802F40"/>
    <w:rsid w:val="00803F0E"/>
    <w:rsid w:val="00804C76"/>
    <w:rsid w:val="00805904"/>
    <w:rsid w:val="00805C53"/>
    <w:rsid w:val="00806201"/>
    <w:rsid w:val="008068B9"/>
    <w:rsid w:val="00806E02"/>
    <w:rsid w:val="00806E64"/>
    <w:rsid w:val="00810799"/>
    <w:rsid w:val="0081199B"/>
    <w:rsid w:val="00813547"/>
    <w:rsid w:val="0081360E"/>
    <w:rsid w:val="0081366C"/>
    <w:rsid w:val="00813A67"/>
    <w:rsid w:val="00813B17"/>
    <w:rsid w:val="00813FE5"/>
    <w:rsid w:val="0081431A"/>
    <w:rsid w:val="00814872"/>
    <w:rsid w:val="008151EA"/>
    <w:rsid w:val="0081589A"/>
    <w:rsid w:val="008158DF"/>
    <w:rsid w:val="00815AAF"/>
    <w:rsid w:val="00816B60"/>
    <w:rsid w:val="00816BC1"/>
    <w:rsid w:val="00816D2D"/>
    <w:rsid w:val="00816DB0"/>
    <w:rsid w:val="00816EC8"/>
    <w:rsid w:val="0081764E"/>
    <w:rsid w:val="008200AB"/>
    <w:rsid w:val="00821859"/>
    <w:rsid w:val="00822E17"/>
    <w:rsid w:val="00822E75"/>
    <w:rsid w:val="008231AC"/>
    <w:rsid w:val="008232A9"/>
    <w:rsid w:val="00823318"/>
    <w:rsid w:val="00824233"/>
    <w:rsid w:val="00824B57"/>
    <w:rsid w:val="00824F72"/>
    <w:rsid w:val="0082523E"/>
    <w:rsid w:val="00825398"/>
    <w:rsid w:val="00825687"/>
    <w:rsid w:val="00827F32"/>
    <w:rsid w:val="00830819"/>
    <w:rsid w:val="00830BA7"/>
    <w:rsid w:val="00830E9E"/>
    <w:rsid w:val="008312F8"/>
    <w:rsid w:val="0083164F"/>
    <w:rsid w:val="00831FB1"/>
    <w:rsid w:val="0083284A"/>
    <w:rsid w:val="00832C63"/>
    <w:rsid w:val="008331A9"/>
    <w:rsid w:val="00833250"/>
    <w:rsid w:val="00833359"/>
    <w:rsid w:val="00833C6B"/>
    <w:rsid w:val="00834004"/>
    <w:rsid w:val="008341CA"/>
    <w:rsid w:val="00835585"/>
    <w:rsid w:val="008359FA"/>
    <w:rsid w:val="00835FF4"/>
    <w:rsid w:val="00836078"/>
    <w:rsid w:val="00836A57"/>
    <w:rsid w:val="00836C85"/>
    <w:rsid w:val="0083721C"/>
    <w:rsid w:val="00837D03"/>
    <w:rsid w:val="0084003E"/>
    <w:rsid w:val="0084085B"/>
    <w:rsid w:val="00840ACC"/>
    <w:rsid w:val="00841AF3"/>
    <w:rsid w:val="00842805"/>
    <w:rsid w:val="008429D1"/>
    <w:rsid w:val="008431A4"/>
    <w:rsid w:val="008435D3"/>
    <w:rsid w:val="00845153"/>
    <w:rsid w:val="008455D1"/>
    <w:rsid w:val="008457D2"/>
    <w:rsid w:val="00845F41"/>
    <w:rsid w:val="00846DFD"/>
    <w:rsid w:val="0084739F"/>
    <w:rsid w:val="00847A88"/>
    <w:rsid w:val="0085035F"/>
    <w:rsid w:val="00850693"/>
    <w:rsid w:val="00850731"/>
    <w:rsid w:val="008507EC"/>
    <w:rsid w:val="008507F2"/>
    <w:rsid w:val="00850A7B"/>
    <w:rsid w:val="0085108D"/>
    <w:rsid w:val="0085117A"/>
    <w:rsid w:val="008529ED"/>
    <w:rsid w:val="00852B64"/>
    <w:rsid w:val="00854638"/>
    <w:rsid w:val="00855972"/>
    <w:rsid w:val="008561C3"/>
    <w:rsid w:val="008561D4"/>
    <w:rsid w:val="0085642A"/>
    <w:rsid w:val="008565A1"/>
    <w:rsid w:val="0085747A"/>
    <w:rsid w:val="00857DF0"/>
    <w:rsid w:val="008608F6"/>
    <w:rsid w:val="008609F0"/>
    <w:rsid w:val="00860AA5"/>
    <w:rsid w:val="00860F02"/>
    <w:rsid w:val="00861050"/>
    <w:rsid w:val="008613BA"/>
    <w:rsid w:val="00862145"/>
    <w:rsid w:val="00862347"/>
    <w:rsid w:val="00862A7C"/>
    <w:rsid w:val="00864183"/>
    <w:rsid w:val="00864927"/>
    <w:rsid w:val="00864BE4"/>
    <w:rsid w:val="00865CE3"/>
    <w:rsid w:val="00866A12"/>
    <w:rsid w:val="008678A1"/>
    <w:rsid w:val="008704AC"/>
    <w:rsid w:val="0087050A"/>
    <w:rsid w:val="00870D91"/>
    <w:rsid w:val="00871098"/>
    <w:rsid w:val="00871679"/>
    <w:rsid w:val="00872CAF"/>
    <w:rsid w:val="00873180"/>
    <w:rsid w:val="008736A9"/>
    <w:rsid w:val="00873F3B"/>
    <w:rsid w:val="0087408F"/>
    <w:rsid w:val="008740DC"/>
    <w:rsid w:val="0087418C"/>
    <w:rsid w:val="008746C1"/>
    <w:rsid w:val="0087498B"/>
    <w:rsid w:val="00874E23"/>
    <w:rsid w:val="00874E2B"/>
    <w:rsid w:val="0087507A"/>
    <w:rsid w:val="00875384"/>
    <w:rsid w:val="008758DC"/>
    <w:rsid w:val="00875E8D"/>
    <w:rsid w:val="008760D4"/>
    <w:rsid w:val="0087615D"/>
    <w:rsid w:val="00877478"/>
    <w:rsid w:val="008777AA"/>
    <w:rsid w:val="008778E6"/>
    <w:rsid w:val="00877E72"/>
    <w:rsid w:val="008807A1"/>
    <w:rsid w:val="00880BA0"/>
    <w:rsid w:val="00882155"/>
    <w:rsid w:val="008821CC"/>
    <w:rsid w:val="0088254F"/>
    <w:rsid w:val="00882B54"/>
    <w:rsid w:val="00882EB9"/>
    <w:rsid w:val="00882FB3"/>
    <w:rsid w:val="008835CC"/>
    <w:rsid w:val="00884549"/>
    <w:rsid w:val="00884712"/>
    <w:rsid w:val="00884E0E"/>
    <w:rsid w:val="00884EF1"/>
    <w:rsid w:val="008861AC"/>
    <w:rsid w:val="00886483"/>
    <w:rsid w:val="008864DA"/>
    <w:rsid w:val="008906A9"/>
    <w:rsid w:val="00891200"/>
    <w:rsid w:val="00891286"/>
    <w:rsid w:val="0089158B"/>
    <w:rsid w:val="00891D84"/>
    <w:rsid w:val="00892190"/>
    <w:rsid w:val="00892461"/>
    <w:rsid w:val="008924C5"/>
    <w:rsid w:val="00892614"/>
    <w:rsid w:val="00892A57"/>
    <w:rsid w:val="008947BA"/>
    <w:rsid w:val="00894E2A"/>
    <w:rsid w:val="008959BE"/>
    <w:rsid w:val="00896EBE"/>
    <w:rsid w:val="008A02DB"/>
    <w:rsid w:val="008A0504"/>
    <w:rsid w:val="008A05A1"/>
    <w:rsid w:val="008A0DDC"/>
    <w:rsid w:val="008A109E"/>
    <w:rsid w:val="008A18BC"/>
    <w:rsid w:val="008A1E95"/>
    <w:rsid w:val="008A2166"/>
    <w:rsid w:val="008A2173"/>
    <w:rsid w:val="008A2247"/>
    <w:rsid w:val="008A2AE0"/>
    <w:rsid w:val="008A45B9"/>
    <w:rsid w:val="008A47EF"/>
    <w:rsid w:val="008A4B73"/>
    <w:rsid w:val="008A54A0"/>
    <w:rsid w:val="008A5E80"/>
    <w:rsid w:val="008A65B9"/>
    <w:rsid w:val="008A7685"/>
    <w:rsid w:val="008A7A9B"/>
    <w:rsid w:val="008B01D8"/>
    <w:rsid w:val="008B090F"/>
    <w:rsid w:val="008B0B09"/>
    <w:rsid w:val="008B0B23"/>
    <w:rsid w:val="008B1AC4"/>
    <w:rsid w:val="008B2431"/>
    <w:rsid w:val="008B2C9D"/>
    <w:rsid w:val="008B2E0C"/>
    <w:rsid w:val="008B2E3B"/>
    <w:rsid w:val="008B325A"/>
    <w:rsid w:val="008B36A3"/>
    <w:rsid w:val="008B58E9"/>
    <w:rsid w:val="008B63C0"/>
    <w:rsid w:val="008B6F35"/>
    <w:rsid w:val="008B7081"/>
    <w:rsid w:val="008B747D"/>
    <w:rsid w:val="008B77AF"/>
    <w:rsid w:val="008C066E"/>
    <w:rsid w:val="008C081B"/>
    <w:rsid w:val="008C1EFA"/>
    <w:rsid w:val="008C226B"/>
    <w:rsid w:val="008C2587"/>
    <w:rsid w:val="008C435A"/>
    <w:rsid w:val="008C481A"/>
    <w:rsid w:val="008C553A"/>
    <w:rsid w:val="008C5C8F"/>
    <w:rsid w:val="008C5C94"/>
    <w:rsid w:val="008C5D4E"/>
    <w:rsid w:val="008C5FB6"/>
    <w:rsid w:val="008C6F53"/>
    <w:rsid w:val="008C7397"/>
    <w:rsid w:val="008D017C"/>
    <w:rsid w:val="008D0953"/>
    <w:rsid w:val="008D0B7A"/>
    <w:rsid w:val="008D0EBA"/>
    <w:rsid w:val="008D0FA3"/>
    <w:rsid w:val="008D1193"/>
    <w:rsid w:val="008D13C6"/>
    <w:rsid w:val="008D1C99"/>
    <w:rsid w:val="008D1DC0"/>
    <w:rsid w:val="008D2E54"/>
    <w:rsid w:val="008D2F1E"/>
    <w:rsid w:val="008D30CE"/>
    <w:rsid w:val="008D37A3"/>
    <w:rsid w:val="008D47B2"/>
    <w:rsid w:val="008D4A57"/>
    <w:rsid w:val="008D4BBB"/>
    <w:rsid w:val="008D4FB0"/>
    <w:rsid w:val="008D5C0A"/>
    <w:rsid w:val="008D5D59"/>
    <w:rsid w:val="008D67F1"/>
    <w:rsid w:val="008D6894"/>
    <w:rsid w:val="008D6B03"/>
    <w:rsid w:val="008D70FE"/>
    <w:rsid w:val="008D7193"/>
    <w:rsid w:val="008D77FA"/>
    <w:rsid w:val="008E0131"/>
    <w:rsid w:val="008E0312"/>
    <w:rsid w:val="008E0633"/>
    <w:rsid w:val="008E0D72"/>
    <w:rsid w:val="008E1207"/>
    <w:rsid w:val="008E14F4"/>
    <w:rsid w:val="008E1625"/>
    <w:rsid w:val="008E1836"/>
    <w:rsid w:val="008E1890"/>
    <w:rsid w:val="008E1DA6"/>
    <w:rsid w:val="008E2AEC"/>
    <w:rsid w:val="008E3211"/>
    <w:rsid w:val="008E333D"/>
    <w:rsid w:val="008E3BB6"/>
    <w:rsid w:val="008E4930"/>
    <w:rsid w:val="008E59C5"/>
    <w:rsid w:val="008E6F60"/>
    <w:rsid w:val="008E7400"/>
    <w:rsid w:val="008E75C9"/>
    <w:rsid w:val="008F0C71"/>
    <w:rsid w:val="008F1087"/>
    <w:rsid w:val="008F10A5"/>
    <w:rsid w:val="008F111B"/>
    <w:rsid w:val="008F1BC3"/>
    <w:rsid w:val="008F20D6"/>
    <w:rsid w:val="008F3ABD"/>
    <w:rsid w:val="008F3FE0"/>
    <w:rsid w:val="008F4769"/>
    <w:rsid w:val="008F5176"/>
    <w:rsid w:val="008F5436"/>
    <w:rsid w:val="008F543E"/>
    <w:rsid w:val="008F5B69"/>
    <w:rsid w:val="008F6672"/>
    <w:rsid w:val="008F672A"/>
    <w:rsid w:val="008F72A4"/>
    <w:rsid w:val="008F78CD"/>
    <w:rsid w:val="008F7C4E"/>
    <w:rsid w:val="008F7D53"/>
    <w:rsid w:val="009007C5"/>
    <w:rsid w:val="00900980"/>
    <w:rsid w:val="00900FC6"/>
    <w:rsid w:val="00901908"/>
    <w:rsid w:val="00901A4B"/>
    <w:rsid w:val="00901D8B"/>
    <w:rsid w:val="009029CC"/>
    <w:rsid w:val="009037AC"/>
    <w:rsid w:val="00903ACE"/>
    <w:rsid w:val="00904344"/>
    <w:rsid w:val="009044C2"/>
    <w:rsid w:val="00904A13"/>
    <w:rsid w:val="00904D54"/>
    <w:rsid w:val="00905A9C"/>
    <w:rsid w:val="0090604E"/>
    <w:rsid w:val="00906366"/>
    <w:rsid w:val="00910D41"/>
    <w:rsid w:val="00911C91"/>
    <w:rsid w:val="0091267D"/>
    <w:rsid w:val="00912C7F"/>
    <w:rsid w:val="0091306C"/>
    <w:rsid w:val="0091363D"/>
    <w:rsid w:val="00914345"/>
    <w:rsid w:val="009149EE"/>
    <w:rsid w:val="00914AFA"/>
    <w:rsid w:val="00914B47"/>
    <w:rsid w:val="009159A3"/>
    <w:rsid w:val="009163A4"/>
    <w:rsid w:val="00916958"/>
    <w:rsid w:val="00917E93"/>
    <w:rsid w:val="00920447"/>
    <w:rsid w:val="0092061A"/>
    <w:rsid w:val="00920798"/>
    <w:rsid w:val="00922807"/>
    <w:rsid w:val="00922CDB"/>
    <w:rsid w:val="009231C8"/>
    <w:rsid w:val="009232D1"/>
    <w:rsid w:val="00923B51"/>
    <w:rsid w:val="00923B53"/>
    <w:rsid w:val="0092459C"/>
    <w:rsid w:val="00924E82"/>
    <w:rsid w:val="00925098"/>
    <w:rsid w:val="00925AFE"/>
    <w:rsid w:val="00925E78"/>
    <w:rsid w:val="009264E5"/>
    <w:rsid w:val="009269EC"/>
    <w:rsid w:val="00926C0B"/>
    <w:rsid w:val="0092718F"/>
    <w:rsid w:val="00930F39"/>
    <w:rsid w:val="009312FD"/>
    <w:rsid w:val="009314A4"/>
    <w:rsid w:val="00932C0C"/>
    <w:rsid w:val="0093468F"/>
    <w:rsid w:val="00934C1D"/>
    <w:rsid w:val="00935EF0"/>
    <w:rsid w:val="00936021"/>
    <w:rsid w:val="009361F8"/>
    <w:rsid w:val="00936D8A"/>
    <w:rsid w:val="009371CF"/>
    <w:rsid w:val="00937C87"/>
    <w:rsid w:val="009404C6"/>
    <w:rsid w:val="0094128E"/>
    <w:rsid w:val="009415C7"/>
    <w:rsid w:val="009417AE"/>
    <w:rsid w:val="0094207D"/>
    <w:rsid w:val="00942425"/>
    <w:rsid w:val="009428B6"/>
    <w:rsid w:val="00942F1A"/>
    <w:rsid w:val="00943607"/>
    <w:rsid w:val="00943692"/>
    <w:rsid w:val="009442F2"/>
    <w:rsid w:val="00944889"/>
    <w:rsid w:val="00945BF7"/>
    <w:rsid w:val="0094620D"/>
    <w:rsid w:val="00946AAD"/>
    <w:rsid w:val="0094770B"/>
    <w:rsid w:val="0095132F"/>
    <w:rsid w:val="00951A8F"/>
    <w:rsid w:val="00951AEE"/>
    <w:rsid w:val="00951E65"/>
    <w:rsid w:val="00952374"/>
    <w:rsid w:val="00952453"/>
    <w:rsid w:val="009529CC"/>
    <w:rsid w:val="009531D2"/>
    <w:rsid w:val="009532EE"/>
    <w:rsid w:val="009564E4"/>
    <w:rsid w:val="00956815"/>
    <w:rsid w:val="009568E5"/>
    <w:rsid w:val="00956DF5"/>
    <w:rsid w:val="009579FF"/>
    <w:rsid w:val="00957A5F"/>
    <w:rsid w:val="00957E9D"/>
    <w:rsid w:val="0096070E"/>
    <w:rsid w:val="009608E2"/>
    <w:rsid w:val="00960CCC"/>
    <w:rsid w:val="009614D9"/>
    <w:rsid w:val="009616A8"/>
    <w:rsid w:val="00962D55"/>
    <w:rsid w:val="00962DA1"/>
    <w:rsid w:val="00963075"/>
    <w:rsid w:val="009638FF"/>
    <w:rsid w:val="00963EEB"/>
    <w:rsid w:val="00964E24"/>
    <w:rsid w:val="00965190"/>
    <w:rsid w:val="00965A84"/>
    <w:rsid w:val="009660CB"/>
    <w:rsid w:val="00966D3E"/>
    <w:rsid w:val="009678F1"/>
    <w:rsid w:val="00970596"/>
    <w:rsid w:val="009705ED"/>
    <w:rsid w:val="00970E41"/>
    <w:rsid w:val="009719CE"/>
    <w:rsid w:val="00972015"/>
    <w:rsid w:val="009720C2"/>
    <w:rsid w:val="009731A3"/>
    <w:rsid w:val="00974191"/>
    <w:rsid w:val="0097463B"/>
    <w:rsid w:val="00974656"/>
    <w:rsid w:val="009747E0"/>
    <w:rsid w:val="00974E73"/>
    <w:rsid w:val="00974FC3"/>
    <w:rsid w:val="00975A64"/>
    <w:rsid w:val="00975CFE"/>
    <w:rsid w:val="00975EA8"/>
    <w:rsid w:val="00976072"/>
    <w:rsid w:val="0097691D"/>
    <w:rsid w:val="00977444"/>
    <w:rsid w:val="0097755E"/>
    <w:rsid w:val="00977A8B"/>
    <w:rsid w:val="00977D6B"/>
    <w:rsid w:val="00980CB9"/>
    <w:rsid w:val="00980DC0"/>
    <w:rsid w:val="00981085"/>
    <w:rsid w:val="0098111F"/>
    <w:rsid w:val="00981C08"/>
    <w:rsid w:val="00981EB1"/>
    <w:rsid w:val="009828B5"/>
    <w:rsid w:val="00984536"/>
    <w:rsid w:val="00984A84"/>
    <w:rsid w:val="00985205"/>
    <w:rsid w:val="00985C54"/>
    <w:rsid w:val="00985C9E"/>
    <w:rsid w:val="00985DFF"/>
    <w:rsid w:val="0098639D"/>
    <w:rsid w:val="009874FF"/>
    <w:rsid w:val="00987B35"/>
    <w:rsid w:val="0099108F"/>
    <w:rsid w:val="0099124E"/>
    <w:rsid w:val="00991B64"/>
    <w:rsid w:val="00991DDF"/>
    <w:rsid w:val="00991DE9"/>
    <w:rsid w:val="00991F8B"/>
    <w:rsid w:val="009921ED"/>
    <w:rsid w:val="009925CE"/>
    <w:rsid w:val="00992C4C"/>
    <w:rsid w:val="00993816"/>
    <w:rsid w:val="00993A0C"/>
    <w:rsid w:val="00993BD6"/>
    <w:rsid w:val="0099692B"/>
    <w:rsid w:val="00996C1F"/>
    <w:rsid w:val="00997432"/>
    <w:rsid w:val="00997C9E"/>
    <w:rsid w:val="009A03B8"/>
    <w:rsid w:val="009A077D"/>
    <w:rsid w:val="009A0985"/>
    <w:rsid w:val="009A2100"/>
    <w:rsid w:val="009A2B27"/>
    <w:rsid w:val="009A2BAD"/>
    <w:rsid w:val="009A2CBC"/>
    <w:rsid w:val="009A30B2"/>
    <w:rsid w:val="009A30F8"/>
    <w:rsid w:val="009A37C6"/>
    <w:rsid w:val="009A3A4F"/>
    <w:rsid w:val="009A3D7B"/>
    <w:rsid w:val="009A3E11"/>
    <w:rsid w:val="009A3E5F"/>
    <w:rsid w:val="009A4E0A"/>
    <w:rsid w:val="009A50ED"/>
    <w:rsid w:val="009A5555"/>
    <w:rsid w:val="009A5626"/>
    <w:rsid w:val="009A6589"/>
    <w:rsid w:val="009A7EC8"/>
    <w:rsid w:val="009B0F9C"/>
    <w:rsid w:val="009B1879"/>
    <w:rsid w:val="009B1920"/>
    <w:rsid w:val="009B1F0A"/>
    <w:rsid w:val="009B2090"/>
    <w:rsid w:val="009B244B"/>
    <w:rsid w:val="009B2B42"/>
    <w:rsid w:val="009B3E5F"/>
    <w:rsid w:val="009B3E67"/>
    <w:rsid w:val="009B50FC"/>
    <w:rsid w:val="009B56CA"/>
    <w:rsid w:val="009B60A9"/>
    <w:rsid w:val="009B66D9"/>
    <w:rsid w:val="009B6A8C"/>
    <w:rsid w:val="009B785A"/>
    <w:rsid w:val="009B788A"/>
    <w:rsid w:val="009C0535"/>
    <w:rsid w:val="009C07EF"/>
    <w:rsid w:val="009C13E6"/>
    <w:rsid w:val="009C14B8"/>
    <w:rsid w:val="009C2668"/>
    <w:rsid w:val="009C3AC5"/>
    <w:rsid w:val="009C3D01"/>
    <w:rsid w:val="009C3DAE"/>
    <w:rsid w:val="009C4207"/>
    <w:rsid w:val="009C45E1"/>
    <w:rsid w:val="009C47F5"/>
    <w:rsid w:val="009C4836"/>
    <w:rsid w:val="009C5E56"/>
    <w:rsid w:val="009C686F"/>
    <w:rsid w:val="009C6880"/>
    <w:rsid w:val="009C6B64"/>
    <w:rsid w:val="009C6C36"/>
    <w:rsid w:val="009C74B1"/>
    <w:rsid w:val="009C7662"/>
    <w:rsid w:val="009C7D5D"/>
    <w:rsid w:val="009C7DAF"/>
    <w:rsid w:val="009D032C"/>
    <w:rsid w:val="009D08DB"/>
    <w:rsid w:val="009D0EC5"/>
    <w:rsid w:val="009D2050"/>
    <w:rsid w:val="009D2399"/>
    <w:rsid w:val="009D25AC"/>
    <w:rsid w:val="009D2952"/>
    <w:rsid w:val="009D3523"/>
    <w:rsid w:val="009D3DC3"/>
    <w:rsid w:val="009D429E"/>
    <w:rsid w:val="009D4B9F"/>
    <w:rsid w:val="009D4BB3"/>
    <w:rsid w:val="009D641A"/>
    <w:rsid w:val="009D72E7"/>
    <w:rsid w:val="009D784F"/>
    <w:rsid w:val="009E0D2A"/>
    <w:rsid w:val="009E12F3"/>
    <w:rsid w:val="009E1441"/>
    <w:rsid w:val="009E191C"/>
    <w:rsid w:val="009E1A7F"/>
    <w:rsid w:val="009E1E4F"/>
    <w:rsid w:val="009E2B32"/>
    <w:rsid w:val="009E2DE9"/>
    <w:rsid w:val="009E2DFC"/>
    <w:rsid w:val="009E30DA"/>
    <w:rsid w:val="009E314F"/>
    <w:rsid w:val="009E3248"/>
    <w:rsid w:val="009E3500"/>
    <w:rsid w:val="009E49DC"/>
    <w:rsid w:val="009E4A11"/>
    <w:rsid w:val="009E4D9E"/>
    <w:rsid w:val="009E4E1C"/>
    <w:rsid w:val="009E5BA5"/>
    <w:rsid w:val="009E618C"/>
    <w:rsid w:val="009E688E"/>
    <w:rsid w:val="009E7A49"/>
    <w:rsid w:val="009E7AAE"/>
    <w:rsid w:val="009F00C1"/>
    <w:rsid w:val="009F03EA"/>
    <w:rsid w:val="009F03F6"/>
    <w:rsid w:val="009F10F8"/>
    <w:rsid w:val="009F11BF"/>
    <w:rsid w:val="009F171C"/>
    <w:rsid w:val="009F19CA"/>
    <w:rsid w:val="009F2A2E"/>
    <w:rsid w:val="009F3398"/>
    <w:rsid w:val="009F4247"/>
    <w:rsid w:val="009F47F1"/>
    <w:rsid w:val="009F4C0F"/>
    <w:rsid w:val="009F6245"/>
    <w:rsid w:val="009F624E"/>
    <w:rsid w:val="009F6398"/>
    <w:rsid w:val="009F68CE"/>
    <w:rsid w:val="009F6DA2"/>
    <w:rsid w:val="009F7BD6"/>
    <w:rsid w:val="009F7DCB"/>
    <w:rsid w:val="00A00192"/>
    <w:rsid w:val="00A009D0"/>
    <w:rsid w:val="00A018FF"/>
    <w:rsid w:val="00A01911"/>
    <w:rsid w:val="00A0224F"/>
    <w:rsid w:val="00A024FB"/>
    <w:rsid w:val="00A025E5"/>
    <w:rsid w:val="00A02C16"/>
    <w:rsid w:val="00A03187"/>
    <w:rsid w:val="00A037F8"/>
    <w:rsid w:val="00A0471A"/>
    <w:rsid w:val="00A0517E"/>
    <w:rsid w:val="00A070B5"/>
    <w:rsid w:val="00A10256"/>
    <w:rsid w:val="00A11323"/>
    <w:rsid w:val="00A11429"/>
    <w:rsid w:val="00A114DD"/>
    <w:rsid w:val="00A116F7"/>
    <w:rsid w:val="00A1208E"/>
    <w:rsid w:val="00A126A9"/>
    <w:rsid w:val="00A12A21"/>
    <w:rsid w:val="00A12DB7"/>
    <w:rsid w:val="00A12F75"/>
    <w:rsid w:val="00A1359F"/>
    <w:rsid w:val="00A1468F"/>
    <w:rsid w:val="00A151B1"/>
    <w:rsid w:val="00A1533F"/>
    <w:rsid w:val="00A154C4"/>
    <w:rsid w:val="00A156FD"/>
    <w:rsid w:val="00A15F75"/>
    <w:rsid w:val="00A169E6"/>
    <w:rsid w:val="00A173E5"/>
    <w:rsid w:val="00A17440"/>
    <w:rsid w:val="00A17AA0"/>
    <w:rsid w:val="00A17BF9"/>
    <w:rsid w:val="00A2160B"/>
    <w:rsid w:val="00A22E64"/>
    <w:rsid w:val="00A2346E"/>
    <w:rsid w:val="00A23564"/>
    <w:rsid w:val="00A23F16"/>
    <w:rsid w:val="00A240E3"/>
    <w:rsid w:val="00A24568"/>
    <w:rsid w:val="00A247DB"/>
    <w:rsid w:val="00A24AA8"/>
    <w:rsid w:val="00A24CDE"/>
    <w:rsid w:val="00A25E01"/>
    <w:rsid w:val="00A2612A"/>
    <w:rsid w:val="00A26D60"/>
    <w:rsid w:val="00A26D9D"/>
    <w:rsid w:val="00A26DAB"/>
    <w:rsid w:val="00A2778C"/>
    <w:rsid w:val="00A30E6B"/>
    <w:rsid w:val="00A312D4"/>
    <w:rsid w:val="00A315D3"/>
    <w:rsid w:val="00A319F9"/>
    <w:rsid w:val="00A329C2"/>
    <w:rsid w:val="00A33AEF"/>
    <w:rsid w:val="00A33B74"/>
    <w:rsid w:val="00A33E0C"/>
    <w:rsid w:val="00A33FC4"/>
    <w:rsid w:val="00A3421C"/>
    <w:rsid w:val="00A346A4"/>
    <w:rsid w:val="00A35498"/>
    <w:rsid w:val="00A3554D"/>
    <w:rsid w:val="00A35BD8"/>
    <w:rsid w:val="00A35F8B"/>
    <w:rsid w:val="00A368D0"/>
    <w:rsid w:val="00A37D9E"/>
    <w:rsid w:val="00A37F71"/>
    <w:rsid w:val="00A41381"/>
    <w:rsid w:val="00A41D72"/>
    <w:rsid w:val="00A422EF"/>
    <w:rsid w:val="00A4237D"/>
    <w:rsid w:val="00A42700"/>
    <w:rsid w:val="00A4305D"/>
    <w:rsid w:val="00A431DC"/>
    <w:rsid w:val="00A4383C"/>
    <w:rsid w:val="00A44342"/>
    <w:rsid w:val="00A471E7"/>
    <w:rsid w:val="00A475C6"/>
    <w:rsid w:val="00A47C72"/>
    <w:rsid w:val="00A509A1"/>
    <w:rsid w:val="00A50A97"/>
    <w:rsid w:val="00A5179D"/>
    <w:rsid w:val="00A51CC1"/>
    <w:rsid w:val="00A52970"/>
    <w:rsid w:val="00A52D82"/>
    <w:rsid w:val="00A53475"/>
    <w:rsid w:val="00A5374F"/>
    <w:rsid w:val="00A537D6"/>
    <w:rsid w:val="00A53EED"/>
    <w:rsid w:val="00A55357"/>
    <w:rsid w:val="00A553D6"/>
    <w:rsid w:val="00A56457"/>
    <w:rsid w:val="00A5645D"/>
    <w:rsid w:val="00A5671A"/>
    <w:rsid w:val="00A573B4"/>
    <w:rsid w:val="00A57FF9"/>
    <w:rsid w:val="00A60639"/>
    <w:rsid w:val="00A62B15"/>
    <w:rsid w:val="00A641C9"/>
    <w:rsid w:val="00A64BFD"/>
    <w:rsid w:val="00A707CF"/>
    <w:rsid w:val="00A70829"/>
    <w:rsid w:val="00A7086A"/>
    <w:rsid w:val="00A70B8D"/>
    <w:rsid w:val="00A70CBE"/>
    <w:rsid w:val="00A7510C"/>
    <w:rsid w:val="00A77070"/>
    <w:rsid w:val="00A7748E"/>
    <w:rsid w:val="00A77D3D"/>
    <w:rsid w:val="00A77E8A"/>
    <w:rsid w:val="00A80346"/>
    <w:rsid w:val="00A80FF5"/>
    <w:rsid w:val="00A8108F"/>
    <w:rsid w:val="00A8181A"/>
    <w:rsid w:val="00A81ABE"/>
    <w:rsid w:val="00A81FA4"/>
    <w:rsid w:val="00A82157"/>
    <w:rsid w:val="00A834D4"/>
    <w:rsid w:val="00A847A8"/>
    <w:rsid w:val="00A8504B"/>
    <w:rsid w:val="00A850C0"/>
    <w:rsid w:val="00A85381"/>
    <w:rsid w:val="00A857D1"/>
    <w:rsid w:val="00A85A67"/>
    <w:rsid w:val="00A86031"/>
    <w:rsid w:val="00A860EA"/>
    <w:rsid w:val="00A861BF"/>
    <w:rsid w:val="00A862FB"/>
    <w:rsid w:val="00A872EC"/>
    <w:rsid w:val="00A875BC"/>
    <w:rsid w:val="00A9070C"/>
    <w:rsid w:val="00A90B33"/>
    <w:rsid w:val="00A910AD"/>
    <w:rsid w:val="00A91553"/>
    <w:rsid w:val="00A930F9"/>
    <w:rsid w:val="00A93823"/>
    <w:rsid w:val="00A93AC8"/>
    <w:rsid w:val="00A9418C"/>
    <w:rsid w:val="00A944D9"/>
    <w:rsid w:val="00A95744"/>
    <w:rsid w:val="00A95CBC"/>
    <w:rsid w:val="00A96605"/>
    <w:rsid w:val="00A96894"/>
    <w:rsid w:val="00A97A21"/>
    <w:rsid w:val="00A97B0D"/>
    <w:rsid w:val="00AA1FF9"/>
    <w:rsid w:val="00AA2227"/>
    <w:rsid w:val="00AA27CD"/>
    <w:rsid w:val="00AA3748"/>
    <w:rsid w:val="00AA458E"/>
    <w:rsid w:val="00AA4A31"/>
    <w:rsid w:val="00AA5CC2"/>
    <w:rsid w:val="00AA657C"/>
    <w:rsid w:val="00AA66EC"/>
    <w:rsid w:val="00AA6A3F"/>
    <w:rsid w:val="00AA7235"/>
    <w:rsid w:val="00AA7252"/>
    <w:rsid w:val="00AA76B8"/>
    <w:rsid w:val="00AA7706"/>
    <w:rsid w:val="00AB091E"/>
    <w:rsid w:val="00AB0AFF"/>
    <w:rsid w:val="00AB121F"/>
    <w:rsid w:val="00AB1374"/>
    <w:rsid w:val="00AB1813"/>
    <w:rsid w:val="00AB1850"/>
    <w:rsid w:val="00AB2091"/>
    <w:rsid w:val="00AB3402"/>
    <w:rsid w:val="00AB39E0"/>
    <w:rsid w:val="00AB4994"/>
    <w:rsid w:val="00AB5094"/>
    <w:rsid w:val="00AB5212"/>
    <w:rsid w:val="00AB54C8"/>
    <w:rsid w:val="00AB5965"/>
    <w:rsid w:val="00AB5EB9"/>
    <w:rsid w:val="00AB6191"/>
    <w:rsid w:val="00AB6621"/>
    <w:rsid w:val="00AB67C9"/>
    <w:rsid w:val="00AB7A6E"/>
    <w:rsid w:val="00AB7E3A"/>
    <w:rsid w:val="00AC111B"/>
    <w:rsid w:val="00AC156D"/>
    <w:rsid w:val="00AC1AE5"/>
    <w:rsid w:val="00AC1D89"/>
    <w:rsid w:val="00AC259F"/>
    <w:rsid w:val="00AC2844"/>
    <w:rsid w:val="00AC2B04"/>
    <w:rsid w:val="00AC3062"/>
    <w:rsid w:val="00AC361A"/>
    <w:rsid w:val="00AC3CF3"/>
    <w:rsid w:val="00AC48E2"/>
    <w:rsid w:val="00AC4E73"/>
    <w:rsid w:val="00AC667B"/>
    <w:rsid w:val="00AC682A"/>
    <w:rsid w:val="00AC763A"/>
    <w:rsid w:val="00AC7F97"/>
    <w:rsid w:val="00AD020F"/>
    <w:rsid w:val="00AD0512"/>
    <w:rsid w:val="00AD0B17"/>
    <w:rsid w:val="00AD0C97"/>
    <w:rsid w:val="00AD0DB8"/>
    <w:rsid w:val="00AD1256"/>
    <w:rsid w:val="00AD181E"/>
    <w:rsid w:val="00AD18EB"/>
    <w:rsid w:val="00AD1A59"/>
    <w:rsid w:val="00AD217B"/>
    <w:rsid w:val="00AD306F"/>
    <w:rsid w:val="00AD515C"/>
    <w:rsid w:val="00AD57B7"/>
    <w:rsid w:val="00AD62C3"/>
    <w:rsid w:val="00AD7661"/>
    <w:rsid w:val="00AE093D"/>
    <w:rsid w:val="00AE0FFB"/>
    <w:rsid w:val="00AE1A77"/>
    <w:rsid w:val="00AE1FD4"/>
    <w:rsid w:val="00AE25BF"/>
    <w:rsid w:val="00AE2B78"/>
    <w:rsid w:val="00AE2DE5"/>
    <w:rsid w:val="00AE3AF1"/>
    <w:rsid w:val="00AE4224"/>
    <w:rsid w:val="00AE43FA"/>
    <w:rsid w:val="00AE4E25"/>
    <w:rsid w:val="00AE5268"/>
    <w:rsid w:val="00AE533D"/>
    <w:rsid w:val="00AE575C"/>
    <w:rsid w:val="00AE6193"/>
    <w:rsid w:val="00AE61ED"/>
    <w:rsid w:val="00AE621C"/>
    <w:rsid w:val="00AE66AE"/>
    <w:rsid w:val="00AE6855"/>
    <w:rsid w:val="00AE6C65"/>
    <w:rsid w:val="00AE71C1"/>
    <w:rsid w:val="00AE79EE"/>
    <w:rsid w:val="00AE7F71"/>
    <w:rsid w:val="00AF042C"/>
    <w:rsid w:val="00AF067D"/>
    <w:rsid w:val="00AF20D5"/>
    <w:rsid w:val="00AF2A00"/>
    <w:rsid w:val="00AF2CEE"/>
    <w:rsid w:val="00AF321A"/>
    <w:rsid w:val="00AF3342"/>
    <w:rsid w:val="00AF33F4"/>
    <w:rsid w:val="00AF380A"/>
    <w:rsid w:val="00AF3AC4"/>
    <w:rsid w:val="00AF45CB"/>
    <w:rsid w:val="00AF4A90"/>
    <w:rsid w:val="00AF4AD3"/>
    <w:rsid w:val="00AF5734"/>
    <w:rsid w:val="00AF5874"/>
    <w:rsid w:val="00AF593F"/>
    <w:rsid w:val="00AF5981"/>
    <w:rsid w:val="00AF6DA2"/>
    <w:rsid w:val="00AF6ECD"/>
    <w:rsid w:val="00AF728F"/>
    <w:rsid w:val="00B00423"/>
    <w:rsid w:val="00B0058E"/>
    <w:rsid w:val="00B00D8A"/>
    <w:rsid w:val="00B00F8A"/>
    <w:rsid w:val="00B0223A"/>
    <w:rsid w:val="00B029C5"/>
    <w:rsid w:val="00B03138"/>
    <w:rsid w:val="00B03E65"/>
    <w:rsid w:val="00B043B7"/>
    <w:rsid w:val="00B048CE"/>
    <w:rsid w:val="00B05288"/>
    <w:rsid w:val="00B05613"/>
    <w:rsid w:val="00B05A9E"/>
    <w:rsid w:val="00B05F1B"/>
    <w:rsid w:val="00B0636A"/>
    <w:rsid w:val="00B06C90"/>
    <w:rsid w:val="00B06F66"/>
    <w:rsid w:val="00B07AB6"/>
    <w:rsid w:val="00B1025A"/>
    <w:rsid w:val="00B112DA"/>
    <w:rsid w:val="00B118C5"/>
    <w:rsid w:val="00B1208B"/>
    <w:rsid w:val="00B1222E"/>
    <w:rsid w:val="00B13284"/>
    <w:rsid w:val="00B135A9"/>
    <w:rsid w:val="00B1366A"/>
    <w:rsid w:val="00B139B7"/>
    <w:rsid w:val="00B14233"/>
    <w:rsid w:val="00B14499"/>
    <w:rsid w:val="00B1472F"/>
    <w:rsid w:val="00B1525D"/>
    <w:rsid w:val="00B153A6"/>
    <w:rsid w:val="00B15773"/>
    <w:rsid w:val="00B1601D"/>
    <w:rsid w:val="00B16EF8"/>
    <w:rsid w:val="00B175C4"/>
    <w:rsid w:val="00B20F80"/>
    <w:rsid w:val="00B214E6"/>
    <w:rsid w:val="00B219C2"/>
    <w:rsid w:val="00B22791"/>
    <w:rsid w:val="00B22BCD"/>
    <w:rsid w:val="00B22FFB"/>
    <w:rsid w:val="00B231CA"/>
    <w:rsid w:val="00B238EF"/>
    <w:rsid w:val="00B23997"/>
    <w:rsid w:val="00B23BB4"/>
    <w:rsid w:val="00B243B4"/>
    <w:rsid w:val="00B24472"/>
    <w:rsid w:val="00B24A1D"/>
    <w:rsid w:val="00B24ACE"/>
    <w:rsid w:val="00B25211"/>
    <w:rsid w:val="00B25A07"/>
    <w:rsid w:val="00B26233"/>
    <w:rsid w:val="00B26A87"/>
    <w:rsid w:val="00B27613"/>
    <w:rsid w:val="00B27B51"/>
    <w:rsid w:val="00B27DC2"/>
    <w:rsid w:val="00B3035E"/>
    <w:rsid w:val="00B30605"/>
    <w:rsid w:val="00B31224"/>
    <w:rsid w:val="00B324FC"/>
    <w:rsid w:val="00B33B4D"/>
    <w:rsid w:val="00B33DF0"/>
    <w:rsid w:val="00B34080"/>
    <w:rsid w:val="00B34345"/>
    <w:rsid w:val="00B34E55"/>
    <w:rsid w:val="00B3525E"/>
    <w:rsid w:val="00B355DD"/>
    <w:rsid w:val="00B3597F"/>
    <w:rsid w:val="00B35997"/>
    <w:rsid w:val="00B35B55"/>
    <w:rsid w:val="00B35F1B"/>
    <w:rsid w:val="00B36417"/>
    <w:rsid w:val="00B368DF"/>
    <w:rsid w:val="00B36D6C"/>
    <w:rsid w:val="00B40157"/>
    <w:rsid w:val="00B407D4"/>
    <w:rsid w:val="00B40818"/>
    <w:rsid w:val="00B40A36"/>
    <w:rsid w:val="00B411CB"/>
    <w:rsid w:val="00B41DCB"/>
    <w:rsid w:val="00B42383"/>
    <w:rsid w:val="00B43219"/>
    <w:rsid w:val="00B4359E"/>
    <w:rsid w:val="00B436E1"/>
    <w:rsid w:val="00B4378C"/>
    <w:rsid w:val="00B43C64"/>
    <w:rsid w:val="00B45029"/>
    <w:rsid w:val="00B4524C"/>
    <w:rsid w:val="00B456BB"/>
    <w:rsid w:val="00B45CBD"/>
    <w:rsid w:val="00B464DC"/>
    <w:rsid w:val="00B46896"/>
    <w:rsid w:val="00B47045"/>
    <w:rsid w:val="00B47308"/>
    <w:rsid w:val="00B47763"/>
    <w:rsid w:val="00B47992"/>
    <w:rsid w:val="00B47A55"/>
    <w:rsid w:val="00B5276D"/>
    <w:rsid w:val="00B52E0F"/>
    <w:rsid w:val="00B53402"/>
    <w:rsid w:val="00B53687"/>
    <w:rsid w:val="00B53A71"/>
    <w:rsid w:val="00B53C0D"/>
    <w:rsid w:val="00B54577"/>
    <w:rsid w:val="00B548BE"/>
    <w:rsid w:val="00B54C3C"/>
    <w:rsid w:val="00B55153"/>
    <w:rsid w:val="00B561AB"/>
    <w:rsid w:val="00B56A67"/>
    <w:rsid w:val="00B57195"/>
    <w:rsid w:val="00B57F58"/>
    <w:rsid w:val="00B60595"/>
    <w:rsid w:val="00B60BCB"/>
    <w:rsid w:val="00B61C4F"/>
    <w:rsid w:val="00B6232A"/>
    <w:rsid w:val="00B625F0"/>
    <w:rsid w:val="00B62734"/>
    <w:rsid w:val="00B6292B"/>
    <w:rsid w:val="00B63980"/>
    <w:rsid w:val="00B63A95"/>
    <w:rsid w:val="00B65955"/>
    <w:rsid w:val="00B66336"/>
    <w:rsid w:val="00B66B2A"/>
    <w:rsid w:val="00B66BE8"/>
    <w:rsid w:val="00B67C52"/>
    <w:rsid w:val="00B67E78"/>
    <w:rsid w:val="00B707CC"/>
    <w:rsid w:val="00B70A3E"/>
    <w:rsid w:val="00B70FF9"/>
    <w:rsid w:val="00B74441"/>
    <w:rsid w:val="00B74640"/>
    <w:rsid w:val="00B74704"/>
    <w:rsid w:val="00B74E1D"/>
    <w:rsid w:val="00B74E7B"/>
    <w:rsid w:val="00B751D8"/>
    <w:rsid w:val="00B75BF7"/>
    <w:rsid w:val="00B75C39"/>
    <w:rsid w:val="00B76644"/>
    <w:rsid w:val="00B76A1B"/>
    <w:rsid w:val="00B77780"/>
    <w:rsid w:val="00B77DFD"/>
    <w:rsid w:val="00B77F14"/>
    <w:rsid w:val="00B8027B"/>
    <w:rsid w:val="00B8039D"/>
    <w:rsid w:val="00B80FAE"/>
    <w:rsid w:val="00B812D7"/>
    <w:rsid w:val="00B81BBB"/>
    <w:rsid w:val="00B81E59"/>
    <w:rsid w:val="00B81E7C"/>
    <w:rsid w:val="00B81E9E"/>
    <w:rsid w:val="00B81F97"/>
    <w:rsid w:val="00B8222C"/>
    <w:rsid w:val="00B8243F"/>
    <w:rsid w:val="00B824DF"/>
    <w:rsid w:val="00B82A96"/>
    <w:rsid w:val="00B8356E"/>
    <w:rsid w:val="00B836E5"/>
    <w:rsid w:val="00B84F12"/>
    <w:rsid w:val="00B84F97"/>
    <w:rsid w:val="00B8521E"/>
    <w:rsid w:val="00B853FA"/>
    <w:rsid w:val="00B85436"/>
    <w:rsid w:val="00B854E5"/>
    <w:rsid w:val="00B86198"/>
    <w:rsid w:val="00B87250"/>
    <w:rsid w:val="00B87B6C"/>
    <w:rsid w:val="00B87D6E"/>
    <w:rsid w:val="00B87D75"/>
    <w:rsid w:val="00B90309"/>
    <w:rsid w:val="00B9089E"/>
    <w:rsid w:val="00B90BB6"/>
    <w:rsid w:val="00B90DA3"/>
    <w:rsid w:val="00B91877"/>
    <w:rsid w:val="00B91E84"/>
    <w:rsid w:val="00B91EA5"/>
    <w:rsid w:val="00B92312"/>
    <w:rsid w:val="00B928B2"/>
    <w:rsid w:val="00B92A40"/>
    <w:rsid w:val="00B92E8F"/>
    <w:rsid w:val="00B93412"/>
    <w:rsid w:val="00B9341D"/>
    <w:rsid w:val="00B93C53"/>
    <w:rsid w:val="00B94A6B"/>
    <w:rsid w:val="00B94C51"/>
    <w:rsid w:val="00B9525F"/>
    <w:rsid w:val="00B95966"/>
    <w:rsid w:val="00B9619B"/>
    <w:rsid w:val="00B96496"/>
    <w:rsid w:val="00B96570"/>
    <w:rsid w:val="00B97950"/>
    <w:rsid w:val="00BA03C6"/>
    <w:rsid w:val="00BA0D7F"/>
    <w:rsid w:val="00BA0F86"/>
    <w:rsid w:val="00BA1648"/>
    <w:rsid w:val="00BA451D"/>
    <w:rsid w:val="00BA48FD"/>
    <w:rsid w:val="00BA4A09"/>
    <w:rsid w:val="00BA4AC4"/>
    <w:rsid w:val="00BA5271"/>
    <w:rsid w:val="00BA529F"/>
    <w:rsid w:val="00BA5680"/>
    <w:rsid w:val="00BA6117"/>
    <w:rsid w:val="00BA6884"/>
    <w:rsid w:val="00BA721A"/>
    <w:rsid w:val="00BA7419"/>
    <w:rsid w:val="00BA758C"/>
    <w:rsid w:val="00BA7781"/>
    <w:rsid w:val="00BA7834"/>
    <w:rsid w:val="00BB04A5"/>
    <w:rsid w:val="00BB1650"/>
    <w:rsid w:val="00BB18B3"/>
    <w:rsid w:val="00BB2330"/>
    <w:rsid w:val="00BB27B0"/>
    <w:rsid w:val="00BB2971"/>
    <w:rsid w:val="00BB327A"/>
    <w:rsid w:val="00BB366F"/>
    <w:rsid w:val="00BB3A78"/>
    <w:rsid w:val="00BB3F0A"/>
    <w:rsid w:val="00BB42F4"/>
    <w:rsid w:val="00BB4CA0"/>
    <w:rsid w:val="00BB4F40"/>
    <w:rsid w:val="00BB5115"/>
    <w:rsid w:val="00BB51D3"/>
    <w:rsid w:val="00BB53DB"/>
    <w:rsid w:val="00BB5448"/>
    <w:rsid w:val="00BB5756"/>
    <w:rsid w:val="00BB601E"/>
    <w:rsid w:val="00BB630F"/>
    <w:rsid w:val="00BB6C4D"/>
    <w:rsid w:val="00BC0688"/>
    <w:rsid w:val="00BC0DFE"/>
    <w:rsid w:val="00BC1043"/>
    <w:rsid w:val="00BC1424"/>
    <w:rsid w:val="00BC1907"/>
    <w:rsid w:val="00BC1C67"/>
    <w:rsid w:val="00BC287E"/>
    <w:rsid w:val="00BC34F0"/>
    <w:rsid w:val="00BC36F4"/>
    <w:rsid w:val="00BC3981"/>
    <w:rsid w:val="00BC4398"/>
    <w:rsid w:val="00BC4C6E"/>
    <w:rsid w:val="00BC580D"/>
    <w:rsid w:val="00BC658B"/>
    <w:rsid w:val="00BC6C5F"/>
    <w:rsid w:val="00BC7645"/>
    <w:rsid w:val="00BD07BC"/>
    <w:rsid w:val="00BD0FE6"/>
    <w:rsid w:val="00BD223F"/>
    <w:rsid w:val="00BD2680"/>
    <w:rsid w:val="00BD26BC"/>
    <w:rsid w:val="00BD26EB"/>
    <w:rsid w:val="00BD30A6"/>
    <w:rsid w:val="00BD36E6"/>
    <w:rsid w:val="00BD370C"/>
    <w:rsid w:val="00BD38DB"/>
    <w:rsid w:val="00BD472D"/>
    <w:rsid w:val="00BD4751"/>
    <w:rsid w:val="00BD4DFB"/>
    <w:rsid w:val="00BD4FF9"/>
    <w:rsid w:val="00BD53DF"/>
    <w:rsid w:val="00BD5552"/>
    <w:rsid w:val="00BD5B13"/>
    <w:rsid w:val="00BD5FF3"/>
    <w:rsid w:val="00BD603C"/>
    <w:rsid w:val="00BD737A"/>
    <w:rsid w:val="00BD7E5F"/>
    <w:rsid w:val="00BE0484"/>
    <w:rsid w:val="00BE04CC"/>
    <w:rsid w:val="00BE055A"/>
    <w:rsid w:val="00BE0C5F"/>
    <w:rsid w:val="00BE100A"/>
    <w:rsid w:val="00BE1FB7"/>
    <w:rsid w:val="00BE268C"/>
    <w:rsid w:val="00BE2E9E"/>
    <w:rsid w:val="00BE30E8"/>
    <w:rsid w:val="00BE425B"/>
    <w:rsid w:val="00BE47A1"/>
    <w:rsid w:val="00BE4B01"/>
    <w:rsid w:val="00BE4B7C"/>
    <w:rsid w:val="00BE5511"/>
    <w:rsid w:val="00BE5591"/>
    <w:rsid w:val="00BE5CE2"/>
    <w:rsid w:val="00BE6957"/>
    <w:rsid w:val="00BE7684"/>
    <w:rsid w:val="00BE77D4"/>
    <w:rsid w:val="00BE78B1"/>
    <w:rsid w:val="00BF049D"/>
    <w:rsid w:val="00BF04A5"/>
    <w:rsid w:val="00BF06F2"/>
    <w:rsid w:val="00BF1B1C"/>
    <w:rsid w:val="00BF29FB"/>
    <w:rsid w:val="00BF3972"/>
    <w:rsid w:val="00BF3A7B"/>
    <w:rsid w:val="00BF4903"/>
    <w:rsid w:val="00BF503A"/>
    <w:rsid w:val="00BF511F"/>
    <w:rsid w:val="00BF5B8B"/>
    <w:rsid w:val="00BF6E6B"/>
    <w:rsid w:val="00BF7652"/>
    <w:rsid w:val="00BF784C"/>
    <w:rsid w:val="00BF79B6"/>
    <w:rsid w:val="00BF7FF0"/>
    <w:rsid w:val="00C00573"/>
    <w:rsid w:val="00C0078D"/>
    <w:rsid w:val="00C00D00"/>
    <w:rsid w:val="00C014E5"/>
    <w:rsid w:val="00C028F5"/>
    <w:rsid w:val="00C02FDE"/>
    <w:rsid w:val="00C03101"/>
    <w:rsid w:val="00C03CD2"/>
    <w:rsid w:val="00C0543B"/>
    <w:rsid w:val="00C05464"/>
    <w:rsid w:val="00C05AC7"/>
    <w:rsid w:val="00C05FE4"/>
    <w:rsid w:val="00C06EBF"/>
    <w:rsid w:val="00C06FEC"/>
    <w:rsid w:val="00C07592"/>
    <w:rsid w:val="00C1038C"/>
    <w:rsid w:val="00C10C0F"/>
    <w:rsid w:val="00C11701"/>
    <w:rsid w:val="00C11716"/>
    <w:rsid w:val="00C118CA"/>
    <w:rsid w:val="00C1219D"/>
    <w:rsid w:val="00C13049"/>
    <w:rsid w:val="00C13E2F"/>
    <w:rsid w:val="00C140F6"/>
    <w:rsid w:val="00C14857"/>
    <w:rsid w:val="00C14D4A"/>
    <w:rsid w:val="00C1563D"/>
    <w:rsid w:val="00C157E3"/>
    <w:rsid w:val="00C15BDB"/>
    <w:rsid w:val="00C15C63"/>
    <w:rsid w:val="00C1661E"/>
    <w:rsid w:val="00C170BF"/>
    <w:rsid w:val="00C17301"/>
    <w:rsid w:val="00C20134"/>
    <w:rsid w:val="00C20747"/>
    <w:rsid w:val="00C207B0"/>
    <w:rsid w:val="00C209DD"/>
    <w:rsid w:val="00C21129"/>
    <w:rsid w:val="00C21B5F"/>
    <w:rsid w:val="00C22847"/>
    <w:rsid w:val="00C22873"/>
    <w:rsid w:val="00C229D6"/>
    <w:rsid w:val="00C232C6"/>
    <w:rsid w:val="00C23F58"/>
    <w:rsid w:val="00C245F8"/>
    <w:rsid w:val="00C2549E"/>
    <w:rsid w:val="00C255C1"/>
    <w:rsid w:val="00C25AAC"/>
    <w:rsid w:val="00C26486"/>
    <w:rsid w:val="00C26659"/>
    <w:rsid w:val="00C27034"/>
    <w:rsid w:val="00C27698"/>
    <w:rsid w:val="00C3261F"/>
    <w:rsid w:val="00C33232"/>
    <w:rsid w:val="00C3437B"/>
    <w:rsid w:val="00C3469A"/>
    <w:rsid w:val="00C3587C"/>
    <w:rsid w:val="00C35BFF"/>
    <w:rsid w:val="00C35D0E"/>
    <w:rsid w:val="00C35E6A"/>
    <w:rsid w:val="00C3656D"/>
    <w:rsid w:val="00C3698A"/>
    <w:rsid w:val="00C371F8"/>
    <w:rsid w:val="00C37897"/>
    <w:rsid w:val="00C37DEB"/>
    <w:rsid w:val="00C37EB6"/>
    <w:rsid w:val="00C4045B"/>
    <w:rsid w:val="00C40A9E"/>
    <w:rsid w:val="00C40CC0"/>
    <w:rsid w:val="00C4113E"/>
    <w:rsid w:val="00C41190"/>
    <w:rsid w:val="00C4136E"/>
    <w:rsid w:val="00C41907"/>
    <w:rsid w:val="00C425CF"/>
    <w:rsid w:val="00C42B3E"/>
    <w:rsid w:val="00C42C71"/>
    <w:rsid w:val="00C43B79"/>
    <w:rsid w:val="00C44C4C"/>
    <w:rsid w:val="00C45177"/>
    <w:rsid w:val="00C45923"/>
    <w:rsid w:val="00C45D89"/>
    <w:rsid w:val="00C464CC"/>
    <w:rsid w:val="00C4650B"/>
    <w:rsid w:val="00C46677"/>
    <w:rsid w:val="00C46E5B"/>
    <w:rsid w:val="00C46FA8"/>
    <w:rsid w:val="00C47723"/>
    <w:rsid w:val="00C507D8"/>
    <w:rsid w:val="00C515BA"/>
    <w:rsid w:val="00C52A3F"/>
    <w:rsid w:val="00C52D3C"/>
    <w:rsid w:val="00C53332"/>
    <w:rsid w:val="00C53D1A"/>
    <w:rsid w:val="00C5489A"/>
    <w:rsid w:val="00C54E41"/>
    <w:rsid w:val="00C55675"/>
    <w:rsid w:val="00C557BD"/>
    <w:rsid w:val="00C564BA"/>
    <w:rsid w:val="00C569D3"/>
    <w:rsid w:val="00C6043A"/>
    <w:rsid w:val="00C60667"/>
    <w:rsid w:val="00C615AA"/>
    <w:rsid w:val="00C61E5E"/>
    <w:rsid w:val="00C62057"/>
    <w:rsid w:val="00C62274"/>
    <w:rsid w:val="00C622B3"/>
    <w:rsid w:val="00C62624"/>
    <w:rsid w:val="00C62662"/>
    <w:rsid w:val="00C63160"/>
    <w:rsid w:val="00C63B93"/>
    <w:rsid w:val="00C6596C"/>
    <w:rsid w:val="00C6642B"/>
    <w:rsid w:val="00C66869"/>
    <w:rsid w:val="00C66CD4"/>
    <w:rsid w:val="00C66CDF"/>
    <w:rsid w:val="00C670E6"/>
    <w:rsid w:val="00C67443"/>
    <w:rsid w:val="00C70393"/>
    <w:rsid w:val="00C708F3"/>
    <w:rsid w:val="00C71044"/>
    <w:rsid w:val="00C71FA5"/>
    <w:rsid w:val="00C72080"/>
    <w:rsid w:val="00C721DD"/>
    <w:rsid w:val="00C72D4A"/>
    <w:rsid w:val="00C72E71"/>
    <w:rsid w:val="00C73CD0"/>
    <w:rsid w:val="00C73E4A"/>
    <w:rsid w:val="00C7436D"/>
    <w:rsid w:val="00C7476A"/>
    <w:rsid w:val="00C74848"/>
    <w:rsid w:val="00C74C1F"/>
    <w:rsid w:val="00C74F2D"/>
    <w:rsid w:val="00C75B95"/>
    <w:rsid w:val="00C7636D"/>
    <w:rsid w:val="00C7698A"/>
    <w:rsid w:val="00C76C7C"/>
    <w:rsid w:val="00C777BD"/>
    <w:rsid w:val="00C803EB"/>
    <w:rsid w:val="00C80435"/>
    <w:rsid w:val="00C80655"/>
    <w:rsid w:val="00C80683"/>
    <w:rsid w:val="00C8173C"/>
    <w:rsid w:val="00C81FDA"/>
    <w:rsid w:val="00C822F0"/>
    <w:rsid w:val="00C825AC"/>
    <w:rsid w:val="00C82E47"/>
    <w:rsid w:val="00C83223"/>
    <w:rsid w:val="00C844FB"/>
    <w:rsid w:val="00C846BB"/>
    <w:rsid w:val="00C84AB2"/>
    <w:rsid w:val="00C8632F"/>
    <w:rsid w:val="00C867F4"/>
    <w:rsid w:val="00C86D14"/>
    <w:rsid w:val="00C86EF1"/>
    <w:rsid w:val="00C8726C"/>
    <w:rsid w:val="00C900A1"/>
    <w:rsid w:val="00C90354"/>
    <w:rsid w:val="00C90615"/>
    <w:rsid w:val="00C90D11"/>
    <w:rsid w:val="00C9150A"/>
    <w:rsid w:val="00C927EF"/>
    <w:rsid w:val="00C92E3F"/>
    <w:rsid w:val="00C92F80"/>
    <w:rsid w:val="00C92FB2"/>
    <w:rsid w:val="00C932A8"/>
    <w:rsid w:val="00C9380A"/>
    <w:rsid w:val="00C93C3A"/>
    <w:rsid w:val="00C93C7A"/>
    <w:rsid w:val="00C9412C"/>
    <w:rsid w:val="00C943D4"/>
    <w:rsid w:val="00C9462A"/>
    <w:rsid w:val="00C946D0"/>
    <w:rsid w:val="00C94EB9"/>
    <w:rsid w:val="00C952E4"/>
    <w:rsid w:val="00C9587C"/>
    <w:rsid w:val="00C95938"/>
    <w:rsid w:val="00C95963"/>
    <w:rsid w:val="00C95B3A"/>
    <w:rsid w:val="00C96A37"/>
    <w:rsid w:val="00C96EA0"/>
    <w:rsid w:val="00C975C9"/>
    <w:rsid w:val="00C97700"/>
    <w:rsid w:val="00CA04B3"/>
    <w:rsid w:val="00CA1866"/>
    <w:rsid w:val="00CA18C0"/>
    <w:rsid w:val="00CA1E44"/>
    <w:rsid w:val="00CA3265"/>
    <w:rsid w:val="00CA433E"/>
    <w:rsid w:val="00CA48BA"/>
    <w:rsid w:val="00CA4CE3"/>
    <w:rsid w:val="00CA5AEC"/>
    <w:rsid w:val="00CA62B1"/>
    <w:rsid w:val="00CA6322"/>
    <w:rsid w:val="00CA6D24"/>
    <w:rsid w:val="00CA76D1"/>
    <w:rsid w:val="00CA7764"/>
    <w:rsid w:val="00CA7827"/>
    <w:rsid w:val="00CA78D6"/>
    <w:rsid w:val="00CB0239"/>
    <w:rsid w:val="00CB0A78"/>
    <w:rsid w:val="00CB0DA0"/>
    <w:rsid w:val="00CB2CF1"/>
    <w:rsid w:val="00CB2F18"/>
    <w:rsid w:val="00CB362E"/>
    <w:rsid w:val="00CB39C0"/>
    <w:rsid w:val="00CB40E3"/>
    <w:rsid w:val="00CB4502"/>
    <w:rsid w:val="00CB46DB"/>
    <w:rsid w:val="00CB4A6F"/>
    <w:rsid w:val="00CB4BA5"/>
    <w:rsid w:val="00CB4D2D"/>
    <w:rsid w:val="00CB4DBE"/>
    <w:rsid w:val="00CB506C"/>
    <w:rsid w:val="00CB6812"/>
    <w:rsid w:val="00CB6DAD"/>
    <w:rsid w:val="00CB6E8F"/>
    <w:rsid w:val="00CB72E7"/>
    <w:rsid w:val="00CB75B6"/>
    <w:rsid w:val="00CB7844"/>
    <w:rsid w:val="00CB7AE9"/>
    <w:rsid w:val="00CC003A"/>
    <w:rsid w:val="00CC0DD0"/>
    <w:rsid w:val="00CC0E7E"/>
    <w:rsid w:val="00CC0F7E"/>
    <w:rsid w:val="00CC12D7"/>
    <w:rsid w:val="00CC2103"/>
    <w:rsid w:val="00CC2271"/>
    <w:rsid w:val="00CC3940"/>
    <w:rsid w:val="00CC4D15"/>
    <w:rsid w:val="00CC4F08"/>
    <w:rsid w:val="00CC50B5"/>
    <w:rsid w:val="00CC512A"/>
    <w:rsid w:val="00CC55AB"/>
    <w:rsid w:val="00CC5926"/>
    <w:rsid w:val="00CC5BE1"/>
    <w:rsid w:val="00CC5E5A"/>
    <w:rsid w:val="00CC600C"/>
    <w:rsid w:val="00CC6FDF"/>
    <w:rsid w:val="00CC73B2"/>
    <w:rsid w:val="00CC7436"/>
    <w:rsid w:val="00CD1775"/>
    <w:rsid w:val="00CD1CF0"/>
    <w:rsid w:val="00CD2158"/>
    <w:rsid w:val="00CD2269"/>
    <w:rsid w:val="00CD368B"/>
    <w:rsid w:val="00CD4036"/>
    <w:rsid w:val="00CD40DE"/>
    <w:rsid w:val="00CD494E"/>
    <w:rsid w:val="00CD4A51"/>
    <w:rsid w:val="00CD4B0F"/>
    <w:rsid w:val="00CD4CC2"/>
    <w:rsid w:val="00CD50D1"/>
    <w:rsid w:val="00CD73D2"/>
    <w:rsid w:val="00CD792C"/>
    <w:rsid w:val="00CE2415"/>
    <w:rsid w:val="00CE2EDB"/>
    <w:rsid w:val="00CE41CD"/>
    <w:rsid w:val="00CE5D5C"/>
    <w:rsid w:val="00CE6321"/>
    <w:rsid w:val="00CE76CA"/>
    <w:rsid w:val="00CE7C43"/>
    <w:rsid w:val="00CE7F0F"/>
    <w:rsid w:val="00CE7F17"/>
    <w:rsid w:val="00CF07C5"/>
    <w:rsid w:val="00CF09C9"/>
    <w:rsid w:val="00CF1323"/>
    <w:rsid w:val="00CF19BC"/>
    <w:rsid w:val="00CF278D"/>
    <w:rsid w:val="00CF2CB1"/>
    <w:rsid w:val="00CF2CF0"/>
    <w:rsid w:val="00CF3616"/>
    <w:rsid w:val="00CF46D0"/>
    <w:rsid w:val="00CF4A31"/>
    <w:rsid w:val="00CF5D89"/>
    <w:rsid w:val="00CF5FEF"/>
    <w:rsid w:val="00CF6947"/>
    <w:rsid w:val="00CF6995"/>
    <w:rsid w:val="00CF7CA9"/>
    <w:rsid w:val="00CF7F00"/>
    <w:rsid w:val="00D000DD"/>
    <w:rsid w:val="00D00A94"/>
    <w:rsid w:val="00D00B34"/>
    <w:rsid w:val="00D017BF"/>
    <w:rsid w:val="00D018F6"/>
    <w:rsid w:val="00D01B2E"/>
    <w:rsid w:val="00D0211C"/>
    <w:rsid w:val="00D02188"/>
    <w:rsid w:val="00D03B40"/>
    <w:rsid w:val="00D0413D"/>
    <w:rsid w:val="00D043A5"/>
    <w:rsid w:val="00D0456E"/>
    <w:rsid w:val="00D0478B"/>
    <w:rsid w:val="00D04995"/>
    <w:rsid w:val="00D05195"/>
    <w:rsid w:val="00D051D3"/>
    <w:rsid w:val="00D056D0"/>
    <w:rsid w:val="00D05E4F"/>
    <w:rsid w:val="00D0664A"/>
    <w:rsid w:val="00D067D8"/>
    <w:rsid w:val="00D068D6"/>
    <w:rsid w:val="00D07279"/>
    <w:rsid w:val="00D07341"/>
    <w:rsid w:val="00D07882"/>
    <w:rsid w:val="00D079E8"/>
    <w:rsid w:val="00D07BA3"/>
    <w:rsid w:val="00D10326"/>
    <w:rsid w:val="00D1044D"/>
    <w:rsid w:val="00D1108E"/>
    <w:rsid w:val="00D110C0"/>
    <w:rsid w:val="00D11E0D"/>
    <w:rsid w:val="00D12480"/>
    <w:rsid w:val="00D124EC"/>
    <w:rsid w:val="00D126F1"/>
    <w:rsid w:val="00D146D6"/>
    <w:rsid w:val="00D1512D"/>
    <w:rsid w:val="00D15388"/>
    <w:rsid w:val="00D15A89"/>
    <w:rsid w:val="00D1678D"/>
    <w:rsid w:val="00D205FF"/>
    <w:rsid w:val="00D226EF"/>
    <w:rsid w:val="00D227F2"/>
    <w:rsid w:val="00D229F8"/>
    <w:rsid w:val="00D22CBD"/>
    <w:rsid w:val="00D231DF"/>
    <w:rsid w:val="00D236F3"/>
    <w:rsid w:val="00D23E4B"/>
    <w:rsid w:val="00D24A97"/>
    <w:rsid w:val="00D24EA5"/>
    <w:rsid w:val="00D261FD"/>
    <w:rsid w:val="00D26281"/>
    <w:rsid w:val="00D2666D"/>
    <w:rsid w:val="00D26A82"/>
    <w:rsid w:val="00D30584"/>
    <w:rsid w:val="00D30938"/>
    <w:rsid w:val="00D30BA8"/>
    <w:rsid w:val="00D30F56"/>
    <w:rsid w:val="00D3136A"/>
    <w:rsid w:val="00D31527"/>
    <w:rsid w:val="00D327A8"/>
    <w:rsid w:val="00D32B84"/>
    <w:rsid w:val="00D32B91"/>
    <w:rsid w:val="00D32C7C"/>
    <w:rsid w:val="00D32EDA"/>
    <w:rsid w:val="00D32FAA"/>
    <w:rsid w:val="00D335D4"/>
    <w:rsid w:val="00D33F00"/>
    <w:rsid w:val="00D346FF"/>
    <w:rsid w:val="00D34704"/>
    <w:rsid w:val="00D34BE5"/>
    <w:rsid w:val="00D352C5"/>
    <w:rsid w:val="00D3564F"/>
    <w:rsid w:val="00D3590A"/>
    <w:rsid w:val="00D36345"/>
    <w:rsid w:val="00D365DA"/>
    <w:rsid w:val="00D368A7"/>
    <w:rsid w:val="00D36FB2"/>
    <w:rsid w:val="00D372D3"/>
    <w:rsid w:val="00D37854"/>
    <w:rsid w:val="00D40121"/>
    <w:rsid w:val="00D40497"/>
    <w:rsid w:val="00D40EFA"/>
    <w:rsid w:val="00D4155D"/>
    <w:rsid w:val="00D4169D"/>
    <w:rsid w:val="00D418B2"/>
    <w:rsid w:val="00D429DF"/>
    <w:rsid w:val="00D42AC3"/>
    <w:rsid w:val="00D43038"/>
    <w:rsid w:val="00D430B3"/>
    <w:rsid w:val="00D43533"/>
    <w:rsid w:val="00D4391C"/>
    <w:rsid w:val="00D43AA6"/>
    <w:rsid w:val="00D43DFF"/>
    <w:rsid w:val="00D44371"/>
    <w:rsid w:val="00D44749"/>
    <w:rsid w:val="00D44C16"/>
    <w:rsid w:val="00D44DC5"/>
    <w:rsid w:val="00D45B7A"/>
    <w:rsid w:val="00D45E55"/>
    <w:rsid w:val="00D472F6"/>
    <w:rsid w:val="00D47CAB"/>
    <w:rsid w:val="00D502E6"/>
    <w:rsid w:val="00D505E1"/>
    <w:rsid w:val="00D50A86"/>
    <w:rsid w:val="00D50D6F"/>
    <w:rsid w:val="00D50EAB"/>
    <w:rsid w:val="00D51779"/>
    <w:rsid w:val="00D51ADF"/>
    <w:rsid w:val="00D52081"/>
    <w:rsid w:val="00D52E0C"/>
    <w:rsid w:val="00D53230"/>
    <w:rsid w:val="00D53351"/>
    <w:rsid w:val="00D534DE"/>
    <w:rsid w:val="00D535AF"/>
    <w:rsid w:val="00D53FB8"/>
    <w:rsid w:val="00D54578"/>
    <w:rsid w:val="00D545F9"/>
    <w:rsid w:val="00D54695"/>
    <w:rsid w:val="00D558E2"/>
    <w:rsid w:val="00D61091"/>
    <w:rsid w:val="00D61D2A"/>
    <w:rsid w:val="00D621C8"/>
    <w:rsid w:val="00D624B9"/>
    <w:rsid w:val="00D631ED"/>
    <w:rsid w:val="00D632D1"/>
    <w:rsid w:val="00D64C2A"/>
    <w:rsid w:val="00D6519E"/>
    <w:rsid w:val="00D65BDA"/>
    <w:rsid w:val="00D65DA7"/>
    <w:rsid w:val="00D66881"/>
    <w:rsid w:val="00D67346"/>
    <w:rsid w:val="00D67578"/>
    <w:rsid w:val="00D677EA"/>
    <w:rsid w:val="00D67FBB"/>
    <w:rsid w:val="00D7063C"/>
    <w:rsid w:val="00D70B6C"/>
    <w:rsid w:val="00D71441"/>
    <w:rsid w:val="00D71C8E"/>
    <w:rsid w:val="00D71D32"/>
    <w:rsid w:val="00D723B2"/>
    <w:rsid w:val="00D729B9"/>
    <w:rsid w:val="00D732EA"/>
    <w:rsid w:val="00D73F53"/>
    <w:rsid w:val="00D740F8"/>
    <w:rsid w:val="00D741B4"/>
    <w:rsid w:val="00D741ED"/>
    <w:rsid w:val="00D7460E"/>
    <w:rsid w:val="00D749C9"/>
    <w:rsid w:val="00D74A10"/>
    <w:rsid w:val="00D75253"/>
    <w:rsid w:val="00D753EE"/>
    <w:rsid w:val="00D75585"/>
    <w:rsid w:val="00D759F5"/>
    <w:rsid w:val="00D75B9F"/>
    <w:rsid w:val="00D762E6"/>
    <w:rsid w:val="00D7687B"/>
    <w:rsid w:val="00D76A35"/>
    <w:rsid w:val="00D76DBF"/>
    <w:rsid w:val="00D76F4D"/>
    <w:rsid w:val="00D76F82"/>
    <w:rsid w:val="00D76FE0"/>
    <w:rsid w:val="00D77500"/>
    <w:rsid w:val="00D77852"/>
    <w:rsid w:val="00D77A89"/>
    <w:rsid w:val="00D80370"/>
    <w:rsid w:val="00D806CA"/>
    <w:rsid w:val="00D807B9"/>
    <w:rsid w:val="00D80D83"/>
    <w:rsid w:val="00D81B3C"/>
    <w:rsid w:val="00D81EBC"/>
    <w:rsid w:val="00D83012"/>
    <w:rsid w:val="00D83414"/>
    <w:rsid w:val="00D8370E"/>
    <w:rsid w:val="00D84325"/>
    <w:rsid w:val="00D84828"/>
    <w:rsid w:val="00D84F0B"/>
    <w:rsid w:val="00D85BC7"/>
    <w:rsid w:val="00D85CCD"/>
    <w:rsid w:val="00D861CE"/>
    <w:rsid w:val="00D864E5"/>
    <w:rsid w:val="00D86B51"/>
    <w:rsid w:val="00D87670"/>
    <w:rsid w:val="00D87C8A"/>
    <w:rsid w:val="00D90088"/>
    <w:rsid w:val="00D902AE"/>
    <w:rsid w:val="00D91037"/>
    <w:rsid w:val="00D914D3"/>
    <w:rsid w:val="00D91852"/>
    <w:rsid w:val="00D91B37"/>
    <w:rsid w:val="00D93D98"/>
    <w:rsid w:val="00D94315"/>
    <w:rsid w:val="00D9447B"/>
    <w:rsid w:val="00D94603"/>
    <w:rsid w:val="00D95289"/>
    <w:rsid w:val="00D956BD"/>
    <w:rsid w:val="00D956F7"/>
    <w:rsid w:val="00D9574A"/>
    <w:rsid w:val="00D96C1C"/>
    <w:rsid w:val="00D9745C"/>
    <w:rsid w:val="00D9763B"/>
    <w:rsid w:val="00D977FC"/>
    <w:rsid w:val="00DA0270"/>
    <w:rsid w:val="00DA0CF3"/>
    <w:rsid w:val="00DA0F99"/>
    <w:rsid w:val="00DA1035"/>
    <w:rsid w:val="00DA33AF"/>
    <w:rsid w:val="00DA4466"/>
    <w:rsid w:val="00DA4EB7"/>
    <w:rsid w:val="00DA5504"/>
    <w:rsid w:val="00DA614D"/>
    <w:rsid w:val="00DA6B96"/>
    <w:rsid w:val="00DA6DED"/>
    <w:rsid w:val="00DA7828"/>
    <w:rsid w:val="00DB01A0"/>
    <w:rsid w:val="00DB0A94"/>
    <w:rsid w:val="00DB0B7F"/>
    <w:rsid w:val="00DB0D38"/>
    <w:rsid w:val="00DB1E6B"/>
    <w:rsid w:val="00DB2150"/>
    <w:rsid w:val="00DB3B41"/>
    <w:rsid w:val="00DB4858"/>
    <w:rsid w:val="00DB4E9C"/>
    <w:rsid w:val="00DB50B6"/>
    <w:rsid w:val="00DB590A"/>
    <w:rsid w:val="00DB5A21"/>
    <w:rsid w:val="00DB602C"/>
    <w:rsid w:val="00DB65C9"/>
    <w:rsid w:val="00DB75AA"/>
    <w:rsid w:val="00DB7A2B"/>
    <w:rsid w:val="00DC01CE"/>
    <w:rsid w:val="00DC09CF"/>
    <w:rsid w:val="00DC0E90"/>
    <w:rsid w:val="00DC0EC8"/>
    <w:rsid w:val="00DC173C"/>
    <w:rsid w:val="00DC1A17"/>
    <w:rsid w:val="00DC27B1"/>
    <w:rsid w:val="00DC287F"/>
    <w:rsid w:val="00DC3656"/>
    <w:rsid w:val="00DC3B26"/>
    <w:rsid w:val="00DC4FC6"/>
    <w:rsid w:val="00DC611A"/>
    <w:rsid w:val="00DC6B30"/>
    <w:rsid w:val="00DC6DF2"/>
    <w:rsid w:val="00DC6F02"/>
    <w:rsid w:val="00DC7C81"/>
    <w:rsid w:val="00DD086C"/>
    <w:rsid w:val="00DD0D59"/>
    <w:rsid w:val="00DD0FB8"/>
    <w:rsid w:val="00DD1639"/>
    <w:rsid w:val="00DD1C1F"/>
    <w:rsid w:val="00DD234F"/>
    <w:rsid w:val="00DD289C"/>
    <w:rsid w:val="00DD2DD5"/>
    <w:rsid w:val="00DD42F4"/>
    <w:rsid w:val="00DD4406"/>
    <w:rsid w:val="00DD45B6"/>
    <w:rsid w:val="00DD6A4A"/>
    <w:rsid w:val="00DD76C8"/>
    <w:rsid w:val="00DD7AEE"/>
    <w:rsid w:val="00DD7EA7"/>
    <w:rsid w:val="00DE029C"/>
    <w:rsid w:val="00DE1764"/>
    <w:rsid w:val="00DE18CE"/>
    <w:rsid w:val="00DE1DE3"/>
    <w:rsid w:val="00DE2DB9"/>
    <w:rsid w:val="00DE4292"/>
    <w:rsid w:val="00DE4435"/>
    <w:rsid w:val="00DE4FE0"/>
    <w:rsid w:val="00DE5597"/>
    <w:rsid w:val="00DE5EAF"/>
    <w:rsid w:val="00DE6932"/>
    <w:rsid w:val="00DE769A"/>
    <w:rsid w:val="00DF01B3"/>
    <w:rsid w:val="00DF0D50"/>
    <w:rsid w:val="00DF11C3"/>
    <w:rsid w:val="00DF12CF"/>
    <w:rsid w:val="00DF138F"/>
    <w:rsid w:val="00DF1A2D"/>
    <w:rsid w:val="00DF1A8E"/>
    <w:rsid w:val="00DF1C53"/>
    <w:rsid w:val="00DF1DE8"/>
    <w:rsid w:val="00DF29B2"/>
    <w:rsid w:val="00DF32E4"/>
    <w:rsid w:val="00DF3C12"/>
    <w:rsid w:val="00DF43DE"/>
    <w:rsid w:val="00DF446B"/>
    <w:rsid w:val="00DF4C11"/>
    <w:rsid w:val="00DF5862"/>
    <w:rsid w:val="00DF6062"/>
    <w:rsid w:val="00DF6BBC"/>
    <w:rsid w:val="00DF6DCD"/>
    <w:rsid w:val="00DF7424"/>
    <w:rsid w:val="00DF7AAB"/>
    <w:rsid w:val="00E00361"/>
    <w:rsid w:val="00E01959"/>
    <w:rsid w:val="00E01AD8"/>
    <w:rsid w:val="00E01C44"/>
    <w:rsid w:val="00E0260D"/>
    <w:rsid w:val="00E02C5B"/>
    <w:rsid w:val="00E0313C"/>
    <w:rsid w:val="00E031B7"/>
    <w:rsid w:val="00E03D57"/>
    <w:rsid w:val="00E047BE"/>
    <w:rsid w:val="00E04902"/>
    <w:rsid w:val="00E04AE0"/>
    <w:rsid w:val="00E05163"/>
    <w:rsid w:val="00E0581B"/>
    <w:rsid w:val="00E05B0D"/>
    <w:rsid w:val="00E05D35"/>
    <w:rsid w:val="00E05F62"/>
    <w:rsid w:val="00E06385"/>
    <w:rsid w:val="00E06C1F"/>
    <w:rsid w:val="00E075C8"/>
    <w:rsid w:val="00E1011D"/>
    <w:rsid w:val="00E112DD"/>
    <w:rsid w:val="00E11504"/>
    <w:rsid w:val="00E139E7"/>
    <w:rsid w:val="00E148B4"/>
    <w:rsid w:val="00E153DC"/>
    <w:rsid w:val="00E1718E"/>
    <w:rsid w:val="00E173C3"/>
    <w:rsid w:val="00E20329"/>
    <w:rsid w:val="00E20759"/>
    <w:rsid w:val="00E226D9"/>
    <w:rsid w:val="00E231B4"/>
    <w:rsid w:val="00E23480"/>
    <w:rsid w:val="00E236CF"/>
    <w:rsid w:val="00E2392C"/>
    <w:rsid w:val="00E23A97"/>
    <w:rsid w:val="00E23AEE"/>
    <w:rsid w:val="00E240B5"/>
    <w:rsid w:val="00E249A2"/>
    <w:rsid w:val="00E24E4E"/>
    <w:rsid w:val="00E24F68"/>
    <w:rsid w:val="00E2716D"/>
    <w:rsid w:val="00E2776F"/>
    <w:rsid w:val="00E30295"/>
    <w:rsid w:val="00E30792"/>
    <w:rsid w:val="00E30807"/>
    <w:rsid w:val="00E30823"/>
    <w:rsid w:val="00E31F23"/>
    <w:rsid w:val="00E323B3"/>
    <w:rsid w:val="00E32718"/>
    <w:rsid w:val="00E32A11"/>
    <w:rsid w:val="00E33674"/>
    <w:rsid w:val="00E33A25"/>
    <w:rsid w:val="00E33C0F"/>
    <w:rsid w:val="00E34EAE"/>
    <w:rsid w:val="00E34EFE"/>
    <w:rsid w:val="00E35508"/>
    <w:rsid w:val="00E35735"/>
    <w:rsid w:val="00E358C5"/>
    <w:rsid w:val="00E359DF"/>
    <w:rsid w:val="00E35C62"/>
    <w:rsid w:val="00E35E2E"/>
    <w:rsid w:val="00E35FE0"/>
    <w:rsid w:val="00E36651"/>
    <w:rsid w:val="00E37764"/>
    <w:rsid w:val="00E37806"/>
    <w:rsid w:val="00E37C15"/>
    <w:rsid w:val="00E37D98"/>
    <w:rsid w:val="00E40848"/>
    <w:rsid w:val="00E40D46"/>
    <w:rsid w:val="00E418F3"/>
    <w:rsid w:val="00E419A0"/>
    <w:rsid w:val="00E42472"/>
    <w:rsid w:val="00E424B3"/>
    <w:rsid w:val="00E4278E"/>
    <w:rsid w:val="00E42924"/>
    <w:rsid w:val="00E42C79"/>
    <w:rsid w:val="00E430ED"/>
    <w:rsid w:val="00E43223"/>
    <w:rsid w:val="00E43CAB"/>
    <w:rsid w:val="00E440C4"/>
    <w:rsid w:val="00E4453C"/>
    <w:rsid w:val="00E44698"/>
    <w:rsid w:val="00E44E39"/>
    <w:rsid w:val="00E4595A"/>
    <w:rsid w:val="00E46D12"/>
    <w:rsid w:val="00E477FF"/>
    <w:rsid w:val="00E47A0A"/>
    <w:rsid w:val="00E47B86"/>
    <w:rsid w:val="00E5066E"/>
    <w:rsid w:val="00E50E4D"/>
    <w:rsid w:val="00E51035"/>
    <w:rsid w:val="00E51ADB"/>
    <w:rsid w:val="00E521D9"/>
    <w:rsid w:val="00E52AB1"/>
    <w:rsid w:val="00E531CE"/>
    <w:rsid w:val="00E5360A"/>
    <w:rsid w:val="00E53688"/>
    <w:rsid w:val="00E5378F"/>
    <w:rsid w:val="00E53A6A"/>
    <w:rsid w:val="00E53F57"/>
    <w:rsid w:val="00E54437"/>
    <w:rsid w:val="00E5466F"/>
    <w:rsid w:val="00E54BF4"/>
    <w:rsid w:val="00E54F7E"/>
    <w:rsid w:val="00E557FB"/>
    <w:rsid w:val="00E55835"/>
    <w:rsid w:val="00E5597C"/>
    <w:rsid w:val="00E55A8B"/>
    <w:rsid w:val="00E55BC9"/>
    <w:rsid w:val="00E561C6"/>
    <w:rsid w:val="00E562E0"/>
    <w:rsid w:val="00E56308"/>
    <w:rsid w:val="00E56A75"/>
    <w:rsid w:val="00E56E20"/>
    <w:rsid w:val="00E5737A"/>
    <w:rsid w:val="00E60730"/>
    <w:rsid w:val="00E60C78"/>
    <w:rsid w:val="00E611FA"/>
    <w:rsid w:val="00E61D32"/>
    <w:rsid w:val="00E61FEA"/>
    <w:rsid w:val="00E62554"/>
    <w:rsid w:val="00E6274A"/>
    <w:rsid w:val="00E628F0"/>
    <w:rsid w:val="00E62AAD"/>
    <w:rsid w:val="00E62B4D"/>
    <w:rsid w:val="00E639E4"/>
    <w:rsid w:val="00E639E9"/>
    <w:rsid w:val="00E643E1"/>
    <w:rsid w:val="00E64570"/>
    <w:rsid w:val="00E660C8"/>
    <w:rsid w:val="00E675FA"/>
    <w:rsid w:val="00E67FF7"/>
    <w:rsid w:val="00E70CD4"/>
    <w:rsid w:val="00E710CC"/>
    <w:rsid w:val="00E71646"/>
    <w:rsid w:val="00E7198B"/>
    <w:rsid w:val="00E71B2B"/>
    <w:rsid w:val="00E71E92"/>
    <w:rsid w:val="00E723F8"/>
    <w:rsid w:val="00E74296"/>
    <w:rsid w:val="00E743FC"/>
    <w:rsid w:val="00E74A29"/>
    <w:rsid w:val="00E74C92"/>
    <w:rsid w:val="00E74E00"/>
    <w:rsid w:val="00E75909"/>
    <w:rsid w:val="00E7617F"/>
    <w:rsid w:val="00E77319"/>
    <w:rsid w:val="00E77412"/>
    <w:rsid w:val="00E7785B"/>
    <w:rsid w:val="00E80DD6"/>
    <w:rsid w:val="00E80F2B"/>
    <w:rsid w:val="00E8130F"/>
    <w:rsid w:val="00E81846"/>
    <w:rsid w:val="00E81D97"/>
    <w:rsid w:val="00E81F05"/>
    <w:rsid w:val="00E82676"/>
    <w:rsid w:val="00E82E04"/>
    <w:rsid w:val="00E82E85"/>
    <w:rsid w:val="00E8379F"/>
    <w:rsid w:val="00E83F2E"/>
    <w:rsid w:val="00E84268"/>
    <w:rsid w:val="00E84467"/>
    <w:rsid w:val="00E844A0"/>
    <w:rsid w:val="00E84EB0"/>
    <w:rsid w:val="00E8512C"/>
    <w:rsid w:val="00E856D8"/>
    <w:rsid w:val="00E8575A"/>
    <w:rsid w:val="00E86984"/>
    <w:rsid w:val="00E869EB"/>
    <w:rsid w:val="00E87B9B"/>
    <w:rsid w:val="00E87FED"/>
    <w:rsid w:val="00E9042C"/>
    <w:rsid w:val="00E91430"/>
    <w:rsid w:val="00E91564"/>
    <w:rsid w:val="00E918BE"/>
    <w:rsid w:val="00E91975"/>
    <w:rsid w:val="00E91B4D"/>
    <w:rsid w:val="00E924DD"/>
    <w:rsid w:val="00E92664"/>
    <w:rsid w:val="00E9277C"/>
    <w:rsid w:val="00E9296C"/>
    <w:rsid w:val="00E929A6"/>
    <w:rsid w:val="00E92FDE"/>
    <w:rsid w:val="00E931D1"/>
    <w:rsid w:val="00E93BF8"/>
    <w:rsid w:val="00E9420A"/>
    <w:rsid w:val="00E946BF"/>
    <w:rsid w:val="00E949C0"/>
    <w:rsid w:val="00E94E19"/>
    <w:rsid w:val="00E94E4C"/>
    <w:rsid w:val="00E956E4"/>
    <w:rsid w:val="00E95F9A"/>
    <w:rsid w:val="00E96892"/>
    <w:rsid w:val="00E96BC7"/>
    <w:rsid w:val="00E970A3"/>
    <w:rsid w:val="00E9783A"/>
    <w:rsid w:val="00E97D15"/>
    <w:rsid w:val="00E97FF9"/>
    <w:rsid w:val="00EA0026"/>
    <w:rsid w:val="00EA026C"/>
    <w:rsid w:val="00EA08D5"/>
    <w:rsid w:val="00EA0E31"/>
    <w:rsid w:val="00EA183E"/>
    <w:rsid w:val="00EA2395"/>
    <w:rsid w:val="00EA3B7A"/>
    <w:rsid w:val="00EA483A"/>
    <w:rsid w:val="00EA4A21"/>
    <w:rsid w:val="00EA4E80"/>
    <w:rsid w:val="00EA6098"/>
    <w:rsid w:val="00EA6325"/>
    <w:rsid w:val="00EA668B"/>
    <w:rsid w:val="00EA6B9A"/>
    <w:rsid w:val="00EA70B8"/>
    <w:rsid w:val="00EA71D6"/>
    <w:rsid w:val="00EA7FE2"/>
    <w:rsid w:val="00EB0527"/>
    <w:rsid w:val="00EB13D2"/>
    <w:rsid w:val="00EB196B"/>
    <w:rsid w:val="00EB22F8"/>
    <w:rsid w:val="00EB2924"/>
    <w:rsid w:val="00EB345B"/>
    <w:rsid w:val="00EB3735"/>
    <w:rsid w:val="00EB3E25"/>
    <w:rsid w:val="00EB4B61"/>
    <w:rsid w:val="00EB4E3A"/>
    <w:rsid w:val="00EB56AB"/>
    <w:rsid w:val="00EB59F1"/>
    <w:rsid w:val="00EB6C7C"/>
    <w:rsid w:val="00EB778D"/>
    <w:rsid w:val="00EC01EA"/>
    <w:rsid w:val="00EC11AD"/>
    <w:rsid w:val="00EC14D3"/>
    <w:rsid w:val="00EC3188"/>
    <w:rsid w:val="00EC33C2"/>
    <w:rsid w:val="00EC3582"/>
    <w:rsid w:val="00EC4A0C"/>
    <w:rsid w:val="00EC50BC"/>
    <w:rsid w:val="00EC520E"/>
    <w:rsid w:val="00EC5676"/>
    <w:rsid w:val="00EC5C55"/>
    <w:rsid w:val="00EC6456"/>
    <w:rsid w:val="00EC64AD"/>
    <w:rsid w:val="00EC7A92"/>
    <w:rsid w:val="00EC7FD9"/>
    <w:rsid w:val="00ED0075"/>
    <w:rsid w:val="00ED061B"/>
    <w:rsid w:val="00ED0731"/>
    <w:rsid w:val="00ED146F"/>
    <w:rsid w:val="00ED15FE"/>
    <w:rsid w:val="00ED1F11"/>
    <w:rsid w:val="00ED21D4"/>
    <w:rsid w:val="00ED22E4"/>
    <w:rsid w:val="00ED3342"/>
    <w:rsid w:val="00ED452C"/>
    <w:rsid w:val="00ED4570"/>
    <w:rsid w:val="00ED5184"/>
    <w:rsid w:val="00ED5392"/>
    <w:rsid w:val="00ED541B"/>
    <w:rsid w:val="00ED5EC5"/>
    <w:rsid w:val="00ED6073"/>
    <w:rsid w:val="00ED65DC"/>
    <w:rsid w:val="00ED685A"/>
    <w:rsid w:val="00ED68FC"/>
    <w:rsid w:val="00ED69F6"/>
    <w:rsid w:val="00ED7123"/>
    <w:rsid w:val="00EE1805"/>
    <w:rsid w:val="00EE1995"/>
    <w:rsid w:val="00EE26BF"/>
    <w:rsid w:val="00EE2A9F"/>
    <w:rsid w:val="00EE2FE5"/>
    <w:rsid w:val="00EE3046"/>
    <w:rsid w:val="00EE3674"/>
    <w:rsid w:val="00EE3BAD"/>
    <w:rsid w:val="00EE4106"/>
    <w:rsid w:val="00EE4C46"/>
    <w:rsid w:val="00EE56AB"/>
    <w:rsid w:val="00EE59DE"/>
    <w:rsid w:val="00EE5B41"/>
    <w:rsid w:val="00EE7A43"/>
    <w:rsid w:val="00EF02F0"/>
    <w:rsid w:val="00EF078A"/>
    <w:rsid w:val="00EF0CEC"/>
    <w:rsid w:val="00EF1131"/>
    <w:rsid w:val="00EF1AFB"/>
    <w:rsid w:val="00EF21D9"/>
    <w:rsid w:val="00EF2327"/>
    <w:rsid w:val="00EF2CCA"/>
    <w:rsid w:val="00EF3093"/>
    <w:rsid w:val="00EF3626"/>
    <w:rsid w:val="00EF440A"/>
    <w:rsid w:val="00EF656E"/>
    <w:rsid w:val="00EF69F5"/>
    <w:rsid w:val="00EF7764"/>
    <w:rsid w:val="00F00DA5"/>
    <w:rsid w:val="00F013E9"/>
    <w:rsid w:val="00F015CF"/>
    <w:rsid w:val="00F019E0"/>
    <w:rsid w:val="00F02157"/>
    <w:rsid w:val="00F025C5"/>
    <w:rsid w:val="00F02EDF"/>
    <w:rsid w:val="00F030BF"/>
    <w:rsid w:val="00F0338C"/>
    <w:rsid w:val="00F03836"/>
    <w:rsid w:val="00F0390A"/>
    <w:rsid w:val="00F04B2E"/>
    <w:rsid w:val="00F0504A"/>
    <w:rsid w:val="00F05B78"/>
    <w:rsid w:val="00F05DB5"/>
    <w:rsid w:val="00F06952"/>
    <w:rsid w:val="00F071CA"/>
    <w:rsid w:val="00F101D8"/>
    <w:rsid w:val="00F105A7"/>
    <w:rsid w:val="00F108BE"/>
    <w:rsid w:val="00F1136F"/>
    <w:rsid w:val="00F113A9"/>
    <w:rsid w:val="00F11503"/>
    <w:rsid w:val="00F128AB"/>
    <w:rsid w:val="00F140C0"/>
    <w:rsid w:val="00F142B3"/>
    <w:rsid w:val="00F14684"/>
    <w:rsid w:val="00F165DF"/>
    <w:rsid w:val="00F1677F"/>
    <w:rsid w:val="00F17541"/>
    <w:rsid w:val="00F178BF"/>
    <w:rsid w:val="00F17C45"/>
    <w:rsid w:val="00F17D17"/>
    <w:rsid w:val="00F17FD5"/>
    <w:rsid w:val="00F20116"/>
    <w:rsid w:val="00F2096F"/>
    <w:rsid w:val="00F20CC5"/>
    <w:rsid w:val="00F21072"/>
    <w:rsid w:val="00F21C65"/>
    <w:rsid w:val="00F22074"/>
    <w:rsid w:val="00F229AD"/>
    <w:rsid w:val="00F22A05"/>
    <w:rsid w:val="00F2319D"/>
    <w:rsid w:val="00F2334E"/>
    <w:rsid w:val="00F233C2"/>
    <w:rsid w:val="00F235B4"/>
    <w:rsid w:val="00F23D90"/>
    <w:rsid w:val="00F24B29"/>
    <w:rsid w:val="00F24B6C"/>
    <w:rsid w:val="00F24CDA"/>
    <w:rsid w:val="00F24D63"/>
    <w:rsid w:val="00F250AC"/>
    <w:rsid w:val="00F25287"/>
    <w:rsid w:val="00F25E11"/>
    <w:rsid w:val="00F25E85"/>
    <w:rsid w:val="00F262EF"/>
    <w:rsid w:val="00F26C91"/>
    <w:rsid w:val="00F272E8"/>
    <w:rsid w:val="00F27C16"/>
    <w:rsid w:val="00F30647"/>
    <w:rsid w:val="00F30D2D"/>
    <w:rsid w:val="00F311E9"/>
    <w:rsid w:val="00F3170F"/>
    <w:rsid w:val="00F31E6A"/>
    <w:rsid w:val="00F31F11"/>
    <w:rsid w:val="00F31FFE"/>
    <w:rsid w:val="00F32119"/>
    <w:rsid w:val="00F32210"/>
    <w:rsid w:val="00F32441"/>
    <w:rsid w:val="00F327A2"/>
    <w:rsid w:val="00F3334F"/>
    <w:rsid w:val="00F33C5F"/>
    <w:rsid w:val="00F34534"/>
    <w:rsid w:val="00F3545D"/>
    <w:rsid w:val="00F356BA"/>
    <w:rsid w:val="00F36161"/>
    <w:rsid w:val="00F3798D"/>
    <w:rsid w:val="00F4029D"/>
    <w:rsid w:val="00F407E3"/>
    <w:rsid w:val="00F40A4B"/>
    <w:rsid w:val="00F40A80"/>
    <w:rsid w:val="00F40E6C"/>
    <w:rsid w:val="00F41070"/>
    <w:rsid w:val="00F412A3"/>
    <w:rsid w:val="00F41426"/>
    <w:rsid w:val="00F41593"/>
    <w:rsid w:val="00F415E4"/>
    <w:rsid w:val="00F41669"/>
    <w:rsid w:val="00F41C6A"/>
    <w:rsid w:val="00F42A78"/>
    <w:rsid w:val="00F42E61"/>
    <w:rsid w:val="00F42E81"/>
    <w:rsid w:val="00F4333F"/>
    <w:rsid w:val="00F435E1"/>
    <w:rsid w:val="00F438F4"/>
    <w:rsid w:val="00F43F17"/>
    <w:rsid w:val="00F45838"/>
    <w:rsid w:val="00F45999"/>
    <w:rsid w:val="00F474B5"/>
    <w:rsid w:val="00F4756D"/>
    <w:rsid w:val="00F50BD6"/>
    <w:rsid w:val="00F5119B"/>
    <w:rsid w:val="00F524E5"/>
    <w:rsid w:val="00F53014"/>
    <w:rsid w:val="00F5321C"/>
    <w:rsid w:val="00F540E1"/>
    <w:rsid w:val="00F544B8"/>
    <w:rsid w:val="00F55176"/>
    <w:rsid w:val="00F5553C"/>
    <w:rsid w:val="00F56419"/>
    <w:rsid w:val="00F56987"/>
    <w:rsid w:val="00F56AAA"/>
    <w:rsid w:val="00F56AE1"/>
    <w:rsid w:val="00F56BF9"/>
    <w:rsid w:val="00F56E60"/>
    <w:rsid w:val="00F5720B"/>
    <w:rsid w:val="00F57541"/>
    <w:rsid w:val="00F57C59"/>
    <w:rsid w:val="00F57E37"/>
    <w:rsid w:val="00F60C4F"/>
    <w:rsid w:val="00F612A7"/>
    <w:rsid w:val="00F613F0"/>
    <w:rsid w:val="00F61908"/>
    <w:rsid w:val="00F6193A"/>
    <w:rsid w:val="00F62A73"/>
    <w:rsid w:val="00F62D90"/>
    <w:rsid w:val="00F62E4D"/>
    <w:rsid w:val="00F63364"/>
    <w:rsid w:val="00F63482"/>
    <w:rsid w:val="00F6395F"/>
    <w:rsid w:val="00F63B86"/>
    <w:rsid w:val="00F63E83"/>
    <w:rsid w:val="00F6416E"/>
    <w:rsid w:val="00F649AF"/>
    <w:rsid w:val="00F65E77"/>
    <w:rsid w:val="00F66414"/>
    <w:rsid w:val="00F664C4"/>
    <w:rsid w:val="00F67C57"/>
    <w:rsid w:val="00F67CC3"/>
    <w:rsid w:val="00F67E54"/>
    <w:rsid w:val="00F70222"/>
    <w:rsid w:val="00F70477"/>
    <w:rsid w:val="00F706D3"/>
    <w:rsid w:val="00F70DF0"/>
    <w:rsid w:val="00F71725"/>
    <w:rsid w:val="00F71DA9"/>
    <w:rsid w:val="00F71DB5"/>
    <w:rsid w:val="00F722D0"/>
    <w:rsid w:val="00F7298E"/>
    <w:rsid w:val="00F72E94"/>
    <w:rsid w:val="00F74189"/>
    <w:rsid w:val="00F7429D"/>
    <w:rsid w:val="00F7499D"/>
    <w:rsid w:val="00F7630D"/>
    <w:rsid w:val="00F765B9"/>
    <w:rsid w:val="00F769DB"/>
    <w:rsid w:val="00F76BEA"/>
    <w:rsid w:val="00F77259"/>
    <w:rsid w:val="00F773C0"/>
    <w:rsid w:val="00F77648"/>
    <w:rsid w:val="00F778EE"/>
    <w:rsid w:val="00F77BF1"/>
    <w:rsid w:val="00F77C2C"/>
    <w:rsid w:val="00F80C6B"/>
    <w:rsid w:val="00F814C5"/>
    <w:rsid w:val="00F8180B"/>
    <w:rsid w:val="00F82135"/>
    <w:rsid w:val="00F82A6B"/>
    <w:rsid w:val="00F83154"/>
    <w:rsid w:val="00F8329B"/>
    <w:rsid w:val="00F83502"/>
    <w:rsid w:val="00F8352F"/>
    <w:rsid w:val="00F83C32"/>
    <w:rsid w:val="00F84A03"/>
    <w:rsid w:val="00F84D2C"/>
    <w:rsid w:val="00F86CB3"/>
    <w:rsid w:val="00F870B6"/>
    <w:rsid w:val="00F8768D"/>
    <w:rsid w:val="00F877CF"/>
    <w:rsid w:val="00F8798F"/>
    <w:rsid w:val="00F879C4"/>
    <w:rsid w:val="00F9033A"/>
    <w:rsid w:val="00F9053E"/>
    <w:rsid w:val="00F90C47"/>
    <w:rsid w:val="00F91EB1"/>
    <w:rsid w:val="00F929D8"/>
    <w:rsid w:val="00F9491D"/>
    <w:rsid w:val="00F94BA7"/>
    <w:rsid w:val="00F94C63"/>
    <w:rsid w:val="00F95B91"/>
    <w:rsid w:val="00F95D02"/>
    <w:rsid w:val="00F96483"/>
    <w:rsid w:val="00F96559"/>
    <w:rsid w:val="00F966D0"/>
    <w:rsid w:val="00F96B92"/>
    <w:rsid w:val="00F96CFC"/>
    <w:rsid w:val="00F96E3D"/>
    <w:rsid w:val="00FA07BE"/>
    <w:rsid w:val="00FA0830"/>
    <w:rsid w:val="00FA08D8"/>
    <w:rsid w:val="00FA0A6F"/>
    <w:rsid w:val="00FA1015"/>
    <w:rsid w:val="00FA1140"/>
    <w:rsid w:val="00FA1805"/>
    <w:rsid w:val="00FA2246"/>
    <w:rsid w:val="00FA29B7"/>
    <w:rsid w:val="00FA2C8B"/>
    <w:rsid w:val="00FA33B6"/>
    <w:rsid w:val="00FA37AB"/>
    <w:rsid w:val="00FA3F8E"/>
    <w:rsid w:val="00FA40FE"/>
    <w:rsid w:val="00FA433E"/>
    <w:rsid w:val="00FA4C3D"/>
    <w:rsid w:val="00FA559D"/>
    <w:rsid w:val="00FA655C"/>
    <w:rsid w:val="00FA664C"/>
    <w:rsid w:val="00FA758B"/>
    <w:rsid w:val="00FA7ECA"/>
    <w:rsid w:val="00FB09EE"/>
    <w:rsid w:val="00FB0A0B"/>
    <w:rsid w:val="00FB1803"/>
    <w:rsid w:val="00FB1D22"/>
    <w:rsid w:val="00FB2829"/>
    <w:rsid w:val="00FB2864"/>
    <w:rsid w:val="00FB2E1B"/>
    <w:rsid w:val="00FB308E"/>
    <w:rsid w:val="00FB3431"/>
    <w:rsid w:val="00FB35EC"/>
    <w:rsid w:val="00FB3D6A"/>
    <w:rsid w:val="00FB498F"/>
    <w:rsid w:val="00FB4DA9"/>
    <w:rsid w:val="00FB5C78"/>
    <w:rsid w:val="00FB5DEB"/>
    <w:rsid w:val="00FB65CC"/>
    <w:rsid w:val="00FB6945"/>
    <w:rsid w:val="00FB6CDE"/>
    <w:rsid w:val="00FC15F5"/>
    <w:rsid w:val="00FC1D3C"/>
    <w:rsid w:val="00FC1D91"/>
    <w:rsid w:val="00FC21B4"/>
    <w:rsid w:val="00FC232F"/>
    <w:rsid w:val="00FC29D9"/>
    <w:rsid w:val="00FC2A23"/>
    <w:rsid w:val="00FC2B41"/>
    <w:rsid w:val="00FC2CE5"/>
    <w:rsid w:val="00FC4AD2"/>
    <w:rsid w:val="00FC50CC"/>
    <w:rsid w:val="00FC5147"/>
    <w:rsid w:val="00FC54A9"/>
    <w:rsid w:val="00FC54D9"/>
    <w:rsid w:val="00FC5D9B"/>
    <w:rsid w:val="00FC5E13"/>
    <w:rsid w:val="00FC60E7"/>
    <w:rsid w:val="00FC7499"/>
    <w:rsid w:val="00FC7763"/>
    <w:rsid w:val="00FD0231"/>
    <w:rsid w:val="00FD0F69"/>
    <w:rsid w:val="00FD1A04"/>
    <w:rsid w:val="00FD1DB3"/>
    <w:rsid w:val="00FD3363"/>
    <w:rsid w:val="00FD368A"/>
    <w:rsid w:val="00FD3FBB"/>
    <w:rsid w:val="00FD41B0"/>
    <w:rsid w:val="00FD499D"/>
    <w:rsid w:val="00FD5CE7"/>
    <w:rsid w:val="00FD6A0E"/>
    <w:rsid w:val="00FD6A6A"/>
    <w:rsid w:val="00FD71A8"/>
    <w:rsid w:val="00FD7BA8"/>
    <w:rsid w:val="00FD7C75"/>
    <w:rsid w:val="00FD7DDB"/>
    <w:rsid w:val="00FE05F9"/>
    <w:rsid w:val="00FE10C0"/>
    <w:rsid w:val="00FE288B"/>
    <w:rsid w:val="00FE2C95"/>
    <w:rsid w:val="00FE32CE"/>
    <w:rsid w:val="00FE36C2"/>
    <w:rsid w:val="00FE374A"/>
    <w:rsid w:val="00FE3927"/>
    <w:rsid w:val="00FE56F1"/>
    <w:rsid w:val="00FE63F4"/>
    <w:rsid w:val="00FE641E"/>
    <w:rsid w:val="00FE65F9"/>
    <w:rsid w:val="00FE7151"/>
    <w:rsid w:val="00FE7262"/>
    <w:rsid w:val="00FE7D7A"/>
    <w:rsid w:val="00FE7E84"/>
    <w:rsid w:val="00FF05C7"/>
    <w:rsid w:val="00FF1CAB"/>
    <w:rsid w:val="00FF3FD7"/>
    <w:rsid w:val="00FF42F9"/>
    <w:rsid w:val="00FF43D9"/>
    <w:rsid w:val="00FF71D1"/>
    <w:rsid w:val="00FF75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15CE7"/>
  <w15:chartTrackingRefBased/>
  <w15:docId w15:val="{421E1A63-DBA3-4A0F-97C1-5251A02C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EB22F8"/>
  </w:style>
  <w:style w:type="table" w:styleId="TableGrid">
    <w:name w:val="Table Grid"/>
    <w:basedOn w:val="TableNormal"/>
    <w:uiPriority w:val="39"/>
    <w:rsid w:val="00D80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3279"/>
    <w:pPr>
      <w:tabs>
        <w:tab w:val="center" w:pos="4153"/>
        <w:tab w:val="right" w:pos="8306"/>
      </w:tabs>
    </w:pPr>
  </w:style>
  <w:style w:type="character" w:styleId="PageNumber">
    <w:name w:val="page number"/>
    <w:basedOn w:val="DefaultParagraphFont"/>
    <w:uiPriority w:val="99"/>
    <w:rsid w:val="007C3279"/>
  </w:style>
  <w:style w:type="paragraph" w:styleId="BalloonText">
    <w:name w:val="Balloon Text"/>
    <w:basedOn w:val="Normal"/>
    <w:link w:val="BalloonTextChar"/>
    <w:rsid w:val="001241AA"/>
    <w:rPr>
      <w:rFonts w:ascii="Lucida Grande" w:hAnsi="Lucida Grande"/>
      <w:sz w:val="18"/>
      <w:szCs w:val="18"/>
      <w:lang w:val="x-none" w:eastAsia="x-none"/>
    </w:rPr>
  </w:style>
  <w:style w:type="character" w:customStyle="1" w:styleId="BalloonTextChar">
    <w:name w:val="Balloon Text Char"/>
    <w:link w:val="BalloonText"/>
    <w:rsid w:val="001241AA"/>
    <w:rPr>
      <w:rFonts w:ascii="Lucida Grande" w:hAnsi="Lucida Grande"/>
      <w:sz w:val="18"/>
      <w:szCs w:val="18"/>
    </w:rPr>
  </w:style>
  <w:style w:type="character" w:styleId="CommentReference">
    <w:name w:val="annotation reference"/>
    <w:rsid w:val="001241AA"/>
    <w:rPr>
      <w:sz w:val="18"/>
      <w:szCs w:val="18"/>
    </w:rPr>
  </w:style>
  <w:style w:type="paragraph" w:styleId="CommentText">
    <w:name w:val="annotation text"/>
    <w:basedOn w:val="Normal"/>
    <w:link w:val="CommentTextChar"/>
    <w:uiPriority w:val="99"/>
    <w:rsid w:val="001241AA"/>
    <w:rPr>
      <w:lang w:val="x-none" w:eastAsia="x-none"/>
    </w:rPr>
  </w:style>
  <w:style w:type="character" w:customStyle="1" w:styleId="CommentTextChar">
    <w:name w:val="Comment Text Char"/>
    <w:link w:val="CommentText"/>
    <w:uiPriority w:val="99"/>
    <w:rsid w:val="001241AA"/>
    <w:rPr>
      <w:sz w:val="24"/>
      <w:szCs w:val="24"/>
    </w:rPr>
  </w:style>
  <w:style w:type="paragraph" w:styleId="CommentSubject">
    <w:name w:val="annotation subject"/>
    <w:basedOn w:val="CommentText"/>
    <w:next w:val="CommentText"/>
    <w:link w:val="CommentSubjectChar"/>
    <w:rsid w:val="001241AA"/>
    <w:rPr>
      <w:b/>
      <w:bCs/>
    </w:rPr>
  </w:style>
  <w:style w:type="character" w:customStyle="1" w:styleId="CommentSubjectChar">
    <w:name w:val="Comment Subject Char"/>
    <w:link w:val="CommentSubject"/>
    <w:rsid w:val="001241AA"/>
    <w:rPr>
      <w:b/>
      <w:bCs/>
      <w:sz w:val="24"/>
      <w:szCs w:val="24"/>
    </w:rPr>
  </w:style>
  <w:style w:type="paragraph" w:styleId="NormalWeb">
    <w:name w:val="Normal (Web)"/>
    <w:basedOn w:val="Normal"/>
    <w:uiPriority w:val="99"/>
    <w:rsid w:val="00C90D11"/>
    <w:pPr>
      <w:spacing w:before="120" w:after="216"/>
    </w:pPr>
    <w:rPr>
      <w:lang w:val="en-GB" w:eastAsia="en-GB"/>
    </w:rPr>
  </w:style>
  <w:style w:type="paragraph" w:styleId="ListParagraph">
    <w:name w:val="List Paragraph"/>
    <w:aliases w:val="List Paragraph 1,Standard Bulleted List,Figure_name,Indent Paragraph,Grey Bullet List,Grey Bullet Style,References,Riana Table Bullets 1,Table of contents numbered,Chapter Numbering,Bullets,Bulleted list,Numbered List Paragraph,Liste 1"/>
    <w:basedOn w:val="Normal"/>
    <w:link w:val="ListParagraphChar"/>
    <w:uiPriority w:val="34"/>
    <w:qFormat/>
    <w:rsid w:val="00727824"/>
    <w:pPr>
      <w:ind w:left="720"/>
      <w:contextualSpacing/>
    </w:pPr>
    <w:rPr>
      <w:lang w:val="en-ZA" w:eastAsia="en-ZA"/>
    </w:rPr>
  </w:style>
  <w:style w:type="paragraph" w:styleId="Header">
    <w:name w:val="header"/>
    <w:basedOn w:val="Normal"/>
    <w:link w:val="HeaderChar"/>
    <w:rsid w:val="0027180B"/>
    <w:pPr>
      <w:tabs>
        <w:tab w:val="center" w:pos="4513"/>
        <w:tab w:val="right" w:pos="9026"/>
      </w:tabs>
    </w:pPr>
  </w:style>
  <w:style w:type="character" w:customStyle="1" w:styleId="HeaderChar">
    <w:name w:val="Header Char"/>
    <w:link w:val="Header"/>
    <w:rsid w:val="0027180B"/>
    <w:rPr>
      <w:sz w:val="24"/>
      <w:szCs w:val="24"/>
      <w:lang w:val="en-US" w:eastAsia="en-US"/>
    </w:rPr>
  </w:style>
  <w:style w:type="paragraph" w:customStyle="1" w:styleId="Default">
    <w:name w:val="Default"/>
    <w:rsid w:val="00FC2CE5"/>
    <w:pPr>
      <w:autoSpaceDE w:val="0"/>
      <w:autoSpaceDN w:val="0"/>
      <w:adjustRightInd w:val="0"/>
    </w:pPr>
    <w:rPr>
      <w:rFonts w:ascii="Arial" w:eastAsia="Calibri" w:hAnsi="Arial" w:cs="Arial"/>
      <w:color w:val="000000"/>
      <w:sz w:val="24"/>
      <w:szCs w:val="24"/>
      <w:lang w:eastAsia="en-US"/>
    </w:rPr>
  </w:style>
  <w:style w:type="paragraph" w:styleId="FootnoteText">
    <w:name w:val="footnote text"/>
    <w:basedOn w:val="Normal"/>
    <w:link w:val="FootnoteTextChar"/>
    <w:rsid w:val="007C5F17"/>
    <w:rPr>
      <w:sz w:val="20"/>
      <w:szCs w:val="20"/>
      <w:lang w:val="en-GB"/>
    </w:rPr>
  </w:style>
  <w:style w:type="character" w:customStyle="1" w:styleId="FootnoteTextChar">
    <w:name w:val="Footnote Text Char"/>
    <w:link w:val="FootnoteText"/>
    <w:rsid w:val="007C5F17"/>
    <w:rPr>
      <w:lang w:val="en-GB" w:eastAsia="en-US"/>
    </w:rPr>
  </w:style>
  <w:style w:type="character" w:styleId="FootnoteReference">
    <w:name w:val="footnote reference"/>
    <w:rsid w:val="007C5F17"/>
    <w:rPr>
      <w:vertAlign w:val="superscript"/>
    </w:rPr>
  </w:style>
  <w:style w:type="character" w:customStyle="1" w:styleId="ListParagraphChar">
    <w:name w:val="List Paragraph Char"/>
    <w:aliases w:val="List Paragraph 1 Char,Standard Bulleted List Char,Figure_name Char,Indent Paragraph Char,Grey Bullet List Char,Grey Bullet Style Char,References Char,Riana Table Bullets 1 Char,Table of contents numbered Char,Chapter Numbering Char"/>
    <w:link w:val="ListParagraph"/>
    <w:uiPriority w:val="34"/>
    <w:qFormat/>
    <w:locked/>
    <w:rsid w:val="00F3170F"/>
    <w:rPr>
      <w:sz w:val="24"/>
      <w:szCs w:val="24"/>
    </w:rPr>
  </w:style>
  <w:style w:type="table" w:styleId="GridTable1Light">
    <w:name w:val="Grid Table 1 Light"/>
    <w:basedOn w:val="TableNormal"/>
    <w:uiPriority w:val="46"/>
    <w:rsid w:val="00C40C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775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FB3D6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486">
      <w:bodyDiv w:val="1"/>
      <w:marLeft w:val="0"/>
      <w:marRight w:val="0"/>
      <w:marTop w:val="0"/>
      <w:marBottom w:val="0"/>
      <w:divBdr>
        <w:top w:val="none" w:sz="0" w:space="0" w:color="auto"/>
        <w:left w:val="none" w:sz="0" w:space="0" w:color="auto"/>
        <w:bottom w:val="none" w:sz="0" w:space="0" w:color="auto"/>
        <w:right w:val="none" w:sz="0" w:space="0" w:color="auto"/>
      </w:divBdr>
      <w:divsChild>
        <w:div w:id="70856847">
          <w:marLeft w:val="1195"/>
          <w:marRight w:val="0"/>
          <w:marTop w:val="120"/>
          <w:marBottom w:val="0"/>
          <w:divBdr>
            <w:top w:val="none" w:sz="0" w:space="0" w:color="auto"/>
            <w:left w:val="none" w:sz="0" w:space="0" w:color="auto"/>
            <w:bottom w:val="none" w:sz="0" w:space="0" w:color="auto"/>
            <w:right w:val="none" w:sz="0" w:space="0" w:color="auto"/>
          </w:divBdr>
        </w:div>
        <w:div w:id="471674795">
          <w:marLeft w:val="504"/>
          <w:marRight w:val="0"/>
          <w:marTop w:val="120"/>
          <w:marBottom w:val="0"/>
          <w:divBdr>
            <w:top w:val="none" w:sz="0" w:space="0" w:color="auto"/>
            <w:left w:val="none" w:sz="0" w:space="0" w:color="auto"/>
            <w:bottom w:val="none" w:sz="0" w:space="0" w:color="auto"/>
            <w:right w:val="none" w:sz="0" w:space="0" w:color="auto"/>
          </w:divBdr>
        </w:div>
        <w:div w:id="1413818277">
          <w:marLeft w:val="1195"/>
          <w:marRight w:val="0"/>
          <w:marTop w:val="120"/>
          <w:marBottom w:val="0"/>
          <w:divBdr>
            <w:top w:val="none" w:sz="0" w:space="0" w:color="auto"/>
            <w:left w:val="none" w:sz="0" w:space="0" w:color="auto"/>
            <w:bottom w:val="none" w:sz="0" w:space="0" w:color="auto"/>
            <w:right w:val="none" w:sz="0" w:space="0" w:color="auto"/>
          </w:divBdr>
        </w:div>
        <w:div w:id="2034913288">
          <w:marLeft w:val="1195"/>
          <w:marRight w:val="0"/>
          <w:marTop w:val="120"/>
          <w:marBottom w:val="0"/>
          <w:divBdr>
            <w:top w:val="none" w:sz="0" w:space="0" w:color="auto"/>
            <w:left w:val="none" w:sz="0" w:space="0" w:color="auto"/>
            <w:bottom w:val="none" w:sz="0" w:space="0" w:color="auto"/>
            <w:right w:val="none" w:sz="0" w:space="0" w:color="auto"/>
          </w:divBdr>
        </w:div>
      </w:divsChild>
    </w:div>
    <w:div w:id="76631723">
      <w:bodyDiv w:val="1"/>
      <w:marLeft w:val="0"/>
      <w:marRight w:val="0"/>
      <w:marTop w:val="0"/>
      <w:marBottom w:val="0"/>
      <w:divBdr>
        <w:top w:val="none" w:sz="0" w:space="0" w:color="auto"/>
        <w:left w:val="none" w:sz="0" w:space="0" w:color="auto"/>
        <w:bottom w:val="none" w:sz="0" w:space="0" w:color="auto"/>
        <w:right w:val="none" w:sz="0" w:space="0" w:color="auto"/>
      </w:divBdr>
    </w:div>
    <w:div w:id="200165968">
      <w:bodyDiv w:val="1"/>
      <w:marLeft w:val="0"/>
      <w:marRight w:val="0"/>
      <w:marTop w:val="0"/>
      <w:marBottom w:val="0"/>
      <w:divBdr>
        <w:top w:val="none" w:sz="0" w:space="0" w:color="auto"/>
        <w:left w:val="none" w:sz="0" w:space="0" w:color="auto"/>
        <w:bottom w:val="none" w:sz="0" w:space="0" w:color="auto"/>
        <w:right w:val="none" w:sz="0" w:space="0" w:color="auto"/>
      </w:divBdr>
      <w:divsChild>
        <w:div w:id="35591026">
          <w:marLeft w:val="1238"/>
          <w:marRight w:val="0"/>
          <w:marTop w:val="140"/>
          <w:marBottom w:val="0"/>
          <w:divBdr>
            <w:top w:val="none" w:sz="0" w:space="0" w:color="auto"/>
            <w:left w:val="none" w:sz="0" w:space="0" w:color="auto"/>
            <w:bottom w:val="none" w:sz="0" w:space="0" w:color="auto"/>
            <w:right w:val="none" w:sz="0" w:space="0" w:color="auto"/>
          </w:divBdr>
        </w:div>
        <w:div w:id="192883905">
          <w:marLeft w:val="1238"/>
          <w:marRight w:val="0"/>
          <w:marTop w:val="140"/>
          <w:marBottom w:val="0"/>
          <w:divBdr>
            <w:top w:val="none" w:sz="0" w:space="0" w:color="auto"/>
            <w:left w:val="none" w:sz="0" w:space="0" w:color="auto"/>
            <w:bottom w:val="none" w:sz="0" w:space="0" w:color="auto"/>
            <w:right w:val="none" w:sz="0" w:space="0" w:color="auto"/>
          </w:divBdr>
        </w:div>
        <w:div w:id="1358971789">
          <w:marLeft w:val="547"/>
          <w:marRight w:val="0"/>
          <w:marTop w:val="140"/>
          <w:marBottom w:val="0"/>
          <w:divBdr>
            <w:top w:val="none" w:sz="0" w:space="0" w:color="auto"/>
            <w:left w:val="none" w:sz="0" w:space="0" w:color="auto"/>
            <w:bottom w:val="none" w:sz="0" w:space="0" w:color="auto"/>
            <w:right w:val="none" w:sz="0" w:space="0" w:color="auto"/>
          </w:divBdr>
        </w:div>
        <w:div w:id="1892426317">
          <w:marLeft w:val="1238"/>
          <w:marRight w:val="0"/>
          <w:marTop w:val="140"/>
          <w:marBottom w:val="0"/>
          <w:divBdr>
            <w:top w:val="none" w:sz="0" w:space="0" w:color="auto"/>
            <w:left w:val="none" w:sz="0" w:space="0" w:color="auto"/>
            <w:bottom w:val="none" w:sz="0" w:space="0" w:color="auto"/>
            <w:right w:val="none" w:sz="0" w:space="0" w:color="auto"/>
          </w:divBdr>
        </w:div>
      </w:divsChild>
    </w:div>
    <w:div w:id="254168051">
      <w:bodyDiv w:val="1"/>
      <w:marLeft w:val="0"/>
      <w:marRight w:val="0"/>
      <w:marTop w:val="0"/>
      <w:marBottom w:val="0"/>
      <w:divBdr>
        <w:top w:val="none" w:sz="0" w:space="0" w:color="auto"/>
        <w:left w:val="none" w:sz="0" w:space="0" w:color="auto"/>
        <w:bottom w:val="none" w:sz="0" w:space="0" w:color="auto"/>
        <w:right w:val="none" w:sz="0" w:space="0" w:color="auto"/>
      </w:divBdr>
      <w:divsChild>
        <w:div w:id="1875773494">
          <w:marLeft w:val="547"/>
          <w:marRight w:val="0"/>
          <w:marTop w:val="140"/>
          <w:marBottom w:val="0"/>
          <w:divBdr>
            <w:top w:val="none" w:sz="0" w:space="0" w:color="auto"/>
            <w:left w:val="none" w:sz="0" w:space="0" w:color="auto"/>
            <w:bottom w:val="none" w:sz="0" w:space="0" w:color="auto"/>
            <w:right w:val="none" w:sz="0" w:space="0" w:color="auto"/>
          </w:divBdr>
        </w:div>
      </w:divsChild>
    </w:div>
    <w:div w:id="412170130">
      <w:bodyDiv w:val="1"/>
      <w:marLeft w:val="0"/>
      <w:marRight w:val="0"/>
      <w:marTop w:val="0"/>
      <w:marBottom w:val="0"/>
      <w:divBdr>
        <w:top w:val="none" w:sz="0" w:space="0" w:color="auto"/>
        <w:left w:val="none" w:sz="0" w:space="0" w:color="auto"/>
        <w:bottom w:val="none" w:sz="0" w:space="0" w:color="auto"/>
        <w:right w:val="none" w:sz="0" w:space="0" w:color="auto"/>
      </w:divBdr>
      <w:divsChild>
        <w:div w:id="922761391">
          <w:marLeft w:val="547"/>
          <w:marRight w:val="0"/>
          <w:marTop w:val="115"/>
          <w:marBottom w:val="0"/>
          <w:divBdr>
            <w:top w:val="none" w:sz="0" w:space="0" w:color="auto"/>
            <w:left w:val="none" w:sz="0" w:space="0" w:color="auto"/>
            <w:bottom w:val="none" w:sz="0" w:space="0" w:color="auto"/>
            <w:right w:val="none" w:sz="0" w:space="0" w:color="auto"/>
          </w:divBdr>
        </w:div>
      </w:divsChild>
    </w:div>
    <w:div w:id="505023447">
      <w:bodyDiv w:val="1"/>
      <w:marLeft w:val="0"/>
      <w:marRight w:val="0"/>
      <w:marTop w:val="0"/>
      <w:marBottom w:val="0"/>
      <w:divBdr>
        <w:top w:val="none" w:sz="0" w:space="0" w:color="auto"/>
        <w:left w:val="none" w:sz="0" w:space="0" w:color="auto"/>
        <w:bottom w:val="none" w:sz="0" w:space="0" w:color="auto"/>
        <w:right w:val="none" w:sz="0" w:space="0" w:color="auto"/>
      </w:divBdr>
      <w:divsChild>
        <w:div w:id="1921718104">
          <w:marLeft w:val="432"/>
          <w:marRight w:val="0"/>
          <w:marTop w:val="86"/>
          <w:marBottom w:val="0"/>
          <w:divBdr>
            <w:top w:val="none" w:sz="0" w:space="0" w:color="auto"/>
            <w:left w:val="none" w:sz="0" w:space="0" w:color="auto"/>
            <w:bottom w:val="none" w:sz="0" w:space="0" w:color="auto"/>
            <w:right w:val="none" w:sz="0" w:space="0" w:color="auto"/>
          </w:divBdr>
        </w:div>
      </w:divsChild>
    </w:div>
    <w:div w:id="747533629">
      <w:bodyDiv w:val="1"/>
      <w:marLeft w:val="0"/>
      <w:marRight w:val="0"/>
      <w:marTop w:val="0"/>
      <w:marBottom w:val="0"/>
      <w:divBdr>
        <w:top w:val="none" w:sz="0" w:space="0" w:color="auto"/>
        <w:left w:val="none" w:sz="0" w:space="0" w:color="auto"/>
        <w:bottom w:val="none" w:sz="0" w:space="0" w:color="auto"/>
        <w:right w:val="none" w:sz="0" w:space="0" w:color="auto"/>
      </w:divBdr>
    </w:div>
    <w:div w:id="883106098">
      <w:bodyDiv w:val="1"/>
      <w:marLeft w:val="0"/>
      <w:marRight w:val="0"/>
      <w:marTop w:val="0"/>
      <w:marBottom w:val="0"/>
      <w:divBdr>
        <w:top w:val="none" w:sz="0" w:space="0" w:color="auto"/>
        <w:left w:val="none" w:sz="0" w:space="0" w:color="auto"/>
        <w:bottom w:val="none" w:sz="0" w:space="0" w:color="auto"/>
        <w:right w:val="none" w:sz="0" w:space="0" w:color="auto"/>
      </w:divBdr>
      <w:divsChild>
        <w:div w:id="38668465">
          <w:marLeft w:val="504"/>
          <w:marRight w:val="0"/>
          <w:marTop w:val="120"/>
          <w:marBottom w:val="0"/>
          <w:divBdr>
            <w:top w:val="none" w:sz="0" w:space="0" w:color="auto"/>
            <w:left w:val="none" w:sz="0" w:space="0" w:color="auto"/>
            <w:bottom w:val="none" w:sz="0" w:space="0" w:color="auto"/>
            <w:right w:val="none" w:sz="0" w:space="0" w:color="auto"/>
          </w:divBdr>
        </w:div>
        <w:div w:id="507254280">
          <w:marLeft w:val="1195"/>
          <w:marRight w:val="0"/>
          <w:marTop w:val="120"/>
          <w:marBottom w:val="0"/>
          <w:divBdr>
            <w:top w:val="none" w:sz="0" w:space="0" w:color="auto"/>
            <w:left w:val="none" w:sz="0" w:space="0" w:color="auto"/>
            <w:bottom w:val="none" w:sz="0" w:space="0" w:color="auto"/>
            <w:right w:val="none" w:sz="0" w:space="0" w:color="auto"/>
          </w:divBdr>
        </w:div>
        <w:div w:id="1078482141">
          <w:marLeft w:val="504"/>
          <w:marRight w:val="0"/>
          <w:marTop w:val="120"/>
          <w:marBottom w:val="0"/>
          <w:divBdr>
            <w:top w:val="none" w:sz="0" w:space="0" w:color="auto"/>
            <w:left w:val="none" w:sz="0" w:space="0" w:color="auto"/>
            <w:bottom w:val="none" w:sz="0" w:space="0" w:color="auto"/>
            <w:right w:val="none" w:sz="0" w:space="0" w:color="auto"/>
          </w:divBdr>
        </w:div>
      </w:divsChild>
    </w:div>
    <w:div w:id="89050672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62">
          <w:marLeft w:val="547"/>
          <w:marRight w:val="0"/>
          <w:marTop w:val="106"/>
          <w:marBottom w:val="0"/>
          <w:divBdr>
            <w:top w:val="none" w:sz="0" w:space="0" w:color="auto"/>
            <w:left w:val="none" w:sz="0" w:space="0" w:color="auto"/>
            <w:bottom w:val="none" w:sz="0" w:space="0" w:color="auto"/>
            <w:right w:val="none" w:sz="0" w:space="0" w:color="auto"/>
          </w:divBdr>
        </w:div>
        <w:div w:id="6712480">
          <w:marLeft w:val="547"/>
          <w:marRight w:val="0"/>
          <w:marTop w:val="106"/>
          <w:marBottom w:val="0"/>
          <w:divBdr>
            <w:top w:val="none" w:sz="0" w:space="0" w:color="auto"/>
            <w:left w:val="none" w:sz="0" w:space="0" w:color="auto"/>
            <w:bottom w:val="none" w:sz="0" w:space="0" w:color="auto"/>
            <w:right w:val="none" w:sz="0" w:space="0" w:color="auto"/>
          </w:divBdr>
        </w:div>
        <w:div w:id="1281764470">
          <w:marLeft w:val="547"/>
          <w:marRight w:val="0"/>
          <w:marTop w:val="106"/>
          <w:marBottom w:val="0"/>
          <w:divBdr>
            <w:top w:val="none" w:sz="0" w:space="0" w:color="auto"/>
            <w:left w:val="none" w:sz="0" w:space="0" w:color="auto"/>
            <w:bottom w:val="none" w:sz="0" w:space="0" w:color="auto"/>
            <w:right w:val="none" w:sz="0" w:space="0" w:color="auto"/>
          </w:divBdr>
        </w:div>
      </w:divsChild>
    </w:div>
    <w:div w:id="891159563">
      <w:bodyDiv w:val="1"/>
      <w:marLeft w:val="0"/>
      <w:marRight w:val="0"/>
      <w:marTop w:val="0"/>
      <w:marBottom w:val="0"/>
      <w:divBdr>
        <w:top w:val="none" w:sz="0" w:space="0" w:color="auto"/>
        <w:left w:val="none" w:sz="0" w:space="0" w:color="auto"/>
        <w:bottom w:val="none" w:sz="0" w:space="0" w:color="auto"/>
        <w:right w:val="none" w:sz="0" w:space="0" w:color="auto"/>
      </w:divBdr>
      <w:divsChild>
        <w:div w:id="79258482">
          <w:marLeft w:val="547"/>
          <w:marRight w:val="0"/>
          <w:marTop w:val="140"/>
          <w:marBottom w:val="0"/>
          <w:divBdr>
            <w:top w:val="none" w:sz="0" w:space="0" w:color="auto"/>
            <w:left w:val="none" w:sz="0" w:space="0" w:color="auto"/>
            <w:bottom w:val="none" w:sz="0" w:space="0" w:color="auto"/>
            <w:right w:val="none" w:sz="0" w:space="0" w:color="auto"/>
          </w:divBdr>
        </w:div>
        <w:div w:id="143208135">
          <w:marLeft w:val="547"/>
          <w:marRight w:val="0"/>
          <w:marTop w:val="140"/>
          <w:marBottom w:val="0"/>
          <w:divBdr>
            <w:top w:val="none" w:sz="0" w:space="0" w:color="auto"/>
            <w:left w:val="none" w:sz="0" w:space="0" w:color="auto"/>
            <w:bottom w:val="none" w:sz="0" w:space="0" w:color="auto"/>
            <w:right w:val="none" w:sz="0" w:space="0" w:color="auto"/>
          </w:divBdr>
        </w:div>
      </w:divsChild>
    </w:div>
    <w:div w:id="933627887">
      <w:bodyDiv w:val="1"/>
      <w:marLeft w:val="0"/>
      <w:marRight w:val="0"/>
      <w:marTop w:val="0"/>
      <w:marBottom w:val="0"/>
      <w:divBdr>
        <w:top w:val="none" w:sz="0" w:space="0" w:color="auto"/>
        <w:left w:val="none" w:sz="0" w:space="0" w:color="auto"/>
        <w:bottom w:val="none" w:sz="0" w:space="0" w:color="auto"/>
        <w:right w:val="none" w:sz="0" w:space="0" w:color="auto"/>
      </w:divBdr>
    </w:div>
    <w:div w:id="970982700">
      <w:bodyDiv w:val="1"/>
      <w:marLeft w:val="0"/>
      <w:marRight w:val="0"/>
      <w:marTop w:val="0"/>
      <w:marBottom w:val="0"/>
      <w:divBdr>
        <w:top w:val="none" w:sz="0" w:space="0" w:color="auto"/>
        <w:left w:val="none" w:sz="0" w:space="0" w:color="auto"/>
        <w:bottom w:val="none" w:sz="0" w:space="0" w:color="auto"/>
        <w:right w:val="none" w:sz="0" w:space="0" w:color="auto"/>
      </w:divBdr>
      <w:divsChild>
        <w:div w:id="367723281">
          <w:marLeft w:val="547"/>
          <w:marRight w:val="0"/>
          <w:marTop w:val="106"/>
          <w:marBottom w:val="0"/>
          <w:divBdr>
            <w:top w:val="none" w:sz="0" w:space="0" w:color="auto"/>
            <w:left w:val="none" w:sz="0" w:space="0" w:color="auto"/>
            <w:bottom w:val="none" w:sz="0" w:space="0" w:color="auto"/>
            <w:right w:val="none" w:sz="0" w:space="0" w:color="auto"/>
          </w:divBdr>
        </w:div>
        <w:div w:id="907035041">
          <w:marLeft w:val="1166"/>
          <w:marRight w:val="0"/>
          <w:marTop w:val="106"/>
          <w:marBottom w:val="0"/>
          <w:divBdr>
            <w:top w:val="none" w:sz="0" w:space="0" w:color="auto"/>
            <w:left w:val="none" w:sz="0" w:space="0" w:color="auto"/>
            <w:bottom w:val="none" w:sz="0" w:space="0" w:color="auto"/>
            <w:right w:val="none" w:sz="0" w:space="0" w:color="auto"/>
          </w:divBdr>
        </w:div>
        <w:div w:id="1042636650">
          <w:marLeft w:val="1800"/>
          <w:marRight w:val="0"/>
          <w:marTop w:val="86"/>
          <w:marBottom w:val="0"/>
          <w:divBdr>
            <w:top w:val="none" w:sz="0" w:space="0" w:color="auto"/>
            <w:left w:val="none" w:sz="0" w:space="0" w:color="auto"/>
            <w:bottom w:val="none" w:sz="0" w:space="0" w:color="auto"/>
            <w:right w:val="none" w:sz="0" w:space="0" w:color="auto"/>
          </w:divBdr>
        </w:div>
        <w:div w:id="1071077833">
          <w:marLeft w:val="1800"/>
          <w:marRight w:val="0"/>
          <w:marTop w:val="86"/>
          <w:marBottom w:val="0"/>
          <w:divBdr>
            <w:top w:val="none" w:sz="0" w:space="0" w:color="auto"/>
            <w:left w:val="none" w:sz="0" w:space="0" w:color="auto"/>
            <w:bottom w:val="none" w:sz="0" w:space="0" w:color="auto"/>
            <w:right w:val="none" w:sz="0" w:space="0" w:color="auto"/>
          </w:divBdr>
        </w:div>
        <w:div w:id="1718775586">
          <w:marLeft w:val="547"/>
          <w:marRight w:val="0"/>
          <w:marTop w:val="106"/>
          <w:marBottom w:val="0"/>
          <w:divBdr>
            <w:top w:val="none" w:sz="0" w:space="0" w:color="auto"/>
            <w:left w:val="none" w:sz="0" w:space="0" w:color="auto"/>
            <w:bottom w:val="none" w:sz="0" w:space="0" w:color="auto"/>
            <w:right w:val="none" w:sz="0" w:space="0" w:color="auto"/>
          </w:divBdr>
        </w:div>
        <w:div w:id="1835603891">
          <w:marLeft w:val="1166"/>
          <w:marRight w:val="0"/>
          <w:marTop w:val="106"/>
          <w:marBottom w:val="0"/>
          <w:divBdr>
            <w:top w:val="none" w:sz="0" w:space="0" w:color="auto"/>
            <w:left w:val="none" w:sz="0" w:space="0" w:color="auto"/>
            <w:bottom w:val="none" w:sz="0" w:space="0" w:color="auto"/>
            <w:right w:val="none" w:sz="0" w:space="0" w:color="auto"/>
          </w:divBdr>
        </w:div>
        <w:div w:id="1936549437">
          <w:marLeft w:val="1166"/>
          <w:marRight w:val="0"/>
          <w:marTop w:val="96"/>
          <w:marBottom w:val="0"/>
          <w:divBdr>
            <w:top w:val="none" w:sz="0" w:space="0" w:color="auto"/>
            <w:left w:val="none" w:sz="0" w:space="0" w:color="auto"/>
            <w:bottom w:val="none" w:sz="0" w:space="0" w:color="auto"/>
            <w:right w:val="none" w:sz="0" w:space="0" w:color="auto"/>
          </w:divBdr>
        </w:div>
      </w:divsChild>
    </w:div>
    <w:div w:id="985626659">
      <w:bodyDiv w:val="1"/>
      <w:marLeft w:val="0"/>
      <w:marRight w:val="0"/>
      <w:marTop w:val="0"/>
      <w:marBottom w:val="0"/>
      <w:divBdr>
        <w:top w:val="none" w:sz="0" w:space="0" w:color="auto"/>
        <w:left w:val="none" w:sz="0" w:space="0" w:color="auto"/>
        <w:bottom w:val="none" w:sz="0" w:space="0" w:color="auto"/>
        <w:right w:val="none" w:sz="0" w:space="0" w:color="auto"/>
      </w:divBdr>
      <w:divsChild>
        <w:div w:id="1007093447">
          <w:marLeft w:val="547"/>
          <w:marRight w:val="0"/>
          <w:marTop w:val="140"/>
          <w:marBottom w:val="0"/>
          <w:divBdr>
            <w:top w:val="none" w:sz="0" w:space="0" w:color="auto"/>
            <w:left w:val="none" w:sz="0" w:space="0" w:color="auto"/>
            <w:bottom w:val="none" w:sz="0" w:space="0" w:color="auto"/>
            <w:right w:val="none" w:sz="0" w:space="0" w:color="auto"/>
          </w:divBdr>
        </w:div>
        <w:div w:id="1063261363">
          <w:marLeft w:val="1915"/>
          <w:marRight w:val="0"/>
          <w:marTop w:val="140"/>
          <w:marBottom w:val="0"/>
          <w:divBdr>
            <w:top w:val="none" w:sz="0" w:space="0" w:color="auto"/>
            <w:left w:val="none" w:sz="0" w:space="0" w:color="auto"/>
            <w:bottom w:val="none" w:sz="0" w:space="0" w:color="auto"/>
            <w:right w:val="none" w:sz="0" w:space="0" w:color="auto"/>
          </w:divBdr>
        </w:div>
        <w:div w:id="1507744829">
          <w:marLeft w:val="1238"/>
          <w:marRight w:val="0"/>
          <w:marTop w:val="140"/>
          <w:marBottom w:val="0"/>
          <w:divBdr>
            <w:top w:val="none" w:sz="0" w:space="0" w:color="auto"/>
            <w:left w:val="none" w:sz="0" w:space="0" w:color="auto"/>
            <w:bottom w:val="none" w:sz="0" w:space="0" w:color="auto"/>
            <w:right w:val="none" w:sz="0" w:space="0" w:color="auto"/>
          </w:divBdr>
        </w:div>
        <w:div w:id="1554346856">
          <w:marLeft w:val="1238"/>
          <w:marRight w:val="0"/>
          <w:marTop w:val="140"/>
          <w:marBottom w:val="0"/>
          <w:divBdr>
            <w:top w:val="none" w:sz="0" w:space="0" w:color="auto"/>
            <w:left w:val="none" w:sz="0" w:space="0" w:color="auto"/>
            <w:bottom w:val="none" w:sz="0" w:space="0" w:color="auto"/>
            <w:right w:val="none" w:sz="0" w:space="0" w:color="auto"/>
          </w:divBdr>
        </w:div>
        <w:div w:id="1637249465">
          <w:marLeft w:val="1238"/>
          <w:marRight w:val="0"/>
          <w:marTop w:val="140"/>
          <w:marBottom w:val="0"/>
          <w:divBdr>
            <w:top w:val="none" w:sz="0" w:space="0" w:color="auto"/>
            <w:left w:val="none" w:sz="0" w:space="0" w:color="auto"/>
            <w:bottom w:val="none" w:sz="0" w:space="0" w:color="auto"/>
            <w:right w:val="none" w:sz="0" w:space="0" w:color="auto"/>
          </w:divBdr>
        </w:div>
      </w:divsChild>
    </w:div>
    <w:div w:id="1129586155">
      <w:bodyDiv w:val="1"/>
      <w:marLeft w:val="0"/>
      <w:marRight w:val="0"/>
      <w:marTop w:val="0"/>
      <w:marBottom w:val="0"/>
      <w:divBdr>
        <w:top w:val="none" w:sz="0" w:space="0" w:color="auto"/>
        <w:left w:val="none" w:sz="0" w:space="0" w:color="auto"/>
        <w:bottom w:val="none" w:sz="0" w:space="0" w:color="auto"/>
        <w:right w:val="none" w:sz="0" w:space="0" w:color="auto"/>
      </w:divBdr>
      <w:divsChild>
        <w:div w:id="207300879">
          <w:marLeft w:val="0"/>
          <w:marRight w:val="0"/>
          <w:marTop w:val="0"/>
          <w:marBottom w:val="0"/>
          <w:divBdr>
            <w:top w:val="none" w:sz="0" w:space="0" w:color="auto"/>
            <w:left w:val="none" w:sz="0" w:space="0" w:color="auto"/>
            <w:bottom w:val="none" w:sz="0" w:space="0" w:color="auto"/>
            <w:right w:val="none" w:sz="0" w:space="0" w:color="auto"/>
          </w:divBdr>
          <w:divsChild>
            <w:div w:id="1944219156">
              <w:marLeft w:val="0"/>
              <w:marRight w:val="0"/>
              <w:marTop w:val="0"/>
              <w:marBottom w:val="0"/>
              <w:divBdr>
                <w:top w:val="none" w:sz="0" w:space="0" w:color="auto"/>
                <w:left w:val="none" w:sz="0" w:space="0" w:color="auto"/>
                <w:bottom w:val="none" w:sz="0" w:space="0" w:color="auto"/>
                <w:right w:val="none" w:sz="0" w:space="0" w:color="auto"/>
              </w:divBdr>
              <w:divsChild>
                <w:div w:id="1911963005">
                  <w:marLeft w:val="-225"/>
                  <w:marRight w:val="-225"/>
                  <w:marTop w:val="0"/>
                  <w:marBottom w:val="0"/>
                  <w:divBdr>
                    <w:top w:val="none" w:sz="0" w:space="0" w:color="auto"/>
                    <w:left w:val="none" w:sz="0" w:space="0" w:color="auto"/>
                    <w:bottom w:val="none" w:sz="0" w:space="0" w:color="auto"/>
                    <w:right w:val="none" w:sz="0" w:space="0" w:color="auto"/>
                  </w:divBdr>
                  <w:divsChild>
                    <w:div w:id="632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5967">
      <w:bodyDiv w:val="1"/>
      <w:marLeft w:val="0"/>
      <w:marRight w:val="0"/>
      <w:marTop w:val="0"/>
      <w:marBottom w:val="0"/>
      <w:divBdr>
        <w:top w:val="none" w:sz="0" w:space="0" w:color="auto"/>
        <w:left w:val="none" w:sz="0" w:space="0" w:color="auto"/>
        <w:bottom w:val="none" w:sz="0" w:space="0" w:color="auto"/>
        <w:right w:val="none" w:sz="0" w:space="0" w:color="auto"/>
      </w:divBdr>
    </w:div>
    <w:div w:id="1205673567">
      <w:bodyDiv w:val="1"/>
      <w:marLeft w:val="0"/>
      <w:marRight w:val="0"/>
      <w:marTop w:val="0"/>
      <w:marBottom w:val="0"/>
      <w:divBdr>
        <w:top w:val="none" w:sz="0" w:space="0" w:color="auto"/>
        <w:left w:val="none" w:sz="0" w:space="0" w:color="auto"/>
        <w:bottom w:val="none" w:sz="0" w:space="0" w:color="auto"/>
        <w:right w:val="none" w:sz="0" w:space="0" w:color="auto"/>
      </w:divBdr>
      <w:divsChild>
        <w:div w:id="1120763592">
          <w:marLeft w:val="547"/>
          <w:marRight w:val="0"/>
          <w:marTop w:val="96"/>
          <w:marBottom w:val="0"/>
          <w:divBdr>
            <w:top w:val="none" w:sz="0" w:space="0" w:color="auto"/>
            <w:left w:val="none" w:sz="0" w:space="0" w:color="auto"/>
            <w:bottom w:val="none" w:sz="0" w:space="0" w:color="auto"/>
            <w:right w:val="none" w:sz="0" w:space="0" w:color="auto"/>
          </w:divBdr>
        </w:div>
        <w:div w:id="2104034065">
          <w:marLeft w:val="547"/>
          <w:marRight w:val="0"/>
          <w:marTop w:val="96"/>
          <w:marBottom w:val="0"/>
          <w:divBdr>
            <w:top w:val="none" w:sz="0" w:space="0" w:color="auto"/>
            <w:left w:val="none" w:sz="0" w:space="0" w:color="auto"/>
            <w:bottom w:val="none" w:sz="0" w:space="0" w:color="auto"/>
            <w:right w:val="none" w:sz="0" w:space="0" w:color="auto"/>
          </w:divBdr>
        </w:div>
        <w:div w:id="1360735746">
          <w:marLeft w:val="547"/>
          <w:marRight w:val="0"/>
          <w:marTop w:val="96"/>
          <w:marBottom w:val="0"/>
          <w:divBdr>
            <w:top w:val="none" w:sz="0" w:space="0" w:color="auto"/>
            <w:left w:val="none" w:sz="0" w:space="0" w:color="auto"/>
            <w:bottom w:val="none" w:sz="0" w:space="0" w:color="auto"/>
            <w:right w:val="none" w:sz="0" w:space="0" w:color="auto"/>
          </w:divBdr>
        </w:div>
        <w:div w:id="322005910">
          <w:marLeft w:val="547"/>
          <w:marRight w:val="0"/>
          <w:marTop w:val="96"/>
          <w:marBottom w:val="0"/>
          <w:divBdr>
            <w:top w:val="none" w:sz="0" w:space="0" w:color="auto"/>
            <w:left w:val="none" w:sz="0" w:space="0" w:color="auto"/>
            <w:bottom w:val="none" w:sz="0" w:space="0" w:color="auto"/>
            <w:right w:val="none" w:sz="0" w:space="0" w:color="auto"/>
          </w:divBdr>
        </w:div>
        <w:div w:id="1129055714">
          <w:marLeft w:val="547"/>
          <w:marRight w:val="0"/>
          <w:marTop w:val="96"/>
          <w:marBottom w:val="0"/>
          <w:divBdr>
            <w:top w:val="none" w:sz="0" w:space="0" w:color="auto"/>
            <w:left w:val="none" w:sz="0" w:space="0" w:color="auto"/>
            <w:bottom w:val="none" w:sz="0" w:space="0" w:color="auto"/>
            <w:right w:val="none" w:sz="0" w:space="0" w:color="auto"/>
          </w:divBdr>
        </w:div>
      </w:divsChild>
    </w:div>
    <w:div w:id="1232470827">
      <w:bodyDiv w:val="1"/>
      <w:marLeft w:val="0"/>
      <w:marRight w:val="0"/>
      <w:marTop w:val="0"/>
      <w:marBottom w:val="0"/>
      <w:divBdr>
        <w:top w:val="none" w:sz="0" w:space="0" w:color="auto"/>
        <w:left w:val="none" w:sz="0" w:space="0" w:color="auto"/>
        <w:bottom w:val="none" w:sz="0" w:space="0" w:color="auto"/>
        <w:right w:val="none" w:sz="0" w:space="0" w:color="auto"/>
      </w:divBdr>
    </w:div>
    <w:div w:id="1243761409">
      <w:bodyDiv w:val="1"/>
      <w:marLeft w:val="0"/>
      <w:marRight w:val="0"/>
      <w:marTop w:val="0"/>
      <w:marBottom w:val="0"/>
      <w:divBdr>
        <w:top w:val="none" w:sz="0" w:space="0" w:color="auto"/>
        <w:left w:val="none" w:sz="0" w:space="0" w:color="auto"/>
        <w:bottom w:val="none" w:sz="0" w:space="0" w:color="auto"/>
        <w:right w:val="none" w:sz="0" w:space="0" w:color="auto"/>
      </w:divBdr>
      <w:divsChild>
        <w:div w:id="354758">
          <w:marLeft w:val="547"/>
          <w:marRight w:val="0"/>
          <w:marTop w:val="140"/>
          <w:marBottom w:val="0"/>
          <w:divBdr>
            <w:top w:val="none" w:sz="0" w:space="0" w:color="auto"/>
            <w:left w:val="none" w:sz="0" w:space="0" w:color="auto"/>
            <w:bottom w:val="none" w:sz="0" w:space="0" w:color="auto"/>
            <w:right w:val="none" w:sz="0" w:space="0" w:color="auto"/>
          </w:divBdr>
        </w:div>
        <w:div w:id="117188567">
          <w:marLeft w:val="1238"/>
          <w:marRight w:val="0"/>
          <w:marTop w:val="140"/>
          <w:marBottom w:val="0"/>
          <w:divBdr>
            <w:top w:val="none" w:sz="0" w:space="0" w:color="auto"/>
            <w:left w:val="none" w:sz="0" w:space="0" w:color="auto"/>
            <w:bottom w:val="none" w:sz="0" w:space="0" w:color="auto"/>
            <w:right w:val="none" w:sz="0" w:space="0" w:color="auto"/>
          </w:divBdr>
        </w:div>
        <w:div w:id="358505871">
          <w:marLeft w:val="547"/>
          <w:marRight w:val="0"/>
          <w:marTop w:val="140"/>
          <w:marBottom w:val="0"/>
          <w:divBdr>
            <w:top w:val="none" w:sz="0" w:space="0" w:color="auto"/>
            <w:left w:val="none" w:sz="0" w:space="0" w:color="auto"/>
            <w:bottom w:val="none" w:sz="0" w:space="0" w:color="auto"/>
            <w:right w:val="none" w:sz="0" w:space="0" w:color="auto"/>
          </w:divBdr>
        </w:div>
        <w:div w:id="2015298807">
          <w:marLeft w:val="547"/>
          <w:marRight w:val="0"/>
          <w:marTop w:val="140"/>
          <w:marBottom w:val="0"/>
          <w:divBdr>
            <w:top w:val="none" w:sz="0" w:space="0" w:color="auto"/>
            <w:left w:val="none" w:sz="0" w:space="0" w:color="auto"/>
            <w:bottom w:val="none" w:sz="0" w:space="0" w:color="auto"/>
            <w:right w:val="none" w:sz="0" w:space="0" w:color="auto"/>
          </w:divBdr>
        </w:div>
      </w:divsChild>
    </w:div>
    <w:div w:id="1285817781">
      <w:bodyDiv w:val="1"/>
      <w:marLeft w:val="0"/>
      <w:marRight w:val="0"/>
      <w:marTop w:val="0"/>
      <w:marBottom w:val="0"/>
      <w:divBdr>
        <w:top w:val="none" w:sz="0" w:space="0" w:color="auto"/>
        <w:left w:val="none" w:sz="0" w:space="0" w:color="auto"/>
        <w:bottom w:val="none" w:sz="0" w:space="0" w:color="auto"/>
        <w:right w:val="none" w:sz="0" w:space="0" w:color="auto"/>
      </w:divBdr>
    </w:div>
    <w:div w:id="1321348483">
      <w:bodyDiv w:val="1"/>
      <w:marLeft w:val="0"/>
      <w:marRight w:val="0"/>
      <w:marTop w:val="0"/>
      <w:marBottom w:val="0"/>
      <w:divBdr>
        <w:top w:val="none" w:sz="0" w:space="0" w:color="auto"/>
        <w:left w:val="none" w:sz="0" w:space="0" w:color="auto"/>
        <w:bottom w:val="none" w:sz="0" w:space="0" w:color="auto"/>
        <w:right w:val="none" w:sz="0" w:space="0" w:color="auto"/>
      </w:divBdr>
    </w:div>
    <w:div w:id="1396704739">
      <w:bodyDiv w:val="1"/>
      <w:marLeft w:val="0"/>
      <w:marRight w:val="0"/>
      <w:marTop w:val="0"/>
      <w:marBottom w:val="0"/>
      <w:divBdr>
        <w:top w:val="none" w:sz="0" w:space="0" w:color="auto"/>
        <w:left w:val="none" w:sz="0" w:space="0" w:color="auto"/>
        <w:bottom w:val="none" w:sz="0" w:space="0" w:color="auto"/>
        <w:right w:val="none" w:sz="0" w:space="0" w:color="auto"/>
      </w:divBdr>
    </w:div>
    <w:div w:id="1487937988">
      <w:bodyDiv w:val="1"/>
      <w:marLeft w:val="0"/>
      <w:marRight w:val="0"/>
      <w:marTop w:val="0"/>
      <w:marBottom w:val="0"/>
      <w:divBdr>
        <w:top w:val="none" w:sz="0" w:space="0" w:color="auto"/>
        <w:left w:val="none" w:sz="0" w:space="0" w:color="auto"/>
        <w:bottom w:val="none" w:sz="0" w:space="0" w:color="auto"/>
        <w:right w:val="none" w:sz="0" w:space="0" w:color="auto"/>
      </w:divBdr>
      <w:divsChild>
        <w:div w:id="700981205">
          <w:marLeft w:val="547"/>
          <w:marRight w:val="0"/>
          <w:marTop w:val="0"/>
          <w:marBottom w:val="0"/>
          <w:divBdr>
            <w:top w:val="none" w:sz="0" w:space="0" w:color="auto"/>
            <w:left w:val="none" w:sz="0" w:space="0" w:color="auto"/>
            <w:bottom w:val="none" w:sz="0" w:space="0" w:color="auto"/>
            <w:right w:val="none" w:sz="0" w:space="0" w:color="auto"/>
          </w:divBdr>
        </w:div>
        <w:div w:id="1203639313">
          <w:marLeft w:val="547"/>
          <w:marRight w:val="0"/>
          <w:marTop w:val="0"/>
          <w:marBottom w:val="0"/>
          <w:divBdr>
            <w:top w:val="none" w:sz="0" w:space="0" w:color="auto"/>
            <w:left w:val="none" w:sz="0" w:space="0" w:color="auto"/>
            <w:bottom w:val="none" w:sz="0" w:space="0" w:color="auto"/>
            <w:right w:val="none" w:sz="0" w:space="0" w:color="auto"/>
          </w:divBdr>
        </w:div>
        <w:div w:id="1335378484">
          <w:marLeft w:val="547"/>
          <w:marRight w:val="0"/>
          <w:marTop w:val="0"/>
          <w:marBottom w:val="0"/>
          <w:divBdr>
            <w:top w:val="none" w:sz="0" w:space="0" w:color="auto"/>
            <w:left w:val="none" w:sz="0" w:space="0" w:color="auto"/>
            <w:bottom w:val="none" w:sz="0" w:space="0" w:color="auto"/>
            <w:right w:val="none" w:sz="0" w:space="0" w:color="auto"/>
          </w:divBdr>
        </w:div>
        <w:div w:id="1949776103">
          <w:marLeft w:val="547"/>
          <w:marRight w:val="0"/>
          <w:marTop w:val="0"/>
          <w:marBottom w:val="0"/>
          <w:divBdr>
            <w:top w:val="none" w:sz="0" w:space="0" w:color="auto"/>
            <w:left w:val="none" w:sz="0" w:space="0" w:color="auto"/>
            <w:bottom w:val="none" w:sz="0" w:space="0" w:color="auto"/>
            <w:right w:val="none" w:sz="0" w:space="0" w:color="auto"/>
          </w:divBdr>
        </w:div>
      </w:divsChild>
    </w:div>
    <w:div w:id="1809127377">
      <w:bodyDiv w:val="1"/>
      <w:marLeft w:val="0"/>
      <w:marRight w:val="0"/>
      <w:marTop w:val="0"/>
      <w:marBottom w:val="0"/>
      <w:divBdr>
        <w:top w:val="none" w:sz="0" w:space="0" w:color="auto"/>
        <w:left w:val="none" w:sz="0" w:space="0" w:color="auto"/>
        <w:bottom w:val="none" w:sz="0" w:space="0" w:color="auto"/>
        <w:right w:val="none" w:sz="0" w:space="0" w:color="auto"/>
      </w:divBdr>
    </w:div>
    <w:div w:id="1845629658">
      <w:bodyDiv w:val="1"/>
      <w:marLeft w:val="0"/>
      <w:marRight w:val="0"/>
      <w:marTop w:val="0"/>
      <w:marBottom w:val="0"/>
      <w:divBdr>
        <w:top w:val="none" w:sz="0" w:space="0" w:color="auto"/>
        <w:left w:val="none" w:sz="0" w:space="0" w:color="auto"/>
        <w:bottom w:val="none" w:sz="0" w:space="0" w:color="auto"/>
        <w:right w:val="none" w:sz="0" w:space="0" w:color="auto"/>
      </w:divBdr>
      <w:divsChild>
        <w:div w:id="481654242">
          <w:marLeft w:val="547"/>
          <w:marRight w:val="0"/>
          <w:marTop w:val="140"/>
          <w:marBottom w:val="0"/>
          <w:divBdr>
            <w:top w:val="none" w:sz="0" w:space="0" w:color="auto"/>
            <w:left w:val="none" w:sz="0" w:space="0" w:color="auto"/>
            <w:bottom w:val="none" w:sz="0" w:space="0" w:color="auto"/>
            <w:right w:val="none" w:sz="0" w:space="0" w:color="auto"/>
          </w:divBdr>
        </w:div>
        <w:div w:id="616376939">
          <w:marLeft w:val="1238"/>
          <w:marRight w:val="0"/>
          <w:marTop w:val="0"/>
          <w:marBottom w:val="0"/>
          <w:divBdr>
            <w:top w:val="none" w:sz="0" w:space="0" w:color="auto"/>
            <w:left w:val="none" w:sz="0" w:space="0" w:color="auto"/>
            <w:bottom w:val="none" w:sz="0" w:space="0" w:color="auto"/>
            <w:right w:val="none" w:sz="0" w:space="0" w:color="auto"/>
          </w:divBdr>
        </w:div>
        <w:div w:id="1315913485">
          <w:marLeft w:val="1238"/>
          <w:marRight w:val="0"/>
          <w:marTop w:val="0"/>
          <w:marBottom w:val="0"/>
          <w:divBdr>
            <w:top w:val="none" w:sz="0" w:space="0" w:color="auto"/>
            <w:left w:val="none" w:sz="0" w:space="0" w:color="auto"/>
            <w:bottom w:val="none" w:sz="0" w:space="0" w:color="auto"/>
            <w:right w:val="none" w:sz="0" w:space="0" w:color="auto"/>
          </w:divBdr>
        </w:div>
      </w:divsChild>
    </w:div>
    <w:div w:id="1934623656">
      <w:bodyDiv w:val="1"/>
      <w:marLeft w:val="0"/>
      <w:marRight w:val="0"/>
      <w:marTop w:val="0"/>
      <w:marBottom w:val="0"/>
      <w:divBdr>
        <w:top w:val="none" w:sz="0" w:space="0" w:color="auto"/>
        <w:left w:val="none" w:sz="0" w:space="0" w:color="auto"/>
        <w:bottom w:val="none" w:sz="0" w:space="0" w:color="auto"/>
        <w:right w:val="none" w:sz="0" w:space="0" w:color="auto"/>
      </w:divBdr>
      <w:divsChild>
        <w:div w:id="271481227">
          <w:marLeft w:val="446"/>
          <w:marRight w:val="0"/>
          <w:marTop w:val="0"/>
          <w:marBottom w:val="0"/>
          <w:divBdr>
            <w:top w:val="none" w:sz="0" w:space="0" w:color="auto"/>
            <w:left w:val="none" w:sz="0" w:space="0" w:color="auto"/>
            <w:bottom w:val="none" w:sz="0" w:space="0" w:color="auto"/>
            <w:right w:val="none" w:sz="0" w:space="0" w:color="auto"/>
          </w:divBdr>
        </w:div>
        <w:div w:id="1292518113">
          <w:marLeft w:val="547"/>
          <w:marRight w:val="0"/>
          <w:marTop w:val="0"/>
          <w:marBottom w:val="0"/>
          <w:divBdr>
            <w:top w:val="none" w:sz="0" w:space="0" w:color="auto"/>
            <w:left w:val="none" w:sz="0" w:space="0" w:color="auto"/>
            <w:bottom w:val="none" w:sz="0" w:space="0" w:color="auto"/>
            <w:right w:val="none" w:sz="0" w:space="0" w:color="auto"/>
          </w:divBdr>
        </w:div>
        <w:div w:id="1948272105">
          <w:marLeft w:val="547"/>
          <w:marRight w:val="0"/>
          <w:marTop w:val="0"/>
          <w:marBottom w:val="0"/>
          <w:divBdr>
            <w:top w:val="none" w:sz="0" w:space="0" w:color="auto"/>
            <w:left w:val="none" w:sz="0" w:space="0" w:color="auto"/>
            <w:bottom w:val="none" w:sz="0" w:space="0" w:color="auto"/>
            <w:right w:val="none" w:sz="0" w:space="0" w:color="auto"/>
          </w:divBdr>
        </w:div>
      </w:divsChild>
    </w:div>
    <w:div w:id="1950696299">
      <w:bodyDiv w:val="1"/>
      <w:marLeft w:val="0"/>
      <w:marRight w:val="0"/>
      <w:marTop w:val="0"/>
      <w:marBottom w:val="0"/>
      <w:divBdr>
        <w:top w:val="none" w:sz="0" w:space="0" w:color="auto"/>
        <w:left w:val="none" w:sz="0" w:space="0" w:color="auto"/>
        <w:bottom w:val="none" w:sz="0" w:space="0" w:color="auto"/>
        <w:right w:val="none" w:sz="0" w:space="0" w:color="auto"/>
      </w:divBdr>
      <w:divsChild>
        <w:div w:id="57827613">
          <w:marLeft w:val="547"/>
          <w:marRight w:val="0"/>
          <w:marTop w:val="140"/>
          <w:marBottom w:val="0"/>
          <w:divBdr>
            <w:top w:val="none" w:sz="0" w:space="0" w:color="auto"/>
            <w:left w:val="none" w:sz="0" w:space="0" w:color="auto"/>
            <w:bottom w:val="none" w:sz="0" w:space="0" w:color="auto"/>
            <w:right w:val="none" w:sz="0" w:space="0" w:color="auto"/>
          </w:divBdr>
        </w:div>
        <w:div w:id="209542207">
          <w:marLeft w:val="1238"/>
          <w:marRight w:val="0"/>
          <w:marTop w:val="140"/>
          <w:marBottom w:val="0"/>
          <w:divBdr>
            <w:top w:val="none" w:sz="0" w:space="0" w:color="auto"/>
            <w:left w:val="none" w:sz="0" w:space="0" w:color="auto"/>
            <w:bottom w:val="none" w:sz="0" w:space="0" w:color="auto"/>
            <w:right w:val="none" w:sz="0" w:space="0" w:color="auto"/>
          </w:divBdr>
        </w:div>
      </w:divsChild>
    </w:div>
    <w:div w:id="1982685722">
      <w:bodyDiv w:val="1"/>
      <w:marLeft w:val="0"/>
      <w:marRight w:val="0"/>
      <w:marTop w:val="0"/>
      <w:marBottom w:val="0"/>
      <w:divBdr>
        <w:top w:val="none" w:sz="0" w:space="0" w:color="auto"/>
        <w:left w:val="none" w:sz="0" w:space="0" w:color="auto"/>
        <w:bottom w:val="none" w:sz="0" w:space="0" w:color="auto"/>
        <w:right w:val="none" w:sz="0" w:space="0" w:color="auto"/>
      </w:divBdr>
      <w:divsChild>
        <w:div w:id="16077962">
          <w:marLeft w:val="1238"/>
          <w:marRight w:val="0"/>
          <w:marTop w:val="140"/>
          <w:marBottom w:val="0"/>
          <w:divBdr>
            <w:top w:val="none" w:sz="0" w:space="0" w:color="auto"/>
            <w:left w:val="none" w:sz="0" w:space="0" w:color="auto"/>
            <w:bottom w:val="none" w:sz="0" w:space="0" w:color="auto"/>
            <w:right w:val="none" w:sz="0" w:space="0" w:color="auto"/>
          </w:divBdr>
        </w:div>
        <w:div w:id="336229719">
          <w:marLeft w:val="547"/>
          <w:marRight w:val="0"/>
          <w:marTop w:val="140"/>
          <w:marBottom w:val="0"/>
          <w:divBdr>
            <w:top w:val="none" w:sz="0" w:space="0" w:color="auto"/>
            <w:left w:val="none" w:sz="0" w:space="0" w:color="auto"/>
            <w:bottom w:val="none" w:sz="0" w:space="0" w:color="auto"/>
            <w:right w:val="none" w:sz="0" w:space="0" w:color="auto"/>
          </w:divBdr>
        </w:div>
        <w:div w:id="370153002">
          <w:marLeft w:val="547"/>
          <w:marRight w:val="0"/>
          <w:marTop w:val="140"/>
          <w:marBottom w:val="0"/>
          <w:divBdr>
            <w:top w:val="none" w:sz="0" w:space="0" w:color="auto"/>
            <w:left w:val="none" w:sz="0" w:space="0" w:color="auto"/>
            <w:bottom w:val="none" w:sz="0" w:space="0" w:color="auto"/>
            <w:right w:val="none" w:sz="0" w:space="0" w:color="auto"/>
          </w:divBdr>
        </w:div>
        <w:div w:id="1064178413">
          <w:marLeft w:val="1238"/>
          <w:marRight w:val="0"/>
          <w:marTop w:val="140"/>
          <w:marBottom w:val="0"/>
          <w:divBdr>
            <w:top w:val="none" w:sz="0" w:space="0" w:color="auto"/>
            <w:left w:val="none" w:sz="0" w:space="0" w:color="auto"/>
            <w:bottom w:val="none" w:sz="0" w:space="0" w:color="auto"/>
            <w:right w:val="none" w:sz="0" w:space="0" w:color="auto"/>
          </w:divBdr>
        </w:div>
        <w:div w:id="1481001151">
          <w:marLeft w:val="1238"/>
          <w:marRight w:val="0"/>
          <w:marTop w:val="140"/>
          <w:marBottom w:val="0"/>
          <w:divBdr>
            <w:top w:val="none" w:sz="0" w:space="0" w:color="auto"/>
            <w:left w:val="none" w:sz="0" w:space="0" w:color="auto"/>
            <w:bottom w:val="none" w:sz="0" w:space="0" w:color="auto"/>
            <w:right w:val="none" w:sz="0" w:space="0" w:color="auto"/>
          </w:divBdr>
        </w:div>
        <w:div w:id="1913268480">
          <w:marLeft w:val="547"/>
          <w:marRight w:val="0"/>
          <w:marTop w:val="140"/>
          <w:marBottom w:val="0"/>
          <w:divBdr>
            <w:top w:val="none" w:sz="0" w:space="0" w:color="auto"/>
            <w:left w:val="none" w:sz="0" w:space="0" w:color="auto"/>
            <w:bottom w:val="none" w:sz="0" w:space="0" w:color="auto"/>
            <w:right w:val="none" w:sz="0" w:space="0" w:color="auto"/>
          </w:divBdr>
        </w:div>
      </w:divsChild>
    </w:div>
    <w:div w:id="2012485296">
      <w:bodyDiv w:val="1"/>
      <w:marLeft w:val="0"/>
      <w:marRight w:val="0"/>
      <w:marTop w:val="0"/>
      <w:marBottom w:val="0"/>
      <w:divBdr>
        <w:top w:val="none" w:sz="0" w:space="0" w:color="auto"/>
        <w:left w:val="none" w:sz="0" w:space="0" w:color="auto"/>
        <w:bottom w:val="none" w:sz="0" w:space="0" w:color="auto"/>
        <w:right w:val="none" w:sz="0" w:space="0" w:color="auto"/>
      </w:divBdr>
      <w:divsChild>
        <w:div w:id="673414194">
          <w:marLeft w:val="1238"/>
          <w:marRight w:val="0"/>
          <w:marTop w:val="140"/>
          <w:marBottom w:val="0"/>
          <w:divBdr>
            <w:top w:val="none" w:sz="0" w:space="0" w:color="auto"/>
            <w:left w:val="none" w:sz="0" w:space="0" w:color="auto"/>
            <w:bottom w:val="none" w:sz="0" w:space="0" w:color="auto"/>
            <w:right w:val="none" w:sz="0" w:space="0" w:color="auto"/>
          </w:divBdr>
        </w:div>
        <w:div w:id="865950887">
          <w:marLeft w:val="547"/>
          <w:marRight w:val="0"/>
          <w:marTop w:val="140"/>
          <w:marBottom w:val="0"/>
          <w:divBdr>
            <w:top w:val="none" w:sz="0" w:space="0" w:color="auto"/>
            <w:left w:val="none" w:sz="0" w:space="0" w:color="auto"/>
            <w:bottom w:val="none" w:sz="0" w:space="0" w:color="auto"/>
            <w:right w:val="none" w:sz="0" w:space="0" w:color="auto"/>
          </w:divBdr>
        </w:div>
        <w:div w:id="1302736375">
          <w:marLeft w:val="1238"/>
          <w:marRight w:val="0"/>
          <w:marTop w:val="140"/>
          <w:marBottom w:val="0"/>
          <w:divBdr>
            <w:top w:val="none" w:sz="0" w:space="0" w:color="auto"/>
            <w:left w:val="none" w:sz="0" w:space="0" w:color="auto"/>
            <w:bottom w:val="none" w:sz="0" w:space="0" w:color="auto"/>
            <w:right w:val="none" w:sz="0" w:space="0" w:color="auto"/>
          </w:divBdr>
        </w:div>
      </w:divsChild>
    </w:div>
    <w:div w:id="2049648492">
      <w:bodyDiv w:val="1"/>
      <w:marLeft w:val="0"/>
      <w:marRight w:val="0"/>
      <w:marTop w:val="0"/>
      <w:marBottom w:val="0"/>
      <w:divBdr>
        <w:top w:val="none" w:sz="0" w:space="0" w:color="auto"/>
        <w:left w:val="none" w:sz="0" w:space="0" w:color="auto"/>
        <w:bottom w:val="none" w:sz="0" w:space="0" w:color="auto"/>
        <w:right w:val="none" w:sz="0" w:space="0" w:color="auto"/>
      </w:divBdr>
    </w:div>
    <w:div w:id="2076127278">
      <w:bodyDiv w:val="1"/>
      <w:marLeft w:val="0"/>
      <w:marRight w:val="0"/>
      <w:marTop w:val="0"/>
      <w:marBottom w:val="0"/>
      <w:divBdr>
        <w:top w:val="none" w:sz="0" w:space="0" w:color="auto"/>
        <w:left w:val="none" w:sz="0" w:space="0" w:color="auto"/>
        <w:bottom w:val="none" w:sz="0" w:space="0" w:color="auto"/>
        <w:right w:val="none" w:sz="0" w:space="0" w:color="auto"/>
      </w:divBdr>
      <w:divsChild>
        <w:div w:id="31350835">
          <w:marLeft w:val="0"/>
          <w:marRight w:val="0"/>
          <w:marTop w:val="0"/>
          <w:marBottom w:val="0"/>
          <w:divBdr>
            <w:top w:val="none" w:sz="0" w:space="0" w:color="auto"/>
            <w:left w:val="none" w:sz="0" w:space="0" w:color="auto"/>
            <w:bottom w:val="none" w:sz="0" w:space="0" w:color="auto"/>
            <w:right w:val="none" w:sz="0" w:space="0" w:color="auto"/>
          </w:divBdr>
        </w:div>
        <w:div w:id="93135227">
          <w:marLeft w:val="0"/>
          <w:marRight w:val="0"/>
          <w:marTop w:val="0"/>
          <w:marBottom w:val="0"/>
          <w:divBdr>
            <w:top w:val="none" w:sz="0" w:space="0" w:color="auto"/>
            <w:left w:val="none" w:sz="0" w:space="0" w:color="auto"/>
            <w:bottom w:val="none" w:sz="0" w:space="0" w:color="auto"/>
            <w:right w:val="none" w:sz="0" w:space="0" w:color="auto"/>
          </w:divBdr>
        </w:div>
        <w:div w:id="185295607">
          <w:marLeft w:val="0"/>
          <w:marRight w:val="0"/>
          <w:marTop w:val="0"/>
          <w:marBottom w:val="0"/>
          <w:divBdr>
            <w:top w:val="none" w:sz="0" w:space="0" w:color="auto"/>
            <w:left w:val="none" w:sz="0" w:space="0" w:color="auto"/>
            <w:bottom w:val="none" w:sz="0" w:space="0" w:color="auto"/>
            <w:right w:val="none" w:sz="0" w:space="0" w:color="auto"/>
          </w:divBdr>
        </w:div>
        <w:div w:id="571620179">
          <w:marLeft w:val="0"/>
          <w:marRight w:val="0"/>
          <w:marTop w:val="0"/>
          <w:marBottom w:val="0"/>
          <w:divBdr>
            <w:top w:val="none" w:sz="0" w:space="0" w:color="auto"/>
            <w:left w:val="none" w:sz="0" w:space="0" w:color="auto"/>
            <w:bottom w:val="none" w:sz="0" w:space="0" w:color="auto"/>
            <w:right w:val="none" w:sz="0" w:space="0" w:color="auto"/>
          </w:divBdr>
        </w:div>
        <w:div w:id="598564657">
          <w:marLeft w:val="0"/>
          <w:marRight w:val="0"/>
          <w:marTop w:val="0"/>
          <w:marBottom w:val="0"/>
          <w:divBdr>
            <w:top w:val="none" w:sz="0" w:space="0" w:color="auto"/>
            <w:left w:val="none" w:sz="0" w:space="0" w:color="auto"/>
            <w:bottom w:val="none" w:sz="0" w:space="0" w:color="auto"/>
            <w:right w:val="none" w:sz="0" w:space="0" w:color="auto"/>
          </w:divBdr>
        </w:div>
        <w:div w:id="741409498">
          <w:marLeft w:val="0"/>
          <w:marRight w:val="0"/>
          <w:marTop w:val="0"/>
          <w:marBottom w:val="0"/>
          <w:divBdr>
            <w:top w:val="none" w:sz="0" w:space="0" w:color="auto"/>
            <w:left w:val="none" w:sz="0" w:space="0" w:color="auto"/>
            <w:bottom w:val="none" w:sz="0" w:space="0" w:color="auto"/>
            <w:right w:val="none" w:sz="0" w:space="0" w:color="auto"/>
          </w:divBdr>
        </w:div>
        <w:div w:id="761806036">
          <w:marLeft w:val="0"/>
          <w:marRight w:val="0"/>
          <w:marTop w:val="0"/>
          <w:marBottom w:val="0"/>
          <w:divBdr>
            <w:top w:val="none" w:sz="0" w:space="0" w:color="auto"/>
            <w:left w:val="none" w:sz="0" w:space="0" w:color="auto"/>
            <w:bottom w:val="none" w:sz="0" w:space="0" w:color="auto"/>
            <w:right w:val="none" w:sz="0" w:space="0" w:color="auto"/>
          </w:divBdr>
        </w:div>
        <w:div w:id="796802291">
          <w:marLeft w:val="0"/>
          <w:marRight w:val="0"/>
          <w:marTop w:val="0"/>
          <w:marBottom w:val="0"/>
          <w:divBdr>
            <w:top w:val="none" w:sz="0" w:space="0" w:color="auto"/>
            <w:left w:val="none" w:sz="0" w:space="0" w:color="auto"/>
            <w:bottom w:val="none" w:sz="0" w:space="0" w:color="auto"/>
            <w:right w:val="none" w:sz="0" w:space="0" w:color="auto"/>
          </w:divBdr>
        </w:div>
        <w:div w:id="907308730">
          <w:marLeft w:val="0"/>
          <w:marRight w:val="0"/>
          <w:marTop w:val="0"/>
          <w:marBottom w:val="0"/>
          <w:divBdr>
            <w:top w:val="none" w:sz="0" w:space="0" w:color="auto"/>
            <w:left w:val="none" w:sz="0" w:space="0" w:color="auto"/>
            <w:bottom w:val="none" w:sz="0" w:space="0" w:color="auto"/>
            <w:right w:val="none" w:sz="0" w:space="0" w:color="auto"/>
          </w:divBdr>
        </w:div>
        <w:div w:id="915171774">
          <w:marLeft w:val="0"/>
          <w:marRight w:val="0"/>
          <w:marTop w:val="0"/>
          <w:marBottom w:val="0"/>
          <w:divBdr>
            <w:top w:val="none" w:sz="0" w:space="0" w:color="auto"/>
            <w:left w:val="none" w:sz="0" w:space="0" w:color="auto"/>
            <w:bottom w:val="none" w:sz="0" w:space="0" w:color="auto"/>
            <w:right w:val="none" w:sz="0" w:space="0" w:color="auto"/>
          </w:divBdr>
        </w:div>
        <w:div w:id="1127625128">
          <w:marLeft w:val="0"/>
          <w:marRight w:val="0"/>
          <w:marTop w:val="0"/>
          <w:marBottom w:val="0"/>
          <w:divBdr>
            <w:top w:val="none" w:sz="0" w:space="0" w:color="auto"/>
            <w:left w:val="none" w:sz="0" w:space="0" w:color="auto"/>
            <w:bottom w:val="none" w:sz="0" w:space="0" w:color="auto"/>
            <w:right w:val="none" w:sz="0" w:space="0" w:color="auto"/>
          </w:divBdr>
        </w:div>
        <w:div w:id="1216351664">
          <w:marLeft w:val="0"/>
          <w:marRight w:val="0"/>
          <w:marTop w:val="0"/>
          <w:marBottom w:val="0"/>
          <w:divBdr>
            <w:top w:val="none" w:sz="0" w:space="0" w:color="auto"/>
            <w:left w:val="none" w:sz="0" w:space="0" w:color="auto"/>
            <w:bottom w:val="none" w:sz="0" w:space="0" w:color="auto"/>
            <w:right w:val="none" w:sz="0" w:space="0" w:color="auto"/>
          </w:divBdr>
        </w:div>
        <w:div w:id="1273395213">
          <w:marLeft w:val="0"/>
          <w:marRight w:val="0"/>
          <w:marTop w:val="0"/>
          <w:marBottom w:val="0"/>
          <w:divBdr>
            <w:top w:val="none" w:sz="0" w:space="0" w:color="auto"/>
            <w:left w:val="none" w:sz="0" w:space="0" w:color="auto"/>
            <w:bottom w:val="none" w:sz="0" w:space="0" w:color="auto"/>
            <w:right w:val="none" w:sz="0" w:space="0" w:color="auto"/>
          </w:divBdr>
        </w:div>
        <w:div w:id="1304383456">
          <w:marLeft w:val="0"/>
          <w:marRight w:val="0"/>
          <w:marTop w:val="0"/>
          <w:marBottom w:val="0"/>
          <w:divBdr>
            <w:top w:val="none" w:sz="0" w:space="0" w:color="auto"/>
            <w:left w:val="none" w:sz="0" w:space="0" w:color="auto"/>
            <w:bottom w:val="none" w:sz="0" w:space="0" w:color="auto"/>
            <w:right w:val="none" w:sz="0" w:space="0" w:color="auto"/>
          </w:divBdr>
        </w:div>
        <w:div w:id="1504468585">
          <w:marLeft w:val="0"/>
          <w:marRight w:val="0"/>
          <w:marTop w:val="0"/>
          <w:marBottom w:val="0"/>
          <w:divBdr>
            <w:top w:val="none" w:sz="0" w:space="0" w:color="auto"/>
            <w:left w:val="none" w:sz="0" w:space="0" w:color="auto"/>
            <w:bottom w:val="none" w:sz="0" w:space="0" w:color="auto"/>
            <w:right w:val="none" w:sz="0" w:space="0" w:color="auto"/>
          </w:divBdr>
        </w:div>
        <w:div w:id="1595282810">
          <w:marLeft w:val="0"/>
          <w:marRight w:val="0"/>
          <w:marTop w:val="0"/>
          <w:marBottom w:val="0"/>
          <w:divBdr>
            <w:top w:val="none" w:sz="0" w:space="0" w:color="auto"/>
            <w:left w:val="none" w:sz="0" w:space="0" w:color="auto"/>
            <w:bottom w:val="none" w:sz="0" w:space="0" w:color="auto"/>
            <w:right w:val="none" w:sz="0" w:space="0" w:color="auto"/>
          </w:divBdr>
        </w:div>
        <w:div w:id="1702972773">
          <w:marLeft w:val="0"/>
          <w:marRight w:val="0"/>
          <w:marTop w:val="0"/>
          <w:marBottom w:val="0"/>
          <w:divBdr>
            <w:top w:val="none" w:sz="0" w:space="0" w:color="auto"/>
            <w:left w:val="none" w:sz="0" w:space="0" w:color="auto"/>
            <w:bottom w:val="none" w:sz="0" w:space="0" w:color="auto"/>
            <w:right w:val="none" w:sz="0" w:space="0" w:color="auto"/>
          </w:divBdr>
        </w:div>
        <w:div w:id="1903373323">
          <w:marLeft w:val="0"/>
          <w:marRight w:val="0"/>
          <w:marTop w:val="0"/>
          <w:marBottom w:val="0"/>
          <w:divBdr>
            <w:top w:val="none" w:sz="0" w:space="0" w:color="auto"/>
            <w:left w:val="none" w:sz="0" w:space="0" w:color="auto"/>
            <w:bottom w:val="none" w:sz="0" w:space="0" w:color="auto"/>
            <w:right w:val="none" w:sz="0" w:space="0" w:color="auto"/>
          </w:divBdr>
        </w:div>
        <w:div w:id="1995835272">
          <w:marLeft w:val="0"/>
          <w:marRight w:val="0"/>
          <w:marTop w:val="0"/>
          <w:marBottom w:val="0"/>
          <w:divBdr>
            <w:top w:val="none" w:sz="0" w:space="0" w:color="auto"/>
            <w:left w:val="none" w:sz="0" w:space="0" w:color="auto"/>
            <w:bottom w:val="none" w:sz="0" w:space="0" w:color="auto"/>
            <w:right w:val="none" w:sz="0" w:space="0" w:color="auto"/>
          </w:divBdr>
        </w:div>
        <w:div w:id="2051106831">
          <w:marLeft w:val="0"/>
          <w:marRight w:val="0"/>
          <w:marTop w:val="0"/>
          <w:marBottom w:val="0"/>
          <w:divBdr>
            <w:top w:val="none" w:sz="0" w:space="0" w:color="auto"/>
            <w:left w:val="none" w:sz="0" w:space="0" w:color="auto"/>
            <w:bottom w:val="none" w:sz="0" w:space="0" w:color="auto"/>
            <w:right w:val="none" w:sz="0" w:space="0" w:color="auto"/>
          </w:divBdr>
        </w:div>
      </w:divsChild>
    </w:div>
    <w:div w:id="2088575423">
      <w:bodyDiv w:val="1"/>
      <w:marLeft w:val="0"/>
      <w:marRight w:val="0"/>
      <w:marTop w:val="0"/>
      <w:marBottom w:val="0"/>
      <w:divBdr>
        <w:top w:val="none" w:sz="0" w:space="0" w:color="auto"/>
        <w:left w:val="none" w:sz="0" w:space="0" w:color="auto"/>
        <w:bottom w:val="none" w:sz="0" w:space="0" w:color="auto"/>
        <w:right w:val="none" w:sz="0" w:space="0" w:color="auto"/>
      </w:divBdr>
    </w:div>
    <w:div w:id="20975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9986B-A0DD-474E-85D8-FFD94A99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10841</Words>
  <Characters>61795</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REPORT</vt:lpstr>
    </vt:vector>
  </TitlesOfParts>
  <Company>Parliament of South Africa</Company>
  <LinksUpToDate>false</LinksUpToDate>
  <CharactersWithSpaces>72492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akakaza</dc:creator>
  <cp:keywords/>
  <dc:description/>
  <cp:lastModifiedBy>Bradley Viljoen</cp:lastModifiedBy>
  <cp:revision>2</cp:revision>
  <cp:lastPrinted>2021-05-08T08:56:00Z</cp:lastPrinted>
  <dcterms:created xsi:type="dcterms:W3CDTF">2022-05-10T13:01:00Z</dcterms:created>
  <dcterms:modified xsi:type="dcterms:W3CDTF">2022-05-10T13:01:00Z</dcterms:modified>
  <cp:contentStatus/>
</cp:coreProperties>
</file>