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BD" w:rsidRPr="00050D6F" w:rsidRDefault="00F664DA" w:rsidP="009E67BD">
      <w:pPr>
        <w:widowControl w:val="0"/>
        <w:autoSpaceDE w:val="0"/>
        <w:autoSpaceDN w:val="0"/>
        <w:adjustRightInd w:val="0"/>
        <w:spacing w:line="480" w:lineRule="auto"/>
        <w:jc w:val="both"/>
        <w:rPr>
          <w:rFonts w:ascii="Times New Roman" w:hAnsi="Times New Roman"/>
          <w:b/>
          <w:bCs/>
          <w:sz w:val="28"/>
          <w:szCs w:val="28"/>
        </w:rPr>
      </w:pPr>
      <w:r>
        <w:rPr>
          <w:rFonts w:ascii="Times New Roman" w:hAnsi="Times New Roman"/>
          <w:b/>
          <w:bCs/>
          <w:sz w:val="28"/>
          <w:szCs w:val="28"/>
        </w:rPr>
        <w:t>2</w:t>
      </w:r>
      <w:bookmarkStart w:id="0" w:name="_GoBack"/>
      <w:bookmarkEnd w:id="0"/>
      <w:r w:rsidR="00050D6F" w:rsidRPr="00050D6F">
        <w:rPr>
          <w:rFonts w:ascii="Times New Roman" w:hAnsi="Times New Roman"/>
          <w:b/>
          <w:bCs/>
          <w:sz w:val="28"/>
          <w:szCs w:val="28"/>
        </w:rPr>
        <w:t xml:space="preserve">. </w:t>
      </w:r>
      <w:r w:rsidR="009E67BD" w:rsidRPr="00050D6F">
        <w:rPr>
          <w:rFonts w:ascii="Times New Roman" w:hAnsi="Times New Roman"/>
          <w:b/>
          <w:bCs/>
          <w:sz w:val="28"/>
          <w:szCs w:val="28"/>
        </w:rPr>
        <w:t>REPORT OF THE STANDING COMMITTEE ON FINANCE ON BUDGET VOT</w:t>
      </w:r>
      <w:r w:rsidR="00BA7AE4" w:rsidRPr="00050D6F">
        <w:rPr>
          <w:rFonts w:ascii="Times New Roman" w:hAnsi="Times New Roman"/>
          <w:b/>
          <w:bCs/>
          <w:sz w:val="28"/>
          <w:szCs w:val="28"/>
        </w:rPr>
        <w:t>E 8: NATIONAL TREASURY, DATED 10 MAY 2022</w:t>
      </w:r>
    </w:p>
    <w:p w:rsidR="009E67BD" w:rsidRPr="0077613B" w:rsidRDefault="009E67BD" w:rsidP="009E67BD">
      <w:pPr>
        <w:widowControl w:val="0"/>
        <w:autoSpaceDE w:val="0"/>
        <w:autoSpaceDN w:val="0"/>
        <w:adjustRightInd w:val="0"/>
        <w:spacing w:line="480" w:lineRule="auto"/>
        <w:jc w:val="both"/>
        <w:rPr>
          <w:rFonts w:ascii="Times New Roman" w:hAnsi="Times New Roman"/>
        </w:rPr>
      </w:pPr>
      <w:r w:rsidRPr="0077613B">
        <w:rPr>
          <w:rFonts w:ascii="Times New Roman" w:hAnsi="Times New Roman"/>
        </w:rPr>
        <w:t>The Standing Committee on Finance (SCOF/ the Committee), having considered the National Treasury</w:t>
      </w:r>
      <w:r>
        <w:rPr>
          <w:rFonts w:ascii="Times New Roman" w:hAnsi="Times New Roman"/>
        </w:rPr>
        <w:t xml:space="preserve"> and the South African Revenue Service’s</w:t>
      </w:r>
      <w:r w:rsidRPr="0077613B">
        <w:rPr>
          <w:rFonts w:ascii="Times New Roman" w:hAnsi="Times New Roman"/>
        </w:rPr>
        <w:t xml:space="preserve"> annual performance plan</w:t>
      </w:r>
      <w:r>
        <w:rPr>
          <w:rFonts w:ascii="Times New Roman" w:hAnsi="Times New Roman"/>
        </w:rPr>
        <w:t>s</w:t>
      </w:r>
      <w:r w:rsidRPr="0077613B">
        <w:rPr>
          <w:rFonts w:ascii="Times New Roman" w:hAnsi="Times New Roman"/>
        </w:rPr>
        <w:t xml:space="preserve"> (2022</w:t>
      </w:r>
      <w:r w:rsidR="00D041FB">
        <w:rPr>
          <w:rFonts w:ascii="Times New Roman" w:hAnsi="Times New Roman"/>
        </w:rPr>
        <w:t>/23</w:t>
      </w:r>
      <w:r w:rsidRPr="0077613B">
        <w:rPr>
          <w:rFonts w:ascii="Times New Roman" w:hAnsi="Times New Roman"/>
        </w:rPr>
        <w:t>), reports as follows:</w:t>
      </w:r>
    </w:p>
    <w:p w:rsidR="009E67BD" w:rsidRPr="0077613B" w:rsidRDefault="009E67BD" w:rsidP="009E67BD">
      <w:pPr>
        <w:spacing w:line="480" w:lineRule="auto"/>
        <w:jc w:val="both"/>
        <w:rPr>
          <w:rFonts w:ascii="Times New Roman" w:hAnsi="Times New Roman"/>
        </w:rPr>
      </w:pPr>
    </w:p>
    <w:p w:rsidR="009E67BD" w:rsidRPr="0077613B" w:rsidRDefault="009E67BD" w:rsidP="009E67BD">
      <w:pPr>
        <w:pStyle w:val="ListParagraph"/>
        <w:numPr>
          <w:ilvl w:val="0"/>
          <w:numId w:val="1"/>
        </w:numPr>
        <w:spacing w:after="0" w:line="480" w:lineRule="auto"/>
        <w:ind w:left="0" w:firstLine="0"/>
        <w:jc w:val="both"/>
        <w:rPr>
          <w:rFonts w:ascii="Times New Roman" w:hAnsi="Times New Roman" w:cs="Times New Roman"/>
          <w:b/>
          <w:sz w:val="24"/>
          <w:szCs w:val="24"/>
        </w:rPr>
      </w:pPr>
      <w:r w:rsidRPr="0077613B">
        <w:rPr>
          <w:rFonts w:ascii="Times New Roman" w:hAnsi="Times New Roman" w:cs="Times New Roman"/>
          <w:b/>
          <w:sz w:val="24"/>
          <w:szCs w:val="24"/>
        </w:rPr>
        <w:t>INTRODUCTION</w:t>
      </w:r>
    </w:p>
    <w:p w:rsidR="009E67BD" w:rsidRPr="0077613B" w:rsidRDefault="009E67BD" w:rsidP="009E67BD">
      <w:pPr>
        <w:pStyle w:val="ListParagraph"/>
        <w:numPr>
          <w:ilvl w:val="1"/>
          <w:numId w:val="1"/>
        </w:numPr>
        <w:spacing w:line="480" w:lineRule="auto"/>
        <w:jc w:val="both"/>
        <w:rPr>
          <w:rFonts w:ascii="Times New Roman" w:hAnsi="Times New Roman" w:cs="Times New Roman"/>
          <w:sz w:val="24"/>
          <w:szCs w:val="24"/>
        </w:rPr>
      </w:pPr>
      <w:r w:rsidRPr="0077613B">
        <w:rPr>
          <w:rFonts w:ascii="Times New Roman" w:hAnsi="Times New Roman" w:cs="Times New Roman"/>
          <w:sz w:val="24"/>
          <w:szCs w:val="24"/>
        </w:rPr>
        <w:t>The</w:t>
      </w:r>
      <w:r>
        <w:rPr>
          <w:rFonts w:ascii="Times New Roman" w:hAnsi="Times New Roman" w:cs="Times New Roman"/>
          <w:sz w:val="24"/>
          <w:szCs w:val="24"/>
        </w:rPr>
        <w:t xml:space="preserve"> Minister of Finance tabled the </w:t>
      </w:r>
      <w:r w:rsidRPr="0077613B">
        <w:rPr>
          <w:rFonts w:ascii="Times New Roman" w:hAnsi="Times New Roman" w:cs="Times New Roman"/>
          <w:sz w:val="24"/>
          <w:szCs w:val="24"/>
        </w:rPr>
        <w:t>annual performance plans of the National Treasury (NT), the South African Revenue Services (SARS) and other entities under the Finance portfolio in line with s</w:t>
      </w:r>
      <w:r w:rsidRPr="0077613B">
        <w:rPr>
          <w:rFonts w:ascii="Times New Roman" w:hAnsi="Times New Roman" w:cs="Times New Roman"/>
          <w:sz w:val="24"/>
          <w:szCs w:val="24"/>
          <w:lang w:val="en-US"/>
        </w:rPr>
        <w:t>e</w:t>
      </w:r>
      <w:proofErr w:type="spellStart"/>
      <w:r w:rsidRPr="0077613B">
        <w:rPr>
          <w:rFonts w:ascii="Times New Roman" w:hAnsi="Times New Roman" w:cs="Times New Roman"/>
          <w:sz w:val="24"/>
          <w:szCs w:val="24"/>
        </w:rPr>
        <w:t>ction</w:t>
      </w:r>
      <w:proofErr w:type="spellEnd"/>
      <w:r w:rsidRPr="0077613B">
        <w:rPr>
          <w:rFonts w:ascii="Times New Roman" w:hAnsi="Times New Roman" w:cs="Times New Roman"/>
          <w:sz w:val="24"/>
          <w:szCs w:val="24"/>
        </w:rPr>
        <w:t xml:space="preserve"> 10(1)(c) of the Money Bills Amendment Procedure and Related Matters Act, Act No. 9 of 2009 (Money Bills Act), for consideration and report. </w:t>
      </w:r>
    </w:p>
    <w:p w:rsidR="009E67BD" w:rsidRDefault="009E67BD" w:rsidP="009E67BD">
      <w:pPr>
        <w:pStyle w:val="ListParagraph"/>
        <w:numPr>
          <w:ilvl w:val="1"/>
          <w:numId w:val="1"/>
        </w:numPr>
        <w:spacing w:line="480" w:lineRule="auto"/>
        <w:jc w:val="both"/>
        <w:rPr>
          <w:rFonts w:ascii="Times New Roman" w:hAnsi="Times New Roman" w:cs="Times New Roman"/>
          <w:sz w:val="24"/>
          <w:szCs w:val="24"/>
        </w:rPr>
      </w:pPr>
      <w:r w:rsidRPr="0077613B">
        <w:rPr>
          <w:rFonts w:ascii="Times New Roman" w:hAnsi="Times New Roman" w:cs="Times New Roman"/>
          <w:sz w:val="24"/>
          <w:szCs w:val="24"/>
        </w:rPr>
        <w:t xml:space="preserve">The Deputy Minister, </w:t>
      </w:r>
      <w:proofErr w:type="spellStart"/>
      <w:r w:rsidRPr="0077613B">
        <w:rPr>
          <w:rFonts w:ascii="Times New Roman" w:hAnsi="Times New Roman" w:cs="Times New Roman"/>
          <w:sz w:val="24"/>
          <w:szCs w:val="24"/>
        </w:rPr>
        <w:t>Dr</w:t>
      </w:r>
      <w:r>
        <w:rPr>
          <w:rFonts w:ascii="Times New Roman" w:hAnsi="Times New Roman" w:cs="Times New Roman"/>
          <w:sz w:val="24"/>
          <w:szCs w:val="24"/>
        </w:rPr>
        <w:t>.</w:t>
      </w:r>
      <w:proofErr w:type="spellEnd"/>
      <w:r w:rsidRPr="0077613B">
        <w:rPr>
          <w:rFonts w:ascii="Times New Roman" w:hAnsi="Times New Roman" w:cs="Times New Roman"/>
          <w:sz w:val="24"/>
          <w:szCs w:val="24"/>
        </w:rPr>
        <w:t xml:space="preserve"> David </w:t>
      </w:r>
      <w:proofErr w:type="spellStart"/>
      <w:r w:rsidRPr="0077613B">
        <w:rPr>
          <w:rFonts w:ascii="Times New Roman" w:hAnsi="Times New Roman" w:cs="Times New Roman"/>
          <w:sz w:val="24"/>
          <w:szCs w:val="24"/>
        </w:rPr>
        <w:t>Masondo</w:t>
      </w:r>
      <w:proofErr w:type="spellEnd"/>
      <w:r w:rsidRPr="0077613B">
        <w:rPr>
          <w:rFonts w:ascii="Times New Roman" w:hAnsi="Times New Roman" w:cs="Times New Roman"/>
          <w:sz w:val="24"/>
          <w:szCs w:val="24"/>
        </w:rPr>
        <w:t>, and the accounting and senior officials of National Treasury and SARS, through virtual meeting</w:t>
      </w:r>
      <w:r w:rsidR="00D041FB">
        <w:rPr>
          <w:rFonts w:ascii="Times New Roman" w:hAnsi="Times New Roman" w:cs="Times New Roman"/>
          <w:sz w:val="24"/>
          <w:szCs w:val="24"/>
        </w:rPr>
        <w:t>s</w:t>
      </w:r>
      <w:r w:rsidRPr="0077613B">
        <w:rPr>
          <w:rFonts w:ascii="Times New Roman" w:hAnsi="Times New Roman" w:cs="Times New Roman"/>
          <w:sz w:val="24"/>
          <w:szCs w:val="24"/>
        </w:rPr>
        <w:t xml:space="preserve">, briefed SCOF on </w:t>
      </w:r>
      <w:r w:rsidR="00D041FB">
        <w:rPr>
          <w:rFonts w:ascii="Times New Roman" w:hAnsi="Times New Roman" w:cs="Times New Roman"/>
          <w:sz w:val="24"/>
          <w:szCs w:val="24"/>
        </w:rPr>
        <w:t xml:space="preserve">23 March 2022 and </w:t>
      </w:r>
      <w:r w:rsidRPr="0077613B">
        <w:rPr>
          <w:rFonts w:ascii="Times New Roman" w:hAnsi="Times New Roman" w:cs="Times New Roman"/>
          <w:sz w:val="24"/>
          <w:szCs w:val="24"/>
        </w:rPr>
        <w:t>0</w:t>
      </w:r>
      <w:r w:rsidR="00D041FB">
        <w:rPr>
          <w:rFonts w:ascii="Times New Roman" w:hAnsi="Times New Roman" w:cs="Times New Roman"/>
          <w:sz w:val="24"/>
          <w:szCs w:val="24"/>
        </w:rPr>
        <w:t>3</w:t>
      </w:r>
      <w:r w:rsidRPr="0077613B">
        <w:rPr>
          <w:rFonts w:ascii="Times New Roman" w:hAnsi="Times New Roman" w:cs="Times New Roman"/>
          <w:sz w:val="24"/>
          <w:szCs w:val="24"/>
        </w:rPr>
        <w:t xml:space="preserve"> May 2021</w:t>
      </w:r>
      <w:r w:rsidR="00D041FB">
        <w:rPr>
          <w:rFonts w:ascii="Times New Roman" w:hAnsi="Times New Roman" w:cs="Times New Roman"/>
          <w:sz w:val="24"/>
          <w:szCs w:val="24"/>
        </w:rPr>
        <w:t>, respectively</w:t>
      </w:r>
      <w:r w:rsidRPr="0077613B">
        <w:rPr>
          <w:rFonts w:ascii="Times New Roman" w:hAnsi="Times New Roman" w:cs="Times New Roman"/>
          <w:sz w:val="24"/>
          <w:szCs w:val="24"/>
        </w:rPr>
        <w:t>.</w:t>
      </w:r>
      <w:r w:rsidR="00D041FB">
        <w:rPr>
          <w:rFonts w:ascii="Times New Roman" w:hAnsi="Times New Roman" w:cs="Times New Roman"/>
          <w:sz w:val="24"/>
          <w:szCs w:val="24"/>
        </w:rPr>
        <w:t xml:space="preserve"> The Committee further conducted an oversight visit to SASRIA, the Land and Agricultural Bank of South Africa (Land Bank), and the Financial and Fiscal Commission (FFC) on 20, 21 and 22 April 2022, respectively</w:t>
      </w:r>
      <w:r w:rsidR="00CF1A55">
        <w:rPr>
          <w:rFonts w:ascii="Times New Roman" w:hAnsi="Times New Roman" w:cs="Times New Roman"/>
          <w:sz w:val="24"/>
          <w:szCs w:val="24"/>
        </w:rPr>
        <w:t>,</w:t>
      </w:r>
      <w:r w:rsidR="00D041FB">
        <w:rPr>
          <w:rFonts w:ascii="Times New Roman" w:hAnsi="Times New Roman" w:cs="Times New Roman"/>
          <w:sz w:val="24"/>
          <w:szCs w:val="24"/>
        </w:rPr>
        <w:t xml:space="preserve"> where it</w:t>
      </w:r>
      <w:r w:rsidR="00CF1A55">
        <w:rPr>
          <w:rFonts w:ascii="Times New Roman" w:hAnsi="Times New Roman" w:cs="Times New Roman"/>
          <w:sz w:val="24"/>
          <w:szCs w:val="24"/>
        </w:rPr>
        <w:t>, among other things</w:t>
      </w:r>
      <w:r w:rsidR="00D041FB">
        <w:rPr>
          <w:rFonts w:ascii="Times New Roman" w:hAnsi="Times New Roman" w:cs="Times New Roman"/>
          <w:sz w:val="24"/>
          <w:szCs w:val="24"/>
        </w:rPr>
        <w:t>, received presentations/updates on the annual</w:t>
      </w:r>
      <w:r w:rsidR="00CF1A55">
        <w:rPr>
          <w:rFonts w:ascii="Times New Roman" w:hAnsi="Times New Roman" w:cs="Times New Roman"/>
          <w:sz w:val="24"/>
          <w:szCs w:val="24"/>
        </w:rPr>
        <w:t xml:space="preserve"> performance plans of these entities. </w:t>
      </w:r>
      <w:r w:rsidR="00D041FB">
        <w:rPr>
          <w:rFonts w:ascii="Times New Roman" w:hAnsi="Times New Roman" w:cs="Times New Roman"/>
          <w:sz w:val="24"/>
          <w:szCs w:val="24"/>
        </w:rPr>
        <w:t xml:space="preserve"> </w:t>
      </w:r>
    </w:p>
    <w:p w:rsidR="00C134E6" w:rsidRPr="0077613B" w:rsidRDefault="00C134E6" w:rsidP="009E67BD">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The Committee also met all the entities with negative audit outcomes on 08 February 2022, in the presence of the Deputy Minister and representatives of the office of the Auditor-General South Africa (AGSA), in order to get an update on the implementation of their audit action plans for the findings of the previous financial year. These entities included the</w:t>
      </w:r>
      <w:r w:rsidR="0007527F">
        <w:rPr>
          <w:rFonts w:ascii="Times New Roman" w:hAnsi="Times New Roman" w:cs="Times New Roman"/>
          <w:sz w:val="24"/>
          <w:szCs w:val="24"/>
        </w:rPr>
        <w:t>:</w:t>
      </w:r>
      <w:r>
        <w:rPr>
          <w:rFonts w:ascii="Times New Roman" w:hAnsi="Times New Roman" w:cs="Times New Roman"/>
          <w:sz w:val="24"/>
          <w:szCs w:val="24"/>
        </w:rPr>
        <w:t xml:space="preserve"> National Treasury</w:t>
      </w:r>
      <w:r w:rsidR="00843DDF">
        <w:rPr>
          <w:rFonts w:ascii="Times New Roman" w:hAnsi="Times New Roman" w:cs="Times New Roman"/>
          <w:sz w:val="24"/>
          <w:szCs w:val="24"/>
        </w:rPr>
        <w:t xml:space="preserve"> (NT)</w:t>
      </w:r>
      <w:r>
        <w:rPr>
          <w:rFonts w:ascii="Times New Roman" w:hAnsi="Times New Roman" w:cs="Times New Roman"/>
          <w:sz w:val="24"/>
          <w:szCs w:val="24"/>
        </w:rPr>
        <w:t xml:space="preserve">, SARS, Public Investment Corporation (PIC), Central Bank Development Agency (CBDA), Land Bank SOC Limited (LBIC), Government Pensions Administration Agency (GPAA), Government Technical and Advisory Centre (GTAC), </w:t>
      </w:r>
      <w:r>
        <w:rPr>
          <w:rFonts w:ascii="Times New Roman" w:hAnsi="Times New Roman" w:cs="Times New Roman"/>
          <w:sz w:val="24"/>
          <w:szCs w:val="24"/>
        </w:rPr>
        <w:lastRenderedPageBreak/>
        <w:t xml:space="preserve">Independent Regulatory Board of Auditors and, the Land Bank- whose audit </w:t>
      </w:r>
      <w:r w:rsidR="0007527F">
        <w:rPr>
          <w:rFonts w:ascii="Times New Roman" w:hAnsi="Times New Roman" w:cs="Times New Roman"/>
          <w:sz w:val="24"/>
          <w:szCs w:val="24"/>
        </w:rPr>
        <w:t xml:space="preserve">had been outstanding. </w:t>
      </w:r>
    </w:p>
    <w:p w:rsidR="009E67BD" w:rsidRPr="0077613B" w:rsidRDefault="009E67BD" w:rsidP="009E67BD">
      <w:pPr>
        <w:pStyle w:val="ListParagraph"/>
        <w:numPr>
          <w:ilvl w:val="1"/>
          <w:numId w:val="1"/>
        </w:numPr>
        <w:spacing w:line="480" w:lineRule="auto"/>
        <w:jc w:val="both"/>
        <w:rPr>
          <w:rFonts w:ascii="Times New Roman" w:hAnsi="Times New Roman" w:cs="Times New Roman"/>
          <w:sz w:val="24"/>
          <w:szCs w:val="24"/>
        </w:rPr>
      </w:pPr>
      <w:r w:rsidRPr="0077613B">
        <w:rPr>
          <w:rFonts w:ascii="Times New Roman" w:hAnsi="Times New Roman" w:cs="Times New Roman"/>
          <w:sz w:val="24"/>
          <w:szCs w:val="24"/>
        </w:rPr>
        <w:t xml:space="preserve">The mandate of NT is based on section 216 (1) of the Constitution which establishes it to ensure transparency, accountability and sound financial controls in the management of the country’s finances and on the Public Finance Management Act of 1999 (PFMA).  </w:t>
      </w:r>
    </w:p>
    <w:p w:rsidR="009E67BD" w:rsidRPr="0077613B" w:rsidRDefault="009E67BD" w:rsidP="009E67BD">
      <w:pPr>
        <w:pStyle w:val="ListParagraph"/>
        <w:numPr>
          <w:ilvl w:val="1"/>
          <w:numId w:val="1"/>
        </w:numPr>
        <w:spacing w:line="480" w:lineRule="auto"/>
        <w:jc w:val="both"/>
        <w:rPr>
          <w:rFonts w:ascii="Times New Roman" w:hAnsi="Times New Roman" w:cs="Times New Roman"/>
          <w:sz w:val="24"/>
          <w:szCs w:val="24"/>
        </w:rPr>
      </w:pPr>
      <w:r w:rsidRPr="0077613B">
        <w:rPr>
          <w:rFonts w:ascii="Times New Roman" w:hAnsi="Times New Roman" w:cs="Times New Roman"/>
          <w:sz w:val="24"/>
          <w:szCs w:val="24"/>
        </w:rPr>
        <w:t>Its mandate is to coordinate intergovernmental financial and fiscal relations, promote national government’s fiscal policy and coordination of macroeconomic policy, enforce transparency and effective management of revenue and expenditure, assets and liabilities, public entities and constitutional institutions, manage the budget preparation process and, ensure the stability and soundness of the financial system and financial services.</w:t>
      </w:r>
    </w:p>
    <w:p w:rsidR="009E67BD" w:rsidRPr="0077613B" w:rsidRDefault="009E67BD" w:rsidP="009E67BD">
      <w:pPr>
        <w:pStyle w:val="ListParagraph"/>
        <w:numPr>
          <w:ilvl w:val="1"/>
          <w:numId w:val="1"/>
        </w:numPr>
        <w:spacing w:line="480" w:lineRule="auto"/>
        <w:jc w:val="both"/>
        <w:rPr>
          <w:rFonts w:ascii="Times New Roman" w:hAnsi="Times New Roman" w:cs="Times New Roman"/>
          <w:sz w:val="24"/>
          <w:szCs w:val="24"/>
        </w:rPr>
      </w:pPr>
      <w:r w:rsidRPr="0077613B">
        <w:rPr>
          <w:rFonts w:ascii="Times New Roman" w:hAnsi="Times New Roman" w:cs="Times New Roman"/>
          <w:sz w:val="24"/>
          <w:szCs w:val="24"/>
        </w:rPr>
        <w:t>SARS’s mandate is to contribute to the economic and social development of the country by collecting all taxes, duties and levies due to fund public service programs and priorities.</w:t>
      </w:r>
    </w:p>
    <w:p w:rsidR="009E67BD" w:rsidRPr="0077613B" w:rsidRDefault="009E67BD" w:rsidP="009E67BD">
      <w:pPr>
        <w:pStyle w:val="ListParagraph"/>
        <w:spacing w:line="480" w:lineRule="auto"/>
        <w:jc w:val="both"/>
        <w:rPr>
          <w:rFonts w:ascii="Times New Roman" w:hAnsi="Times New Roman" w:cs="Times New Roman"/>
          <w:sz w:val="24"/>
          <w:szCs w:val="24"/>
        </w:rPr>
      </w:pPr>
    </w:p>
    <w:p w:rsidR="009E67BD" w:rsidRPr="0077613B" w:rsidRDefault="009E67BD" w:rsidP="009E67BD">
      <w:pPr>
        <w:pStyle w:val="ListParagraph"/>
        <w:numPr>
          <w:ilvl w:val="0"/>
          <w:numId w:val="1"/>
        </w:numPr>
        <w:spacing w:after="0" w:line="480" w:lineRule="auto"/>
        <w:jc w:val="both"/>
        <w:rPr>
          <w:rFonts w:ascii="Times New Roman" w:hAnsi="Times New Roman" w:cs="Times New Roman"/>
          <w:b/>
          <w:sz w:val="24"/>
          <w:szCs w:val="24"/>
        </w:rPr>
      </w:pPr>
      <w:r w:rsidRPr="0077613B">
        <w:rPr>
          <w:rFonts w:ascii="Times New Roman" w:hAnsi="Times New Roman" w:cs="Times New Roman"/>
          <w:b/>
          <w:sz w:val="24"/>
          <w:szCs w:val="24"/>
        </w:rPr>
        <w:t>POLITICAL OVERVIEW BY THE DEPUTY MINISTER OF FINANCE</w:t>
      </w:r>
    </w:p>
    <w:p w:rsidR="009E67BD" w:rsidRPr="0077613B" w:rsidRDefault="009E67BD" w:rsidP="009E67BD">
      <w:pPr>
        <w:pStyle w:val="ListParagraph"/>
        <w:numPr>
          <w:ilvl w:val="1"/>
          <w:numId w:val="1"/>
        </w:numPr>
        <w:spacing w:after="0" w:line="480" w:lineRule="auto"/>
        <w:jc w:val="both"/>
        <w:rPr>
          <w:rFonts w:ascii="Times New Roman" w:hAnsi="Times New Roman" w:cs="Times New Roman"/>
          <w:sz w:val="24"/>
          <w:szCs w:val="24"/>
        </w:rPr>
      </w:pPr>
      <w:r w:rsidRPr="0077613B">
        <w:rPr>
          <w:rFonts w:ascii="Times New Roman" w:hAnsi="Times New Roman" w:cs="Times New Roman"/>
          <w:sz w:val="24"/>
          <w:szCs w:val="24"/>
        </w:rPr>
        <w:t>The Deputy Minister of Finance</w:t>
      </w:r>
      <w:r w:rsidR="00E10437">
        <w:rPr>
          <w:rFonts w:ascii="Times New Roman" w:hAnsi="Times New Roman" w:cs="Times New Roman"/>
          <w:sz w:val="24"/>
          <w:szCs w:val="24"/>
        </w:rPr>
        <w:t xml:space="preserve">, Dr David </w:t>
      </w:r>
      <w:proofErr w:type="spellStart"/>
      <w:r w:rsidR="00E10437">
        <w:rPr>
          <w:rFonts w:ascii="Times New Roman" w:hAnsi="Times New Roman" w:cs="Times New Roman"/>
          <w:sz w:val="24"/>
          <w:szCs w:val="24"/>
        </w:rPr>
        <w:t>Masondo</w:t>
      </w:r>
      <w:r w:rsidR="009A0E52">
        <w:rPr>
          <w:rFonts w:ascii="Times New Roman" w:hAnsi="Times New Roman" w:cs="Times New Roman"/>
          <w:sz w:val="24"/>
          <w:szCs w:val="24"/>
        </w:rPr>
        <w:t>’s</w:t>
      </w:r>
      <w:proofErr w:type="spellEnd"/>
      <w:r w:rsidR="009A0E52">
        <w:rPr>
          <w:rFonts w:ascii="Times New Roman" w:hAnsi="Times New Roman" w:cs="Times New Roman"/>
          <w:sz w:val="24"/>
          <w:szCs w:val="24"/>
        </w:rPr>
        <w:t xml:space="preserve"> political overview</w:t>
      </w:r>
      <w:r w:rsidR="00E10437">
        <w:rPr>
          <w:rFonts w:ascii="Times New Roman" w:hAnsi="Times New Roman" w:cs="Times New Roman"/>
          <w:sz w:val="24"/>
          <w:szCs w:val="24"/>
        </w:rPr>
        <w:t xml:space="preserve">, on behalf of the Minister, </w:t>
      </w:r>
      <w:r w:rsidR="009A0E52">
        <w:rPr>
          <w:rFonts w:ascii="Times New Roman" w:hAnsi="Times New Roman" w:cs="Times New Roman"/>
          <w:sz w:val="24"/>
          <w:szCs w:val="24"/>
        </w:rPr>
        <w:t xml:space="preserve">focussed on three issues: 1. Update on the 2017 Preferential Procurement Policy Framework Act regulation in the wake of the recent Constitutional Court judgement in </w:t>
      </w:r>
      <w:r w:rsidR="009A0E52" w:rsidRPr="009A0E52">
        <w:rPr>
          <w:rFonts w:ascii="Times New Roman" w:hAnsi="Times New Roman" w:cs="Times New Roman"/>
          <w:i/>
          <w:sz w:val="24"/>
          <w:szCs w:val="24"/>
        </w:rPr>
        <w:t>Minister of Fi</w:t>
      </w:r>
      <w:r w:rsidR="009A0E52">
        <w:rPr>
          <w:rFonts w:ascii="Times New Roman" w:hAnsi="Times New Roman" w:cs="Times New Roman"/>
          <w:i/>
          <w:sz w:val="24"/>
          <w:szCs w:val="24"/>
        </w:rPr>
        <w:t>nance</w:t>
      </w:r>
      <w:r w:rsidR="009A0E52" w:rsidRPr="009A0E52">
        <w:rPr>
          <w:rFonts w:ascii="Times New Roman" w:hAnsi="Times New Roman" w:cs="Times New Roman"/>
          <w:i/>
          <w:sz w:val="24"/>
          <w:szCs w:val="24"/>
        </w:rPr>
        <w:t xml:space="preserve"> v </w:t>
      </w:r>
      <w:proofErr w:type="spellStart"/>
      <w:r w:rsidR="009A0E52" w:rsidRPr="009A0E52">
        <w:rPr>
          <w:rFonts w:ascii="Times New Roman" w:hAnsi="Times New Roman" w:cs="Times New Roman"/>
          <w:i/>
          <w:sz w:val="24"/>
          <w:szCs w:val="24"/>
        </w:rPr>
        <w:t>Afribusiness</w:t>
      </w:r>
      <w:proofErr w:type="spellEnd"/>
      <w:r w:rsidR="009A0E52" w:rsidRPr="009A0E52">
        <w:rPr>
          <w:rFonts w:ascii="Times New Roman" w:hAnsi="Times New Roman" w:cs="Times New Roman"/>
          <w:i/>
          <w:sz w:val="24"/>
          <w:szCs w:val="24"/>
        </w:rPr>
        <w:t xml:space="preserve"> NPC</w:t>
      </w:r>
      <w:r w:rsidR="00E10437">
        <w:rPr>
          <w:rFonts w:ascii="Times New Roman" w:hAnsi="Times New Roman" w:cs="Times New Roman"/>
          <w:i/>
          <w:sz w:val="24"/>
          <w:szCs w:val="24"/>
        </w:rPr>
        <w:t xml:space="preserve"> </w:t>
      </w:r>
      <w:r w:rsidR="00E10437" w:rsidRPr="00E10437">
        <w:rPr>
          <w:rFonts w:ascii="Times New Roman" w:hAnsi="Times New Roman" w:cs="Times New Roman"/>
          <w:sz w:val="24"/>
          <w:szCs w:val="24"/>
        </w:rPr>
        <w:t>(“</w:t>
      </w:r>
      <w:proofErr w:type="spellStart"/>
      <w:r w:rsidR="00E10437" w:rsidRPr="00E10437">
        <w:rPr>
          <w:rFonts w:ascii="Times New Roman" w:hAnsi="Times New Roman" w:cs="Times New Roman"/>
          <w:sz w:val="24"/>
          <w:szCs w:val="24"/>
        </w:rPr>
        <w:t>Afribusiness</w:t>
      </w:r>
      <w:proofErr w:type="spellEnd"/>
      <w:r w:rsidR="00E10437" w:rsidRPr="00E10437">
        <w:rPr>
          <w:rFonts w:ascii="Times New Roman" w:hAnsi="Times New Roman" w:cs="Times New Roman"/>
          <w:sz w:val="24"/>
          <w:szCs w:val="24"/>
        </w:rPr>
        <w:t>”);</w:t>
      </w:r>
      <w:r w:rsidR="009A0E52">
        <w:rPr>
          <w:rFonts w:ascii="Times New Roman" w:hAnsi="Times New Roman" w:cs="Times New Roman"/>
          <w:i/>
          <w:sz w:val="24"/>
          <w:szCs w:val="24"/>
        </w:rPr>
        <w:t xml:space="preserve"> </w:t>
      </w:r>
      <w:r w:rsidR="009A0E52" w:rsidRPr="009A0E52">
        <w:rPr>
          <w:rFonts w:ascii="Times New Roman" w:hAnsi="Times New Roman" w:cs="Times New Roman"/>
          <w:sz w:val="24"/>
          <w:szCs w:val="24"/>
        </w:rPr>
        <w:t xml:space="preserve">2. </w:t>
      </w:r>
      <w:r w:rsidR="00E10437">
        <w:rPr>
          <w:rFonts w:ascii="Times New Roman" w:hAnsi="Times New Roman" w:cs="Times New Roman"/>
          <w:sz w:val="24"/>
          <w:szCs w:val="24"/>
        </w:rPr>
        <w:t xml:space="preserve">Update on the Public Procurement Bill process; and 3. the filling of critical positions at National Treasury. </w:t>
      </w:r>
      <w:r w:rsidR="009A0E52">
        <w:rPr>
          <w:rFonts w:ascii="Times New Roman" w:hAnsi="Times New Roman" w:cs="Times New Roman"/>
          <w:sz w:val="24"/>
          <w:szCs w:val="24"/>
        </w:rPr>
        <w:t xml:space="preserve"> </w:t>
      </w:r>
    </w:p>
    <w:p w:rsidR="00A45B20" w:rsidRDefault="009E67BD" w:rsidP="009E67BD">
      <w:pPr>
        <w:pStyle w:val="ListParagraph"/>
        <w:numPr>
          <w:ilvl w:val="1"/>
          <w:numId w:val="1"/>
        </w:numPr>
        <w:spacing w:after="0" w:line="480" w:lineRule="auto"/>
        <w:jc w:val="both"/>
        <w:rPr>
          <w:rFonts w:ascii="Times New Roman" w:hAnsi="Times New Roman" w:cs="Times New Roman"/>
          <w:sz w:val="24"/>
          <w:szCs w:val="24"/>
        </w:rPr>
      </w:pPr>
      <w:r w:rsidRPr="0077613B">
        <w:rPr>
          <w:rFonts w:ascii="Times New Roman" w:hAnsi="Times New Roman" w:cs="Times New Roman"/>
          <w:sz w:val="24"/>
          <w:szCs w:val="24"/>
        </w:rPr>
        <w:t xml:space="preserve"> </w:t>
      </w:r>
      <w:r w:rsidR="00C857FB">
        <w:rPr>
          <w:rFonts w:ascii="Times New Roman" w:hAnsi="Times New Roman" w:cs="Times New Roman"/>
          <w:sz w:val="24"/>
          <w:szCs w:val="24"/>
        </w:rPr>
        <w:t>The Deputy Minister</w:t>
      </w:r>
      <w:r w:rsidRPr="0077613B">
        <w:rPr>
          <w:rFonts w:ascii="Times New Roman" w:hAnsi="Times New Roman" w:cs="Times New Roman"/>
          <w:sz w:val="24"/>
          <w:szCs w:val="24"/>
        </w:rPr>
        <w:t xml:space="preserve"> </w:t>
      </w:r>
      <w:r w:rsidR="00E10437">
        <w:rPr>
          <w:rFonts w:ascii="Times New Roman" w:hAnsi="Times New Roman" w:cs="Times New Roman"/>
          <w:sz w:val="24"/>
          <w:szCs w:val="24"/>
        </w:rPr>
        <w:t>clarified on what the Constitutional Court had rule</w:t>
      </w:r>
      <w:r w:rsidR="00F406CB">
        <w:rPr>
          <w:rFonts w:ascii="Times New Roman" w:hAnsi="Times New Roman" w:cs="Times New Roman"/>
          <w:sz w:val="24"/>
          <w:szCs w:val="24"/>
        </w:rPr>
        <w:t>d</w:t>
      </w:r>
      <w:r w:rsidR="00E10437">
        <w:rPr>
          <w:rFonts w:ascii="Times New Roman" w:hAnsi="Times New Roman" w:cs="Times New Roman"/>
          <w:sz w:val="24"/>
          <w:szCs w:val="24"/>
        </w:rPr>
        <w:t xml:space="preserve"> on in the </w:t>
      </w:r>
      <w:proofErr w:type="spellStart"/>
      <w:r w:rsidR="00E10437" w:rsidRPr="00E10437">
        <w:rPr>
          <w:rFonts w:ascii="Times New Roman" w:hAnsi="Times New Roman" w:cs="Times New Roman"/>
          <w:i/>
          <w:sz w:val="24"/>
          <w:szCs w:val="24"/>
        </w:rPr>
        <w:t>Afribusiness</w:t>
      </w:r>
      <w:proofErr w:type="spellEnd"/>
      <w:r w:rsidR="00E10437" w:rsidRPr="00E10437">
        <w:rPr>
          <w:rFonts w:ascii="Times New Roman" w:hAnsi="Times New Roman" w:cs="Times New Roman"/>
          <w:i/>
          <w:sz w:val="24"/>
          <w:szCs w:val="24"/>
        </w:rPr>
        <w:t xml:space="preserve"> </w:t>
      </w:r>
      <w:r w:rsidR="00E10437">
        <w:rPr>
          <w:rFonts w:ascii="Times New Roman" w:hAnsi="Times New Roman" w:cs="Times New Roman"/>
          <w:sz w:val="24"/>
          <w:szCs w:val="24"/>
        </w:rPr>
        <w:t>judgment, as there seemed to be some confusion.  He explained that the Constitutional Court had rule</w:t>
      </w:r>
      <w:r w:rsidR="00F406CB">
        <w:rPr>
          <w:rFonts w:ascii="Times New Roman" w:hAnsi="Times New Roman" w:cs="Times New Roman"/>
          <w:sz w:val="24"/>
          <w:szCs w:val="24"/>
        </w:rPr>
        <w:t>d</w:t>
      </w:r>
      <w:r w:rsidR="00E10437">
        <w:rPr>
          <w:rFonts w:ascii="Times New Roman" w:hAnsi="Times New Roman" w:cs="Times New Roman"/>
          <w:sz w:val="24"/>
          <w:szCs w:val="24"/>
        </w:rPr>
        <w:t xml:space="preserve"> </w:t>
      </w:r>
      <w:r w:rsidR="002E03E0">
        <w:rPr>
          <w:rFonts w:ascii="Times New Roman" w:hAnsi="Times New Roman" w:cs="Times New Roman"/>
          <w:sz w:val="24"/>
          <w:szCs w:val="24"/>
        </w:rPr>
        <w:t xml:space="preserve">on </w:t>
      </w:r>
      <w:r w:rsidR="00E10437">
        <w:rPr>
          <w:rFonts w:ascii="Times New Roman" w:hAnsi="Times New Roman" w:cs="Times New Roman"/>
          <w:sz w:val="24"/>
          <w:szCs w:val="24"/>
        </w:rPr>
        <w:t>the Minister of Finance’s powers w</w:t>
      </w:r>
      <w:r w:rsidR="00F406CB">
        <w:rPr>
          <w:rFonts w:ascii="Times New Roman" w:hAnsi="Times New Roman" w:cs="Times New Roman"/>
          <w:sz w:val="24"/>
          <w:szCs w:val="24"/>
        </w:rPr>
        <w:t xml:space="preserve">hich it said were </w:t>
      </w:r>
      <w:r w:rsidR="00E10437">
        <w:rPr>
          <w:rFonts w:ascii="Times New Roman" w:hAnsi="Times New Roman" w:cs="Times New Roman"/>
          <w:sz w:val="24"/>
          <w:szCs w:val="24"/>
        </w:rPr>
        <w:t xml:space="preserve">limited to section </w:t>
      </w:r>
      <w:r w:rsidR="00745277">
        <w:rPr>
          <w:rFonts w:ascii="Times New Roman" w:hAnsi="Times New Roman" w:cs="Times New Roman"/>
          <w:sz w:val="24"/>
          <w:szCs w:val="24"/>
        </w:rPr>
        <w:t xml:space="preserve">3 </w:t>
      </w:r>
      <w:r w:rsidR="00E10437">
        <w:rPr>
          <w:rFonts w:ascii="Times New Roman" w:hAnsi="Times New Roman" w:cs="Times New Roman"/>
          <w:sz w:val="24"/>
          <w:szCs w:val="24"/>
        </w:rPr>
        <w:t xml:space="preserve">of the </w:t>
      </w:r>
      <w:r w:rsidR="00745277">
        <w:rPr>
          <w:rFonts w:ascii="Times New Roman" w:hAnsi="Times New Roman" w:cs="Times New Roman"/>
          <w:sz w:val="24"/>
          <w:szCs w:val="24"/>
        </w:rPr>
        <w:t>PPPFA</w:t>
      </w:r>
      <w:r w:rsidR="00E10437">
        <w:rPr>
          <w:rFonts w:ascii="Times New Roman" w:hAnsi="Times New Roman" w:cs="Times New Roman"/>
          <w:sz w:val="24"/>
          <w:szCs w:val="24"/>
        </w:rPr>
        <w:t>, which dealt with the threshold of 80/20 and 90/10</w:t>
      </w:r>
      <w:r w:rsidR="002E03E0">
        <w:rPr>
          <w:rFonts w:ascii="Times New Roman" w:hAnsi="Times New Roman" w:cs="Times New Roman"/>
          <w:sz w:val="24"/>
          <w:szCs w:val="24"/>
        </w:rPr>
        <w:t>,</w:t>
      </w:r>
      <w:r w:rsidR="00E10437">
        <w:rPr>
          <w:rFonts w:ascii="Times New Roman" w:hAnsi="Times New Roman" w:cs="Times New Roman"/>
          <w:sz w:val="24"/>
          <w:szCs w:val="24"/>
        </w:rPr>
        <w:t xml:space="preserve"> and </w:t>
      </w:r>
      <w:r w:rsidR="002E03E0">
        <w:rPr>
          <w:rFonts w:ascii="Times New Roman" w:hAnsi="Times New Roman" w:cs="Times New Roman"/>
          <w:sz w:val="24"/>
          <w:szCs w:val="24"/>
        </w:rPr>
        <w:t>found</w:t>
      </w:r>
      <w:r w:rsidR="00E10437">
        <w:rPr>
          <w:rFonts w:ascii="Times New Roman" w:hAnsi="Times New Roman" w:cs="Times New Roman"/>
          <w:sz w:val="24"/>
          <w:szCs w:val="24"/>
        </w:rPr>
        <w:t xml:space="preserve"> that the </w:t>
      </w:r>
      <w:r w:rsidR="002E03E0">
        <w:rPr>
          <w:rFonts w:ascii="Times New Roman" w:hAnsi="Times New Roman" w:cs="Times New Roman"/>
          <w:sz w:val="24"/>
          <w:szCs w:val="24"/>
        </w:rPr>
        <w:t xml:space="preserve">2017 </w:t>
      </w:r>
      <w:r w:rsidR="00E10437">
        <w:rPr>
          <w:rFonts w:ascii="Times New Roman" w:hAnsi="Times New Roman" w:cs="Times New Roman"/>
          <w:sz w:val="24"/>
          <w:szCs w:val="24"/>
        </w:rPr>
        <w:t xml:space="preserve">PPPFA regulations issued </w:t>
      </w:r>
      <w:r w:rsidR="002E03E0">
        <w:rPr>
          <w:rFonts w:ascii="Times New Roman" w:hAnsi="Times New Roman" w:cs="Times New Roman"/>
          <w:sz w:val="24"/>
          <w:szCs w:val="24"/>
        </w:rPr>
        <w:t xml:space="preserve">by Minister in </w:t>
      </w:r>
      <w:r w:rsidR="00A45B20">
        <w:rPr>
          <w:rFonts w:ascii="Times New Roman" w:hAnsi="Times New Roman" w:cs="Times New Roman"/>
          <w:sz w:val="24"/>
          <w:szCs w:val="24"/>
        </w:rPr>
        <w:t xml:space="preserve">2017 went beyond section 3 and were therefore unlawful. </w:t>
      </w:r>
    </w:p>
    <w:p w:rsidR="0006059F" w:rsidRDefault="00B359B2" w:rsidP="009E67BD">
      <w:pPr>
        <w:pStyle w:val="ListParagraph"/>
        <w:numPr>
          <w:ilvl w:val="1"/>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The Deputy Minister</w:t>
      </w:r>
      <w:r w:rsidR="00A45B20">
        <w:rPr>
          <w:rFonts w:ascii="Times New Roman" w:hAnsi="Times New Roman" w:cs="Times New Roman"/>
          <w:sz w:val="24"/>
          <w:szCs w:val="24"/>
        </w:rPr>
        <w:t xml:space="preserve"> explained that</w:t>
      </w:r>
      <w:r>
        <w:rPr>
          <w:rFonts w:ascii="Times New Roman" w:hAnsi="Times New Roman" w:cs="Times New Roman"/>
          <w:sz w:val="24"/>
          <w:szCs w:val="24"/>
        </w:rPr>
        <w:t>,</w:t>
      </w:r>
      <w:r w:rsidR="00A45B20">
        <w:rPr>
          <w:rFonts w:ascii="Times New Roman" w:hAnsi="Times New Roman" w:cs="Times New Roman"/>
          <w:sz w:val="24"/>
          <w:szCs w:val="24"/>
        </w:rPr>
        <w:t xml:space="preserve"> after the </w:t>
      </w:r>
      <w:proofErr w:type="spellStart"/>
      <w:r w:rsidR="00A45B20" w:rsidRPr="001015F4">
        <w:rPr>
          <w:rFonts w:ascii="Times New Roman" w:hAnsi="Times New Roman" w:cs="Times New Roman"/>
          <w:i/>
          <w:sz w:val="24"/>
          <w:szCs w:val="24"/>
        </w:rPr>
        <w:t>Afribusiness</w:t>
      </w:r>
      <w:proofErr w:type="spellEnd"/>
      <w:r w:rsidR="0006059F">
        <w:rPr>
          <w:rFonts w:ascii="Times New Roman" w:hAnsi="Times New Roman" w:cs="Times New Roman"/>
          <w:sz w:val="24"/>
          <w:szCs w:val="24"/>
        </w:rPr>
        <w:t xml:space="preserve"> judgement, NT went bac</w:t>
      </w:r>
      <w:r w:rsidR="00A45B20">
        <w:rPr>
          <w:rFonts w:ascii="Times New Roman" w:hAnsi="Times New Roman" w:cs="Times New Roman"/>
          <w:sz w:val="24"/>
          <w:szCs w:val="24"/>
        </w:rPr>
        <w:t xml:space="preserve">k to the Constitutional </w:t>
      </w:r>
      <w:r w:rsidR="001015F4">
        <w:rPr>
          <w:rFonts w:ascii="Times New Roman" w:hAnsi="Times New Roman" w:cs="Times New Roman"/>
          <w:sz w:val="24"/>
          <w:szCs w:val="24"/>
        </w:rPr>
        <w:t xml:space="preserve">Court in order to seek some clarity. He said that NT filed an urgent application in order to establish whether the 2017 regulations would remain valid for another 12 months </w:t>
      </w:r>
      <w:r w:rsidR="0006059F">
        <w:rPr>
          <w:rFonts w:ascii="Times New Roman" w:hAnsi="Times New Roman" w:cs="Times New Roman"/>
          <w:sz w:val="24"/>
          <w:szCs w:val="24"/>
        </w:rPr>
        <w:t xml:space="preserve">from the date of judgment </w:t>
      </w:r>
      <w:r w:rsidR="001015F4">
        <w:rPr>
          <w:rFonts w:ascii="Times New Roman" w:hAnsi="Times New Roman" w:cs="Times New Roman"/>
          <w:sz w:val="24"/>
          <w:szCs w:val="24"/>
        </w:rPr>
        <w:t xml:space="preserve">or became </w:t>
      </w:r>
      <w:r w:rsidR="0006059F">
        <w:rPr>
          <w:rFonts w:ascii="Times New Roman" w:hAnsi="Times New Roman" w:cs="Times New Roman"/>
          <w:sz w:val="24"/>
          <w:szCs w:val="24"/>
        </w:rPr>
        <w:t xml:space="preserve">invalid </w:t>
      </w:r>
      <w:r w:rsidR="001015F4">
        <w:rPr>
          <w:rFonts w:ascii="Times New Roman" w:hAnsi="Times New Roman" w:cs="Times New Roman"/>
          <w:sz w:val="24"/>
          <w:szCs w:val="24"/>
        </w:rPr>
        <w:t>immediately</w:t>
      </w:r>
      <w:r w:rsidR="0006059F">
        <w:rPr>
          <w:rFonts w:ascii="Times New Roman" w:hAnsi="Times New Roman" w:cs="Times New Roman"/>
          <w:sz w:val="24"/>
          <w:szCs w:val="24"/>
        </w:rPr>
        <w:t>,</w:t>
      </w:r>
      <w:r w:rsidR="001015F4">
        <w:rPr>
          <w:rFonts w:ascii="Times New Roman" w:hAnsi="Times New Roman" w:cs="Times New Roman"/>
          <w:sz w:val="24"/>
          <w:szCs w:val="24"/>
        </w:rPr>
        <w:t xml:space="preserve"> on 15 February 2022. </w:t>
      </w:r>
    </w:p>
    <w:p w:rsidR="0006059F" w:rsidRDefault="00B359B2" w:rsidP="009E67BD">
      <w:pPr>
        <w:pStyle w:val="ListParagraph"/>
        <w:numPr>
          <w:ilvl w:val="1"/>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Deputy Minister</w:t>
      </w:r>
      <w:r w:rsidR="001015F4">
        <w:rPr>
          <w:rFonts w:ascii="Times New Roman" w:hAnsi="Times New Roman" w:cs="Times New Roman"/>
          <w:sz w:val="24"/>
          <w:szCs w:val="24"/>
        </w:rPr>
        <w:t xml:space="preserve"> explained that while waiting for clarity, NT had not stopped procurement. He </w:t>
      </w:r>
      <w:r w:rsidR="0006059F">
        <w:rPr>
          <w:rFonts w:ascii="Times New Roman" w:hAnsi="Times New Roman" w:cs="Times New Roman"/>
          <w:sz w:val="24"/>
          <w:szCs w:val="24"/>
        </w:rPr>
        <w:t xml:space="preserve">stated that </w:t>
      </w:r>
      <w:r w:rsidR="001015F4">
        <w:rPr>
          <w:rFonts w:ascii="Times New Roman" w:hAnsi="Times New Roman" w:cs="Times New Roman"/>
          <w:sz w:val="24"/>
          <w:szCs w:val="24"/>
        </w:rPr>
        <w:t xml:space="preserve">organs of state would have to apply for an exemption </w:t>
      </w:r>
      <w:r w:rsidR="0006059F">
        <w:rPr>
          <w:rFonts w:ascii="Times New Roman" w:hAnsi="Times New Roman" w:cs="Times New Roman"/>
          <w:sz w:val="24"/>
          <w:szCs w:val="24"/>
        </w:rPr>
        <w:t xml:space="preserve">from implementing the PPPFA regulations </w:t>
      </w:r>
      <w:r w:rsidR="001015F4">
        <w:rPr>
          <w:rFonts w:ascii="Times New Roman" w:hAnsi="Times New Roman" w:cs="Times New Roman"/>
          <w:sz w:val="24"/>
          <w:szCs w:val="24"/>
        </w:rPr>
        <w:t>to</w:t>
      </w:r>
      <w:r w:rsidR="0006059F">
        <w:rPr>
          <w:rFonts w:ascii="Times New Roman" w:hAnsi="Times New Roman" w:cs="Times New Roman"/>
          <w:sz w:val="24"/>
          <w:szCs w:val="24"/>
        </w:rPr>
        <w:t xml:space="preserve"> the</w:t>
      </w:r>
      <w:r w:rsidR="001015F4">
        <w:rPr>
          <w:rFonts w:ascii="Times New Roman" w:hAnsi="Times New Roman" w:cs="Times New Roman"/>
          <w:sz w:val="24"/>
          <w:szCs w:val="24"/>
        </w:rPr>
        <w:t xml:space="preserve"> National </w:t>
      </w:r>
      <w:r w:rsidR="0006059F">
        <w:rPr>
          <w:rFonts w:ascii="Times New Roman" w:hAnsi="Times New Roman" w:cs="Times New Roman"/>
          <w:sz w:val="24"/>
          <w:szCs w:val="24"/>
        </w:rPr>
        <w:t xml:space="preserve">Treasury. He said that these exemptions would assist in preventing irregular expenditure and was not meant to stop procurement. Dr </w:t>
      </w:r>
      <w:proofErr w:type="spellStart"/>
      <w:r w:rsidR="0006059F">
        <w:rPr>
          <w:rFonts w:ascii="Times New Roman" w:hAnsi="Times New Roman" w:cs="Times New Roman"/>
          <w:sz w:val="24"/>
          <w:szCs w:val="24"/>
        </w:rPr>
        <w:t>Mason</w:t>
      </w:r>
      <w:r w:rsidR="00BA7AE4">
        <w:rPr>
          <w:rFonts w:ascii="Times New Roman" w:hAnsi="Times New Roman" w:cs="Times New Roman"/>
          <w:sz w:val="24"/>
          <w:szCs w:val="24"/>
        </w:rPr>
        <w:t>d</w:t>
      </w:r>
      <w:r w:rsidR="0006059F">
        <w:rPr>
          <w:rFonts w:ascii="Times New Roman" w:hAnsi="Times New Roman" w:cs="Times New Roman"/>
          <w:sz w:val="24"/>
          <w:szCs w:val="24"/>
        </w:rPr>
        <w:t>o</w:t>
      </w:r>
      <w:proofErr w:type="spellEnd"/>
      <w:r w:rsidR="0006059F">
        <w:rPr>
          <w:rFonts w:ascii="Times New Roman" w:hAnsi="Times New Roman" w:cs="Times New Roman"/>
          <w:sz w:val="24"/>
          <w:szCs w:val="24"/>
        </w:rPr>
        <w:t xml:space="preserve"> assured members and the public that exemption requests would be approved within 2 days of receipt by the National Treasury.  </w:t>
      </w:r>
    </w:p>
    <w:p w:rsidR="00535E2F" w:rsidRDefault="00B359B2" w:rsidP="009E67BD">
      <w:pPr>
        <w:pStyle w:val="ListParagraph"/>
        <w:numPr>
          <w:ilvl w:val="1"/>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Deputy Minister</w:t>
      </w:r>
      <w:r w:rsidR="0006059F">
        <w:rPr>
          <w:rFonts w:ascii="Times New Roman" w:hAnsi="Times New Roman" w:cs="Times New Roman"/>
          <w:sz w:val="24"/>
          <w:szCs w:val="24"/>
        </w:rPr>
        <w:t xml:space="preserve"> mentioned further that NT had also published </w:t>
      </w:r>
      <w:r w:rsidR="00535E2F">
        <w:rPr>
          <w:rFonts w:ascii="Times New Roman" w:hAnsi="Times New Roman" w:cs="Times New Roman"/>
          <w:sz w:val="24"/>
          <w:szCs w:val="24"/>
        </w:rPr>
        <w:t xml:space="preserve">a call for public comments in order to address issues in the </w:t>
      </w:r>
      <w:proofErr w:type="spellStart"/>
      <w:r w:rsidR="00535E2F" w:rsidRPr="00535E2F">
        <w:rPr>
          <w:rFonts w:ascii="Times New Roman" w:hAnsi="Times New Roman" w:cs="Times New Roman"/>
          <w:i/>
          <w:sz w:val="24"/>
          <w:szCs w:val="24"/>
        </w:rPr>
        <w:t>Afribusiness</w:t>
      </w:r>
      <w:proofErr w:type="spellEnd"/>
      <w:r w:rsidR="00535E2F">
        <w:rPr>
          <w:rFonts w:ascii="Times New Roman" w:hAnsi="Times New Roman" w:cs="Times New Roman"/>
          <w:sz w:val="24"/>
          <w:szCs w:val="24"/>
        </w:rPr>
        <w:t xml:space="preserve"> judgment in PPPFA regulations. He emphasised that procurement within Government has not stopped. He also clarified that the Constitutional Court had not outlawed BBBEE, as some of the public commentary had mischaracterised the </w:t>
      </w:r>
      <w:proofErr w:type="spellStart"/>
      <w:r w:rsidR="00535E2F" w:rsidRPr="00535E2F">
        <w:rPr>
          <w:rFonts w:ascii="Times New Roman" w:hAnsi="Times New Roman" w:cs="Times New Roman"/>
          <w:i/>
          <w:sz w:val="24"/>
          <w:szCs w:val="24"/>
        </w:rPr>
        <w:t>Afribusiness</w:t>
      </w:r>
      <w:proofErr w:type="spellEnd"/>
      <w:r w:rsidR="00535E2F">
        <w:rPr>
          <w:rFonts w:ascii="Times New Roman" w:hAnsi="Times New Roman" w:cs="Times New Roman"/>
          <w:sz w:val="24"/>
          <w:szCs w:val="24"/>
        </w:rPr>
        <w:t xml:space="preserve"> judgment.  </w:t>
      </w:r>
    </w:p>
    <w:p w:rsidR="00535E2F" w:rsidRDefault="00535E2F" w:rsidP="009E67BD">
      <w:pPr>
        <w:pStyle w:val="ListParagraph"/>
        <w:numPr>
          <w:ilvl w:val="1"/>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On the Public Procurement Bill, Dr </w:t>
      </w:r>
      <w:proofErr w:type="spellStart"/>
      <w:r>
        <w:rPr>
          <w:rFonts w:ascii="Times New Roman" w:hAnsi="Times New Roman" w:cs="Times New Roman"/>
          <w:sz w:val="24"/>
          <w:szCs w:val="24"/>
        </w:rPr>
        <w:t>Masondo</w:t>
      </w:r>
      <w:proofErr w:type="spellEnd"/>
      <w:r>
        <w:rPr>
          <w:rFonts w:ascii="Times New Roman" w:hAnsi="Times New Roman" w:cs="Times New Roman"/>
          <w:sz w:val="24"/>
          <w:szCs w:val="24"/>
        </w:rPr>
        <w:t xml:space="preserve"> said that since Government was the largest buyer in the country, it had the responsibility to ensure that its procurement policy supported economic growth and transformation. He stated that Government spending on procurement was close to R1 trillion. </w:t>
      </w:r>
    </w:p>
    <w:p w:rsidR="00A65929" w:rsidRDefault="00B359B2" w:rsidP="009E67BD">
      <w:pPr>
        <w:pStyle w:val="ListParagraph"/>
        <w:numPr>
          <w:ilvl w:val="1"/>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Deputy Minister</w:t>
      </w:r>
      <w:r w:rsidR="00535E2F">
        <w:rPr>
          <w:rFonts w:ascii="Times New Roman" w:hAnsi="Times New Roman" w:cs="Times New Roman"/>
          <w:sz w:val="24"/>
          <w:szCs w:val="24"/>
        </w:rPr>
        <w:t xml:space="preserve"> </w:t>
      </w:r>
      <w:r w:rsidR="00A65929">
        <w:rPr>
          <w:rFonts w:ascii="Times New Roman" w:hAnsi="Times New Roman" w:cs="Times New Roman"/>
          <w:sz w:val="24"/>
          <w:szCs w:val="24"/>
        </w:rPr>
        <w:t>stated that p</w:t>
      </w:r>
      <w:r w:rsidR="00535E2F">
        <w:rPr>
          <w:rFonts w:ascii="Times New Roman" w:hAnsi="Times New Roman" w:cs="Times New Roman"/>
          <w:sz w:val="24"/>
          <w:szCs w:val="24"/>
        </w:rPr>
        <w:t xml:space="preserve">ublic procurement was a powerful instrument for </w:t>
      </w:r>
      <w:r w:rsidR="00A65929">
        <w:rPr>
          <w:rFonts w:ascii="Times New Roman" w:hAnsi="Times New Roman" w:cs="Times New Roman"/>
          <w:sz w:val="24"/>
          <w:szCs w:val="24"/>
        </w:rPr>
        <w:t>Government</w:t>
      </w:r>
      <w:r w:rsidR="00535E2F">
        <w:rPr>
          <w:rFonts w:ascii="Times New Roman" w:hAnsi="Times New Roman" w:cs="Times New Roman"/>
          <w:sz w:val="24"/>
          <w:szCs w:val="24"/>
        </w:rPr>
        <w:t xml:space="preserve"> to ensure that it transformed the economy to reflect the demographics of South Africa</w:t>
      </w:r>
      <w:r w:rsidR="00A65929">
        <w:rPr>
          <w:rFonts w:ascii="Times New Roman" w:hAnsi="Times New Roman" w:cs="Times New Roman"/>
          <w:sz w:val="24"/>
          <w:szCs w:val="24"/>
        </w:rPr>
        <w:t xml:space="preserve">. He also explained that public procurement was also essential for government to industrialise through prescribing local content for certain goods, among other things. He said that Government should continue to require sellers of certain goods to the government, </w:t>
      </w:r>
      <w:r w:rsidR="00A65929">
        <w:rPr>
          <w:rFonts w:ascii="Times New Roman" w:hAnsi="Times New Roman" w:cs="Times New Roman"/>
          <w:sz w:val="24"/>
          <w:szCs w:val="24"/>
        </w:rPr>
        <w:lastRenderedPageBreak/>
        <w:t xml:space="preserve">to increase their local content to create more jobs, industrialise and build the country’s manufacturing base which haemorrhaged since 1994. He highlighted that manufacturing had constituted about 24 per cent, but has now declined to 11 per cent of </w:t>
      </w:r>
      <w:r w:rsidR="00FD23AB">
        <w:rPr>
          <w:rFonts w:ascii="Times New Roman" w:hAnsi="Times New Roman" w:cs="Times New Roman"/>
          <w:sz w:val="24"/>
          <w:szCs w:val="24"/>
        </w:rPr>
        <w:t>South Africa’s GDP</w:t>
      </w:r>
      <w:r w:rsidR="00A65929">
        <w:rPr>
          <w:rFonts w:ascii="Times New Roman" w:hAnsi="Times New Roman" w:cs="Times New Roman"/>
          <w:sz w:val="24"/>
          <w:szCs w:val="24"/>
        </w:rPr>
        <w:t xml:space="preserve">. </w:t>
      </w:r>
    </w:p>
    <w:p w:rsidR="00FD23AB" w:rsidRDefault="00A65929" w:rsidP="00FD23AB">
      <w:pPr>
        <w:pStyle w:val="ListParagraph"/>
        <w:numPr>
          <w:ilvl w:val="1"/>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5E2F">
        <w:rPr>
          <w:rFonts w:ascii="Times New Roman" w:hAnsi="Times New Roman" w:cs="Times New Roman"/>
          <w:sz w:val="24"/>
          <w:szCs w:val="24"/>
        </w:rPr>
        <w:t xml:space="preserve"> </w:t>
      </w:r>
      <w:r w:rsidR="00B359B2">
        <w:rPr>
          <w:rFonts w:ascii="Times New Roman" w:hAnsi="Times New Roman" w:cs="Times New Roman"/>
          <w:sz w:val="24"/>
          <w:szCs w:val="24"/>
        </w:rPr>
        <w:t>The Deputy Minister</w:t>
      </w:r>
      <w:r w:rsidR="00FD23AB">
        <w:rPr>
          <w:rFonts w:ascii="Times New Roman" w:hAnsi="Times New Roman" w:cs="Times New Roman"/>
          <w:sz w:val="24"/>
          <w:szCs w:val="24"/>
        </w:rPr>
        <w:t xml:space="preserve"> put emphasis on the role of public procurement to industrial policy, stating that NT needed to ensure that Government stopped de-industrialisation that has been taking place in the country. He stated that Clause 4 of the Public Procurement Bill proposed that state organs set asides for women, localisation, black people, and the</w:t>
      </w:r>
      <w:r w:rsidR="000B6B2A">
        <w:rPr>
          <w:rFonts w:ascii="Times New Roman" w:hAnsi="Times New Roman" w:cs="Times New Roman"/>
          <w:sz w:val="24"/>
          <w:szCs w:val="24"/>
        </w:rPr>
        <w:t xml:space="preserve"> previously disadvantaged. The D</w:t>
      </w:r>
      <w:r w:rsidR="00FD23AB">
        <w:rPr>
          <w:rFonts w:ascii="Times New Roman" w:hAnsi="Times New Roman" w:cs="Times New Roman"/>
          <w:sz w:val="24"/>
          <w:szCs w:val="24"/>
        </w:rPr>
        <w:t>eputy Minister explained that redressing imbalances of the past was a constitutional requirement, stating that the majority of South Africans needed to feel that South Africa belonged to all who live in it</w:t>
      </w:r>
      <w:r w:rsidR="000B6B2A">
        <w:rPr>
          <w:rFonts w:ascii="Times New Roman" w:hAnsi="Times New Roman" w:cs="Times New Roman"/>
          <w:sz w:val="24"/>
          <w:szCs w:val="24"/>
        </w:rPr>
        <w:t>,</w:t>
      </w:r>
      <w:r w:rsidR="00FD23AB">
        <w:rPr>
          <w:rFonts w:ascii="Times New Roman" w:hAnsi="Times New Roman" w:cs="Times New Roman"/>
          <w:sz w:val="24"/>
          <w:szCs w:val="24"/>
        </w:rPr>
        <w:t xml:space="preserve"> black and white. Dr </w:t>
      </w:r>
      <w:proofErr w:type="spellStart"/>
      <w:r w:rsidR="00FD23AB">
        <w:rPr>
          <w:rFonts w:ascii="Times New Roman" w:hAnsi="Times New Roman" w:cs="Times New Roman"/>
          <w:sz w:val="24"/>
          <w:szCs w:val="24"/>
        </w:rPr>
        <w:t>Masondo</w:t>
      </w:r>
      <w:proofErr w:type="spellEnd"/>
      <w:r w:rsidR="00FD23AB">
        <w:rPr>
          <w:rFonts w:ascii="Times New Roman" w:hAnsi="Times New Roman" w:cs="Times New Roman"/>
          <w:sz w:val="24"/>
          <w:szCs w:val="24"/>
        </w:rPr>
        <w:t xml:space="preserve"> stated that public procurement would play a major role in achieving this and informed the Committee that NT planned to table the Bill for consideration by </w:t>
      </w:r>
      <w:proofErr w:type="spellStart"/>
      <w:r w:rsidR="00FD23AB">
        <w:rPr>
          <w:rFonts w:ascii="Times New Roman" w:hAnsi="Times New Roman" w:cs="Times New Roman"/>
          <w:sz w:val="24"/>
          <w:szCs w:val="24"/>
        </w:rPr>
        <w:t>Nedlac</w:t>
      </w:r>
      <w:proofErr w:type="spellEnd"/>
      <w:r w:rsidR="00FD23AB">
        <w:rPr>
          <w:rFonts w:ascii="Times New Roman" w:hAnsi="Times New Roman" w:cs="Times New Roman"/>
          <w:sz w:val="24"/>
          <w:szCs w:val="24"/>
        </w:rPr>
        <w:t xml:space="preserve"> in May 2022. </w:t>
      </w:r>
    </w:p>
    <w:p w:rsidR="00C702E6" w:rsidRDefault="00B359B2" w:rsidP="00C702E6">
      <w:pPr>
        <w:pStyle w:val="ListParagraph"/>
        <w:numPr>
          <w:ilvl w:val="1"/>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Deputy Minister</w:t>
      </w:r>
      <w:r w:rsidR="00C702E6">
        <w:rPr>
          <w:rFonts w:ascii="Times New Roman" w:hAnsi="Times New Roman" w:cs="Times New Roman"/>
          <w:sz w:val="24"/>
          <w:szCs w:val="24"/>
        </w:rPr>
        <w:t xml:space="preserve"> further updated the Committee on the filling of </w:t>
      </w:r>
      <w:r w:rsidR="000B6B2A">
        <w:rPr>
          <w:rFonts w:ascii="Times New Roman" w:hAnsi="Times New Roman" w:cs="Times New Roman"/>
          <w:sz w:val="24"/>
          <w:szCs w:val="24"/>
        </w:rPr>
        <w:t>vacancies. He explained that</w:t>
      </w:r>
      <w:r w:rsidR="00C702E6">
        <w:rPr>
          <w:rFonts w:ascii="Times New Roman" w:hAnsi="Times New Roman" w:cs="Times New Roman"/>
          <w:sz w:val="24"/>
          <w:szCs w:val="24"/>
        </w:rPr>
        <w:t xml:space="preserve"> NT had had interviews for the position of Chief Procurement Officer and the Accountant-General posts and memos were awaiting Cabinet approval. </w:t>
      </w:r>
    </w:p>
    <w:p w:rsidR="000B6B2A" w:rsidRDefault="00AF21E0" w:rsidP="00D5691E">
      <w:pPr>
        <w:pStyle w:val="ListParagraph"/>
        <w:numPr>
          <w:ilvl w:val="1"/>
          <w:numId w:val="1"/>
        </w:numPr>
        <w:spacing w:after="0" w:line="480" w:lineRule="auto"/>
        <w:jc w:val="both"/>
        <w:rPr>
          <w:rFonts w:ascii="Times New Roman" w:hAnsi="Times New Roman" w:cs="Times New Roman"/>
          <w:sz w:val="24"/>
          <w:szCs w:val="24"/>
        </w:rPr>
      </w:pPr>
      <w:r w:rsidRPr="00AF21E0">
        <w:rPr>
          <w:rFonts w:ascii="Times New Roman" w:hAnsi="Times New Roman" w:cs="Times New Roman"/>
          <w:sz w:val="24"/>
          <w:szCs w:val="24"/>
        </w:rPr>
        <w:t>On 03 May at the presentation of SARS’s annual performance plan, the Deputy Minister further addressed the Committee. He reminded members that it has been 25 years since SARS was established</w:t>
      </w:r>
      <w:r w:rsidR="004971D5">
        <w:rPr>
          <w:rFonts w:ascii="Times New Roman" w:hAnsi="Times New Roman" w:cs="Times New Roman"/>
          <w:sz w:val="24"/>
          <w:szCs w:val="24"/>
        </w:rPr>
        <w:t xml:space="preserve"> in 1997</w:t>
      </w:r>
      <w:r w:rsidRPr="00AF21E0">
        <w:rPr>
          <w:rFonts w:ascii="Times New Roman" w:hAnsi="Times New Roman" w:cs="Times New Roman"/>
          <w:sz w:val="24"/>
          <w:szCs w:val="24"/>
        </w:rPr>
        <w:t>, becoming one of the country’s shining lights</w:t>
      </w:r>
      <w:r w:rsidR="004971D5">
        <w:rPr>
          <w:rFonts w:ascii="Times New Roman" w:hAnsi="Times New Roman" w:cs="Times New Roman"/>
          <w:sz w:val="24"/>
          <w:szCs w:val="24"/>
        </w:rPr>
        <w:t xml:space="preserve"> of the democratic dispensation</w:t>
      </w:r>
      <w:r w:rsidRPr="00AF21E0">
        <w:rPr>
          <w:rFonts w:ascii="Times New Roman" w:hAnsi="Times New Roman" w:cs="Times New Roman"/>
          <w:sz w:val="24"/>
          <w:szCs w:val="24"/>
        </w:rPr>
        <w:t xml:space="preserve">. He </w:t>
      </w:r>
      <w:r w:rsidR="004971D5">
        <w:rPr>
          <w:rFonts w:ascii="Times New Roman" w:hAnsi="Times New Roman" w:cs="Times New Roman"/>
          <w:sz w:val="24"/>
          <w:szCs w:val="24"/>
        </w:rPr>
        <w:t xml:space="preserve">stated that a well-functioning revenue service was key to the country’s developmental ambitions. </w:t>
      </w:r>
    </w:p>
    <w:p w:rsidR="000B6B2A" w:rsidRDefault="004971D5" w:rsidP="00512483">
      <w:pPr>
        <w:pStyle w:val="ListParagraph"/>
        <w:numPr>
          <w:ilvl w:val="1"/>
          <w:numId w:val="1"/>
        </w:numPr>
        <w:spacing w:after="0" w:line="480" w:lineRule="auto"/>
        <w:jc w:val="both"/>
        <w:rPr>
          <w:rFonts w:ascii="Times New Roman" w:hAnsi="Times New Roman" w:cs="Times New Roman"/>
          <w:sz w:val="24"/>
          <w:szCs w:val="24"/>
        </w:rPr>
      </w:pPr>
      <w:r w:rsidRPr="000B6B2A">
        <w:rPr>
          <w:rFonts w:ascii="Times New Roman" w:hAnsi="Times New Roman" w:cs="Times New Roman"/>
          <w:sz w:val="24"/>
          <w:szCs w:val="24"/>
        </w:rPr>
        <w:t xml:space="preserve">He highlighted that since its formation, SARS had collected more than R17 trillion. He </w:t>
      </w:r>
      <w:r w:rsidR="00AF21E0" w:rsidRPr="000B6B2A">
        <w:rPr>
          <w:rFonts w:ascii="Times New Roman" w:hAnsi="Times New Roman" w:cs="Times New Roman"/>
          <w:sz w:val="24"/>
          <w:szCs w:val="24"/>
        </w:rPr>
        <w:t>commended SARS for having contributed to the improvement of South African lives through raising revenue which enables the country to provide, among others, healthcare, education, social security</w:t>
      </w:r>
      <w:r w:rsidRPr="000B6B2A">
        <w:rPr>
          <w:rFonts w:ascii="Times New Roman" w:hAnsi="Times New Roman" w:cs="Times New Roman"/>
          <w:sz w:val="24"/>
          <w:szCs w:val="24"/>
        </w:rPr>
        <w:t xml:space="preserve"> and support for the economy</w:t>
      </w:r>
      <w:r w:rsidR="00AF21E0" w:rsidRPr="000B6B2A">
        <w:rPr>
          <w:rFonts w:ascii="Times New Roman" w:hAnsi="Times New Roman" w:cs="Times New Roman"/>
          <w:sz w:val="24"/>
          <w:szCs w:val="24"/>
        </w:rPr>
        <w:t>.</w:t>
      </w:r>
    </w:p>
    <w:p w:rsidR="00AF21E0" w:rsidRPr="000B6B2A" w:rsidRDefault="009D0655" w:rsidP="00512483">
      <w:pPr>
        <w:pStyle w:val="ListParagraph"/>
        <w:numPr>
          <w:ilvl w:val="1"/>
          <w:numId w:val="1"/>
        </w:numPr>
        <w:spacing w:after="0" w:line="480" w:lineRule="auto"/>
        <w:jc w:val="both"/>
        <w:rPr>
          <w:rFonts w:ascii="Times New Roman" w:hAnsi="Times New Roman" w:cs="Times New Roman"/>
          <w:sz w:val="24"/>
          <w:szCs w:val="24"/>
        </w:rPr>
      </w:pPr>
      <w:r w:rsidRPr="000B6B2A">
        <w:rPr>
          <w:rFonts w:ascii="Times New Roman" w:hAnsi="Times New Roman" w:cs="Times New Roman"/>
          <w:sz w:val="24"/>
          <w:szCs w:val="24"/>
        </w:rPr>
        <w:lastRenderedPageBreak/>
        <w:t>The Deputy Minister</w:t>
      </w:r>
      <w:r w:rsidR="004971D5" w:rsidRPr="000B6B2A">
        <w:rPr>
          <w:rFonts w:ascii="Times New Roman" w:hAnsi="Times New Roman" w:cs="Times New Roman"/>
          <w:sz w:val="24"/>
          <w:szCs w:val="24"/>
        </w:rPr>
        <w:t xml:space="preserve"> stated that without SARS collecting its revenues, the country would not have been able to deliver services and support the economy.</w:t>
      </w:r>
      <w:r w:rsidR="00AF21E0" w:rsidRPr="000B6B2A">
        <w:rPr>
          <w:rFonts w:ascii="Times New Roman" w:hAnsi="Times New Roman" w:cs="Times New Roman"/>
          <w:sz w:val="24"/>
          <w:szCs w:val="24"/>
        </w:rPr>
        <w:t xml:space="preserve"> Dr </w:t>
      </w:r>
      <w:proofErr w:type="spellStart"/>
      <w:r w:rsidR="00AF21E0" w:rsidRPr="000B6B2A">
        <w:rPr>
          <w:rFonts w:ascii="Times New Roman" w:hAnsi="Times New Roman" w:cs="Times New Roman"/>
          <w:sz w:val="24"/>
          <w:szCs w:val="24"/>
        </w:rPr>
        <w:t>Masondo</w:t>
      </w:r>
      <w:proofErr w:type="spellEnd"/>
      <w:r w:rsidR="00AF21E0" w:rsidRPr="000B6B2A">
        <w:rPr>
          <w:rFonts w:ascii="Times New Roman" w:hAnsi="Times New Roman" w:cs="Times New Roman"/>
          <w:sz w:val="24"/>
          <w:szCs w:val="24"/>
        </w:rPr>
        <w:t xml:space="preserve"> stated that d</w:t>
      </w:r>
      <w:r w:rsidR="004971D5" w:rsidRPr="000B6B2A">
        <w:rPr>
          <w:rFonts w:ascii="Times New Roman" w:hAnsi="Times New Roman" w:cs="Times New Roman"/>
          <w:sz w:val="24"/>
          <w:szCs w:val="24"/>
        </w:rPr>
        <w:t xml:space="preserve">isruptions of </w:t>
      </w:r>
      <w:r w:rsidR="00AF21E0" w:rsidRPr="000B6B2A">
        <w:rPr>
          <w:rFonts w:ascii="Times New Roman" w:hAnsi="Times New Roman" w:cs="Times New Roman"/>
          <w:sz w:val="24"/>
          <w:szCs w:val="24"/>
        </w:rPr>
        <w:t>the COVID pandemic, SARS had collected more revenue than expected</w:t>
      </w:r>
      <w:r w:rsidR="004971D5" w:rsidRPr="000B6B2A">
        <w:rPr>
          <w:rFonts w:ascii="Times New Roman" w:hAnsi="Times New Roman" w:cs="Times New Roman"/>
          <w:sz w:val="24"/>
          <w:szCs w:val="24"/>
        </w:rPr>
        <w:t>. He said that</w:t>
      </w:r>
      <w:r w:rsidR="00AF21E0" w:rsidRPr="000B6B2A">
        <w:rPr>
          <w:rFonts w:ascii="Times New Roman" w:hAnsi="Times New Roman" w:cs="Times New Roman"/>
          <w:sz w:val="24"/>
          <w:szCs w:val="24"/>
        </w:rPr>
        <w:t xml:space="preserve"> this was assisted by the recovery of certain sectors of the economy, especially </w:t>
      </w:r>
      <w:r w:rsidR="004971D5" w:rsidRPr="000B6B2A">
        <w:rPr>
          <w:rFonts w:ascii="Times New Roman" w:hAnsi="Times New Roman" w:cs="Times New Roman"/>
          <w:sz w:val="24"/>
          <w:szCs w:val="24"/>
        </w:rPr>
        <w:t xml:space="preserve">in the </w:t>
      </w:r>
      <w:r w:rsidR="00AF21E0" w:rsidRPr="000B6B2A">
        <w:rPr>
          <w:rFonts w:ascii="Times New Roman" w:hAnsi="Times New Roman" w:cs="Times New Roman"/>
          <w:sz w:val="24"/>
          <w:szCs w:val="24"/>
        </w:rPr>
        <w:t>mining</w:t>
      </w:r>
      <w:r w:rsidR="004971D5" w:rsidRPr="000B6B2A">
        <w:rPr>
          <w:rFonts w:ascii="Times New Roman" w:hAnsi="Times New Roman" w:cs="Times New Roman"/>
          <w:sz w:val="24"/>
          <w:szCs w:val="24"/>
        </w:rPr>
        <w:t xml:space="preserve"> sector</w:t>
      </w:r>
      <w:r w:rsidR="00AF21E0" w:rsidRPr="000B6B2A">
        <w:rPr>
          <w:rFonts w:ascii="Times New Roman" w:hAnsi="Times New Roman" w:cs="Times New Roman"/>
          <w:sz w:val="24"/>
          <w:szCs w:val="24"/>
        </w:rPr>
        <w:t>.</w:t>
      </w:r>
      <w:r w:rsidR="004971D5" w:rsidRPr="000B6B2A">
        <w:rPr>
          <w:rFonts w:ascii="Times New Roman" w:hAnsi="Times New Roman" w:cs="Times New Roman"/>
          <w:sz w:val="24"/>
          <w:szCs w:val="24"/>
        </w:rPr>
        <w:t xml:space="preserve"> He said that without an efficient and trustworthy revenue services, the country would not have been able to achieve this- commending SARS for staying the course. </w:t>
      </w:r>
    </w:p>
    <w:p w:rsidR="00563C6A" w:rsidRDefault="00AF21E0" w:rsidP="00D5691E">
      <w:pPr>
        <w:pStyle w:val="ListParagraph"/>
        <w:numPr>
          <w:ilvl w:val="1"/>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Deputy Minister </w:t>
      </w:r>
      <w:r w:rsidR="00563C6A">
        <w:rPr>
          <w:rFonts w:ascii="Times New Roman" w:hAnsi="Times New Roman" w:cs="Times New Roman"/>
          <w:sz w:val="24"/>
          <w:szCs w:val="24"/>
        </w:rPr>
        <w:t xml:space="preserve">said that the adoption by SARS of latest digital technologies such as artificial intelligence and machine learning were signs of an institution that was in touch with the demands of the modern economy that operated in a complex environment, full of uncertainties. </w:t>
      </w:r>
    </w:p>
    <w:p w:rsidR="00AF21E0" w:rsidRDefault="009D0655" w:rsidP="00D5691E">
      <w:pPr>
        <w:pStyle w:val="ListParagraph"/>
        <w:numPr>
          <w:ilvl w:val="1"/>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Deputy Minister </w:t>
      </w:r>
      <w:r w:rsidR="00563C6A">
        <w:rPr>
          <w:rFonts w:ascii="Times New Roman" w:hAnsi="Times New Roman" w:cs="Times New Roman"/>
          <w:sz w:val="24"/>
          <w:szCs w:val="24"/>
        </w:rPr>
        <w:t>however</w:t>
      </w:r>
      <w:r>
        <w:rPr>
          <w:rFonts w:ascii="Times New Roman" w:hAnsi="Times New Roman" w:cs="Times New Roman"/>
          <w:sz w:val="24"/>
          <w:szCs w:val="24"/>
        </w:rPr>
        <w:t>,</w:t>
      </w:r>
      <w:r w:rsidR="00563C6A">
        <w:rPr>
          <w:rFonts w:ascii="Times New Roman" w:hAnsi="Times New Roman" w:cs="Times New Roman"/>
          <w:sz w:val="24"/>
          <w:szCs w:val="24"/>
        </w:rPr>
        <w:t xml:space="preserve"> raised</w:t>
      </w:r>
      <w:r w:rsidR="00AF21E0">
        <w:rPr>
          <w:rFonts w:ascii="Times New Roman" w:hAnsi="Times New Roman" w:cs="Times New Roman"/>
          <w:sz w:val="24"/>
          <w:szCs w:val="24"/>
        </w:rPr>
        <w:t xml:space="preserve"> concerns about the unacceptably low taxpayer compliance levels with their tax obligations. He said that illicit activities and tax crimes remained a huge challenge, eroding tax morality and undermining the work of government</w:t>
      </w:r>
      <w:r w:rsidR="00563C6A">
        <w:rPr>
          <w:rFonts w:ascii="Times New Roman" w:hAnsi="Times New Roman" w:cs="Times New Roman"/>
          <w:sz w:val="24"/>
          <w:szCs w:val="24"/>
        </w:rPr>
        <w:t xml:space="preserve"> and SARS</w:t>
      </w:r>
      <w:r w:rsidR="00AF21E0">
        <w:rPr>
          <w:rFonts w:ascii="Times New Roman" w:hAnsi="Times New Roman" w:cs="Times New Roman"/>
          <w:sz w:val="24"/>
          <w:szCs w:val="24"/>
        </w:rPr>
        <w:t xml:space="preserve">. He however noted the gradual improvement in the overall compliance levels and strategic policy enhancements aimed at broadening the tax base and easing the tax burden on South Africans. </w:t>
      </w:r>
      <w:r w:rsidR="00563C6A">
        <w:rPr>
          <w:rFonts w:ascii="Times New Roman" w:hAnsi="Times New Roman" w:cs="Times New Roman"/>
          <w:sz w:val="24"/>
          <w:szCs w:val="24"/>
        </w:rPr>
        <w:t>He stated that he was certain that SARS would continue to perform well</w:t>
      </w:r>
      <w:r w:rsidR="00AF21E0" w:rsidRPr="00AF21E0">
        <w:rPr>
          <w:rFonts w:ascii="Times New Roman" w:hAnsi="Times New Roman" w:cs="Times New Roman"/>
          <w:sz w:val="24"/>
          <w:szCs w:val="24"/>
        </w:rPr>
        <w:t xml:space="preserve">  </w:t>
      </w:r>
    </w:p>
    <w:p w:rsidR="00AF21E0" w:rsidRPr="00AF21E0" w:rsidRDefault="00563C6A" w:rsidP="00D5691E">
      <w:pPr>
        <w:pStyle w:val="ListParagraph"/>
        <w:numPr>
          <w:ilvl w:val="1"/>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He highlighted the trying and uncertain times under which SARS was executing its mandate</w:t>
      </w:r>
      <w:r w:rsidR="00350906">
        <w:rPr>
          <w:rFonts w:ascii="Times New Roman" w:hAnsi="Times New Roman" w:cs="Times New Roman"/>
          <w:sz w:val="24"/>
          <w:szCs w:val="24"/>
        </w:rPr>
        <w:t xml:space="preserve">, such as </w:t>
      </w:r>
      <w:r>
        <w:rPr>
          <w:rFonts w:ascii="Times New Roman" w:hAnsi="Times New Roman" w:cs="Times New Roman"/>
          <w:sz w:val="24"/>
          <w:szCs w:val="24"/>
        </w:rPr>
        <w:t>July 2021 unrest, the recent floods,</w:t>
      </w:r>
      <w:r w:rsidR="00AF21E0">
        <w:rPr>
          <w:rFonts w:ascii="Times New Roman" w:hAnsi="Times New Roman" w:cs="Times New Roman"/>
          <w:sz w:val="24"/>
          <w:szCs w:val="24"/>
        </w:rPr>
        <w:t xml:space="preserve"> the conflict between Russia and U</w:t>
      </w:r>
      <w:r>
        <w:rPr>
          <w:rFonts w:ascii="Times New Roman" w:hAnsi="Times New Roman" w:cs="Times New Roman"/>
          <w:sz w:val="24"/>
          <w:szCs w:val="24"/>
        </w:rPr>
        <w:t>kraine, and th</w:t>
      </w:r>
      <w:r w:rsidR="00AF21E0">
        <w:rPr>
          <w:rFonts w:ascii="Times New Roman" w:hAnsi="Times New Roman" w:cs="Times New Roman"/>
          <w:sz w:val="24"/>
          <w:szCs w:val="24"/>
        </w:rPr>
        <w:t>e COVID pandemic</w:t>
      </w:r>
      <w:r w:rsidR="00350906">
        <w:rPr>
          <w:rFonts w:ascii="Times New Roman" w:hAnsi="Times New Roman" w:cs="Times New Roman"/>
          <w:sz w:val="24"/>
          <w:szCs w:val="24"/>
        </w:rPr>
        <w:t xml:space="preserve">. </w:t>
      </w:r>
      <w:r w:rsidR="00AF21E0">
        <w:rPr>
          <w:rFonts w:ascii="Times New Roman" w:hAnsi="Times New Roman" w:cs="Times New Roman"/>
          <w:sz w:val="24"/>
          <w:szCs w:val="24"/>
        </w:rPr>
        <w:t xml:space="preserve">  </w:t>
      </w:r>
    </w:p>
    <w:p w:rsidR="009E67BD" w:rsidRDefault="009E67BD" w:rsidP="009E67BD">
      <w:pPr>
        <w:pStyle w:val="ListParagraph"/>
        <w:spacing w:after="0" w:line="480" w:lineRule="auto"/>
        <w:ind w:left="360"/>
        <w:jc w:val="both"/>
        <w:rPr>
          <w:rFonts w:ascii="Times New Roman" w:hAnsi="Times New Roman" w:cs="Times New Roman"/>
          <w:sz w:val="24"/>
          <w:szCs w:val="24"/>
        </w:rPr>
      </w:pPr>
    </w:p>
    <w:p w:rsidR="009D0655" w:rsidRDefault="009D0655" w:rsidP="009E67BD">
      <w:pPr>
        <w:pStyle w:val="ListParagraph"/>
        <w:spacing w:after="0" w:line="480" w:lineRule="auto"/>
        <w:ind w:left="360"/>
        <w:jc w:val="both"/>
        <w:rPr>
          <w:rFonts w:ascii="Times New Roman" w:hAnsi="Times New Roman" w:cs="Times New Roman"/>
          <w:sz w:val="24"/>
          <w:szCs w:val="24"/>
        </w:rPr>
      </w:pPr>
    </w:p>
    <w:p w:rsidR="009D0655" w:rsidRDefault="009D0655" w:rsidP="009E67BD">
      <w:pPr>
        <w:pStyle w:val="ListParagraph"/>
        <w:spacing w:after="0" w:line="480" w:lineRule="auto"/>
        <w:ind w:left="360"/>
        <w:jc w:val="both"/>
        <w:rPr>
          <w:rFonts w:ascii="Times New Roman" w:hAnsi="Times New Roman" w:cs="Times New Roman"/>
          <w:sz w:val="24"/>
          <w:szCs w:val="24"/>
        </w:rPr>
      </w:pPr>
    </w:p>
    <w:p w:rsidR="009D0655" w:rsidRPr="0077613B" w:rsidRDefault="009D0655" w:rsidP="009E67BD">
      <w:pPr>
        <w:pStyle w:val="ListParagraph"/>
        <w:spacing w:after="0" w:line="480" w:lineRule="auto"/>
        <w:ind w:left="360"/>
        <w:jc w:val="both"/>
        <w:rPr>
          <w:rFonts w:ascii="Times New Roman" w:hAnsi="Times New Roman" w:cs="Times New Roman"/>
          <w:sz w:val="24"/>
          <w:szCs w:val="24"/>
        </w:rPr>
      </w:pPr>
    </w:p>
    <w:p w:rsidR="009E67BD" w:rsidRPr="0077613B" w:rsidRDefault="009E67BD" w:rsidP="009E67BD">
      <w:pPr>
        <w:pStyle w:val="ListParagraph"/>
        <w:numPr>
          <w:ilvl w:val="0"/>
          <w:numId w:val="1"/>
        </w:numPr>
        <w:spacing w:after="0" w:line="480" w:lineRule="auto"/>
        <w:jc w:val="both"/>
        <w:rPr>
          <w:rFonts w:ascii="Times New Roman" w:hAnsi="Times New Roman" w:cs="Times New Roman"/>
          <w:b/>
          <w:sz w:val="24"/>
          <w:szCs w:val="24"/>
        </w:rPr>
      </w:pPr>
      <w:r w:rsidRPr="0077613B">
        <w:rPr>
          <w:rFonts w:ascii="Times New Roman" w:hAnsi="Times New Roman" w:cs="Times New Roman"/>
          <w:b/>
          <w:sz w:val="24"/>
          <w:szCs w:val="24"/>
        </w:rPr>
        <w:lastRenderedPageBreak/>
        <w:t>OVERVIEW BY ACCOUNTING OFFICERS</w:t>
      </w:r>
    </w:p>
    <w:p w:rsidR="009E67BD" w:rsidRPr="0077613B" w:rsidRDefault="009E67BD" w:rsidP="009E67BD">
      <w:pPr>
        <w:spacing w:line="480" w:lineRule="auto"/>
        <w:jc w:val="both"/>
        <w:rPr>
          <w:rFonts w:ascii="Times New Roman" w:hAnsi="Times New Roman"/>
        </w:rPr>
      </w:pPr>
      <w:r w:rsidRPr="0077613B">
        <w:rPr>
          <w:rFonts w:ascii="Times New Roman" w:hAnsi="Times New Roman"/>
        </w:rPr>
        <w:t xml:space="preserve">NATIONAL TREASURY </w:t>
      </w:r>
    </w:p>
    <w:p w:rsidR="00B305ED" w:rsidRDefault="002E27BA" w:rsidP="009E67BD">
      <w:pPr>
        <w:pStyle w:val="ListParagraph"/>
        <w:numPr>
          <w:ilvl w:val="1"/>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67BD" w:rsidRPr="0077613B">
        <w:rPr>
          <w:rFonts w:ascii="Times New Roman" w:hAnsi="Times New Roman" w:cs="Times New Roman"/>
          <w:sz w:val="24"/>
          <w:szCs w:val="24"/>
        </w:rPr>
        <w:t xml:space="preserve">Mr </w:t>
      </w:r>
      <w:proofErr w:type="spellStart"/>
      <w:r w:rsidR="009E67BD" w:rsidRPr="0077613B">
        <w:rPr>
          <w:rFonts w:ascii="Times New Roman" w:hAnsi="Times New Roman" w:cs="Times New Roman"/>
          <w:sz w:val="24"/>
          <w:szCs w:val="24"/>
        </w:rPr>
        <w:t>Dondo</w:t>
      </w:r>
      <w:proofErr w:type="spellEnd"/>
      <w:r w:rsidR="009E67BD" w:rsidRPr="0077613B">
        <w:rPr>
          <w:rFonts w:ascii="Times New Roman" w:hAnsi="Times New Roman" w:cs="Times New Roman"/>
          <w:sz w:val="24"/>
          <w:szCs w:val="24"/>
        </w:rPr>
        <w:t xml:space="preserve"> </w:t>
      </w:r>
      <w:proofErr w:type="spellStart"/>
      <w:r w:rsidR="009E67BD" w:rsidRPr="0077613B">
        <w:rPr>
          <w:rFonts w:ascii="Times New Roman" w:hAnsi="Times New Roman" w:cs="Times New Roman"/>
          <w:sz w:val="24"/>
          <w:szCs w:val="24"/>
        </w:rPr>
        <w:t>Mogajane</w:t>
      </w:r>
      <w:proofErr w:type="spellEnd"/>
      <w:r w:rsidR="009E67BD" w:rsidRPr="0077613B">
        <w:rPr>
          <w:rFonts w:ascii="Times New Roman" w:hAnsi="Times New Roman" w:cs="Times New Roman"/>
          <w:sz w:val="24"/>
          <w:szCs w:val="24"/>
        </w:rPr>
        <w:t>, the Director-General of</w:t>
      </w:r>
      <w:r w:rsidR="00B359B2">
        <w:rPr>
          <w:rFonts w:ascii="Times New Roman" w:hAnsi="Times New Roman" w:cs="Times New Roman"/>
          <w:sz w:val="24"/>
          <w:szCs w:val="24"/>
        </w:rPr>
        <w:t xml:space="preserve"> the</w:t>
      </w:r>
      <w:r w:rsidR="009E67BD" w:rsidRPr="0077613B">
        <w:rPr>
          <w:rFonts w:ascii="Times New Roman" w:hAnsi="Times New Roman" w:cs="Times New Roman"/>
          <w:sz w:val="24"/>
          <w:szCs w:val="24"/>
        </w:rPr>
        <w:t xml:space="preserve"> National Treasury, </w:t>
      </w:r>
      <w:r w:rsidR="00B305ED">
        <w:rPr>
          <w:rFonts w:ascii="Times New Roman" w:hAnsi="Times New Roman" w:cs="Times New Roman"/>
          <w:sz w:val="24"/>
          <w:szCs w:val="24"/>
        </w:rPr>
        <w:t>stated that in implementing the NT’s plans for 2022/23, there would be many obstacles in the coming year. He said that some of the obstacles were old and</w:t>
      </w:r>
      <w:r w:rsidR="00770C6E">
        <w:rPr>
          <w:rFonts w:ascii="Times New Roman" w:hAnsi="Times New Roman" w:cs="Times New Roman"/>
          <w:sz w:val="24"/>
          <w:szCs w:val="24"/>
        </w:rPr>
        <w:t xml:space="preserve"> some, new. He said that there were </w:t>
      </w:r>
      <w:r w:rsidR="00B305ED">
        <w:rPr>
          <w:rFonts w:ascii="Times New Roman" w:hAnsi="Times New Roman" w:cs="Times New Roman"/>
          <w:sz w:val="24"/>
          <w:szCs w:val="24"/>
        </w:rPr>
        <w:t>global risk</w:t>
      </w:r>
      <w:r w:rsidR="00770C6E">
        <w:rPr>
          <w:rFonts w:ascii="Times New Roman" w:hAnsi="Times New Roman" w:cs="Times New Roman"/>
          <w:sz w:val="24"/>
          <w:szCs w:val="24"/>
        </w:rPr>
        <w:t>s</w:t>
      </w:r>
      <w:r w:rsidR="00B305ED">
        <w:rPr>
          <w:rFonts w:ascii="Times New Roman" w:hAnsi="Times New Roman" w:cs="Times New Roman"/>
          <w:sz w:val="24"/>
          <w:szCs w:val="24"/>
        </w:rPr>
        <w:t xml:space="preserve"> that could devastate the local economy and impact NT were they to materialise. </w:t>
      </w:r>
    </w:p>
    <w:p w:rsidR="002E27BA" w:rsidRDefault="002E27BA" w:rsidP="00B305ED">
      <w:pPr>
        <w:pStyle w:val="ListParagraph"/>
        <w:numPr>
          <w:ilvl w:val="1"/>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05ED">
        <w:rPr>
          <w:rFonts w:ascii="Times New Roman" w:hAnsi="Times New Roman" w:cs="Times New Roman"/>
          <w:sz w:val="24"/>
          <w:szCs w:val="24"/>
        </w:rPr>
        <w:t xml:space="preserve">Mr </w:t>
      </w:r>
      <w:proofErr w:type="spellStart"/>
      <w:r w:rsidR="00B305ED">
        <w:rPr>
          <w:rFonts w:ascii="Times New Roman" w:hAnsi="Times New Roman" w:cs="Times New Roman"/>
          <w:sz w:val="24"/>
          <w:szCs w:val="24"/>
        </w:rPr>
        <w:t>Mogajane</w:t>
      </w:r>
      <w:proofErr w:type="spellEnd"/>
      <w:r w:rsidR="00B305ED">
        <w:rPr>
          <w:rFonts w:ascii="Times New Roman" w:hAnsi="Times New Roman" w:cs="Times New Roman"/>
          <w:sz w:val="24"/>
          <w:szCs w:val="24"/>
        </w:rPr>
        <w:t xml:space="preserve"> stated that NT would need to be resilient to overcome the systemic challenges of inequality, poverty and unemployment, which were all exacerbated by chronic low growth, rapid global warming and intensifying conflicts, among other risks. He said that this would require a determined effort from NT in pursuing ongoing endeavours to accelerate economic growth, including taking structural constraints into account, applying measures to retain investors, and restoring public trust. </w:t>
      </w:r>
    </w:p>
    <w:p w:rsidR="002E27BA" w:rsidRPr="002E27BA" w:rsidRDefault="002E27BA" w:rsidP="009E67BD">
      <w:pPr>
        <w:pStyle w:val="ListParagraph"/>
        <w:numPr>
          <w:ilvl w:val="1"/>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05ED" w:rsidRPr="00B305ED">
        <w:rPr>
          <w:rFonts w:ascii="Times New Roman" w:hAnsi="Times New Roman" w:cs="Times New Roman"/>
          <w:sz w:val="24"/>
          <w:szCs w:val="24"/>
        </w:rPr>
        <w:t xml:space="preserve">Mr </w:t>
      </w:r>
      <w:proofErr w:type="spellStart"/>
      <w:r w:rsidR="00B305ED" w:rsidRPr="00B305ED">
        <w:rPr>
          <w:rFonts w:ascii="Times New Roman" w:hAnsi="Times New Roman" w:cs="Times New Roman"/>
          <w:sz w:val="24"/>
          <w:szCs w:val="24"/>
        </w:rPr>
        <w:t>Mogajane</w:t>
      </w:r>
      <w:proofErr w:type="spellEnd"/>
      <w:r w:rsidR="00B305ED" w:rsidRPr="00B305ED">
        <w:rPr>
          <w:rFonts w:ascii="Times New Roman" w:hAnsi="Times New Roman" w:cs="Times New Roman"/>
          <w:sz w:val="24"/>
          <w:szCs w:val="24"/>
        </w:rPr>
        <w:t xml:space="preserve"> stated that safeguarding the fiscal framework remained key to NT activities</w:t>
      </w:r>
      <w:r w:rsidR="00826C64">
        <w:rPr>
          <w:rFonts w:ascii="Times New Roman" w:hAnsi="Times New Roman" w:cs="Times New Roman"/>
          <w:sz w:val="24"/>
          <w:szCs w:val="24"/>
        </w:rPr>
        <w:t>.</w:t>
      </w:r>
      <w:r w:rsidR="00B305ED" w:rsidRPr="00B305ED">
        <w:rPr>
          <w:rFonts w:ascii="Times New Roman" w:hAnsi="Times New Roman" w:cs="Times New Roman"/>
          <w:sz w:val="24"/>
          <w:szCs w:val="24"/>
        </w:rPr>
        <w:t xml:space="preserve">  </w:t>
      </w:r>
      <w:r>
        <w:rPr>
          <w:rFonts w:ascii="Times New Roman" w:hAnsi="Times New Roman" w:cs="Times New Roman"/>
          <w:sz w:val="24"/>
          <w:szCs w:val="24"/>
        </w:rPr>
        <w:t>He also</w:t>
      </w:r>
      <w:r w:rsidRPr="002E27BA">
        <w:rPr>
          <w:rFonts w:ascii="Times New Roman" w:eastAsia="Times New Roman" w:hAnsi="Times New Roman" w:cs="Times New Roman"/>
          <w:sz w:val="24"/>
          <w:szCs w:val="24"/>
        </w:rPr>
        <w:t xml:space="preserve"> provided an overview of </w:t>
      </w:r>
      <w:r>
        <w:rPr>
          <w:rFonts w:ascii="Times New Roman" w:eastAsia="Times New Roman" w:hAnsi="Times New Roman" w:cs="Times New Roman"/>
          <w:sz w:val="24"/>
          <w:szCs w:val="24"/>
        </w:rPr>
        <w:t>NT’s key focus areas for 2022/23</w:t>
      </w:r>
      <w:r w:rsidRPr="002E27BA">
        <w:rPr>
          <w:rFonts w:ascii="Times New Roman" w:eastAsia="Times New Roman" w:hAnsi="Times New Roman" w:cs="Times New Roman"/>
          <w:sz w:val="24"/>
          <w:szCs w:val="24"/>
        </w:rPr>
        <w:t xml:space="preserve">, including the national budgeting process, managing the fiscal relations of the three spheres of government, interacting with regional and international organisations to increase South Africa’s economic development, filling </w:t>
      </w:r>
      <w:r>
        <w:rPr>
          <w:rFonts w:ascii="Times New Roman" w:eastAsia="Times New Roman" w:hAnsi="Times New Roman" w:cs="Times New Roman"/>
          <w:sz w:val="24"/>
          <w:szCs w:val="24"/>
        </w:rPr>
        <w:t xml:space="preserve">critical </w:t>
      </w:r>
      <w:r w:rsidRPr="002E27BA">
        <w:rPr>
          <w:rFonts w:ascii="Times New Roman" w:eastAsia="Times New Roman" w:hAnsi="Times New Roman" w:cs="Times New Roman"/>
          <w:sz w:val="24"/>
          <w:szCs w:val="24"/>
        </w:rPr>
        <w:t>vacancies, and gender mainstreaming.</w:t>
      </w:r>
    </w:p>
    <w:p w:rsidR="002E27BA" w:rsidRPr="002E27BA" w:rsidRDefault="002E27BA" w:rsidP="009E67BD">
      <w:pPr>
        <w:pStyle w:val="ListParagraph"/>
        <w:numPr>
          <w:ilvl w:val="1"/>
          <w:numId w:val="1"/>
        </w:num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He said that NT, through the Budget F</w:t>
      </w:r>
      <w:r w:rsidRPr="002E27BA">
        <w:rPr>
          <w:rFonts w:ascii="Times New Roman" w:eastAsia="Times New Roman" w:hAnsi="Times New Roman" w:cs="Times New Roman"/>
          <w:sz w:val="24"/>
          <w:szCs w:val="24"/>
        </w:rPr>
        <w:t xml:space="preserve">acility for Infrastructure </w:t>
      </w:r>
      <w:r>
        <w:rPr>
          <w:rFonts w:ascii="Times New Roman" w:eastAsia="Times New Roman" w:hAnsi="Times New Roman" w:cs="Times New Roman"/>
          <w:sz w:val="24"/>
          <w:szCs w:val="24"/>
        </w:rPr>
        <w:t xml:space="preserve">(BFI) </w:t>
      </w:r>
      <w:r w:rsidRPr="002E27BA">
        <w:rPr>
          <w:rFonts w:ascii="Times New Roman" w:eastAsia="Times New Roman" w:hAnsi="Times New Roman" w:cs="Times New Roman"/>
          <w:sz w:val="24"/>
          <w:szCs w:val="24"/>
        </w:rPr>
        <w:t>and partnerships with the Development Bank of Southern Africa and Infrastructure South Africa, is helping to build a pipeline of viable projects</w:t>
      </w:r>
      <w:r>
        <w:rPr>
          <w:rFonts w:ascii="Times New Roman" w:eastAsia="Times New Roman" w:hAnsi="Times New Roman" w:cs="Times New Roman"/>
          <w:sz w:val="24"/>
          <w:szCs w:val="24"/>
        </w:rPr>
        <w:t xml:space="preserve"> for execution</w:t>
      </w:r>
      <w:r w:rsidRPr="002E27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said that the BFI</w:t>
      </w:r>
      <w:r w:rsidRPr="002E27BA">
        <w:rPr>
          <w:rFonts w:ascii="Times New Roman" w:eastAsia="Times New Roman" w:hAnsi="Times New Roman" w:cs="Times New Roman"/>
          <w:sz w:val="24"/>
          <w:szCs w:val="24"/>
        </w:rPr>
        <w:t xml:space="preserve"> has considered 61 projects </w:t>
      </w:r>
      <w:r>
        <w:rPr>
          <w:rFonts w:ascii="Times New Roman" w:eastAsia="Times New Roman" w:hAnsi="Times New Roman" w:cs="Times New Roman"/>
          <w:sz w:val="24"/>
          <w:szCs w:val="24"/>
        </w:rPr>
        <w:t xml:space="preserve">that were </w:t>
      </w:r>
      <w:r w:rsidRPr="002E27BA">
        <w:rPr>
          <w:rFonts w:ascii="Times New Roman" w:eastAsia="Times New Roman" w:hAnsi="Times New Roman" w:cs="Times New Roman"/>
          <w:sz w:val="24"/>
          <w:szCs w:val="24"/>
        </w:rPr>
        <w:t xml:space="preserve">submitted </w:t>
      </w:r>
      <w:r>
        <w:rPr>
          <w:rFonts w:ascii="Times New Roman" w:eastAsia="Times New Roman" w:hAnsi="Times New Roman" w:cs="Times New Roman"/>
          <w:sz w:val="24"/>
          <w:szCs w:val="24"/>
        </w:rPr>
        <w:t xml:space="preserve">to it </w:t>
      </w:r>
      <w:r w:rsidRPr="002E27BA">
        <w:rPr>
          <w:rFonts w:ascii="Times New Roman" w:eastAsia="Times New Roman" w:hAnsi="Times New Roman" w:cs="Times New Roman"/>
          <w:sz w:val="24"/>
          <w:szCs w:val="24"/>
        </w:rPr>
        <w:t xml:space="preserve">by public institutions and </w:t>
      </w:r>
      <w:r>
        <w:rPr>
          <w:rFonts w:ascii="Times New Roman" w:eastAsia="Times New Roman" w:hAnsi="Times New Roman" w:cs="Times New Roman"/>
          <w:sz w:val="24"/>
          <w:szCs w:val="24"/>
        </w:rPr>
        <w:t xml:space="preserve">NT had </w:t>
      </w:r>
      <w:r w:rsidRPr="002E27BA">
        <w:rPr>
          <w:rFonts w:ascii="Times New Roman" w:eastAsia="Times New Roman" w:hAnsi="Times New Roman" w:cs="Times New Roman"/>
          <w:sz w:val="24"/>
          <w:szCs w:val="24"/>
        </w:rPr>
        <w:t>approved a total of R6.7 billion in fiscal support in the 2021/22 adjustments budget</w:t>
      </w:r>
      <w:r>
        <w:rPr>
          <w:rFonts w:ascii="Times New Roman" w:eastAsia="Times New Roman" w:hAnsi="Times New Roman" w:cs="Times New Roman"/>
          <w:sz w:val="24"/>
          <w:szCs w:val="24"/>
        </w:rPr>
        <w:t xml:space="preserve"> and over the 2022 MTEF period. He said that m</w:t>
      </w:r>
      <w:r w:rsidRPr="002E27BA">
        <w:rPr>
          <w:rFonts w:ascii="Times New Roman" w:eastAsia="Times New Roman" w:hAnsi="Times New Roman" w:cs="Times New Roman"/>
          <w:sz w:val="24"/>
          <w:szCs w:val="24"/>
        </w:rPr>
        <w:t xml:space="preserve">ost of these projects have multiple funding sources and are designed to crowd in private investment. </w:t>
      </w:r>
    </w:p>
    <w:p w:rsidR="002E27BA" w:rsidRPr="002E27BA" w:rsidRDefault="002E27BA" w:rsidP="009E67BD">
      <w:pPr>
        <w:pStyle w:val="ListParagraph"/>
        <w:numPr>
          <w:ilvl w:val="1"/>
          <w:numId w:val="1"/>
        </w:num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He explained that t</w:t>
      </w:r>
      <w:r w:rsidRPr="002E27BA">
        <w:rPr>
          <w:rFonts w:ascii="Times New Roman" w:eastAsia="Times New Roman" w:hAnsi="Times New Roman" w:cs="Times New Roman"/>
          <w:sz w:val="24"/>
          <w:szCs w:val="24"/>
        </w:rPr>
        <w:t xml:space="preserve">he Infrastructure Fund is working in conjunction with public agencies to prepare six projects with a total value of R96 billion. </w:t>
      </w:r>
      <w:r>
        <w:rPr>
          <w:rFonts w:ascii="Times New Roman" w:eastAsia="Times New Roman" w:hAnsi="Times New Roman" w:cs="Times New Roman"/>
          <w:sz w:val="24"/>
          <w:szCs w:val="24"/>
        </w:rPr>
        <w:t xml:space="preserve">He said that this </w:t>
      </w:r>
      <w:r w:rsidRPr="002E27BA">
        <w:rPr>
          <w:rFonts w:ascii="Times New Roman" w:eastAsia="Times New Roman" w:hAnsi="Times New Roman" w:cs="Times New Roman"/>
          <w:sz w:val="24"/>
          <w:szCs w:val="24"/>
        </w:rPr>
        <w:t xml:space="preserve">includes the rollout of </w:t>
      </w:r>
      <w:r>
        <w:rPr>
          <w:rFonts w:ascii="Times New Roman" w:eastAsia="Times New Roman" w:hAnsi="Times New Roman" w:cs="Times New Roman"/>
          <w:sz w:val="24"/>
          <w:szCs w:val="24"/>
        </w:rPr>
        <w:t xml:space="preserve">the </w:t>
      </w:r>
      <w:r w:rsidRPr="002E27BA">
        <w:rPr>
          <w:rFonts w:ascii="Times New Roman" w:eastAsia="Times New Roman" w:hAnsi="Times New Roman" w:cs="Times New Roman"/>
          <w:sz w:val="24"/>
          <w:szCs w:val="24"/>
        </w:rPr>
        <w:t>broadband infrastructure and the constru</w:t>
      </w:r>
      <w:r>
        <w:rPr>
          <w:rFonts w:ascii="Times New Roman" w:eastAsia="Times New Roman" w:hAnsi="Times New Roman" w:cs="Times New Roman"/>
          <w:sz w:val="24"/>
          <w:szCs w:val="24"/>
        </w:rPr>
        <w:t>ction of six new border posts.</w:t>
      </w:r>
    </w:p>
    <w:p w:rsidR="009E67BD" w:rsidRPr="002E27BA" w:rsidRDefault="002E27BA" w:rsidP="009E67BD">
      <w:pPr>
        <w:pStyle w:val="ListParagraph"/>
        <w:numPr>
          <w:ilvl w:val="1"/>
          <w:numId w:val="1"/>
        </w:num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He said that </w:t>
      </w:r>
      <w:r w:rsidRPr="002E27BA">
        <w:rPr>
          <w:rFonts w:ascii="Times New Roman" w:eastAsia="Times New Roman" w:hAnsi="Times New Roman" w:cs="Times New Roman"/>
          <w:sz w:val="24"/>
          <w:szCs w:val="24"/>
        </w:rPr>
        <w:t>N</w:t>
      </w:r>
      <w:r>
        <w:rPr>
          <w:rFonts w:ascii="Times New Roman" w:eastAsia="Times New Roman" w:hAnsi="Times New Roman" w:cs="Times New Roman"/>
          <w:sz w:val="24"/>
          <w:szCs w:val="24"/>
        </w:rPr>
        <w:t>T</w:t>
      </w:r>
      <w:r w:rsidRPr="002E27BA">
        <w:rPr>
          <w:rFonts w:ascii="Times New Roman" w:eastAsia="Times New Roman" w:hAnsi="Times New Roman" w:cs="Times New Roman"/>
          <w:sz w:val="24"/>
          <w:szCs w:val="24"/>
        </w:rPr>
        <w:t xml:space="preserve"> is reviewing government’s macroeconomic policy from the global fina</w:t>
      </w:r>
      <w:r>
        <w:rPr>
          <w:rFonts w:ascii="Times New Roman" w:eastAsia="Times New Roman" w:hAnsi="Times New Roman" w:cs="Times New Roman"/>
          <w:sz w:val="24"/>
          <w:szCs w:val="24"/>
        </w:rPr>
        <w:t>ncial crisis to the present. This</w:t>
      </w:r>
      <w:r w:rsidRPr="002E27BA">
        <w:rPr>
          <w:rFonts w:ascii="Times New Roman" w:eastAsia="Times New Roman" w:hAnsi="Times New Roman" w:cs="Times New Roman"/>
          <w:sz w:val="24"/>
          <w:szCs w:val="24"/>
        </w:rPr>
        <w:t xml:space="preserve"> review</w:t>
      </w:r>
      <w:r>
        <w:rPr>
          <w:rFonts w:ascii="Times New Roman" w:eastAsia="Times New Roman" w:hAnsi="Times New Roman" w:cs="Times New Roman"/>
          <w:sz w:val="24"/>
          <w:szCs w:val="24"/>
        </w:rPr>
        <w:t>, he said,</w:t>
      </w:r>
      <w:r w:rsidRPr="002E27BA">
        <w:rPr>
          <w:rFonts w:ascii="Times New Roman" w:eastAsia="Times New Roman" w:hAnsi="Times New Roman" w:cs="Times New Roman"/>
          <w:sz w:val="24"/>
          <w:szCs w:val="24"/>
        </w:rPr>
        <w:t xml:space="preserve"> will</w:t>
      </w:r>
      <w:r>
        <w:rPr>
          <w:rFonts w:ascii="Times New Roman" w:eastAsia="Times New Roman" w:hAnsi="Times New Roman" w:cs="Times New Roman"/>
          <w:sz w:val="24"/>
          <w:szCs w:val="24"/>
        </w:rPr>
        <w:t>:</w:t>
      </w:r>
      <w:r w:rsidRPr="002E27BA">
        <w:rPr>
          <w:rFonts w:ascii="Times New Roman" w:eastAsia="Times New Roman" w:hAnsi="Times New Roman" w:cs="Times New Roman"/>
          <w:sz w:val="24"/>
          <w:szCs w:val="24"/>
        </w:rPr>
        <w:t xml:space="preserve"> examine how key indicators, such as economic growth and employment, have evolved since 2008; assess government’s fiscal, monetary and macro</w:t>
      </w:r>
      <w:r w:rsidR="00796B3E">
        <w:rPr>
          <w:rFonts w:ascii="Times New Roman" w:eastAsia="Times New Roman" w:hAnsi="Times New Roman" w:cs="Times New Roman"/>
          <w:sz w:val="24"/>
          <w:szCs w:val="24"/>
        </w:rPr>
        <w:t>-</w:t>
      </w:r>
      <w:r w:rsidRPr="002E27BA">
        <w:rPr>
          <w:rFonts w:ascii="Times New Roman" w:eastAsia="Times New Roman" w:hAnsi="Times New Roman" w:cs="Times New Roman"/>
          <w:sz w:val="24"/>
          <w:szCs w:val="24"/>
        </w:rPr>
        <w:t xml:space="preserve">prudential policy choices; and propose appropriate reforms to policy targets and institutional frameworks. </w:t>
      </w:r>
      <w:r>
        <w:rPr>
          <w:rFonts w:ascii="Times New Roman" w:eastAsia="Times New Roman" w:hAnsi="Times New Roman" w:cs="Times New Roman"/>
          <w:sz w:val="24"/>
          <w:szCs w:val="24"/>
        </w:rPr>
        <w:t>He informed the Committee that a</w:t>
      </w:r>
      <w:r w:rsidRPr="002E27BA">
        <w:rPr>
          <w:rFonts w:ascii="Times New Roman" w:eastAsia="Times New Roman" w:hAnsi="Times New Roman" w:cs="Times New Roman"/>
          <w:sz w:val="24"/>
          <w:szCs w:val="24"/>
        </w:rPr>
        <w:t xml:space="preserve"> draft review document will be fin</w:t>
      </w:r>
      <w:r>
        <w:rPr>
          <w:rFonts w:ascii="Times New Roman" w:eastAsia="Times New Roman" w:hAnsi="Times New Roman" w:cs="Times New Roman"/>
          <w:sz w:val="24"/>
          <w:szCs w:val="24"/>
        </w:rPr>
        <w:t xml:space="preserve">alised at the end of March 2022, </w:t>
      </w:r>
      <w:r w:rsidRPr="002E27BA">
        <w:rPr>
          <w:rFonts w:ascii="Times New Roman" w:eastAsia="Times New Roman" w:hAnsi="Times New Roman" w:cs="Times New Roman"/>
          <w:sz w:val="24"/>
          <w:szCs w:val="24"/>
        </w:rPr>
        <w:t>form</w:t>
      </w:r>
      <w:r>
        <w:rPr>
          <w:rFonts w:ascii="Times New Roman" w:eastAsia="Times New Roman" w:hAnsi="Times New Roman" w:cs="Times New Roman"/>
          <w:sz w:val="24"/>
          <w:szCs w:val="24"/>
        </w:rPr>
        <w:t>ing</w:t>
      </w:r>
      <w:r w:rsidRPr="002E27BA">
        <w:rPr>
          <w:rFonts w:ascii="Times New Roman" w:eastAsia="Times New Roman" w:hAnsi="Times New Roman" w:cs="Times New Roman"/>
          <w:sz w:val="24"/>
          <w:szCs w:val="24"/>
        </w:rPr>
        <w:t xml:space="preserve"> the basis for workshops, public discussions and additional research. </w:t>
      </w:r>
      <w:r>
        <w:rPr>
          <w:rFonts w:ascii="Times New Roman" w:eastAsia="Times New Roman" w:hAnsi="Times New Roman" w:cs="Times New Roman"/>
          <w:sz w:val="24"/>
          <w:szCs w:val="24"/>
        </w:rPr>
        <w:t>He said that a</w:t>
      </w:r>
      <w:r w:rsidRPr="002E27BA">
        <w:rPr>
          <w:rFonts w:ascii="Times New Roman" w:eastAsia="Times New Roman" w:hAnsi="Times New Roman" w:cs="Times New Roman"/>
          <w:sz w:val="24"/>
          <w:szCs w:val="24"/>
        </w:rPr>
        <w:t xml:space="preserve"> final review is expected to be published in 2023</w:t>
      </w:r>
      <w:r>
        <w:rPr>
          <w:rFonts w:ascii="Times New Roman" w:eastAsia="Times New Roman" w:hAnsi="Times New Roman" w:cs="Times New Roman"/>
          <w:sz w:val="24"/>
          <w:szCs w:val="24"/>
        </w:rPr>
        <w:t xml:space="preserve">. </w:t>
      </w:r>
    </w:p>
    <w:p w:rsidR="002E27BA" w:rsidRPr="002E27BA" w:rsidRDefault="002E27BA" w:rsidP="002E27BA">
      <w:pPr>
        <w:pStyle w:val="ListParagraph"/>
        <w:spacing w:after="0" w:line="480" w:lineRule="auto"/>
        <w:ind w:left="360"/>
        <w:jc w:val="both"/>
        <w:rPr>
          <w:rFonts w:ascii="Times New Roman" w:hAnsi="Times New Roman" w:cs="Times New Roman"/>
          <w:sz w:val="24"/>
          <w:szCs w:val="24"/>
        </w:rPr>
      </w:pPr>
    </w:p>
    <w:p w:rsidR="009E67BD" w:rsidRPr="0077613B" w:rsidRDefault="009E67BD" w:rsidP="009E67BD">
      <w:pPr>
        <w:spacing w:line="480" w:lineRule="auto"/>
        <w:jc w:val="both"/>
        <w:rPr>
          <w:rFonts w:ascii="Times New Roman" w:hAnsi="Times New Roman"/>
        </w:rPr>
      </w:pPr>
      <w:r w:rsidRPr="0077613B">
        <w:rPr>
          <w:rFonts w:ascii="Times New Roman" w:hAnsi="Times New Roman"/>
        </w:rPr>
        <w:t xml:space="preserve">THE SOUTH AFRICAN REVENUE SERVICE </w:t>
      </w:r>
    </w:p>
    <w:p w:rsidR="00350906" w:rsidRDefault="00AF21E0" w:rsidP="009E67BD">
      <w:pPr>
        <w:pStyle w:val="ListParagraph"/>
        <w:numPr>
          <w:ilvl w:val="1"/>
          <w:numId w:val="1"/>
        </w:numPr>
        <w:spacing w:after="0" w:line="480" w:lineRule="auto"/>
        <w:jc w:val="both"/>
        <w:rPr>
          <w:rFonts w:ascii="Times New Roman" w:hAnsi="Times New Roman" w:cs="Times New Roman"/>
          <w:sz w:val="24"/>
          <w:szCs w:val="24"/>
        </w:rPr>
      </w:pPr>
      <w:r w:rsidRPr="00AF21E0">
        <w:rPr>
          <w:rFonts w:ascii="Times New Roman" w:hAnsi="Times New Roman" w:cs="Times New Roman"/>
          <w:sz w:val="24"/>
          <w:szCs w:val="24"/>
        </w:rPr>
        <w:t xml:space="preserve"> </w:t>
      </w:r>
      <w:r w:rsidR="009E67BD" w:rsidRPr="00AF21E0">
        <w:rPr>
          <w:rFonts w:ascii="Times New Roman" w:hAnsi="Times New Roman" w:cs="Times New Roman"/>
          <w:sz w:val="24"/>
          <w:szCs w:val="24"/>
        </w:rPr>
        <w:t xml:space="preserve">SARS Commissioner, Mr Edward </w:t>
      </w:r>
      <w:proofErr w:type="spellStart"/>
      <w:r w:rsidR="009E67BD" w:rsidRPr="00AF21E0">
        <w:rPr>
          <w:rFonts w:ascii="Times New Roman" w:hAnsi="Times New Roman" w:cs="Times New Roman"/>
          <w:sz w:val="24"/>
          <w:szCs w:val="24"/>
        </w:rPr>
        <w:t>Kieswetter</w:t>
      </w:r>
      <w:proofErr w:type="spellEnd"/>
      <w:r w:rsidR="009E67BD" w:rsidRPr="00AF21E0">
        <w:rPr>
          <w:rFonts w:ascii="Times New Roman" w:hAnsi="Times New Roman" w:cs="Times New Roman"/>
          <w:sz w:val="24"/>
          <w:szCs w:val="24"/>
        </w:rPr>
        <w:t xml:space="preserve">, </w:t>
      </w:r>
      <w:r w:rsidRPr="00AF21E0">
        <w:rPr>
          <w:rFonts w:ascii="Times New Roman" w:hAnsi="Times New Roman" w:cs="Times New Roman"/>
          <w:sz w:val="24"/>
          <w:szCs w:val="24"/>
        </w:rPr>
        <w:t xml:space="preserve">outlined SARS’s strategic focus areas for 2020 to 2025, </w:t>
      </w:r>
      <w:r>
        <w:rPr>
          <w:rFonts w:ascii="Times New Roman" w:hAnsi="Times New Roman" w:cs="Times New Roman"/>
          <w:sz w:val="24"/>
          <w:szCs w:val="24"/>
        </w:rPr>
        <w:t>recapping the priorities, performance highlights for the previous financial year and the deliverables for 2022/23.</w:t>
      </w:r>
    </w:p>
    <w:p w:rsidR="00AF21E0" w:rsidRDefault="00350906" w:rsidP="009E67BD">
      <w:pPr>
        <w:pStyle w:val="ListParagraph"/>
        <w:numPr>
          <w:ilvl w:val="1"/>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He stated that up to this year, SARS </w:t>
      </w:r>
      <w:r w:rsidR="005665E3">
        <w:rPr>
          <w:rFonts w:ascii="Times New Roman" w:hAnsi="Times New Roman" w:cs="Times New Roman"/>
          <w:sz w:val="24"/>
          <w:szCs w:val="24"/>
        </w:rPr>
        <w:t>had collected almost</w:t>
      </w:r>
      <w:r>
        <w:rPr>
          <w:rFonts w:ascii="Times New Roman" w:hAnsi="Times New Roman" w:cs="Times New Roman"/>
          <w:sz w:val="24"/>
          <w:szCs w:val="24"/>
        </w:rPr>
        <w:t xml:space="preserve"> R18 trillion, from a humble R</w:t>
      </w:r>
      <w:r w:rsidR="005665E3">
        <w:rPr>
          <w:rFonts w:ascii="Times New Roman" w:hAnsi="Times New Roman" w:cs="Times New Roman"/>
          <w:sz w:val="24"/>
          <w:szCs w:val="24"/>
        </w:rPr>
        <w:t>14</w:t>
      </w:r>
      <w:r>
        <w:rPr>
          <w:rFonts w:ascii="Times New Roman" w:hAnsi="Times New Roman" w:cs="Times New Roman"/>
          <w:sz w:val="24"/>
          <w:szCs w:val="24"/>
        </w:rPr>
        <w:t xml:space="preserve">7 billion </w:t>
      </w:r>
      <w:r w:rsidR="005665E3">
        <w:rPr>
          <w:rFonts w:ascii="Times New Roman" w:hAnsi="Times New Roman" w:cs="Times New Roman"/>
          <w:sz w:val="24"/>
          <w:szCs w:val="24"/>
        </w:rPr>
        <w:t>in its first year in 1997</w:t>
      </w:r>
      <w:r>
        <w:rPr>
          <w:rFonts w:ascii="Times New Roman" w:hAnsi="Times New Roman" w:cs="Times New Roman"/>
          <w:sz w:val="24"/>
          <w:szCs w:val="24"/>
        </w:rPr>
        <w:t>.</w:t>
      </w:r>
      <w:r w:rsidR="005665E3">
        <w:rPr>
          <w:rFonts w:ascii="Times New Roman" w:hAnsi="Times New Roman" w:cs="Times New Roman"/>
          <w:sz w:val="24"/>
          <w:szCs w:val="24"/>
        </w:rPr>
        <w:t xml:space="preserve"> He said that this year’s revenue collection had increased by 10 fold, with net revenues of over R1,5 trillion. </w:t>
      </w:r>
      <w:r>
        <w:rPr>
          <w:rFonts w:ascii="Times New Roman" w:hAnsi="Times New Roman" w:cs="Times New Roman"/>
          <w:sz w:val="24"/>
          <w:szCs w:val="24"/>
        </w:rPr>
        <w:t xml:space="preserve"> </w:t>
      </w:r>
      <w:r w:rsidR="00AF21E0">
        <w:rPr>
          <w:rFonts w:ascii="Times New Roman" w:hAnsi="Times New Roman" w:cs="Times New Roman"/>
          <w:sz w:val="24"/>
          <w:szCs w:val="24"/>
        </w:rPr>
        <w:t xml:space="preserve"> </w:t>
      </w:r>
    </w:p>
    <w:p w:rsidR="005665E3" w:rsidRDefault="00D5691E" w:rsidP="009E67BD">
      <w:pPr>
        <w:pStyle w:val="ListParagraph"/>
        <w:numPr>
          <w:ilvl w:val="1"/>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Kieswetter</w:t>
      </w:r>
      <w:proofErr w:type="spellEnd"/>
      <w:r>
        <w:rPr>
          <w:rFonts w:ascii="Times New Roman" w:hAnsi="Times New Roman" w:cs="Times New Roman"/>
          <w:sz w:val="24"/>
          <w:szCs w:val="24"/>
        </w:rPr>
        <w:t xml:space="preserve"> reminded members that SARS has an obligation to build an effective and efficiency revenue system. He mentioned that it is the work of SARS that enables government to build a capable state that fosters economic growth and social development. He said that SARS higher purpose is to serve the wellbeing of all South Africans.  </w:t>
      </w:r>
    </w:p>
    <w:p w:rsidR="00DC63F2" w:rsidRDefault="00D5691E" w:rsidP="009E67BD">
      <w:pPr>
        <w:pStyle w:val="ListParagraph"/>
        <w:numPr>
          <w:ilvl w:val="1"/>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Kieswetter</w:t>
      </w:r>
      <w:proofErr w:type="spellEnd"/>
      <w:r>
        <w:rPr>
          <w:rFonts w:ascii="Times New Roman" w:hAnsi="Times New Roman" w:cs="Times New Roman"/>
          <w:sz w:val="24"/>
          <w:szCs w:val="24"/>
        </w:rPr>
        <w:t xml:space="preserve"> emphasised SARS Vision 2024 to become ‘a smart, modern SARS with unquestionable </w:t>
      </w:r>
      <w:r w:rsidR="00C408C8">
        <w:rPr>
          <w:rFonts w:ascii="Times New Roman" w:hAnsi="Times New Roman" w:cs="Times New Roman"/>
          <w:sz w:val="24"/>
          <w:szCs w:val="24"/>
        </w:rPr>
        <w:t>integrity, trusted and admired’</w:t>
      </w:r>
      <w:r>
        <w:rPr>
          <w:rFonts w:ascii="Times New Roman" w:hAnsi="Times New Roman" w:cs="Times New Roman"/>
          <w:sz w:val="24"/>
          <w:szCs w:val="24"/>
        </w:rPr>
        <w:t xml:space="preserve">. He stated that SARS theory of compliance </w:t>
      </w:r>
      <w:r>
        <w:rPr>
          <w:rFonts w:ascii="Times New Roman" w:hAnsi="Times New Roman" w:cs="Times New Roman"/>
          <w:sz w:val="24"/>
          <w:szCs w:val="24"/>
        </w:rPr>
        <w:lastRenderedPageBreak/>
        <w:t xml:space="preserve">was underpinned by that a belief that most taxpayers are honest and simply want to fulfil their obligations with the least amount of effort and cost.  </w:t>
      </w:r>
      <w:r w:rsidR="00DC63F2">
        <w:rPr>
          <w:rFonts w:ascii="Times New Roman" w:hAnsi="Times New Roman" w:cs="Times New Roman"/>
          <w:sz w:val="24"/>
          <w:szCs w:val="24"/>
        </w:rPr>
        <w:t xml:space="preserve">He said that SARS model was geared towards making it easy to comply by providing assistance for taxpayers to comply, detecting and deterring non-compliance and enforcement of the law. </w:t>
      </w:r>
    </w:p>
    <w:p w:rsidR="00D5691E" w:rsidRDefault="00DC63F2" w:rsidP="009E67BD">
      <w:pPr>
        <w:pStyle w:val="ListParagraph"/>
        <w:numPr>
          <w:ilvl w:val="1"/>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He said that SARS’s strategic intent was to develop a tax and c</w:t>
      </w:r>
      <w:r w:rsidR="00C408C8">
        <w:rPr>
          <w:rFonts w:ascii="Times New Roman" w:hAnsi="Times New Roman" w:cs="Times New Roman"/>
          <w:sz w:val="24"/>
          <w:szCs w:val="24"/>
        </w:rPr>
        <w:t>u</w:t>
      </w:r>
      <w:r>
        <w:rPr>
          <w:rFonts w:ascii="Times New Roman" w:hAnsi="Times New Roman" w:cs="Times New Roman"/>
          <w:sz w:val="24"/>
          <w:szCs w:val="24"/>
        </w:rPr>
        <w:t xml:space="preserve">stoms system that is based on voluntary compliance. He said that in order to support this intent, 9 strategic objective were developed, namely; 1. Provide </w:t>
      </w:r>
      <w:r w:rsidR="00C408C8">
        <w:rPr>
          <w:rFonts w:ascii="Times New Roman" w:hAnsi="Times New Roman" w:cs="Times New Roman"/>
          <w:sz w:val="24"/>
          <w:szCs w:val="24"/>
        </w:rPr>
        <w:t>clarity and certainty for taxpa</w:t>
      </w:r>
      <w:r>
        <w:rPr>
          <w:rFonts w:ascii="Times New Roman" w:hAnsi="Times New Roman" w:cs="Times New Roman"/>
          <w:sz w:val="24"/>
          <w:szCs w:val="24"/>
        </w:rPr>
        <w:t xml:space="preserve">yers and traders of their obligations; 2. Make it easy for to comply; 3. Detect those who do not comply and make non-compliance hard and costly; 4. Develop high performing, diverse, agile, engaged and evolved workforce; 5. Increase and expand the use of data to ensure integrity, drive insight and improve outcomes; 6. Modernise systems to provide digital and streamlined online services; 7. Demonstrate effective resource stewardship; 8. Work with and through stakeholders to improve the tax ecosystem; and 9. Build public trust and confidence in the tax administration system. </w:t>
      </w:r>
    </w:p>
    <w:p w:rsidR="00DC63F2" w:rsidRDefault="006F0A99" w:rsidP="009E67BD">
      <w:pPr>
        <w:pStyle w:val="ListParagraph"/>
        <w:numPr>
          <w:ilvl w:val="1"/>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He s</w:t>
      </w:r>
      <w:r w:rsidR="00770C6E">
        <w:rPr>
          <w:rFonts w:ascii="Times New Roman" w:hAnsi="Times New Roman" w:cs="Times New Roman"/>
          <w:sz w:val="24"/>
          <w:szCs w:val="24"/>
        </w:rPr>
        <w:t>aid that there are</w:t>
      </w:r>
      <w:r>
        <w:rPr>
          <w:rFonts w:ascii="Times New Roman" w:hAnsi="Times New Roman" w:cs="Times New Roman"/>
          <w:sz w:val="24"/>
          <w:szCs w:val="24"/>
        </w:rPr>
        <w:t xml:space="preserve"> key </w:t>
      </w:r>
      <w:r w:rsidR="00770C6E">
        <w:rPr>
          <w:rFonts w:ascii="Times New Roman" w:hAnsi="Times New Roman" w:cs="Times New Roman"/>
          <w:sz w:val="24"/>
          <w:szCs w:val="24"/>
        </w:rPr>
        <w:t>“</w:t>
      </w:r>
      <w:r>
        <w:rPr>
          <w:rFonts w:ascii="Times New Roman" w:hAnsi="Times New Roman" w:cs="Times New Roman"/>
          <w:sz w:val="24"/>
          <w:szCs w:val="24"/>
        </w:rPr>
        <w:t>must win battles</w:t>
      </w:r>
      <w:r w:rsidR="00770C6E">
        <w:rPr>
          <w:rFonts w:ascii="Times New Roman" w:hAnsi="Times New Roman" w:cs="Times New Roman"/>
          <w:sz w:val="24"/>
          <w:szCs w:val="24"/>
        </w:rPr>
        <w:t>”</w:t>
      </w:r>
      <w:r>
        <w:rPr>
          <w:rFonts w:ascii="Times New Roman" w:hAnsi="Times New Roman" w:cs="Times New Roman"/>
          <w:sz w:val="24"/>
          <w:szCs w:val="24"/>
        </w:rPr>
        <w:t xml:space="preserve"> for SARS in its strategic plan, which were to broaden the tax base by ensuring that all taxpayers are registered, improving voluntary compliance, achieving more with less resources, maintaining partnerships, and building an organisation with integrity that can be trusted and admired. </w:t>
      </w:r>
    </w:p>
    <w:p w:rsidR="009E67BD" w:rsidRPr="00E15450" w:rsidRDefault="009E67BD" w:rsidP="009E67BD">
      <w:pPr>
        <w:pStyle w:val="ListParagraph"/>
        <w:spacing w:after="0" w:line="480" w:lineRule="auto"/>
        <w:ind w:left="360"/>
        <w:jc w:val="both"/>
        <w:rPr>
          <w:rFonts w:ascii="Times New Roman" w:hAnsi="Times New Roman" w:cs="Times New Roman"/>
          <w:sz w:val="24"/>
          <w:szCs w:val="24"/>
        </w:rPr>
      </w:pPr>
    </w:p>
    <w:p w:rsidR="009E67BD" w:rsidRPr="00E15450" w:rsidRDefault="009E67BD" w:rsidP="009E67BD">
      <w:pPr>
        <w:pStyle w:val="ListParagraph"/>
        <w:numPr>
          <w:ilvl w:val="0"/>
          <w:numId w:val="1"/>
        </w:numPr>
        <w:spacing w:after="0" w:line="480" w:lineRule="auto"/>
        <w:jc w:val="both"/>
        <w:rPr>
          <w:rFonts w:ascii="Times New Roman" w:hAnsi="Times New Roman" w:cs="Times New Roman"/>
          <w:b/>
          <w:sz w:val="24"/>
          <w:szCs w:val="24"/>
        </w:rPr>
      </w:pPr>
      <w:r w:rsidRPr="00E15450">
        <w:rPr>
          <w:rFonts w:ascii="Times New Roman" w:hAnsi="Times New Roman" w:cs="Times New Roman"/>
          <w:b/>
          <w:sz w:val="24"/>
          <w:szCs w:val="24"/>
        </w:rPr>
        <w:t>OVERVIEW OF THE NATIONAL TREASURY BUDGET AND PROGRAMMES</w:t>
      </w:r>
      <w:r w:rsidRPr="00E15450">
        <w:rPr>
          <w:rFonts w:ascii="Times New Roman" w:hAnsi="Times New Roman" w:cs="Times New Roman"/>
          <w:sz w:val="24"/>
          <w:szCs w:val="24"/>
        </w:rPr>
        <w:t xml:space="preserve"> </w:t>
      </w:r>
    </w:p>
    <w:p w:rsidR="00770C6E" w:rsidRPr="00770C6E" w:rsidRDefault="008B57EB" w:rsidP="009E67BD">
      <w:pPr>
        <w:pStyle w:val="ListParagraph"/>
        <w:numPr>
          <w:ilvl w:val="1"/>
          <w:numId w:val="1"/>
        </w:numPr>
        <w:spacing w:line="480" w:lineRule="auto"/>
        <w:jc w:val="both"/>
        <w:rPr>
          <w:rFonts w:ascii="Times New Roman" w:hAnsi="Times New Roman" w:cs="Times New Roman"/>
          <w:sz w:val="23"/>
          <w:szCs w:val="23"/>
        </w:rPr>
      </w:pPr>
      <w:r>
        <w:rPr>
          <w:rFonts w:ascii="Times New Roman" w:hAnsi="Times New Roman" w:cs="Times New Roman"/>
          <w:sz w:val="24"/>
          <w:szCs w:val="24"/>
        </w:rPr>
        <w:t xml:space="preserve"> A total of R33.9 billion is </w:t>
      </w:r>
      <w:r w:rsidR="009E67BD" w:rsidRPr="00E15450">
        <w:rPr>
          <w:rFonts w:ascii="Times New Roman" w:hAnsi="Times New Roman" w:cs="Times New Roman"/>
          <w:sz w:val="24"/>
          <w:szCs w:val="24"/>
        </w:rPr>
        <w:t>allocated to N</w:t>
      </w:r>
      <w:r>
        <w:rPr>
          <w:rFonts w:ascii="Times New Roman" w:hAnsi="Times New Roman" w:cs="Times New Roman"/>
          <w:sz w:val="24"/>
          <w:szCs w:val="24"/>
        </w:rPr>
        <w:t>T</w:t>
      </w:r>
      <w:r w:rsidR="009E67BD" w:rsidRPr="00E15450">
        <w:rPr>
          <w:rFonts w:ascii="Times New Roman" w:hAnsi="Times New Roman" w:cs="Times New Roman"/>
          <w:sz w:val="24"/>
          <w:szCs w:val="24"/>
        </w:rPr>
        <w:t xml:space="preserve"> in 2022</w:t>
      </w:r>
      <w:r>
        <w:rPr>
          <w:rFonts w:ascii="Times New Roman" w:hAnsi="Times New Roman" w:cs="Times New Roman"/>
          <w:sz w:val="24"/>
          <w:szCs w:val="24"/>
        </w:rPr>
        <w:t xml:space="preserve">/23, of which 86 percent will be appropriated to transfers and subsidies. </w:t>
      </w:r>
      <w:r w:rsidR="009E67BD" w:rsidRPr="00E15450">
        <w:rPr>
          <w:rFonts w:ascii="Times New Roman" w:hAnsi="Times New Roman" w:cs="Times New Roman"/>
          <w:sz w:val="24"/>
          <w:szCs w:val="24"/>
        </w:rPr>
        <w:t>The projected allocations for the 2023</w:t>
      </w:r>
      <w:r>
        <w:rPr>
          <w:rFonts w:ascii="Times New Roman" w:hAnsi="Times New Roman" w:cs="Times New Roman"/>
          <w:sz w:val="24"/>
          <w:szCs w:val="24"/>
        </w:rPr>
        <w:t>/24</w:t>
      </w:r>
      <w:r w:rsidR="009E67BD" w:rsidRPr="00E15450">
        <w:rPr>
          <w:rFonts w:ascii="Times New Roman" w:hAnsi="Times New Roman" w:cs="Times New Roman"/>
          <w:sz w:val="24"/>
          <w:szCs w:val="24"/>
        </w:rPr>
        <w:t xml:space="preserve"> and 202</w:t>
      </w:r>
      <w:r>
        <w:rPr>
          <w:rFonts w:ascii="Times New Roman" w:hAnsi="Times New Roman" w:cs="Times New Roman"/>
          <w:sz w:val="24"/>
          <w:szCs w:val="24"/>
        </w:rPr>
        <w:t>4</w:t>
      </w:r>
      <w:r w:rsidR="009E67BD" w:rsidRPr="00E15450">
        <w:rPr>
          <w:rFonts w:ascii="Times New Roman" w:hAnsi="Times New Roman" w:cs="Times New Roman"/>
          <w:sz w:val="24"/>
          <w:szCs w:val="24"/>
        </w:rPr>
        <w:t>/2</w:t>
      </w:r>
      <w:r>
        <w:rPr>
          <w:rFonts w:ascii="Times New Roman" w:hAnsi="Times New Roman" w:cs="Times New Roman"/>
          <w:sz w:val="24"/>
          <w:szCs w:val="24"/>
        </w:rPr>
        <w:t>5</w:t>
      </w:r>
      <w:r w:rsidR="009E67BD" w:rsidRPr="00E15450">
        <w:rPr>
          <w:rFonts w:ascii="Times New Roman" w:hAnsi="Times New Roman" w:cs="Times New Roman"/>
          <w:sz w:val="24"/>
          <w:szCs w:val="24"/>
        </w:rPr>
        <w:t xml:space="preserve"> are R32.0 and 32.1 billion, respectively.  </w:t>
      </w:r>
    </w:p>
    <w:p w:rsidR="00770C6E" w:rsidRDefault="00770C6E" w:rsidP="00770C6E">
      <w:pPr>
        <w:pStyle w:val="ListParagraph"/>
        <w:spacing w:line="480" w:lineRule="auto"/>
        <w:ind w:left="360"/>
        <w:jc w:val="both"/>
        <w:rPr>
          <w:rFonts w:ascii="Times New Roman" w:hAnsi="Times New Roman" w:cs="Times New Roman"/>
          <w:sz w:val="24"/>
          <w:szCs w:val="24"/>
        </w:rPr>
      </w:pPr>
    </w:p>
    <w:p w:rsidR="00770C6E" w:rsidRDefault="00770C6E" w:rsidP="00770C6E">
      <w:pPr>
        <w:pStyle w:val="ListParagraph"/>
        <w:spacing w:line="480" w:lineRule="auto"/>
        <w:ind w:left="360"/>
        <w:jc w:val="both"/>
        <w:rPr>
          <w:rFonts w:ascii="Times New Roman" w:hAnsi="Times New Roman" w:cs="Times New Roman"/>
          <w:sz w:val="24"/>
          <w:szCs w:val="24"/>
        </w:rPr>
      </w:pPr>
    </w:p>
    <w:p w:rsidR="009E67BD" w:rsidRPr="00FC47A6" w:rsidRDefault="00770C6E" w:rsidP="009E67BD">
      <w:pPr>
        <w:jc w:val="both"/>
        <w:rPr>
          <w:rFonts w:ascii="Times New Roman" w:hAnsi="Times New Roman"/>
          <w:sz w:val="22"/>
          <w:szCs w:val="22"/>
        </w:rPr>
      </w:pPr>
      <w:r>
        <w:rPr>
          <w:rFonts w:ascii="Times New Roman" w:hAnsi="Times New Roman"/>
          <w:b/>
          <w:sz w:val="22"/>
          <w:szCs w:val="22"/>
        </w:rPr>
        <w:lastRenderedPageBreak/>
        <w:t>T</w:t>
      </w:r>
      <w:r w:rsidR="009E67BD" w:rsidRPr="00FC47A6">
        <w:rPr>
          <w:rFonts w:ascii="Times New Roman" w:hAnsi="Times New Roman"/>
          <w:b/>
          <w:sz w:val="22"/>
          <w:szCs w:val="22"/>
        </w:rPr>
        <w:t xml:space="preserve">ABLE 1: National Treasury </w:t>
      </w:r>
      <w:r>
        <w:rPr>
          <w:rFonts w:ascii="Times New Roman" w:eastAsia="Times New Roman" w:hAnsi="Times New Roman"/>
          <w:b/>
          <w:bCs/>
          <w:sz w:val="22"/>
          <w:szCs w:val="22"/>
          <w:lang w:eastAsia="en-ZA"/>
        </w:rPr>
        <w:t>budget s</w:t>
      </w:r>
      <w:r w:rsidR="009E67BD" w:rsidRPr="00FC47A6">
        <w:rPr>
          <w:rFonts w:ascii="Times New Roman" w:eastAsia="Times New Roman" w:hAnsi="Times New Roman"/>
          <w:b/>
          <w:bCs/>
          <w:sz w:val="22"/>
          <w:szCs w:val="22"/>
          <w:lang w:eastAsia="en-ZA"/>
        </w:rPr>
        <w:t>ummary</w:t>
      </w:r>
      <w:r w:rsidR="00902A09" w:rsidRPr="00FC47A6">
        <w:rPr>
          <w:rFonts w:ascii="Times New Roman" w:eastAsia="Times New Roman" w:hAnsi="Times New Roman"/>
          <w:b/>
          <w:bCs/>
          <w:sz w:val="22"/>
          <w:szCs w:val="22"/>
          <w:lang w:eastAsia="en-ZA"/>
        </w:rPr>
        <w:t xml:space="preserve"> and vote expenditure trends</w:t>
      </w:r>
      <w:r w:rsidR="00C16F65" w:rsidRPr="00FC47A6">
        <w:rPr>
          <w:rFonts w:ascii="Times New Roman" w:eastAsia="Times New Roman" w:hAnsi="Times New Roman"/>
          <w:b/>
          <w:bCs/>
          <w:sz w:val="22"/>
          <w:szCs w:val="22"/>
          <w:lang w:eastAsia="en-ZA"/>
        </w:rPr>
        <w:t xml:space="preserve"> 20</w:t>
      </w:r>
      <w:r w:rsidR="009E67BD" w:rsidRPr="00FC47A6">
        <w:rPr>
          <w:rFonts w:ascii="Times New Roman" w:eastAsia="Times New Roman" w:hAnsi="Times New Roman"/>
          <w:b/>
          <w:bCs/>
          <w:sz w:val="22"/>
          <w:szCs w:val="22"/>
          <w:lang w:eastAsia="en-ZA"/>
        </w:rPr>
        <w:t>22</w:t>
      </w:r>
      <w:r w:rsidR="00C16F65" w:rsidRPr="00FC47A6">
        <w:rPr>
          <w:rFonts w:ascii="Times New Roman" w:eastAsia="Times New Roman" w:hAnsi="Times New Roman"/>
          <w:b/>
          <w:bCs/>
          <w:sz w:val="22"/>
          <w:szCs w:val="22"/>
          <w:lang w:eastAsia="en-ZA"/>
        </w:rPr>
        <w:t>/23</w:t>
      </w:r>
      <w:r w:rsidR="009E67BD" w:rsidRPr="00FC47A6">
        <w:rPr>
          <w:rFonts w:ascii="Times New Roman" w:eastAsia="Times New Roman" w:hAnsi="Times New Roman"/>
          <w:b/>
          <w:bCs/>
          <w:sz w:val="22"/>
          <w:szCs w:val="22"/>
          <w:lang w:eastAsia="en-ZA"/>
        </w:rPr>
        <w:t xml:space="preserve"> MTEF</w:t>
      </w:r>
    </w:p>
    <w:tbl>
      <w:tblPr>
        <w:tblW w:w="10990" w:type="dxa"/>
        <w:tblInd w:w="-990" w:type="dxa"/>
        <w:tblLook w:val="04A0" w:firstRow="1" w:lastRow="0" w:firstColumn="1" w:lastColumn="0" w:noHBand="0" w:noVBand="1"/>
      </w:tblPr>
      <w:tblGrid>
        <w:gridCol w:w="1525"/>
        <w:gridCol w:w="770"/>
        <w:gridCol w:w="721"/>
        <w:gridCol w:w="840"/>
        <w:gridCol w:w="1023"/>
        <w:gridCol w:w="1140"/>
        <w:gridCol w:w="732"/>
        <w:gridCol w:w="925"/>
        <w:gridCol w:w="721"/>
        <w:gridCol w:w="721"/>
        <w:gridCol w:w="1140"/>
        <w:gridCol w:w="732"/>
      </w:tblGrid>
      <w:tr w:rsidR="00C16F65" w:rsidRPr="00C16F65" w:rsidTr="00902A09">
        <w:trPr>
          <w:trHeight w:val="1110"/>
        </w:trPr>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C16F65" w:rsidRPr="00C16F65" w:rsidRDefault="00C16F65" w:rsidP="00C16F65">
            <w:pPr>
              <w:jc w:val="center"/>
              <w:rPr>
                <w:rFonts w:ascii="Calibri" w:eastAsia="Times New Roman" w:hAnsi="Calibri" w:cs="Calibri"/>
                <w:b/>
                <w:bCs/>
                <w:sz w:val="14"/>
                <w:szCs w:val="14"/>
              </w:rPr>
            </w:pP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C16F65" w:rsidRPr="00C16F65" w:rsidRDefault="00C16F65" w:rsidP="00C16F65">
            <w:pPr>
              <w:jc w:val="center"/>
              <w:rPr>
                <w:rFonts w:ascii="Calibri" w:eastAsia="Times New Roman" w:hAnsi="Calibri" w:cs="Calibri"/>
                <w:b/>
                <w:bCs/>
                <w:sz w:val="14"/>
                <w:szCs w:val="14"/>
              </w:rPr>
            </w:pPr>
            <w:r w:rsidRPr="00C16F65">
              <w:rPr>
                <w:rFonts w:ascii="Calibri" w:eastAsia="Times New Roman" w:hAnsi="Calibri" w:cs="Calibri"/>
                <w:b/>
                <w:bCs/>
                <w:sz w:val="14"/>
                <w:szCs w:val="14"/>
              </w:rPr>
              <w:t>Audited outcome</w:t>
            </w:r>
          </w:p>
        </w:tc>
        <w:tc>
          <w:tcPr>
            <w:tcW w:w="721" w:type="dxa"/>
            <w:tcBorders>
              <w:top w:val="single" w:sz="4" w:space="0" w:color="auto"/>
              <w:left w:val="nil"/>
              <w:bottom w:val="single" w:sz="4" w:space="0" w:color="auto"/>
              <w:right w:val="single" w:sz="4" w:space="0" w:color="auto"/>
            </w:tcBorders>
            <w:shd w:val="clear" w:color="auto" w:fill="auto"/>
            <w:vAlign w:val="bottom"/>
            <w:hideMark/>
          </w:tcPr>
          <w:p w:rsidR="00C16F65" w:rsidRPr="00C16F65" w:rsidRDefault="00C16F65" w:rsidP="00C16F65">
            <w:pPr>
              <w:jc w:val="center"/>
              <w:rPr>
                <w:rFonts w:ascii="Calibri" w:eastAsia="Times New Roman" w:hAnsi="Calibri" w:cs="Calibri"/>
                <w:b/>
                <w:bCs/>
                <w:sz w:val="14"/>
                <w:szCs w:val="14"/>
              </w:rPr>
            </w:pP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C16F65" w:rsidRPr="00C16F65" w:rsidRDefault="00C16F65" w:rsidP="00C16F65">
            <w:pPr>
              <w:jc w:val="center"/>
              <w:rPr>
                <w:rFonts w:ascii="Calibri" w:eastAsia="Times New Roman" w:hAnsi="Calibri" w:cs="Calibri"/>
                <w:b/>
                <w:bCs/>
                <w:sz w:val="14"/>
                <w:szCs w:val="14"/>
              </w:rPr>
            </w:pPr>
          </w:p>
        </w:tc>
        <w:tc>
          <w:tcPr>
            <w:tcW w:w="1023" w:type="dxa"/>
            <w:tcBorders>
              <w:top w:val="single" w:sz="4" w:space="0" w:color="auto"/>
              <w:left w:val="nil"/>
              <w:bottom w:val="single" w:sz="4" w:space="0" w:color="auto"/>
              <w:right w:val="single" w:sz="4" w:space="0" w:color="auto"/>
            </w:tcBorders>
            <w:shd w:val="clear" w:color="auto" w:fill="auto"/>
            <w:vAlign w:val="bottom"/>
            <w:hideMark/>
          </w:tcPr>
          <w:p w:rsidR="00C16F65" w:rsidRPr="00C16F65" w:rsidRDefault="00C16F65" w:rsidP="00C16F65">
            <w:pPr>
              <w:jc w:val="center"/>
              <w:rPr>
                <w:rFonts w:ascii="Calibri" w:eastAsia="Times New Roman" w:hAnsi="Calibri" w:cs="Calibri"/>
                <w:b/>
                <w:bCs/>
                <w:sz w:val="14"/>
                <w:szCs w:val="14"/>
              </w:rPr>
            </w:pPr>
            <w:r w:rsidRPr="00C16F65">
              <w:rPr>
                <w:rFonts w:ascii="Calibri" w:eastAsia="Times New Roman" w:hAnsi="Calibri" w:cs="Calibri"/>
                <w:b/>
                <w:bCs/>
                <w:sz w:val="14"/>
                <w:szCs w:val="14"/>
              </w:rPr>
              <w:t xml:space="preserve">Adjusted </w:t>
            </w:r>
            <w:r w:rsidRPr="00C16F65">
              <w:rPr>
                <w:rFonts w:ascii="Calibri" w:eastAsia="Times New Roman" w:hAnsi="Calibri" w:cs="Calibri"/>
                <w:b/>
                <w:bCs/>
                <w:sz w:val="14"/>
                <w:szCs w:val="14"/>
              </w:rPr>
              <w:br/>
              <w:t>appropriation</w:t>
            </w:r>
          </w:p>
        </w:tc>
        <w:tc>
          <w:tcPr>
            <w:tcW w:w="1140" w:type="dxa"/>
            <w:tcBorders>
              <w:top w:val="single" w:sz="4" w:space="0" w:color="auto"/>
              <w:left w:val="nil"/>
              <w:bottom w:val="single" w:sz="4" w:space="0" w:color="auto"/>
              <w:right w:val="single" w:sz="4" w:space="0" w:color="auto"/>
            </w:tcBorders>
            <w:shd w:val="clear" w:color="000000" w:fill="D9D9D9"/>
            <w:vAlign w:val="bottom"/>
            <w:hideMark/>
          </w:tcPr>
          <w:p w:rsidR="00C16F65" w:rsidRPr="00C16F65" w:rsidRDefault="00C16F65" w:rsidP="00C16F65">
            <w:pPr>
              <w:jc w:val="center"/>
              <w:rPr>
                <w:rFonts w:ascii="Calibri" w:eastAsia="Times New Roman" w:hAnsi="Calibri" w:cs="Calibri"/>
                <w:b/>
                <w:bCs/>
                <w:sz w:val="14"/>
                <w:szCs w:val="14"/>
              </w:rPr>
            </w:pPr>
            <w:r w:rsidRPr="00C16F65">
              <w:rPr>
                <w:rFonts w:ascii="Calibri" w:eastAsia="Times New Roman" w:hAnsi="Calibri" w:cs="Calibri"/>
                <w:b/>
                <w:bCs/>
                <w:sz w:val="14"/>
                <w:szCs w:val="14"/>
              </w:rPr>
              <w:t>Average</w:t>
            </w:r>
            <w:r w:rsidRPr="00C16F65">
              <w:rPr>
                <w:rFonts w:ascii="Calibri" w:eastAsia="Times New Roman" w:hAnsi="Calibri" w:cs="Calibri"/>
                <w:b/>
                <w:bCs/>
                <w:sz w:val="14"/>
                <w:szCs w:val="14"/>
              </w:rPr>
              <w:br/>
              <w:t>growth</w:t>
            </w:r>
            <w:r w:rsidRPr="00C16F65">
              <w:rPr>
                <w:rFonts w:ascii="Calibri" w:eastAsia="Times New Roman" w:hAnsi="Calibri" w:cs="Calibri"/>
                <w:b/>
                <w:bCs/>
                <w:sz w:val="14"/>
                <w:szCs w:val="14"/>
              </w:rPr>
              <w:br/>
              <w:t>rate</w:t>
            </w:r>
            <w:r w:rsidRPr="00C16F65">
              <w:rPr>
                <w:rFonts w:ascii="Calibri" w:eastAsia="Times New Roman" w:hAnsi="Calibri" w:cs="Calibri"/>
                <w:b/>
                <w:bCs/>
                <w:sz w:val="14"/>
                <w:szCs w:val="14"/>
              </w:rPr>
              <w:br/>
              <w:t>(%)</w:t>
            </w:r>
          </w:p>
        </w:tc>
        <w:tc>
          <w:tcPr>
            <w:tcW w:w="732" w:type="dxa"/>
            <w:tcBorders>
              <w:top w:val="single" w:sz="4" w:space="0" w:color="auto"/>
              <w:left w:val="nil"/>
              <w:bottom w:val="single" w:sz="4" w:space="0" w:color="auto"/>
              <w:right w:val="single" w:sz="4" w:space="0" w:color="auto"/>
            </w:tcBorders>
            <w:shd w:val="clear" w:color="000000" w:fill="D9D9D9"/>
            <w:vAlign w:val="bottom"/>
            <w:hideMark/>
          </w:tcPr>
          <w:p w:rsidR="00C16F65" w:rsidRPr="00C16F65" w:rsidRDefault="00C16F65" w:rsidP="00C16F65">
            <w:pPr>
              <w:jc w:val="center"/>
              <w:rPr>
                <w:rFonts w:ascii="Calibri" w:eastAsia="Times New Roman" w:hAnsi="Calibri" w:cs="Calibri"/>
                <w:b/>
                <w:bCs/>
                <w:sz w:val="14"/>
                <w:szCs w:val="14"/>
              </w:rPr>
            </w:pPr>
            <w:r w:rsidRPr="00C16F65">
              <w:rPr>
                <w:rFonts w:ascii="Calibri" w:eastAsia="Times New Roman" w:hAnsi="Calibri" w:cs="Calibri"/>
                <w:b/>
                <w:bCs/>
                <w:sz w:val="14"/>
                <w:szCs w:val="14"/>
              </w:rPr>
              <w:t xml:space="preserve">Average: </w:t>
            </w:r>
            <w:r w:rsidRPr="00C16F65">
              <w:rPr>
                <w:rFonts w:ascii="Calibri" w:eastAsia="Times New Roman" w:hAnsi="Calibri" w:cs="Calibri"/>
                <w:b/>
                <w:bCs/>
                <w:sz w:val="14"/>
                <w:szCs w:val="14"/>
              </w:rPr>
              <w:br/>
            </w:r>
            <w:proofErr w:type="spellStart"/>
            <w:r w:rsidRPr="00C16F65">
              <w:rPr>
                <w:rFonts w:ascii="Calibri" w:eastAsia="Times New Roman" w:hAnsi="Calibri" w:cs="Calibri"/>
                <w:b/>
                <w:bCs/>
                <w:sz w:val="14"/>
                <w:szCs w:val="14"/>
              </w:rPr>
              <w:t>Expen</w:t>
            </w:r>
            <w:proofErr w:type="spellEnd"/>
            <w:r w:rsidRPr="00C16F65">
              <w:rPr>
                <w:rFonts w:ascii="Calibri" w:eastAsia="Times New Roman" w:hAnsi="Calibri" w:cs="Calibri"/>
                <w:b/>
                <w:bCs/>
                <w:sz w:val="14"/>
                <w:szCs w:val="14"/>
              </w:rPr>
              <w:t>-</w:t>
            </w:r>
            <w:r w:rsidRPr="00C16F65">
              <w:rPr>
                <w:rFonts w:ascii="Calibri" w:eastAsia="Times New Roman" w:hAnsi="Calibri" w:cs="Calibri"/>
                <w:b/>
                <w:bCs/>
                <w:sz w:val="14"/>
                <w:szCs w:val="14"/>
              </w:rPr>
              <w:br/>
            </w:r>
            <w:proofErr w:type="spellStart"/>
            <w:r w:rsidRPr="00C16F65">
              <w:rPr>
                <w:rFonts w:ascii="Calibri" w:eastAsia="Times New Roman" w:hAnsi="Calibri" w:cs="Calibri"/>
                <w:b/>
                <w:bCs/>
                <w:sz w:val="14"/>
                <w:szCs w:val="14"/>
              </w:rPr>
              <w:t>diture</w:t>
            </w:r>
            <w:proofErr w:type="spellEnd"/>
            <w:r w:rsidRPr="00C16F65">
              <w:rPr>
                <w:rFonts w:ascii="Calibri" w:eastAsia="Times New Roman" w:hAnsi="Calibri" w:cs="Calibri"/>
                <w:b/>
                <w:bCs/>
                <w:sz w:val="14"/>
                <w:szCs w:val="14"/>
              </w:rPr>
              <w:t>/</w:t>
            </w:r>
            <w:r w:rsidRPr="00C16F65">
              <w:rPr>
                <w:rFonts w:ascii="Calibri" w:eastAsia="Times New Roman" w:hAnsi="Calibri" w:cs="Calibri"/>
                <w:b/>
                <w:bCs/>
                <w:sz w:val="14"/>
                <w:szCs w:val="14"/>
              </w:rPr>
              <w:br/>
              <w:t>Total</w:t>
            </w:r>
            <w:r w:rsidRPr="00C16F65">
              <w:rPr>
                <w:rFonts w:ascii="Calibri" w:eastAsia="Times New Roman" w:hAnsi="Calibri" w:cs="Calibri"/>
                <w:b/>
                <w:bCs/>
                <w:sz w:val="14"/>
                <w:szCs w:val="14"/>
              </w:rPr>
              <w:br/>
              <w:t>(%)</w:t>
            </w:r>
          </w:p>
        </w:tc>
        <w:tc>
          <w:tcPr>
            <w:tcW w:w="925" w:type="dxa"/>
            <w:tcBorders>
              <w:top w:val="single" w:sz="4" w:space="0" w:color="auto"/>
              <w:left w:val="nil"/>
              <w:bottom w:val="single" w:sz="4" w:space="0" w:color="auto"/>
              <w:right w:val="single" w:sz="4" w:space="0" w:color="auto"/>
            </w:tcBorders>
            <w:shd w:val="clear" w:color="auto" w:fill="auto"/>
            <w:vAlign w:val="bottom"/>
            <w:hideMark/>
          </w:tcPr>
          <w:p w:rsidR="00C16F65" w:rsidRPr="00C16F65" w:rsidRDefault="00C16F65" w:rsidP="00C16F65">
            <w:pPr>
              <w:jc w:val="center"/>
              <w:rPr>
                <w:rFonts w:ascii="Calibri" w:eastAsia="Times New Roman" w:hAnsi="Calibri" w:cs="Calibri"/>
                <w:b/>
                <w:bCs/>
                <w:sz w:val="14"/>
                <w:szCs w:val="14"/>
              </w:rPr>
            </w:pPr>
            <w:r w:rsidRPr="00C16F65">
              <w:rPr>
                <w:rFonts w:ascii="Calibri" w:eastAsia="Times New Roman" w:hAnsi="Calibri" w:cs="Calibri"/>
                <w:b/>
                <w:bCs/>
                <w:sz w:val="14"/>
                <w:szCs w:val="14"/>
              </w:rPr>
              <w:t xml:space="preserve">Medium-term expenditure </w:t>
            </w:r>
            <w:r w:rsidRPr="00C16F65">
              <w:rPr>
                <w:rFonts w:ascii="Calibri" w:eastAsia="Times New Roman" w:hAnsi="Calibri" w:cs="Calibri"/>
                <w:b/>
                <w:bCs/>
                <w:sz w:val="14"/>
                <w:szCs w:val="14"/>
              </w:rPr>
              <w:br/>
              <w:t>estimate</w:t>
            </w:r>
          </w:p>
        </w:tc>
        <w:tc>
          <w:tcPr>
            <w:tcW w:w="721" w:type="dxa"/>
            <w:tcBorders>
              <w:top w:val="single" w:sz="4" w:space="0" w:color="auto"/>
              <w:left w:val="nil"/>
              <w:bottom w:val="single" w:sz="4" w:space="0" w:color="auto"/>
              <w:right w:val="single" w:sz="4" w:space="0" w:color="auto"/>
            </w:tcBorders>
            <w:shd w:val="clear" w:color="auto" w:fill="auto"/>
            <w:vAlign w:val="bottom"/>
            <w:hideMark/>
          </w:tcPr>
          <w:p w:rsidR="00C16F65" w:rsidRPr="00C16F65" w:rsidRDefault="00C16F65" w:rsidP="00C16F65">
            <w:pPr>
              <w:jc w:val="center"/>
              <w:rPr>
                <w:rFonts w:ascii="Calibri" w:eastAsia="Times New Roman" w:hAnsi="Calibri" w:cs="Calibri"/>
                <w:sz w:val="14"/>
                <w:szCs w:val="14"/>
              </w:rPr>
            </w:pPr>
          </w:p>
        </w:tc>
        <w:tc>
          <w:tcPr>
            <w:tcW w:w="721" w:type="dxa"/>
            <w:tcBorders>
              <w:top w:val="single" w:sz="4" w:space="0" w:color="auto"/>
              <w:left w:val="nil"/>
              <w:bottom w:val="single" w:sz="4" w:space="0" w:color="auto"/>
              <w:right w:val="single" w:sz="4" w:space="0" w:color="auto"/>
            </w:tcBorders>
            <w:shd w:val="clear" w:color="auto" w:fill="auto"/>
            <w:vAlign w:val="bottom"/>
            <w:hideMark/>
          </w:tcPr>
          <w:p w:rsidR="00C16F65" w:rsidRPr="00C16F65" w:rsidRDefault="00C16F65" w:rsidP="00C16F65">
            <w:pPr>
              <w:jc w:val="center"/>
              <w:rPr>
                <w:rFonts w:ascii="Calibri" w:eastAsia="Times New Roman" w:hAnsi="Calibri" w:cs="Calibri"/>
                <w:sz w:val="14"/>
                <w:szCs w:val="14"/>
              </w:rPr>
            </w:pPr>
          </w:p>
        </w:tc>
        <w:tc>
          <w:tcPr>
            <w:tcW w:w="1140" w:type="dxa"/>
            <w:tcBorders>
              <w:top w:val="single" w:sz="4" w:space="0" w:color="auto"/>
              <w:left w:val="nil"/>
              <w:bottom w:val="single" w:sz="4" w:space="0" w:color="auto"/>
              <w:right w:val="single" w:sz="4" w:space="0" w:color="auto"/>
            </w:tcBorders>
            <w:shd w:val="clear" w:color="000000" w:fill="D9D9D9"/>
            <w:vAlign w:val="bottom"/>
            <w:hideMark/>
          </w:tcPr>
          <w:p w:rsidR="00C16F65" w:rsidRPr="00C16F65" w:rsidRDefault="00C16F65" w:rsidP="00C16F65">
            <w:pPr>
              <w:jc w:val="center"/>
              <w:rPr>
                <w:rFonts w:ascii="Calibri" w:eastAsia="Times New Roman" w:hAnsi="Calibri" w:cs="Calibri"/>
                <w:b/>
                <w:bCs/>
                <w:sz w:val="14"/>
                <w:szCs w:val="14"/>
              </w:rPr>
            </w:pPr>
            <w:r w:rsidRPr="00C16F65">
              <w:rPr>
                <w:rFonts w:ascii="Calibri" w:eastAsia="Times New Roman" w:hAnsi="Calibri" w:cs="Calibri"/>
                <w:b/>
                <w:bCs/>
                <w:sz w:val="14"/>
                <w:szCs w:val="14"/>
              </w:rPr>
              <w:t>Average</w:t>
            </w:r>
            <w:r w:rsidRPr="00C16F65">
              <w:rPr>
                <w:rFonts w:ascii="Calibri" w:eastAsia="Times New Roman" w:hAnsi="Calibri" w:cs="Calibri"/>
                <w:b/>
                <w:bCs/>
                <w:sz w:val="14"/>
                <w:szCs w:val="14"/>
              </w:rPr>
              <w:br/>
              <w:t>growth</w:t>
            </w:r>
            <w:r w:rsidRPr="00C16F65">
              <w:rPr>
                <w:rFonts w:ascii="Calibri" w:eastAsia="Times New Roman" w:hAnsi="Calibri" w:cs="Calibri"/>
                <w:b/>
                <w:bCs/>
                <w:sz w:val="14"/>
                <w:szCs w:val="14"/>
              </w:rPr>
              <w:br/>
              <w:t>rate</w:t>
            </w:r>
            <w:r w:rsidRPr="00C16F65">
              <w:rPr>
                <w:rFonts w:ascii="Calibri" w:eastAsia="Times New Roman" w:hAnsi="Calibri" w:cs="Calibri"/>
                <w:b/>
                <w:bCs/>
                <w:sz w:val="14"/>
                <w:szCs w:val="14"/>
              </w:rPr>
              <w:br/>
              <w:t>(%)</w:t>
            </w:r>
          </w:p>
        </w:tc>
        <w:tc>
          <w:tcPr>
            <w:tcW w:w="732" w:type="dxa"/>
            <w:tcBorders>
              <w:top w:val="single" w:sz="4" w:space="0" w:color="auto"/>
              <w:left w:val="nil"/>
              <w:bottom w:val="single" w:sz="4" w:space="0" w:color="auto"/>
              <w:right w:val="single" w:sz="4" w:space="0" w:color="auto"/>
            </w:tcBorders>
            <w:shd w:val="clear" w:color="000000" w:fill="D9D9D9"/>
            <w:vAlign w:val="bottom"/>
            <w:hideMark/>
          </w:tcPr>
          <w:p w:rsidR="00C16F65" w:rsidRPr="00C16F65" w:rsidRDefault="00C16F65" w:rsidP="00C16F65">
            <w:pPr>
              <w:jc w:val="center"/>
              <w:rPr>
                <w:rFonts w:ascii="Calibri" w:eastAsia="Times New Roman" w:hAnsi="Calibri" w:cs="Calibri"/>
                <w:b/>
                <w:bCs/>
                <w:sz w:val="14"/>
                <w:szCs w:val="14"/>
              </w:rPr>
            </w:pPr>
            <w:r w:rsidRPr="00C16F65">
              <w:rPr>
                <w:rFonts w:ascii="Calibri" w:eastAsia="Times New Roman" w:hAnsi="Calibri" w:cs="Calibri"/>
                <w:b/>
                <w:bCs/>
                <w:sz w:val="14"/>
                <w:szCs w:val="14"/>
              </w:rPr>
              <w:t>Average:</w:t>
            </w:r>
            <w:r w:rsidRPr="00C16F65">
              <w:rPr>
                <w:rFonts w:ascii="Calibri" w:eastAsia="Times New Roman" w:hAnsi="Calibri" w:cs="Calibri"/>
                <w:b/>
                <w:bCs/>
                <w:sz w:val="14"/>
                <w:szCs w:val="14"/>
              </w:rPr>
              <w:br/>
            </w:r>
            <w:proofErr w:type="spellStart"/>
            <w:r w:rsidRPr="00C16F65">
              <w:rPr>
                <w:rFonts w:ascii="Calibri" w:eastAsia="Times New Roman" w:hAnsi="Calibri" w:cs="Calibri"/>
                <w:b/>
                <w:bCs/>
                <w:sz w:val="14"/>
                <w:szCs w:val="14"/>
              </w:rPr>
              <w:t>Expen</w:t>
            </w:r>
            <w:proofErr w:type="spellEnd"/>
            <w:r w:rsidRPr="00C16F65">
              <w:rPr>
                <w:rFonts w:ascii="Calibri" w:eastAsia="Times New Roman" w:hAnsi="Calibri" w:cs="Calibri"/>
                <w:b/>
                <w:bCs/>
                <w:sz w:val="14"/>
                <w:szCs w:val="14"/>
              </w:rPr>
              <w:t>-</w:t>
            </w:r>
            <w:r w:rsidRPr="00C16F65">
              <w:rPr>
                <w:rFonts w:ascii="Calibri" w:eastAsia="Times New Roman" w:hAnsi="Calibri" w:cs="Calibri"/>
                <w:b/>
                <w:bCs/>
                <w:sz w:val="14"/>
                <w:szCs w:val="14"/>
              </w:rPr>
              <w:br/>
            </w:r>
            <w:proofErr w:type="spellStart"/>
            <w:r w:rsidRPr="00C16F65">
              <w:rPr>
                <w:rFonts w:ascii="Calibri" w:eastAsia="Times New Roman" w:hAnsi="Calibri" w:cs="Calibri"/>
                <w:b/>
                <w:bCs/>
                <w:sz w:val="14"/>
                <w:szCs w:val="14"/>
              </w:rPr>
              <w:t>diture</w:t>
            </w:r>
            <w:proofErr w:type="spellEnd"/>
            <w:r w:rsidRPr="00C16F65">
              <w:rPr>
                <w:rFonts w:ascii="Calibri" w:eastAsia="Times New Roman" w:hAnsi="Calibri" w:cs="Calibri"/>
                <w:b/>
                <w:bCs/>
                <w:sz w:val="14"/>
                <w:szCs w:val="14"/>
              </w:rPr>
              <w:t>/</w:t>
            </w:r>
            <w:r w:rsidRPr="00C16F65">
              <w:rPr>
                <w:rFonts w:ascii="Calibri" w:eastAsia="Times New Roman" w:hAnsi="Calibri" w:cs="Calibri"/>
                <w:b/>
                <w:bCs/>
                <w:sz w:val="14"/>
                <w:szCs w:val="14"/>
              </w:rPr>
              <w:br/>
              <w:t>Total</w:t>
            </w:r>
            <w:r w:rsidRPr="00C16F65">
              <w:rPr>
                <w:rFonts w:ascii="Calibri" w:eastAsia="Times New Roman" w:hAnsi="Calibri" w:cs="Calibri"/>
                <w:b/>
                <w:bCs/>
                <w:sz w:val="14"/>
                <w:szCs w:val="14"/>
              </w:rPr>
              <w:br/>
              <w:t>(%)</w:t>
            </w:r>
          </w:p>
        </w:tc>
      </w:tr>
      <w:tr w:rsidR="00C16F65" w:rsidRPr="00C16F65" w:rsidTr="00902A09">
        <w:trPr>
          <w:trHeight w:val="300"/>
        </w:trPr>
        <w:tc>
          <w:tcPr>
            <w:tcW w:w="1525" w:type="dxa"/>
            <w:tcBorders>
              <w:top w:val="nil"/>
              <w:left w:val="single" w:sz="4" w:space="0" w:color="auto"/>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R million</w:t>
            </w:r>
          </w:p>
        </w:tc>
        <w:tc>
          <w:tcPr>
            <w:tcW w:w="770"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b/>
                <w:bCs/>
                <w:sz w:val="14"/>
                <w:szCs w:val="14"/>
              </w:rPr>
            </w:pPr>
            <w:r w:rsidRPr="00C16F65">
              <w:rPr>
                <w:rFonts w:ascii="Calibri" w:eastAsia="Times New Roman" w:hAnsi="Calibri" w:cs="Calibri"/>
                <w:b/>
                <w:bCs/>
                <w:sz w:val="14"/>
                <w:szCs w:val="14"/>
              </w:rPr>
              <w:t>2018/19</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b/>
                <w:bCs/>
                <w:sz w:val="14"/>
                <w:szCs w:val="14"/>
              </w:rPr>
            </w:pPr>
            <w:r w:rsidRPr="00C16F65">
              <w:rPr>
                <w:rFonts w:ascii="Calibri" w:eastAsia="Times New Roman" w:hAnsi="Calibri" w:cs="Calibri"/>
                <w:b/>
                <w:bCs/>
                <w:sz w:val="14"/>
                <w:szCs w:val="14"/>
              </w:rPr>
              <w:t>2019/20</w:t>
            </w:r>
          </w:p>
        </w:tc>
        <w:tc>
          <w:tcPr>
            <w:tcW w:w="840"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b/>
                <w:bCs/>
                <w:sz w:val="14"/>
                <w:szCs w:val="14"/>
              </w:rPr>
            </w:pPr>
            <w:r w:rsidRPr="00C16F65">
              <w:rPr>
                <w:rFonts w:ascii="Calibri" w:eastAsia="Times New Roman" w:hAnsi="Calibri" w:cs="Calibri"/>
                <w:b/>
                <w:bCs/>
                <w:sz w:val="14"/>
                <w:szCs w:val="14"/>
              </w:rPr>
              <w:t>2020/21</w:t>
            </w:r>
          </w:p>
        </w:tc>
        <w:tc>
          <w:tcPr>
            <w:tcW w:w="1023"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b/>
                <w:bCs/>
                <w:sz w:val="14"/>
                <w:szCs w:val="14"/>
              </w:rPr>
            </w:pPr>
            <w:r w:rsidRPr="00C16F65">
              <w:rPr>
                <w:rFonts w:ascii="Calibri" w:eastAsia="Times New Roman" w:hAnsi="Calibri" w:cs="Calibri"/>
                <w:b/>
                <w:bCs/>
                <w:sz w:val="14"/>
                <w:szCs w:val="14"/>
              </w:rPr>
              <w:t>2021/22</w:t>
            </w:r>
          </w:p>
        </w:tc>
        <w:tc>
          <w:tcPr>
            <w:tcW w:w="1140"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b/>
                <w:bCs/>
                <w:sz w:val="14"/>
                <w:szCs w:val="14"/>
              </w:rPr>
            </w:pPr>
            <w:r w:rsidRPr="00C16F65">
              <w:rPr>
                <w:rFonts w:ascii="Calibri" w:eastAsia="Times New Roman" w:hAnsi="Calibri" w:cs="Calibri"/>
                <w:b/>
                <w:bCs/>
                <w:sz w:val="14"/>
                <w:szCs w:val="14"/>
              </w:rPr>
              <w:t>2018/19 - 2021/22</w:t>
            </w:r>
          </w:p>
        </w:tc>
        <w:tc>
          <w:tcPr>
            <w:tcW w:w="732"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b/>
                <w:bCs/>
                <w:sz w:val="14"/>
                <w:szCs w:val="14"/>
              </w:rPr>
            </w:pPr>
          </w:p>
        </w:tc>
        <w:tc>
          <w:tcPr>
            <w:tcW w:w="925"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b/>
                <w:bCs/>
                <w:sz w:val="14"/>
                <w:szCs w:val="14"/>
              </w:rPr>
            </w:pPr>
            <w:r w:rsidRPr="00C16F65">
              <w:rPr>
                <w:rFonts w:ascii="Calibri" w:eastAsia="Times New Roman" w:hAnsi="Calibri" w:cs="Calibri"/>
                <w:b/>
                <w:bCs/>
                <w:sz w:val="14"/>
                <w:szCs w:val="14"/>
              </w:rPr>
              <w:t>2022/23</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b/>
                <w:bCs/>
                <w:sz w:val="14"/>
                <w:szCs w:val="14"/>
              </w:rPr>
            </w:pPr>
            <w:r w:rsidRPr="00C16F65">
              <w:rPr>
                <w:rFonts w:ascii="Calibri" w:eastAsia="Times New Roman" w:hAnsi="Calibri" w:cs="Calibri"/>
                <w:b/>
                <w:bCs/>
                <w:sz w:val="14"/>
                <w:szCs w:val="14"/>
              </w:rPr>
              <w:t>2023/24</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b/>
                <w:bCs/>
                <w:sz w:val="14"/>
                <w:szCs w:val="14"/>
              </w:rPr>
            </w:pPr>
            <w:r w:rsidRPr="00C16F65">
              <w:rPr>
                <w:rFonts w:ascii="Calibri" w:eastAsia="Times New Roman" w:hAnsi="Calibri" w:cs="Calibri"/>
                <w:b/>
                <w:bCs/>
                <w:sz w:val="14"/>
                <w:szCs w:val="14"/>
              </w:rPr>
              <w:t>2024/25</w:t>
            </w:r>
          </w:p>
        </w:tc>
        <w:tc>
          <w:tcPr>
            <w:tcW w:w="1140"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b/>
                <w:bCs/>
                <w:sz w:val="14"/>
                <w:szCs w:val="14"/>
              </w:rPr>
            </w:pPr>
            <w:r w:rsidRPr="00C16F65">
              <w:rPr>
                <w:rFonts w:ascii="Calibri" w:eastAsia="Times New Roman" w:hAnsi="Calibri" w:cs="Calibri"/>
                <w:b/>
                <w:bCs/>
                <w:sz w:val="14"/>
                <w:szCs w:val="14"/>
              </w:rPr>
              <w:t>2021/22 - 2024/25</w:t>
            </w:r>
          </w:p>
        </w:tc>
        <w:tc>
          <w:tcPr>
            <w:tcW w:w="732"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b/>
                <w:bCs/>
                <w:sz w:val="14"/>
                <w:szCs w:val="14"/>
              </w:rPr>
            </w:pPr>
          </w:p>
        </w:tc>
      </w:tr>
      <w:tr w:rsidR="00902A09" w:rsidRPr="00C16F65" w:rsidTr="00902A09">
        <w:trPr>
          <w:trHeight w:val="300"/>
        </w:trPr>
        <w:tc>
          <w:tcPr>
            <w:tcW w:w="1525" w:type="dxa"/>
            <w:tcBorders>
              <w:top w:val="nil"/>
              <w:left w:val="single" w:sz="4" w:space="0" w:color="auto"/>
              <w:bottom w:val="single" w:sz="4" w:space="0" w:color="auto"/>
              <w:right w:val="single" w:sz="4" w:space="0" w:color="auto"/>
            </w:tcBorders>
            <w:shd w:val="clear" w:color="auto" w:fill="auto"/>
            <w:hideMark/>
          </w:tcPr>
          <w:p w:rsidR="00C16F65" w:rsidRPr="00C16F65" w:rsidRDefault="00770C6E" w:rsidP="00902A09">
            <w:pPr>
              <w:rPr>
                <w:rFonts w:ascii="Calibri" w:eastAsia="Times New Roman" w:hAnsi="Calibri" w:cs="Calibri"/>
                <w:sz w:val="14"/>
                <w:szCs w:val="14"/>
              </w:rPr>
            </w:pPr>
            <w:proofErr w:type="spellStart"/>
            <w:r>
              <w:rPr>
                <w:rFonts w:ascii="Calibri" w:eastAsia="Times New Roman" w:hAnsi="Calibri" w:cs="Calibri"/>
                <w:sz w:val="14"/>
                <w:szCs w:val="14"/>
              </w:rPr>
              <w:t>Sou</w:t>
            </w:r>
            <w:proofErr w:type="spellEnd"/>
          </w:p>
        </w:tc>
        <w:tc>
          <w:tcPr>
            <w:tcW w:w="770"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424.3</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453.6</w:t>
            </w:r>
          </w:p>
        </w:tc>
        <w:tc>
          <w:tcPr>
            <w:tcW w:w="840"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496.3</w:t>
            </w:r>
          </w:p>
        </w:tc>
        <w:tc>
          <w:tcPr>
            <w:tcW w:w="1023"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541.4</w:t>
            </w:r>
          </w:p>
        </w:tc>
        <w:tc>
          <w:tcPr>
            <w:tcW w:w="1140"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8.5%</w:t>
            </w:r>
          </w:p>
        </w:tc>
        <w:tc>
          <w:tcPr>
            <w:tcW w:w="732"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0.1%</w:t>
            </w:r>
          </w:p>
        </w:tc>
        <w:tc>
          <w:tcPr>
            <w:tcW w:w="925"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521.6</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544.0</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563.5</w:t>
            </w:r>
          </w:p>
        </w:tc>
        <w:tc>
          <w:tcPr>
            <w:tcW w:w="1140"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1.3%</w:t>
            </w:r>
          </w:p>
        </w:tc>
        <w:tc>
          <w:tcPr>
            <w:tcW w:w="732"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0.1%</w:t>
            </w:r>
          </w:p>
        </w:tc>
      </w:tr>
      <w:tr w:rsidR="00902A09" w:rsidRPr="00C16F65" w:rsidTr="00902A09">
        <w:trPr>
          <w:trHeight w:val="300"/>
        </w:trPr>
        <w:tc>
          <w:tcPr>
            <w:tcW w:w="1525" w:type="dxa"/>
            <w:tcBorders>
              <w:top w:val="nil"/>
              <w:left w:val="single" w:sz="4" w:space="0" w:color="auto"/>
              <w:bottom w:val="single" w:sz="4" w:space="0" w:color="auto"/>
              <w:right w:val="single" w:sz="4" w:space="0" w:color="auto"/>
            </w:tcBorders>
            <w:shd w:val="clear" w:color="auto" w:fill="auto"/>
            <w:hideMark/>
          </w:tcPr>
          <w:p w:rsidR="00C16F65" w:rsidRPr="00C16F65" w:rsidRDefault="00C16F65" w:rsidP="00902A09">
            <w:pPr>
              <w:rPr>
                <w:rFonts w:ascii="Calibri" w:eastAsia="Times New Roman" w:hAnsi="Calibri" w:cs="Calibri"/>
                <w:sz w:val="14"/>
                <w:szCs w:val="14"/>
              </w:rPr>
            </w:pPr>
            <w:proofErr w:type="spellStart"/>
            <w:r w:rsidRPr="00C16F65">
              <w:rPr>
                <w:rFonts w:ascii="Calibri" w:eastAsia="Times New Roman" w:hAnsi="Calibri" w:cs="Calibri"/>
                <w:sz w:val="14"/>
                <w:szCs w:val="14"/>
              </w:rPr>
              <w:t>Programme</w:t>
            </w:r>
            <w:proofErr w:type="spellEnd"/>
            <w:r w:rsidRPr="00C16F65">
              <w:rPr>
                <w:rFonts w:ascii="Calibri" w:eastAsia="Times New Roman" w:hAnsi="Calibri" w:cs="Calibri"/>
                <w:sz w:val="14"/>
                <w:szCs w:val="14"/>
              </w:rPr>
              <w:t xml:space="preserve"> 2</w:t>
            </w:r>
            <w:r>
              <w:rPr>
                <w:rFonts w:ascii="Calibri" w:eastAsia="Times New Roman" w:hAnsi="Calibri" w:cs="Calibri"/>
                <w:sz w:val="14"/>
                <w:szCs w:val="14"/>
              </w:rPr>
              <w:t>: Economic Policy, Tax, Financial Regulation and Research</w:t>
            </w:r>
          </w:p>
        </w:tc>
        <w:tc>
          <w:tcPr>
            <w:tcW w:w="770"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138.8</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124.9</w:t>
            </w:r>
          </w:p>
        </w:tc>
        <w:tc>
          <w:tcPr>
            <w:tcW w:w="840"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124.7</w:t>
            </w:r>
          </w:p>
        </w:tc>
        <w:tc>
          <w:tcPr>
            <w:tcW w:w="1023"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153.8</w:t>
            </w:r>
          </w:p>
        </w:tc>
        <w:tc>
          <w:tcPr>
            <w:tcW w:w="1140"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3.5%</w:t>
            </w:r>
          </w:p>
        </w:tc>
        <w:tc>
          <w:tcPr>
            <w:tcW w:w="732"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0.0%</w:t>
            </w:r>
          </w:p>
        </w:tc>
        <w:tc>
          <w:tcPr>
            <w:tcW w:w="925"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158.2</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160.4</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160.4</w:t>
            </w:r>
          </w:p>
        </w:tc>
        <w:tc>
          <w:tcPr>
            <w:tcW w:w="1140"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1.4%</w:t>
            </w:r>
          </w:p>
        </w:tc>
        <w:tc>
          <w:tcPr>
            <w:tcW w:w="732"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0.0%</w:t>
            </w:r>
          </w:p>
        </w:tc>
      </w:tr>
      <w:tr w:rsidR="00902A09" w:rsidRPr="00C16F65" w:rsidTr="00902A09">
        <w:trPr>
          <w:trHeight w:val="300"/>
        </w:trPr>
        <w:tc>
          <w:tcPr>
            <w:tcW w:w="1525" w:type="dxa"/>
            <w:tcBorders>
              <w:top w:val="nil"/>
              <w:left w:val="single" w:sz="4" w:space="0" w:color="auto"/>
              <w:bottom w:val="single" w:sz="4" w:space="0" w:color="auto"/>
              <w:right w:val="single" w:sz="4" w:space="0" w:color="auto"/>
            </w:tcBorders>
            <w:shd w:val="clear" w:color="auto" w:fill="auto"/>
            <w:hideMark/>
          </w:tcPr>
          <w:p w:rsidR="00C16F65" w:rsidRPr="00C16F65" w:rsidRDefault="00C16F65" w:rsidP="00902A09">
            <w:pPr>
              <w:rPr>
                <w:rFonts w:ascii="Calibri" w:eastAsia="Times New Roman" w:hAnsi="Calibri" w:cs="Calibri"/>
                <w:sz w:val="14"/>
                <w:szCs w:val="14"/>
              </w:rPr>
            </w:pPr>
            <w:proofErr w:type="spellStart"/>
            <w:r w:rsidRPr="00C16F65">
              <w:rPr>
                <w:rFonts w:ascii="Calibri" w:eastAsia="Times New Roman" w:hAnsi="Calibri" w:cs="Calibri"/>
                <w:sz w:val="14"/>
                <w:szCs w:val="14"/>
              </w:rPr>
              <w:t>Programme</w:t>
            </w:r>
            <w:proofErr w:type="spellEnd"/>
            <w:r w:rsidRPr="00C16F65">
              <w:rPr>
                <w:rFonts w:ascii="Calibri" w:eastAsia="Times New Roman" w:hAnsi="Calibri" w:cs="Calibri"/>
                <w:sz w:val="14"/>
                <w:szCs w:val="14"/>
              </w:rPr>
              <w:t xml:space="preserve"> 3</w:t>
            </w:r>
            <w:r>
              <w:rPr>
                <w:rFonts w:ascii="Calibri" w:eastAsia="Times New Roman" w:hAnsi="Calibri" w:cs="Calibri"/>
                <w:sz w:val="14"/>
                <w:szCs w:val="14"/>
              </w:rPr>
              <w:t>: Public Finance and Budget Management</w:t>
            </w:r>
          </w:p>
        </w:tc>
        <w:tc>
          <w:tcPr>
            <w:tcW w:w="770"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2,530.4</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2,936.1</w:t>
            </w:r>
          </w:p>
        </w:tc>
        <w:tc>
          <w:tcPr>
            <w:tcW w:w="840"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2,697.2</w:t>
            </w:r>
          </w:p>
        </w:tc>
        <w:tc>
          <w:tcPr>
            <w:tcW w:w="1023"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4,337.5</w:t>
            </w:r>
          </w:p>
        </w:tc>
        <w:tc>
          <w:tcPr>
            <w:tcW w:w="1140"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19.7%</w:t>
            </w:r>
          </w:p>
        </w:tc>
        <w:tc>
          <w:tcPr>
            <w:tcW w:w="732"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0.4%</w:t>
            </w:r>
          </w:p>
        </w:tc>
        <w:tc>
          <w:tcPr>
            <w:tcW w:w="925"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4,438.2</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4,354.7</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3,443.1</w:t>
            </w:r>
          </w:p>
        </w:tc>
        <w:tc>
          <w:tcPr>
            <w:tcW w:w="1140"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-7.4%</w:t>
            </w:r>
          </w:p>
        </w:tc>
        <w:tc>
          <w:tcPr>
            <w:tcW w:w="732"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0.4%</w:t>
            </w:r>
          </w:p>
        </w:tc>
      </w:tr>
      <w:tr w:rsidR="00902A09" w:rsidRPr="00C16F65" w:rsidTr="00902A09">
        <w:trPr>
          <w:trHeight w:val="300"/>
        </w:trPr>
        <w:tc>
          <w:tcPr>
            <w:tcW w:w="1525" w:type="dxa"/>
            <w:tcBorders>
              <w:top w:val="nil"/>
              <w:left w:val="single" w:sz="4" w:space="0" w:color="auto"/>
              <w:bottom w:val="single" w:sz="4" w:space="0" w:color="auto"/>
              <w:right w:val="single" w:sz="4" w:space="0" w:color="auto"/>
            </w:tcBorders>
            <w:shd w:val="clear" w:color="auto" w:fill="auto"/>
            <w:hideMark/>
          </w:tcPr>
          <w:p w:rsidR="00C16F65" w:rsidRPr="00C16F65" w:rsidRDefault="00C16F65" w:rsidP="00902A09">
            <w:pPr>
              <w:rPr>
                <w:rFonts w:ascii="Calibri" w:eastAsia="Times New Roman" w:hAnsi="Calibri" w:cs="Calibri"/>
                <w:sz w:val="14"/>
                <w:szCs w:val="14"/>
              </w:rPr>
            </w:pPr>
            <w:proofErr w:type="spellStart"/>
            <w:r w:rsidRPr="00C16F65">
              <w:rPr>
                <w:rFonts w:ascii="Calibri" w:eastAsia="Times New Roman" w:hAnsi="Calibri" w:cs="Calibri"/>
                <w:sz w:val="14"/>
                <w:szCs w:val="14"/>
              </w:rPr>
              <w:t>Programme</w:t>
            </w:r>
            <w:proofErr w:type="spellEnd"/>
            <w:r w:rsidRPr="00C16F65">
              <w:rPr>
                <w:rFonts w:ascii="Calibri" w:eastAsia="Times New Roman" w:hAnsi="Calibri" w:cs="Calibri"/>
                <w:sz w:val="14"/>
                <w:szCs w:val="14"/>
              </w:rPr>
              <w:t xml:space="preserve"> 4</w:t>
            </w:r>
            <w:r>
              <w:rPr>
                <w:rFonts w:ascii="Calibri" w:eastAsia="Times New Roman" w:hAnsi="Calibri" w:cs="Calibri"/>
                <w:sz w:val="14"/>
                <w:szCs w:val="14"/>
              </w:rPr>
              <w:t>: Asset and Liability Management</w:t>
            </w:r>
          </w:p>
        </w:tc>
        <w:tc>
          <w:tcPr>
            <w:tcW w:w="770"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91.2</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96.7</w:t>
            </w:r>
          </w:p>
        </w:tc>
        <w:tc>
          <w:tcPr>
            <w:tcW w:w="840"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3,022.6</w:t>
            </w:r>
          </w:p>
        </w:tc>
        <w:tc>
          <w:tcPr>
            <w:tcW w:w="1023"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9,017.9</w:t>
            </w:r>
          </w:p>
        </w:tc>
        <w:tc>
          <w:tcPr>
            <w:tcW w:w="1140"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362.4%</w:t>
            </w:r>
          </w:p>
        </w:tc>
        <w:tc>
          <w:tcPr>
            <w:tcW w:w="732"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0.4%</w:t>
            </w:r>
          </w:p>
        </w:tc>
        <w:tc>
          <w:tcPr>
            <w:tcW w:w="925"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1,126.0</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1,120.0</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128.0</w:t>
            </w:r>
          </w:p>
        </w:tc>
        <w:tc>
          <w:tcPr>
            <w:tcW w:w="1140"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-75.8%</w:t>
            </w:r>
          </w:p>
        </w:tc>
        <w:tc>
          <w:tcPr>
            <w:tcW w:w="732"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0.3%</w:t>
            </w:r>
          </w:p>
        </w:tc>
      </w:tr>
      <w:tr w:rsidR="00902A09" w:rsidRPr="00C16F65" w:rsidTr="00902A09">
        <w:trPr>
          <w:trHeight w:val="300"/>
        </w:trPr>
        <w:tc>
          <w:tcPr>
            <w:tcW w:w="1525" w:type="dxa"/>
            <w:tcBorders>
              <w:top w:val="nil"/>
              <w:left w:val="single" w:sz="4" w:space="0" w:color="auto"/>
              <w:bottom w:val="single" w:sz="4" w:space="0" w:color="auto"/>
              <w:right w:val="single" w:sz="4" w:space="0" w:color="auto"/>
            </w:tcBorders>
            <w:shd w:val="clear" w:color="auto" w:fill="auto"/>
            <w:hideMark/>
          </w:tcPr>
          <w:p w:rsidR="00C16F65" w:rsidRPr="00C16F65" w:rsidRDefault="00C16F65" w:rsidP="00902A09">
            <w:pPr>
              <w:rPr>
                <w:rFonts w:ascii="Calibri" w:eastAsia="Times New Roman" w:hAnsi="Calibri" w:cs="Calibri"/>
                <w:sz w:val="14"/>
                <w:szCs w:val="14"/>
              </w:rPr>
            </w:pPr>
            <w:proofErr w:type="spellStart"/>
            <w:r w:rsidRPr="00C16F65">
              <w:rPr>
                <w:rFonts w:ascii="Calibri" w:eastAsia="Times New Roman" w:hAnsi="Calibri" w:cs="Calibri"/>
                <w:sz w:val="14"/>
                <w:szCs w:val="14"/>
              </w:rPr>
              <w:t>Programme</w:t>
            </w:r>
            <w:proofErr w:type="spellEnd"/>
            <w:r w:rsidRPr="00C16F65">
              <w:rPr>
                <w:rFonts w:ascii="Calibri" w:eastAsia="Times New Roman" w:hAnsi="Calibri" w:cs="Calibri"/>
                <w:sz w:val="14"/>
                <w:szCs w:val="14"/>
              </w:rPr>
              <w:t xml:space="preserve"> 5</w:t>
            </w:r>
            <w:r>
              <w:rPr>
                <w:rFonts w:ascii="Calibri" w:eastAsia="Times New Roman" w:hAnsi="Calibri" w:cs="Calibri"/>
                <w:sz w:val="14"/>
                <w:szCs w:val="14"/>
              </w:rPr>
              <w:t>: Financial Accounting and Supply Chain Management Systems</w:t>
            </w:r>
          </w:p>
        </w:tc>
        <w:tc>
          <w:tcPr>
            <w:tcW w:w="770"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771.4</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733.9</w:t>
            </w:r>
          </w:p>
        </w:tc>
        <w:tc>
          <w:tcPr>
            <w:tcW w:w="840"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696.6</w:t>
            </w:r>
          </w:p>
        </w:tc>
        <w:tc>
          <w:tcPr>
            <w:tcW w:w="1023"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1,046.0</w:t>
            </w:r>
          </w:p>
        </w:tc>
        <w:tc>
          <w:tcPr>
            <w:tcW w:w="1140"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10.7%</w:t>
            </w:r>
          </w:p>
        </w:tc>
        <w:tc>
          <w:tcPr>
            <w:tcW w:w="732"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0.1%</w:t>
            </w:r>
          </w:p>
        </w:tc>
        <w:tc>
          <w:tcPr>
            <w:tcW w:w="925"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1,122.1</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1,375.9</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1,172.0</w:t>
            </w:r>
          </w:p>
        </w:tc>
        <w:tc>
          <w:tcPr>
            <w:tcW w:w="1140"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3.9%</w:t>
            </w:r>
          </w:p>
        </w:tc>
        <w:tc>
          <w:tcPr>
            <w:tcW w:w="732"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0.1%</w:t>
            </w:r>
          </w:p>
        </w:tc>
      </w:tr>
      <w:tr w:rsidR="00902A09" w:rsidRPr="00C16F65" w:rsidTr="00902A09">
        <w:trPr>
          <w:trHeight w:val="300"/>
        </w:trPr>
        <w:tc>
          <w:tcPr>
            <w:tcW w:w="1525" w:type="dxa"/>
            <w:tcBorders>
              <w:top w:val="nil"/>
              <w:left w:val="single" w:sz="4" w:space="0" w:color="auto"/>
              <w:bottom w:val="single" w:sz="4" w:space="0" w:color="auto"/>
              <w:right w:val="single" w:sz="4" w:space="0" w:color="auto"/>
            </w:tcBorders>
            <w:shd w:val="clear" w:color="auto" w:fill="auto"/>
            <w:hideMark/>
          </w:tcPr>
          <w:p w:rsidR="00C16F65" w:rsidRPr="00C16F65" w:rsidRDefault="00C16F65" w:rsidP="00902A09">
            <w:pPr>
              <w:rPr>
                <w:rFonts w:ascii="Calibri" w:eastAsia="Times New Roman" w:hAnsi="Calibri" w:cs="Calibri"/>
                <w:sz w:val="14"/>
                <w:szCs w:val="14"/>
              </w:rPr>
            </w:pPr>
            <w:proofErr w:type="spellStart"/>
            <w:r w:rsidRPr="00C16F65">
              <w:rPr>
                <w:rFonts w:ascii="Calibri" w:eastAsia="Times New Roman" w:hAnsi="Calibri" w:cs="Calibri"/>
                <w:sz w:val="14"/>
                <w:szCs w:val="14"/>
              </w:rPr>
              <w:t>Programme</w:t>
            </w:r>
            <w:proofErr w:type="spellEnd"/>
            <w:r w:rsidRPr="00C16F65">
              <w:rPr>
                <w:rFonts w:ascii="Calibri" w:eastAsia="Times New Roman" w:hAnsi="Calibri" w:cs="Calibri"/>
                <w:sz w:val="14"/>
                <w:szCs w:val="14"/>
              </w:rPr>
              <w:t xml:space="preserve"> 6</w:t>
            </w:r>
            <w:r>
              <w:rPr>
                <w:rFonts w:ascii="Calibri" w:eastAsia="Times New Roman" w:hAnsi="Calibri" w:cs="Calibri"/>
                <w:sz w:val="14"/>
                <w:szCs w:val="14"/>
              </w:rPr>
              <w:t>: International Financial Relations</w:t>
            </w:r>
          </w:p>
        </w:tc>
        <w:tc>
          <w:tcPr>
            <w:tcW w:w="770"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5,807.7</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5,458.8</w:t>
            </w:r>
          </w:p>
        </w:tc>
        <w:tc>
          <w:tcPr>
            <w:tcW w:w="840"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6,640.5</w:t>
            </w:r>
          </w:p>
        </w:tc>
        <w:tc>
          <w:tcPr>
            <w:tcW w:w="1023"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7,745.9</w:t>
            </w:r>
          </w:p>
        </w:tc>
        <w:tc>
          <w:tcPr>
            <w:tcW w:w="1140"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10.1%</w:t>
            </w:r>
          </w:p>
        </w:tc>
        <w:tc>
          <w:tcPr>
            <w:tcW w:w="732"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0.8%</w:t>
            </w:r>
          </w:p>
        </w:tc>
        <w:tc>
          <w:tcPr>
            <w:tcW w:w="925"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2,637.8</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2,590.3</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2,875.1</w:t>
            </w:r>
          </w:p>
        </w:tc>
        <w:tc>
          <w:tcPr>
            <w:tcW w:w="1140"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-28.1%</w:t>
            </w:r>
          </w:p>
        </w:tc>
        <w:tc>
          <w:tcPr>
            <w:tcW w:w="732"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0.4%</w:t>
            </w:r>
          </w:p>
        </w:tc>
      </w:tr>
      <w:tr w:rsidR="00902A09" w:rsidRPr="00C16F65" w:rsidTr="00902A09">
        <w:trPr>
          <w:trHeight w:val="300"/>
        </w:trPr>
        <w:tc>
          <w:tcPr>
            <w:tcW w:w="1525" w:type="dxa"/>
            <w:tcBorders>
              <w:top w:val="nil"/>
              <w:left w:val="single" w:sz="4" w:space="0" w:color="auto"/>
              <w:bottom w:val="single" w:sz="4" w:space="0" w:color="auto"/>
              <w:right w:val="single" w:sz="4" w:space="0" w:color="auto"/>
            </w:tcBorders>
            <w:shd w:val="clear" w:color="auto" w:fill="auto"/>
            <w:hideMark/>
          </w:tcPr>
          <w:p w:rsidR="00C16F65" w:rsidRPr="00C16F65" w:rsidRDefault="00C16F65" w:rsidP="00902A09">
            <w:pPr>
              <w:rPr>
                <w:rFonts w:ascii="Calibri" w:eastAsia="Times New Roman" w:hAnsi="Calibri" w:cs="Calibri"/>
                <w:sz w:val="14"/>
                <w:szCs w:val="14"/>
              </w:rPr>
            </w:pPr>
            <w:proofErr w:type="spellStart"/>
            <w:r w:rsidRPr="00C16F65">
              <w:rPr>
                <w:rFonts w:ascii="Calibri" w:eastAsia="Times New Roman" w:hAnsi="Calibri" w:cs="Calibri"/>
                <w:sz w:val="14"/>
                <w:szCs w:val="14"/>
              </w:rPr>
              <w:t>Programme</w:t>
            </w:r>
            <w:proofErr w:type="spellEnd"/>
            <w:r w:rsidRPr="00C16F65">
              <w:rPr>
                <w:rFonts w:ascii="Calibri" w:eastAsia="Times New Roman" w:hAnsi="Calibri" w:cs="Calibri"/>
                <w:sz w:val="14"/>
                <w:szCs w:val="14"/>
              </w:rPr>
              <w:t xml:space="preserve"> 7</w:t>
            </w:r>
            <w:r>
              <w:rPr>
                <w:rFonts w:ascii="Calibri" w:eastAsia="Times New Roman" w:hAnsi="Calibri" w:cs="Calibri"/>
                <w:sz w:val="14"/>
                <w:szCs w:val="14"/>
              </w:rPr>
              <w:t>: Civil and Military Pensions, Contributions to funds and Other benefits</w:t>
            </w:r>
          </w:p>
        </w:tc>
        <w:tc>
          <w:tcPr>
            <w:tcW w:w="770"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5,020.1</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5,487.1</w:t>
            </w:r>
          </w:p>
        </w:tc>
        <w:tc>
          <w:tcPr>
            <w:tcW w:w="840"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5,188.8</w:t>
            </w:r>
          </w:p>
        </w:tc>
        <w:tc>
          <w:tcPr>
            <w:tcW w:w="1023"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6,409.5</w:t>
            </w:r>
          </w:p>
        </w:tc>
        <w:tc>
          <w:tcPr>
            <w:tcW w:w="1140"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8.5%</w:t>
            </w:r>
          </w:p>
        </w:tc>
        <w:tc>
          <w:tcPr>
            <w:tcW w:w="732"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0.7%</w:t>
            </w:r>
          </w:p>
        </w:tc>
        <w:tc>
          <w:tcPr>
            <w:tcW w:w="925"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7,012.1</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7,039.0</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7,355.1</w:t>
            </w:r>
          </w:p>
        </w:tc>
        <w:tc>
          <w:tcPr>
            <w:tcW w:w="1140"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4.7%</w:t>
            </w:r>
          </w:p>
        </w:tc>
        <w:tc>
          <w:tcPr>
            <w:tcW w:w="732"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0.8%</w:t>
            </w:r>
          </w:p>
        </w:tc>
      </w:tr>
      <w:tr w:rsidR="00902A09" w:rsidRPr="00C16F65" w:rsidTr="00902A09">
        <w:trPr>
          <w:trHeight w:val="300"/>
        </w:trPr>
        <w:tc>
          <w:tcPr>
            <w:tcW w:w="1525" w:type="dxa"/>
            <w:tcBorders>
              <w:top w:val="nil"/>
              <w:left w:val="single" w:sz="4" w:space="0" w:color="auto"/>
              <w:bottom w:val="single" w:sz="4" w:space="0" w:color="auto"/>
              <w:right w:val="single" w:sz="4" w:space="0" w:color="auto"/>
            </w:tcBorders>
            <w:shd w:val="clear" w:color="auto" w:fill="auto"/>
            <w:hideMark/>
          </w:tcPr>
          <w:p w:rsidR="00C16F65" w:rsidRPr="00C16F65" w:rsidRDefault="00C16F65" w:rsidP="00902A09">
            <w:pPr>
              <w:rPr>
                <w:rFonts w:ascii="Calibri" w:eastAsia="Times New Roman" w:hAnsi="Calibri" w:cs="Calibri"/>
                <w:sz w:val="14"/>
                <w:szCs w:val="14"/>
              </w:rPr>
            </w:pPr>
            <w:proofErr w:type="spellStart"/>
            <w:r w:rsidRPr="00C16F65">
              <w:rPr>
                <w:rFonts w:ascii="Calibri" w:eastAsia="Times New Roman" w:hAnsi="Calibri" w:cs="Calibri"/>
                <w:sz w:val="14"/>
                <w:szCs w:val="14"/>
              </w:rPr>
              <w:t>Programme</w:t>
            </w:r>
            <w:proofErr w:type="spellEnd"/>
            <w:r w:rsidRPr="00C16F65">
              <w:rPr>
                <w:rFonts w:ascii="Calibri" w:eastAsia="Times New Roman" w:hAnsi="Calibri" w:cs="Calibri"/>
                <w:sz w:val="14"/>
                <w:szCs w:val="14"/>
              </w:rPr>
              <w:t xml:space="preserve"> 8</w:t>
            </w:r>
            <w:r w:rsidR="00902A09">
              <w:rPr>
                <w:rFonts w:ascii="Calibri" w:eastAsia="Times New Roman" w:hAnsi="Calibri" w:cs="Calibri"/>
                <w:sz w:val="14"/>
                <w:szCs w:val="14"/>
              </w:rPr>
              <w:t>: Revenue Administration</w:t>
            </w:r>
          </w:p>
        </w:tc>
        <w:tc>
          <w:tcPr>
            <w:tcW w:w="770"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9,007.2</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9,529.0</w:t>
            </w:r>
          </w:p>
        </w:tc>
        <w:tc>
          <w:tcPr>
            <w:tcW w:w="840"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10,271.9</w:t>
            </w:r>
          </w:p>
        </w:tc>
        <w:tc>
          <w:tcPr>
            <w:tcW w:w="1023"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11,295.2</w:t>
            </w:r>
          </w:p>
        </w:tc>
        <w:tc>
          <w:tcPr>
            <w:tcW w:w="1140"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7.8%</w:t>
            </w:r>
          </w:p>
        </w:tc>
        <w:tc>
          <w:tcPr>
            <w:tcW w:w="732"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1.3%</w:t>
            </w:r>
          </w:p>
        </w:tc>
        <w:tc>
          <w:tcPr>
            <w:tcW w:w="925"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11,527.8</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11,657.6</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11,136.2</w:t>
            </w:r>
          </w:p>
        </w:tc>
        <w:tc>
          <w:tcPr>
            <w:tcW w:w="1140"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-0.5%</w:t>
            </w:r>
          </w:p>
        </w:tc>
        <w:tc>
          <w:tcPr>
            <w:tcW w:w="732"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center"/>
              <w:rPr>
                <w:rFonts w:ascii="Calibri" w:eastAsia="Times New Roman" w:hAnsi="Calibri" w:cs="Calibri"/>
                <w:sz w:val="14"/>
                <w:szCs w:val="14"/>
              </w:rPr>
            </w:pPr>
            <w:r w:rsidRPr="00C16F65">
              <w:rPr>
                <w:rFonts w:ascii="Calibri" w:eastAsia="Times New Roman" w:hAnsi="Calibri" w:cs="Calibri"/>
                <w:sz w:val="14"/>
                <w:szCs w:val="14"/>
              </w:rPr>
              <w:t>1.2%</w:t>
            </w:r>
          </w:p>
        </w:tc>
      </w:tr>
      <w:tr w:rsidR="00902A09" w:rsidRPr="00C16F65" w:rsidTr="00902A09">
        <w:trPr>
          <w:trHeight w:val="300"/>
        </w:trPr>
        <w:tc>
          <w:tcPr>
            <w:tcW w:w="1525" w:type="dxa"/>
            <w:tcBorders>
              <w:top w:val="nil"/>
              <w:left w:val="single" w:sz="4" w:space="0" w:color="auto"/>
              <w:bottom w:val="single" w:sz="4" w:space="0" w:color="auto"/>
              <w:right w:val="single" w:sz="4" w:space="0" w:color="auto"/>
            </w:tcBorders>
            <w:shd w:val="clear" w:color="auto" w:fill="auto"/>
            <w:hideMark/>
          </w:tcPr>
          <w:p w:rsidR="00C16F65" w:rsidRPr="00C16F65" w:rsidRDefault="00C16F65" w:rsidP="00902A09">
            <w:pPr>
              <w:rPr>
                <w:rFonts w:ascii="Calibri" w:eastAsia="Times New Roman" w:hAnsi="Calibri" w:cs="Calibri"/>
                <w:sz w:val="14"/>
                <w:szCs w:val="14"/>
              </w:rPr>
            </w:pPr>
            <w:proofErr w:type="spellStart"/>
            <w:r w:rsidRPr="00C16F65">
              <w:rPr>
                <w:rFonts w:ascii="Calibri" w:eastAsia="Times New Roman" w:hAnsi="Calibri" w:cs="Calibri"/>
                <w:sz w:val="14"/>
                <w:szCs w:val="14"/>
              </w:rPr>
              <w:t>Programme</w:t>
            </w:r>
            <w:proofErr w:type="spellEnd"/>
            <w:r w:rsidRPr="00C16F65">
              <w:rPr>
                <w:rFonts w:ascii="Calibri" w:eastAsia="Times New Roman" w:hAnsi="Calibri" w:cs="Calibri"/>
                <w:sz w:val="14"/>
                <w:szCs w:val="14"/>
              </w:rPr>
              <w:t xml:space="preserve"> 9</w:t>
            </w:r>
            <w:r w:rsidR="00902A09">
              <w:rPr>
                <w:rFonts w:ascii="Calibri" w:eastAsia="Times New Roman" w:hAnsi="Calibri" w:cs="Calibri"/>
                <w:sz w:val="14"/>
                <w:szCs w:val="14"/>
              </w:rPr>
              <w:t>: Financial Intelligence and State Security.</w:t>
            </w:r>
          </w:p>
        </w:tc>
        <w:tc>
          <w:tcPr>
            <w:tcW w:w="770"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right"/>
              <w:rPr>
                <w:rFonts w:ascii="Calibri" w:eastAsia="Times New Roman" w:hAnsi="Calibri" w:cs="Calibri"/>
                <w:sz w:val="14"/>
                <w:szCs w:val="14"/>
              </w:rPr>
            </w:pPr>
            <w:r w:rsidRPr="00C16F65">
              <w:rPr>
                <w:rFonts w:ascii="Calibri" w:eastAsia="Times New Roman" w:hAnsi="Calibri" w:cs="Calibri"/>
                <w:sz w:val="14"/>
                <w:szCs w:val="14"/>
              </w:rPr>
              <w:t>4,763.5</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right"/>
              <w:rPr>
                <w:rFonts w:ascii="Calibri" w:eastAsia="Times New Roman" w:hAnsi="Calibri" w:cs="Calibri"/>
                <w:sz w:val="14"/>
                <w:szCs w:val="14"/>
              </w:rPr>
            </w:pPr>
            <w:r w:rsidRPr="00C16F65">
              <w:rPr>
                <w:rFonts w:ascii="Calibri" w:eastAsia="Times New Roman" w:hAnsi="Calibri" w:cs="Calibri"/>
                <w:sz w:val="14"/>
                <w:szCs w:val="14"/>
              </w:rPr>
              <w:t>4,951.1</w:t>
            </w:r>
          </w:p>
        </w:tc>
        <w:tc>
          <w:tcPr>
            <w:tcW w:w="840"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right"/>
              <w:rPr>
                <w:rFonts w:ascii="Calibri" w:eastAsia="Times New Roman" w:hAnsi="Calibri" w:cs="Calibri"/>
                <w:sz w:val="14"/>
                <w:szCs w:val="14"/>
              </w:rPr>
            </w:pPr>
            <w:r w:rsidRPr="00C16F65">
              <w:rPr>
                <w:rFonts w:ascii="Calibri" w:eastAsia="Times New Roman" w:hAnsi="Calibri" w:cs="Calibri"/>
                <w:sz w:val="14"/>
                <w:szCs w:val="14"/>
              </w:rPr>
              <w:t>4,942.9</w:t>
            </w:r>
          </w:p>
        </w:tc>
        <w:tc>
          <w:tcPr>
            <w:tcW w:w="1023"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right"/>
              <w:rPr>
                <w:rFonts w:ascii="Calibri" w:eastAsia="Times New Roman" w:hAnsi="Calibri" w:cs="Calibri"/>
                <w:sz w:val="14"/>
                <w:szCs w:val="14"/>
              </w:rPr>
            </w:pPr>
            <w:r w:rsidRPr="00C16F65">
              <w:rPr>
                <w:rFonts w:ascii="Calibri" w:eastAsia="Times New Roman" w:hAnsi="Calibri" w:cs="Calibri"/>
                <w:sz w:val="14"/>
                <w:szCs w:val="14"/>
              </w:rPr>
              <w:t>4,999.5</w:t>
            </w:r>
          </w:p>
        </w:tc>
        <w:tc>
          <w:tcPr>
            <w:tcW w:w="1140"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right"/>
              <w:rPr>
                <w:rFonts w:ascii="Calibri" w:eastAsia="Times New Roman" w:hAnsi="Calibri" w:cs="Calibri"/>
                <w:sz w:val="14"/>
                <w:szCs w:val="14"/>
              </w:rPr>
            </w:pPr>
            <w:r w:rsidRPr="00C16F65">
              <w:rPr>
                <w:rFonts w:ascii="Calibri" w:eastAsia="Times New Roman" w:hAnsi="Calibri" w:cs="Calibri"/>
                <w:sz w:val="14"/>
                <w:szCs w:val="14"/>
              </w:rPr>
              <w:t>1.6%</w:t>
            </w:r>
          </w:p>
        </w:tc>
        <w:tc>
          <w:tcPr>
            <w:tcW w:w="732"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right"/>
              <w:rPr>
                <w:rFonts w:ascii="Calibri" w:eastAsia="Times New Roman" w:hAnsi="Calibri" w:cs="Calibri"/>
                <w:sz w:val="14"/>
                <w:szCs w:val="14"/>
              </w:rPr>
            </w:pPr>
            <w:r w:rsidRPr="00C16F65">
              <w:rPr>
                <w:rFonts w:ascii="Calibri" w:eastAsia="Times New Roman" w:hAnsi="Calibri" w:cs="Calibri"/>
                <w:sz w:val="14"/>
                <w:szCs w:val="14"/>
              </w:rPr>
              <w:t>0.6%</w:t>
            </w:r>
          </w:p>
        </w:tc>
        <w:tc>
          <w:tcPr>
            <w:tcW w:w="925"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right"/>
              <w:rPr>
                <w:rFonts w:ascii="Calibri" w:eastAsia="Times New Roman" w:hAnsi="Calibri" w:cs="Calibri"/>
                <w:sz w:val="14"/>
                <w:szCs w:val="14"/>
              </w:rPr>
            </w:pPr>
            <w:r w:rsidRPr="00C16F65">
              <w:rPr>
                <w:rFonts w:ascii="Calibri" w:eastAsia="Times New Roman" w:hAnsi="Calibri" w:cs="Calibri"/>
                <w:sz w:val="14"/>
                <w:szCs w:val="14"/>
              </w:rPr>
              <w:t>5,395.5</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right"/>
              <w:rPr>
                <w:rFonts w:ascii="Calibri" w:eastAsia="Times New Roman" w:hAnsi="Calibri" w:cs="Calibri"/>
                <w:sz w:val="14"/>
                <w:szCs w:val="14"/>
              </w:rPr>
            </w:pPr>
            <w:r w:rsidRPr="00C16F65">
              <w:rPr>
                <w:rFonts w:ascii="Calibri" w:eastAsia="Times New Roman" w:hAnsi="Calibri" w:cs="Calibri"/>
                <w:sz w:val="14"/>
                <w:szCs w:val="14"/>
              </w:rPr>
              <w:t>5,402.1</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right"/>
              <w:rPr>
                <w:rFonts w:ascii="Calibri" w:eastAsia="Times New Roman" w:hAnsi="Calibri" w:cs="Calibri"/>
                <w:sz w:val="14"/>
                <w:szCs w:val="14"/>
              </w:rPr>
            </w:pPr>
            <w:r w:rsidRPr="00C16F65">
              <w:rPr>
                <w:rFonts w:ascii="Calibri" w:eastAsia="Times New Roman" w:hAnsi="Calibri" w:cs="Calibri"/>
                <w:sz w:val="14"/>
                <w:szCs w:val="14"/>
              </w:rPr>
              <w:t>5,643.9</w:t>
            </w:r>
          </w:p>
        </w:tc>
        <w:tc>
          <w:tcPr>
            <w:tcW w:w="1140"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right"/>
              <w:rPr>
                <w:rFonts w:ascii="Calibri" w:eastAsia="Times New Roman" w:hAnsi="Calibri" w:cs="Calibri"/>
                <w:sz w:val="14"/>
                <w:szCs w:val="14"/>
              </w:rPr>
            </w:pPr>
            <w:r w:rsidRPr="00C16F65">
              <w:rPr>
                <w:rFonts w:ascii="Calibri" w:eastAsia="Times New Roman" w:hAnsi="Calibri" w:cs="Calibri"/>
                <w:sz w:val="14"/>
                <w:szCs w:val="14"/>
              </w:rPr>
              <w:t>4.1%</w:t>
            </w:r>
          </w:p>
        </w:tc>
        <w:tc>
          <w:tcPr>
            <w:tcW w:w="732"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right"/>
              <w:rPr>
                <w:rFonts w:ascii="Calibri" w:eastAsia="Times New Roman" w:hAnsi="Calibri" w:cs="Calibri"/>
                <w:sz w:val="14"/>
                <w:szCs w:val="14"/>
              </w:rPr>
            </w:pPr>
            <w:r w:rsidRPr="00C16F65">
              <w:rPr>
                <w:rFonts w:ascii="Calibri" w:eastAsia="Times New Roman" w:hAnsi="Calibri" w:cs="Calibri"/>
                <w:sz w:val="14"/>
                <w:szCs w:val="14"/>
              </w:rPr>
              <w:t>0.6%</w:t>
            </w:r>
          </w:p>
        </w:tc>
      </w:tr>
      <w:tr w:rsidR="00C16F65" w:rsidRPr="00C16F65" w:rsidTr="00902A09">
        <w:trPr>
          <w:trHeight w:val="300"/>
        </w:trPr>
        <w:tc>
          <w:tcPr>
            <w:tcW w:w="1525" w:type="dxa"/>
            <w:tcBorders>
              <w:top w:val="nil"/>
              <w:left w:val="single" w:sz="4" w:space="0" w:color="auto"/>
              <w:bottom w:val="single" w:sz="4" w:space="0" w:color="auto"/>
              <w:right w:val="single" w:sz="4" w:space="0" w:color="auto"/>
            </w:tcBorders>
            <w:shd w:val="clear" w:color="auto" w:fill="auto"/>
            <w:noWrap/>
            <w:hideMark/>
          </w:tcPr>
          <w:p w:rsidR="00C16F65" w:rsidRPr="00C16F65" w:rsidRDefault="00C16F65" w:rsidP="00C16F65">
            <w:pPr>
              <w:rPr>
                <w:rFonts w:ascii="Calibri" w:eastAsia="Times New Roman" w:hAnsi="Calibri" w:cs="Calibri"/>
                <w:b/>
                <w:bCs/>
                <w:sz w:val="14"/>
                <w:szCs w:val="14"/>
              </w:rPr>
            </w:pPr>
            <w:r w:rsidRPr="00C16F65">
              <w:rPr>
                <w:rFonts w:ascii="Calibri" w:eastAsia="Times New Roman" w:hAnsi="Calibri" w:cs="Calibri"/>
                <w:b/>
                <w:bCs/>
                <w:sz w:val="14"/>
                <w:szCs w:val="14"/>
              </w:rPr>
              <w:t xml:space="preserve">Subtotal </w:t>
            </w:r>
          </w:p>
        </w:tc>
        <w:tc>
          <w:tcPr>
            <w:tcW w:w="770"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right"/>
              <w:rPr>
                <w:rFonts w:ascii="Calibri" w:eastAsia="Times New Roman" w:hAnsi="Calibri" w:cs="Calibri"/>
                <w:b/>
                <w:bCs/>
                <w:sz w:val="14"/>
                <w:szCs w:val="14"/>
              </w:rPr>
            </w:pPr>
            <w:r w:rsidRPr="00C16F65">
              <w:rPr>
                <w:rFonts w:ascii="Calibri" w:eastAsia="Times New Roman" w:hAnsi="Calibri" w:cs="Calibri"/>
                <w:b/>
                <w:bCs/>
                <w:sz w:val="14"/>
                <w:szCs w:val="14"/>
              </w:rPr>
              <w:t>28,554.6</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right"/>
              <w:rPr>
                <w:rFonts w:ascii="Calibri" w:eastAsia="Times New Roman" w:hAnsi="Calibri" w:cs="Calibri"/>
                <w:b/>
                <w:bCs/>
                <w:sz w:val="14"/>
                <w:szCs w:val="14"/>
              </w:rPr>
            </w:pPr>
            <w:r w:rsidRPr="00C16F65">
              <w:rPr>
                <w:rFonts w:ascii="Calibri" w:eastAsia="Times New Roman" w:hAnsi="Calibri" w:cs="Calibri"/>
                <w:b/>
                <w:bCs/>
                <w:sz w:val="14"/>
                <w:szCs w:val="14"/>
              </w:rPr>
              <w:t>29,771.2</w:t>
            </w:r>
          </w:p>
        </w:tc>
        <w:tc>
          <w:tcPr>
            <w:tcW w:w="840"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right"/>
              <w:rPr>
                <w:rFonts w:ascii="Calibri" w:eastAsia="Times New Roman" w:hAnsi="Calibri" w:cs="Calibri"/>
                <w:b/>
                <w:bCs/>
                <w:sz w:val="14"/>
                <w:szCs w:val="14"/>
              </w:rPr>
            </w:pPr>
            <w:r w:rsidRPr="00C16F65">
              <w:rPr>
                <w:rFonts w:ascii="Calibri" w:eastAsia="Times New Roman" w:hAnsi="Calibri" w:cs="Calibri"/>
                <w:b/>
                <w:bCs/>
                <w:sz w:val="14"/>
                <w:szCs w:val="14"/>
              </w:rPr>
              <w:t>34,081.5</w:t>
            </w:r>
          </w:p>
        </w:tc>
        <w:tc>
          <w:tcPr>
            <w:tcW w:w="1023"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right"/>
              <w:rPr>
                <w:rFonts w:ascii="Calibri" w:eastAsia="Times New Roman" w:hAnsi="Calibri" w:cs="Calibri"/>
                <w:b/>
                <w:bCs/>
                <w:sz w:val="14"/>
                <w:szCs w:val="14"/>
              </w:rPr>
            </w:pPr>
            <w:r w:rsidRPr="00C16F65">
              <w:rPr>
                <w:rFonts w:ascii="Calibri" w:eastAsia="Times New Roman" w:hAnsi="Calibri" w:cs="Calibri"/>
                <w:b/>
                <w:bCs/>
                <w:sz w:val="14"/>
                <w:szCs w:val="14"/>
              </w:rPr>
              <w:t>45,546.7</w:t>
            </w:r>
          </w:p>
        </w:tc>
        <w:tc>
          <w:tcPr>
            <w:tcW w:w="1140"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right"/>
              <w:rPr>
                <w:rFonts w:ascii="Calibri" w:eastAsia="Times New Roman" w:hAnsi="Calibri" w:cs="Calibri"/>
                <w:b/>
                <w:bCs/>
                <w:sz w:val="14"/>
                <w:szCs w:val="14"/>
              </w:rPr>
            </w:pPr>
            <w:r w:rsidRPr="00C16F65">
              <w:rPr>
                <w:rFonts w:ascii="Calibri" w:eastAsia="Times New Roman" w:hAnsi="Calibri" w:cs="Calibri"/>
                <w:b/>
                <w:bCs/>
                <w:sz w:val="14"/>
                <w:szCs w:val="14"/>
              </w:rPr>
              <w:t>16.8%</w:t>
            </w:r>
          </w:p>
        </w:tc>
        <w:tc>
          <w:tcPr>
            <w:tcW w:w="732"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right"/>
              <w:rPr>
                <w:rFonts w:ascii="Calibri" w:eastAsia="Times New Roman" w:hAnsi="Calibri" w:cs="Calibri"/>
                <w:b/>
                <w:bCs/>
                <w:sz w:val="14"/>
                <w:szCs w:val="14"/>
              </w:rPr>
            </w:pPr>
            <w:r w:rsidRPr="00C16F65">
              <w:rPr>
                <w:rFonts w:ascii="Calibri" w:eastAsia="Times New Roman" w:hAnsi="Calibri" w:cs="Calibri"/>
                <w:b/>
                <w:bCs/>
                <w:sz w:val="14"/>
                <w:szCs w:val="14"/>
              </w:rPr>
              <w:t>4.4%</w:t>
            </w:r>
          </w:p>
        </w:tc>
        <w:tc>
          <w:tcPr>
            <w:tcW w:w="925"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right"/>
              <w:rPr>
                <w:rFonts w:ascii="Calibri" w:eastAsia="Times New Roman" w:hAnsi="Calibri" w:cs="Calibri"/>
                <w:b/>
                <w:bCs/>
                <w:sz w:val="14"/>
                <w:szCs w:val="14"/>
              </w:rPr>
            </w:pPr>
            <w:r w:rsidRPr="00C16F65">
              <w:rPr>
                <w:rFonts w:ascii="Calibri" w:eastAsia="Times New Roman" w:hAnsi="Calibri" w:cs="Calibri"/>
                <w:b/>
                <w:bCs/>
                <w:sz w:val="14"/>
                <w:szCs w:val="14"/>
              </w:rPr>
              <w:t>33,939.2</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right"/>
              <w:rPr>
                <w:rFonts w:ascii="Calibri" w:eastAsia="Times New Roman" w:hAnsi="Calibri" w:cs="Calibri"/>
                <w:b/>
                <w:bCs/>
                <w:sz w:val="14"/>
                <w:szCs w:val="14"/>
              </w:rPr>
            </w:pPr>
            <w:r w:rsidRPr="00C16F65">
              <w:rPr>
                <w:rFonts w:ascii="Calibri" w:eastAsia="Times New Roman" w:hAnsi="Calibri" w:cs="Calibri"/>
                <w:b/>
                <w:bCs/>
                <w:sz w:val="14"/>
                <w:szCs w:val="14"/>
              </w:rPr>
              <w:t>34,244.1</w:t>
            </w:r>
          </w:p>
        </w:tc>
        <w:tc>
          <w:tcPr>
            <w:tcW w:w="721" w:type="dxa"/>
            <w:tcBorders>
              <w:top w:val="nil"/>
              <w:left w:val="nil"/>
              <w:bottom w:val="single" w:sz="4" w:space="0" w:color="auto"/>
              <w:right w:val="single" w:sz="4" w:space="0" w:color="auto"/>
            </w:tcBorders>
            <w:shd w:val="clear" w:color="auto" w:fill="auto"/>
            <w:noWrap/>
            <w:hideMark/>
          </w:tcPr>
          <w:p w:rsidR="00C16F65" w:rsidRPr="00C16F65" w:rsidRDefault="00C16F65" w:rsidP="00C16F65">
            <w:pPr>
              <w:jc w:val="right"/>
              <w:rPr>
                <w:rFonts w:ascii="Calibri" w:eastAsia="Times New Roman" w:hAnsi="Calibri" w:cs="Calibri"/>
                <w:b/>
                <w:bCs/>
                <w:sz w:val="14"/>
                <w:szCs w:val="14"/>
              </w:rPr>
            </w:pPr>
            <w:r w:rsidRPr="00C16F65">
              <w:rPr>
                <w:rFonts w:ascii="Calibri" w:eastAsia="Times New Roman" w:hAnsi="Calibri" w:cs="Calibri"/>
                <w:b/>
                <w:bCs/>
                <w:sz w:val="14"/>
                <w:szCs w:val="14"/>
              </w:rPr>
              <w:t>32,477.3</w:t>
            </w:r>
          </w:p>
        </w:tc>
        <w:tc>
          <w:tcPr>
            <w:tcW w:w="1140"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right"/>
              <w:rPr>
                <w:rFonts w:ascii="Calibri" w:eastAsia="Times New Roman" w:hAnsi="Calibri" w:cs="Calibri"/>
                <w:b/>
                <w:bCs/>
                <w:sz w:val="14"/>
                <w:szCs w:val="14"/>
              </w:rPr>
            </w:pPr>
            <w:r w:rsidRPr="00C16F65">
              <w:rPr>
                <w:rFonts w:ascii="Calibri" w:eastAsia="Times New Roman" w:hAnsi="Calibri" w:cs="Calibri"/>
                <w:b/>
                <w:bCs/>
                <w:sz w:val="14"/>
                <w:szCs w:val="14"/>
              </w:rPr>
              <w:t>-10.7%</w:t>
            </w:r>
          </w:p>
        </w:tc>
        <w:tc>
          <w:tcPr>
            <w:tcW w:w="732" w:type="dxa"/>
            <w:tcBorders>
              <w:top w:val="nil"/>
              <w:left w:val="nil"/>
              <w:bottom w:val="single" w:sz="4" w:space="0" w:color="auto"/>
              <w:right w:val="single" w:sz="4" w:space="0" w:color="auto"/>
            </w:tcBorders>
            <w:shd w:val="clear" w:color="000000" w:fill="D9D9D9"/>
            <w:noWrap/>
            <w:hideMark/>
          </w:tcPr>
          <w:p w:rsidR="00C16F65" w:rsidRPr="00C16F65" w:rsidRDefault="00C16F65" w:rsidP="00C16F65">
            <w:pPr>
              <w:jc w:val="right"/>
              <w:rPr>
                <w:rFonts w:ascii="Calibri" w:eastAsia="Times New Roman" w:hAnsi="Calibri" w:cs="Calibri"/>
                <w:b/>
                <w:bCs/>
                <w:sz w:val="14"/>
                <w:szCs w:val="14"/>
              </w:rPr>
            </w:pPr>
            <w:r w:rsidRPr="00C16F65">
              <w:rPr>
                <w:rFonts w:ascii="Calibri" w:eastAsia="Times New Roman" w:hAnsi="Calibri" w:cs="Calibri"/>
                <w:b/>
                <w:bCs/>
                <w:sz w:val="14"/>
                <w:szCs w:val="14"/>
              </w:rPr>
              <w:t>4.0%</w:t>
            </w:r>
          </w:p>
        </w:tc>
      </w:tr>
    </w:tbl>
    <w:p w:rsidR="00C16F65" w:rsidRDefault="00770C6E" w:rsidP="009E67BD">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Source: National Treasury ENE22 Vote 8</w:t>
      </w:r>
    </w:p>
    <w:p w:rsidR="0022288C" w:rsidRDefault="0022288C" w:rsidP="0022288C">
      <w:pPr>
        <w:pStyle w:val="ListParagraph"/>
        <w:spacing w:line="480" w:lineRule="auto"/>
        <w:ind w:left="360"/>
        <w:jc w:val="both"/>
        <w:rPr>
          <w:rFonts w:ascii="Times New Roman" w:hAnsi="Times New Roman" w:cs="Times New Roman"/>
          <w:b/>
          <w:sz w:val="24"/>
          <w:szCs w:val="24"/>
        </w:rPr>
      </w:pPr>
    </w:p>
    <w:p w:rsidR="009E67BD" w:rsidRPr="00E15450" w:rsidRDefault="009E67BD" w:rsidP="009E67BD">
      <w:pPr>
        <w:pStyle w:val="ListParagraph"/>
        <w:numPr>
          <w:ilvl w:val="1"/>
          <w:numId w:val="1"/>
        </w:numPr>
        <w:spacing w:line="480" w:lineRule="auto"/>
        <w:jc w:val="both"/>
        <w:rPr>
          <w:rFonts w:ascii="Times New Roman" w:hAnsi="Times New Roman" w:cs="Times New Roman"/>
          <w:b/>
          <w:sz w:val="24"/>
          <w:szCs w:val="24"/>
        </w:rPr>
      </w:pPr>
      <w:r w:rsidRPr="00E15450">
        <w:rPr>
          <w:rFonts w:ascii="Times New Roman" w:hAnsi="Times New Roman" w:cs="Times New Roman"/>
          <w:b/>
          <w:sz w:val="24"/>
          <w:szCs w:val="24"/>
        </w:rPr>
        <w:t>Programme 1: Administration</w:t>
      </w:r>
    </w:p>
    <w:p w:rsidR="00EF5EF7" w:rsidRPr="00520427" w:rsidRDefault="009E67BD" w:rsidP="00EF5EF7">
      <w:pPr>
        <w:pStyle w:val="ListParagraph"/>
        <w:numPr>
          <w:ilvl w:val="2"/>
          <w:numId w:val="1"/>
        </w:numPr>
        <w:spacing w:line="480" w:lineRule="auto"/>
        <w:jc w:val="both"/>
        <w:rPr>
          <w:rFonts w:ascii="Times New Roman" w:hAnsi="Times New Roman" w:cs="Times New Roman"/>
          <w:sz w:val="24"/>
          <w:szCs w:val="24"/>
        </w:rPr>
      </w:pPr>
      <w:r w:rsidRPr="00E15450">
        <w:rPr>
          <w:rFonts w:ascii="Times New Roman" w:eastAsia="MS Mincho" w:hAnsi="Times New Roman" w:cs="Times New Roman"/>
          <w:sz w:val="24"/>
          <w:szCs w:val="24"/>
          <w:lang w:val="en-US"/>
        </w:rPr>
        <w:t xml:space="preserve">The Administration </w:t>
      </w:r>
      <w:proofErr w:type="spellStart"/>
      <w:r w:rsidRPr="00E15450">
        <w:rPr>
          <w:rFonts w:ascii="Times New Roman" w:eastAsia="MS Mincho" w:hAnsi="Times New Roman" w:cs="Times New Roman"/>
          <w:sz w:val="24"/>
          <w:szCs w:val="24"/>
          <w:lang w:val="en-US"/>
        </w:rPr>
        <w:t>programme</w:t>
      </w:r>
      <w:proofErr w:type="spellEnd"/>
      <w:r w:rsidRPr="00E15450">
        <w:rPr>
          <w:rFonts w:ascii="Times New Roman" w:eastAsia="MS Mincho" w:hAnsi="Times New Roman" w:cs="Times New Roman"/>
          <w:sz w:val="24"/>
          <w:szCs w:val="24"/>
          <w:lang w:val="en-US"/>
        </w:rPr>
        <w:t xml:space="preserve"> provides strategic leadership, management and administrative support and capacity building to the Nationa</w:t>
      </w:r>
      <w:r w:rsidR="00EF5EF7">
        <w:rPr>
          <w:rFonts w:ascii="Times New Roman" w:eastAsia="MS Mincho" w:hAnsi="Times New Roman" w:cs="Times New Roman"/>
          <w:sz w:val="24"/>
          <w:szCs w:val="24"/>
          <w:lang w:val="en-US"/>
        </w:rPr>
        <w:t>l Treasury. A budget of R R521.6</w:t>
      </w:r>
      <w:r w:rsidRPr="00E15450">
        <w:rPr>
          <w:rFonts w:ascii="Times New Roman" w:eastAsia="MS Mincho" w:hAnsi="Times New Roman" w:cs="Times New Roman"/>
          <w:sz w:val="24"/>
          <w:szCs w:val="24"/>
          <w:lang w:val="en-US"/>
        </w:rPr>
        <w:t xml:space="preserve"> million is allocated in 2022</w:t>
      </w:r>
      <w:r w:rsidR="00EF5EF7">
        <w:rPr>
          <w:rFonts w:ascii="Times New Roman" w:eastAsia="MS Mincho" w:hAnsi="Times New Roman" w:cs="Times New Roman"/>
          <w:sz w:val="24"/>
          <w:szCs w:val="24"/>
          <w:lang w:val="en-US"/>
        </w:rPr>
        <w:t>/23</w:t>
      </w:r>
      <w:r w:rsidRPr="00E15450">
        <w:rPr>
          <w:rFonts w:ascii="Times New Roman" w:eastAsia="MS Mincho" w:hAnsi="Times New Roman" w:cs="Times New Roman"/>
          <w:sz w:val="24"/>
          <w:szCs w:val="24"/>
          <w:lang w:val="en-US"/>
        </w:rPr>
        <w:t>, down from an adjusted appropriation of R5</w:t>
      </w:r>
      <w:r w:rsidR="00EF5EF7">
        <w:rPr>
          <w:rFonts w:ascii="Times New Roman" w:eastAsia="MS Mincho" w:hAnsi="Times New Roman" w:cs="Times New Roman"/>
          <w:sz w:val="24"/>
          <w:szCs w:val="24"/>
          <w:lang w:val="en-US"/>
        </w:rPr>
        <w:t>41.4</w:t>
      </w:r>
      <w:r w:rsidRPr="00E15450">
        <w:rPr>
          <w:rFonts w:ascii="Times New Roman" w:eastAsia="MS Mincho" w:hAnsi="Times New Roman" w:cs="Times New Roman"/>
          <w:sz w:val="24"/>
          <w:szCs w:val="24"/>
          <w:lang w:val="en-US"/>
        </w:rPr>
        <w:t xml:space="preserve"> million in 2021</w:t>
      </w:r>
      <w:r w:rsidR="00EF5EF7">
        <w:rPr>
          <w:rFonts w:ascii="Times New Roman" w:eastAsia="MS Mincho" w:hAnsi="Times New Roman" w:cs="Times New Roman"/>
          <w:sz w:val="24"/>
          <w:szCs w:val="24"/>
          <w:lang w:val="en-US"/>
        </w:rPr>
        <w:t>/22</w:t>
      </w:r>
      <w:r w:rsidR="00C34E36">
        <w:rPr>
          <w:rFonts w:ascii="Times New Roman" w:eastAsia="MS Mincho" w:hAnsi="Times New Roman" w:cs="Times New Roman"/>
          <w:sz w:val="24"/>
          <w:szCs w:val="24"/>
          <w:lang w:val="en-US"/>
        </w:rPr>
        <w:t>. The projected allocation</w:t>
      </w:r>
      <w:r w:rsidRPr="00E15450">
        <w:rPr>
          <w:rFonts w:ascii="Times New Roman" w:eastAsia="MS Mincho" w:hAnsi="Times New Roman" w:cs="Times New Roman"/>
          <w:sz w:val="24"/>
          <w:szCs w:val="24"/>
          <w:lang w:val="en-US"/>
        </w:rPr>
        <w:t xml:space="preserve"> for the outer two</w:t>
      </w:r>
      <w:r w:rsidR="00C34E36">
        <w:rPr>
          <w:rFonts w:ascii="Times New Roman" w:eastAsia="MS Mincho" w:hAnsi="Times New Roman" w:cs="Times New Roman"/>
          <w:sz w:val="24"/>
          <w:szCs w:val="24"/>
          <w:lang w:val="en-US"/>
        </w:rPr>
        <w:t xml:space="preserve"> financial years of the MTEF is</w:t>
      </w:r>
      <w:r w:rsidRPr="00E15450">
        <w:rPr>
          <w:rFonts w:ascii="Times New Roman" w:eastAsia="MS Mincho" w:hAnsi="Times New Roman" w:cs="Times New Roman"/>
          <w:sz w:val="24"/>
          <w:szCs w:val="24"/>
          <w:lang w:val="en-US"/>
        </w:rPr>
        <w:t xml:space="preserve"> R5</w:t>
      </w:r>
      <w:r w:rsidR="00EF5EF7">
        <w:rPr>
          <w:rFonts w:ascii="Times New Roman" w:eastAsia="MS Mincho" w:hAnsi="Times New Roman" w:cs="Times New Roman"/>
          <w:sz w:val="24"/>
          <w:szCs w:val="24"/>
          <w:lang w:val="en-US"/>
        </w:rPr>
        <w:t>44</w:t>
      </w:r>
      <w:r w:rsidRPr="00E15450">
        <w:rPr>
          <w:rFonts w:ascii="Times New Roman" w:eastAsia="MS Mincho" w:hAnsi="Times New Roman" w:cs="Times New Roman"/>
          <w:sz w:val="24"/>
          <w:szCs w:val="24"/>
          <w:lang w:val="en-US"/>
        </w:rPr>
        <w:t>.</w:t>
      </w:r>
      <w:r w:rsidR="00EF5EF7">
        <w:rPr>
          <w:rFonts w:ascii="Times New Roman" w:eastAsia="MS Mincho" w:hAnsi="Times New Roman" w:cs="Times New Roman"/>
          <w:sz w:val="24"/>
          <w:szCs w:val="24"/>
          <w:lang w:val="en-US"/>
        </w:rPr>
        <w:t>0</w:t>
      </w:r>
      <w:r w:rsidRPr="00E15450">
        <w:rPr>
          <w:rFonts w:ascii="Times New Roman" w:eastAsia="MS Mincho" w:hAnsi="Times New Roman" w:cs="Times New Roman"/>
          <w:sz w:val="24"/>
          <w:szCs w:val="24"/>
          <w:lang w:val="en-US"/>
        </w:rPr>
        <w:t xml:space="preserve"> and R5</w:t>
      </w:r>
      <w:r w:rsidR="00EF5EF7">
        <w:rPr>
          <w:rFonts w:ascii="Times New Roman" w:eastAsia="MS Mincho" w:hAnsi="Times New Roman" w:cs="Times New Roman"/>
          <w:sz w:val="24"/>
          <w:szCs w:val="24"/>
          <w:lang w:val="en-US"/>
        </w:rPr>
        <w:t>63</w:t>
      </w:r>
      <w:r w:rsidRPr="00E15450">
        <w:rPr>
          <w:rFonts w:ascii="Times New Roman" w:eastAsia="MS Mincho" w:hAnsi="Times New Roman" w:cs="Times New Roman"/>
          <w:sz w:val="24"/>
          <w:szCs w:val="24"/>
          <w:lang w:val="en-US"/>
        </w:rPr>
        <w:t>.</w:t>
      </w:r>
      <w:r w:rsidR="00EF5EF7">
        <w:rPr>
          <w:rFonts w:ascii="Times New Roman" w:eastAsia="MS Mincho" w:hAnsi="Times New Roman" w:cs="Times New Roman"/>
          <w:sz w:val="24"/>
          <w:szCs w:val="24"/>
          <w:lang w:val="en-US"/>
        </w:rPr>
        <w:t>5</w:t>
      </w:r>
      <w:r w:rsidRPr="00E15450">
        <w:rPr>
          <w:rFonts w:ascii="Times New Roman" w:eastAsia="MS Mincho" w:hAnsi="Times New Roman" w:cs="Times New Roman"/>
          <w:sz w:val="24"/>
          <w:szCs w:val="24"/>
          <w:lang w:val="en-US"/>
        </w:rPr>
        <w:t xml:space="preserve"> million</w:t>
      </w:r>
      <w:r w:rsidR="00C34E36">
        <w:rPr>
          <w:rFonts w:ascii="Times New Roman" w:eastAsia="MS Mincho" w:hAnsi="Times New Roman" w:cs="Times New Roman"/>
          <w:sz w:val="24"/>
          <w:szCs w:val="24"/>
          <w:lang w:val="en-US"/>
        </w:rPr>
        <w:t>,</w:t>
      </w:r>
      <w:r w:rsidRPr="00E15450">
        <w:rPr>
          <w:rFonts w:ascii="Times New Roman" w:eastAsia="MS Mincho" w:hAnsi="Times New Roman" w:cs="Times New Roman"/>
          <w:sz w:val="24"/>
          <w:szCs w:val="24"/>
          <w:lang w:val="en-US"/>
        </w:rPr>
        <w:t xml:space="preserve"> respectively. </w:t>
      </w:r>
      <w:r w:rsidR="00520427">
        <w:rPr>
          <w:rFonts w:ascii="Times New Roman" w:eastAsia="MS Mincho" w:hAnsi="Times New Roman" w:cs="Times New Roman"/>
          <w:sz w:val="24"/>
          <w:szCs w:val="24"/>
          <w:lang w:val="en-US"/>
        </w:rPr>
        <w:t xml:space="preserve"> </w:t>
      </w:r>
    </w:p>
    <w:p w:rsidR="00520427" w:rsidRPr="007534C6" w:rsidRDefault="00520427" w:rsidP="00EF5EF7">
      <w:pPr>
        <w:pStyle w:val="ListParagraph"/>
        <w:numPr>
          <w:ilvl w:val="2"/>
          <w:numId w:val="1"/>
        </w:numPr>
        <w:spacing w:line="480" w:lineRule="auto"/>
        <w:jc w:val="both"/>
        <w:rPr>
          <w:rFonts w:ascii="Times New Roman" w:hAnsi="Times New Roman" w:cs="Times New Roman"/>
          <w:sz w:val="24"/>
          <w:szCs w:val="24"/>
        </w:rPr>
      </w:pPr>
      <w:r>
        <w:rPr>
          <w:rFonts w:ascii="Times New Roman" w:eastAsia="MS Mincho" w:hAnsi="Times New Roman" w:cs="Times New Roman"/>
          <w:sz w:val="24"/>
          <w:szCs w:val="24"/>
          <w:lang w:val="en-US"/>
        </w:rPr>
        <w:t xml:space="preserve">This </w:t>
      </w:r>
      <w:proofErr w:type="spellStart"/>
      <w:r>
        <w:rPr>
          <w:rFonts w:ascii="Times New Roman" w:eastAsia="MS Mincho" w:hAnsi="Times New Roman" w:cs="Times New Roman"/>
          <w:sz w:val="24"/>
          <w:szCs w:val="24"/>
          <w:lang w:val="en-US"/>
        </w:rPr>
        <w:t>programme</w:t>
      </w:r>
      <w:proofErr w:type="spellEnd"/>
      <w:r>
        <w:rPr>
          <w:rFonts w:ascii="Times New Roman" w:eastAsia="MS Mincho" w:hAnsi="Times New Roman" w:cs="Times New Roman"/>
          <w:sz w:val="24"/>
          <w:szCs w:val="24"/>
          <w:lang w:val="en-US"/>
        </w:rPr>
        <w:t xml:space="preserve"> has the following sub-</w:t>
      </w:r>
      <w:proofErr w:type="spellStart"/>
      <w:r>
        <w:rPr>
          <w:rFonts w:ascii="Times New Roman" w:eastAsia="MS Mincho" w:hAnsi="Times New Roman" w:cs="Times New Roman"/>
          <w:sz w:val="24"/>
          <w:szCs w:val="24"/>
          <w:lang w:val="en-US"/>
        </w:rPr>
        <w:t>programmes</w:t>
      </w:r>
      <w:proofErr w:type="spellEnd"/>
      <w:r>
        <w:rPr>
          <w:rFonts w:ascii="Times New Roman" w:eastAsia="MS Mincho" w:hAnsi="Times New Roman" w:cs="Times New Roman"/>
          <w:sz w:val="24"/>
          <w:szCs w:val="24"/>
          <w:lang w:val="en-US"/>
        </w:rPr>
        <w:t xml:space="preserve"> and their allocations for 2022/23: Ministry (R4,4m); Departmental Management (R</w:t>
      </w:r>
      <w:r w:rsidR="002D26F5">
        <w:rPr>
          <w:rFonts w:ascii="Times New Roman" w:eastAsia="MS Mincho" w:hAnsi="Times New Roman" w:cs="Times New Roman"/>
          <w:sz w:val="24"/>
          <w:szCs w:val="24"/>
          <w:lang w:val="en-US"/>
        </w:rPr>
        <w:t>56</w:t>
      </w:r>
      <w:r>
        <w:rPr>
          <w:rFonts w:ascii="Times New Roman" w:eastAsia="MS Mincho" w:hAnsi="Times New Roman" w:cs="Times New Roman"/>
          <w:sz w:val="24"/>
          <w:szCs w:val="24"/>
          <w:lang w:val="en-US"/>
        </w:rPr>
        <w:t>.3m); Corporate Services (R</w:t>
      </w:r>
      <w:r w:rsidR="002D26F5">
        <w:rPr>
          <w:rFonts w:ascii="Times New Roman" w:eastAsia="MS Mincho" w:hAnsi="Times New Roman" w:cs="Times New Roman"/>
          <w:sz w:val="24"/>
          <w:szCs w:val="24"/>
          <w:lang w:val="en-US"/>
        </w:rPr>
        <w:t>167</w:t>
      </w:r>
      <w:r>
        <w:rPr>
          <w:rFonts w:ascii="Times New Roman" w:eastAsia="MS Mincho" w:hAnsi="Times New Roman" w:cs="Times New Roman"/>
          <w:sz w:val="24"/>
          <w:szCs w:val="24"/>
          <w:lang w:val="en-US"/>
        </w:rPr>
        <w:t>m); Enterprise-wide Risk Management (R</w:t>
      </w:r>
      <w:r w:rsidR="002D26F5">
        <w:rPr>
          <w:rFonts w:ascii="Times New Roman" w:eastAsia="MS Mincho" w:hAnsi="Times New Roman" w:cs="Times New Roman"/>
          <w:sz w:val="24"/>
          <w:szCs w:val="24"/>
          <w:lang w:val="en-US"/>
        </w:rPr>
        <w:t>37</w:t>
      </w:r>
      <w:r>
        <w:rPr>
          <w:rFonts w:ascii="Times New Roman" w:eastAsia="MS Mincho" w:hAnsi="Times New Roman" w:cs="Times New Roman"/>
          <w:sz w:val="24"/>
          <w:szCs w:val="24"/>
          <w:lang w:val="en-US"/>
        </w:rPr>
        <w:t>.</w:t>
      </w:r>
      <w:r w:rsidR="002D26F5">
        <w:rPr>
          <w:rFonts w:ascii="Times New Roman" w:eastAsia="MS Mincho" w:hAnsi="Times New Roman" w:cs="Times New Roman"/>
          <w:sz w:val="24"/>
          <w:szCs w:val="24"/>
          <w:lang w:val="en-US"/>
        </w:rPr>
        <w:t>3</w:t>
      </w:r>
      <w:r>
        <w:rPr>
          <w:rFonts w:ascii="Times New Roman" w:eastAsia="MS Mincho" w:hAnsi="Times New Roman" w:cs="Times New Roman"/>
          <w:sz w:val="24"/>
          <w:szCs w:val="24"/>
          <w:lang w:val="en-US"/>
        </w:rPr>
        <w:t>m); Financial Administration (R</w:t>
      </w:r>
      <w:r w:rsidR="002D26F5">
        <w:rPr>
          <w:rFonts w:ascii="Times New Roman" w:eastAsia="MS Mincho" w:hAnsi="Times New Roman" w:cs="Times New Roman"/>
          <w:sz w:val="24"/>
          <w:szCs w:val="24"/>
          <w:lang w:val="en-US"/>
        </w:rPr>
        <w:t>53</w:t>
      </w:r>
      <w:r>
        <w:rPr>
          <w:rFonts w:ascii="Times New Roman" w:eastAsia="MS Mincho" w:hAnsi="Times New Roman" w:cs="Times New Roman"/>
          <w:sz w:val="24"/>
          <w:szCs w:val="24"/>
          <w:lang w:val="en-US"/>
        </w:rPr>
        <w:t>.</w:t>
      </w:r>
      <w:r w:rsidR="002D26F5">
        <w:rPr>
          <w:rFonts w:ascii="Times New Roman" w:eastAsia="MS Mincho" w:hAnsi="Times New Roman" w:cs="Times New Roman"/>
          <w:sz w:val="24"/>
          <w:szCs w:val="24"/>
          <w:lang w:val="en-US"/>
        </w:rPr>
        <w:t>6</w:t>
      </w:r>
      <w:r>
        <w:rPr>
          <w:rFonts w:ascii="Times New Roman" w:eastAsia="MS Mincho" w:hAnsi="Times New Roman" w:cs="Times New Roman"/>
          <w:sz w:val="24"/>
          <w:szCs w:val="24"/>
          <w:lang w:val="en-US"/>
        </w:rPr>
        <w:t>m); Legal Services (R</w:t>
      </w:r>
      <w:r w:rsidR="002D26F5">
        <w:rPr>
          <w:rFonts w:ascii="Times New Roman" w:eastAsia="MS Mincho" w:hAnsi="Times New Roman" w:cs="Times New Roman"/>
          <w:sz w:val="24"/>
          <w:szCs w:val="24"/>
          <w:lang w:val="en-US"/>
        </w:rPr>
        <w:t>23.9</w:t>
      </w:r>
      <w:r>
        <w:rPr>
          <w:rFonts w:ascii="Times New Roman" w:eastAsia="MS Mincho" w:hAnsi="Times New Roman" w:cs="Times New Roman"/>
          <w:sz w:val="24"/>
          <w:szCs w:val="24"/>
          <w:lang w:val="en-US"/>
        </w:rPr>
        <w:t>m); Internal Audit (R</w:t>
      </w:r>
      <w:r w:rsidR="002D26F5">
        <w:rPr>
          <w:rFonts w:ascii="Times New Roman" w:eastAsia="MS Mincho" w:hAnsi="Times New Roman" w:cs="Times New Roman"/>
          <w:sz w:val="24"/>
          <w:szCs w:val="24"/>
          <w:lang w:val="en-US"/>
        </w:rPr>
        <w:t>31.1</w:t>
      </w:r>
      <w:r>
        <w:rPr>
          <w:rFonts w:ascii="Times New Roman" w:eastAsia="MS Mincho" w:hAnsi="Times New Roman" w:cs="Times New Roman"/>
          <w:sz w:val="24"/>
          <w:szCs w:val="24"/>
          <w:lang w:val="en-US"/>
        </w:rPr>
        <w:t>m)</w:t>
      </w:r>
      <w:r w:rsidR="00A17486">
        <w:rPr>
          <w:rFonts w:ascii="Times New Roman" w:eastAsia="MS Mincho" w:hAnsi="Times New Roman" w:cs="Times New Roman"/>
          <w:sz w:val="24"/>
          <w:szCs w:val="24"/>
          <w:lang w:val="en-US"/>
        </w:rPr>
        <w:t>; Communications (R</w:t>
      </w:r>
      <w:r w:rsidR="002D26F5">
        <w:rPr>
          <w:rFonts w:ascii="Times New Roman" w:eastAsia="MS Mincho" w:hAnsi="Times New Roman" w:cs="Times New Roman"/>
          <w:sz w:val="24"/>
          <w:szCs w:val="24"/>
          <w:lang w:val="en-US"/>
        </w:rPr>
        <w:t>9.2</w:t>
      </w:r>
      <w:r w:rsidR="00A17486">
        <w:rPr>
          <w:rFonts w:ascii="Times New Roman" w:eastAsia="MS Mincho" w:hAnsi="Times New Roman" w:cs="Times New Roman"/>
          <w:sz w:val="24"/>
          <w:szCs w:val="24"/>
          <w:lang w:val="en-US"/>
        </w:rPr>
        <w:t>m); and Office Accommodation (R</w:t>
      </w:r>
      <w:r w:rsidR="002D26F5">
        <w:rPr>
          <w:rFonts w:ascii="Times New Roman" w:eastAsia="MS Mincho" w:hAnsi="Times New Roman" w:cs="Times New Roman"/>
          <w:sz w:val="24"/>
          <w:szCs w:val="24"/>
          <w:lang w:val="en-US"/>
        </w:rPr>
        <w:t>138.4</w:t>
      </w:r>
      <w:r w:rsidR="00A17486">
        <w:rPr>
          <w:rFonts w:ascii="Times New Roman" w:eastAsia="MS Mincho" w:hAnsi="Times New Roman" w:cs="Times New Roman"/>
          <w:sz w:val="24"/>
          <w:szCs w:val="24"/>
          <w:lang w:val="en-US"/>
        </w:rPr>
        <w:t xml:space="preserve">m). </w:t>
      </w:r>
    </w:p>
    <w:p w:rsidR="009E67BD" w:rsidRPr="007534C6" w:rsidRDefault="009E67BD" w:rsidP="009E67BD">
      <w:pPr>
        <w:pStyle w:val="ListParagraph"/>
        <w:numPr>
          <w:ilvl w:val="2"/>
          <w:numId w:val="1"/>
        </w:numPr>
        <w:spacing w:line="480" w:lineRule="auto"/>
        <w:jc w:val="both"/>
        <w:rPr>
          <w:rFonts w:ascii="Times New Roman" w:hAnsi="Times New Roman" w:cs="Times New Roman"/>
          <w:sz w:val="24"/>
          <w:szCs w:val="24"/>
        </w:rPr>
      </w:pPr>
      <w:r w:rsidRPr="007534C6">
        <w:rPr>
          <w:rFonts w:ascii="Times New Roman" w:eastAsia="MS Mincho" w:hAnsi="Times New Roman" w:cs="Times New Roman"/>
          <w:sz w:val="24"/>
          <w:szCs w:val="24"/>
          <w:lang w:val="en-US"/>
        </w:rPr>
        <w:lastRenderedPageBreak/>
        <w:t xml:space="preserve">The priorities of this </w:t>
      </w:r>
      <w:proofErr w:type="spellStart"/>
      <w:r w:rsidRPr="007534C6">
        <w:rPr>
          <w:rFonts w:ascii="Times New Roman" w:eastAsia="MS Mincho" w:hAnsi="Times New Roman" w:cs="Times New Roman"/>
          <w:sz w:val="24"/>
          <w:szCs w:val="24"/>
          <w:lang w:val="en-US"/>
        </w:rPr>
        <w:t>programme</w:t>
      </w:r>
      <w:proofErr w:type="spellEnd"/>
      <w:r w:rsidRPr="007534C6">
        <w:rPr>
          <w:rFonts w:ascii="Times New Roman" w:eastAsia="MS Mincho" w:hAnsi="Times New Roman" w:cs="Times New Roman"/>
          <w:sz w:val="24"/>
          <w:szCs w:val="24"/>
          <w:lang w:val="en-US"/>
        </w:rPr>
        <w:t xml:space="preserve"> include: monitoring of </w:t>
      </w:r>
      <w:r w:rsidRPr="007534C6">
        <w:rPr>
          <w:rFonts w:ascii="Times New Roman" w:hAnsi="Times New Roman" w:cs="Times New Roman"/>
          <w:sz w:val="24"/>
          <w:szCs w:val="24"/>
        </w:rPr>
        <w:t xml:space="preserve">the </w:t>
      </w:r>
      <w:r w:rsidR="00750411">
        <w:rPr>
          <w:rFonts w:ascii="Times New Roman" w:hAnsi="Times New Roman" w:cs="Times New Roman"/>
          <w:sz w:val="24"/>
          <w:szCs w:val="24"/>
        </w:rPr>
        <w:t>efficiency of ICT by ensuring 93</w:t>
      </w:r>
      <w:r w:rsidRPr="007534C6">
        <w:rPr>
          <w:rFonts w:ascii="Times New Roman" w:hAnsi="Times New Roman" w:cs="Times New Roman"/>
          <w:sz w:val="24"/>
          <w:szCs w:val="24"/>
        </w:rPr>
        <w:t xml:space="preserve"> per cent delivery against the service level agreements; ensuring the usefulness and reliability of the reported performance information in accordance with the performance management and reporting framework by obtaining an unqualified audit opinion with 25% fewer findings than 2021</w:t>
      </w:r>
      <w:r w:rsidR="00750411">
        <w:rPr>
          <w:rFonts w:ascii="Times New Roman" w:hAnsi="Times New Roman" w:cs="Times New Roman"/>
          <w:sz w:val="24"/>
          <w:szCs w:val="24"/>
        </w:rPr>
        <w:t>/22</w:t>
      </w:r>
      <w:r w:rsidRPr="007534C6">
        <w:rPr>
          <w:rFonts w:ascii="Times New Roman" w:hAnsi="Times New Roman" w:cs="Times New Roman"/>
          <w:sz w:val="24"/>
          <w:szCs w:val="24"/>
        </w:rPr>
        <w:t xml:space="preserve"> on financial and nonfinancial performance information; ensuring good governance and sound control en</w:t>
      </w:r>
      <w:r w:rsidR="00750411">
        <w:rPr>
          <w:rFonts w:ascii="Times New Roman" w:hAnsi="Times New Roman" w:cs="Times New Roman"/>
          <w:sz w:val="24"/>
          <w:szCs w:val="24"/>
        </w:rPr>
        <w:t>vironment by achieving level 4</w:t>
      </w:r>
      <w:r w:rsidRPr="007534C6">
        <w:rPr>
          <w:rFonts w:ascii="Times New Roman" w:hAnsi="Times New Roman" w:cs="Times New Roman"/>
          <w:sz w:val="24"/>
          <w:szCs w:val="24"/>
        </w:rPr>
        <w:t xml:space="preserve"> of the risk managem</w:t>
      </w:r>
      <w:r w:rsidR="00750411">
        <w:rPr>
          <w:rFonts w:ascii="Times New Roman" w:hAnsi="Times New Roman" w:cs="Times New Roman"/>
          <w:sz w:val="24"/>
          <w:szCs w:val="24"/>
        </w:rPr>
        <w:t>ent maturity assessment; advancing</w:t>
      </w:r>
      <w:r w:rsidRPr="007534C6">
        <w:rPr>
          <w:rFonts w:ascii="Times New Roman" w:hAnsi="Times New Roman" w:cs="Times New Roman"/>
          <w:sz w:val="24"/>
          <w:szCs w:val="24"/>
        </w:rPr>
        <w:t xml:space="preserve"> organisational optimisation by utilising 70% of the training and development budget; and producing 4 quarterly progress reports on the extent of mainstreaming and institutionalisation of Women, Youth, Persons with Disabilities (WYPD) in the department through the implementation of the action plan on gender mainstreaming.</w:t>
      </w:r>
    </w:p>
    <w:p w:rsidR="009E67BD" w:rsidRPr="00E15450" w:rsidRDefault="009E67BD" w:rsidP="009E67BD">
      <w:pPr>
        <w:pStyle w:val="ListParagraph"/>
        <w:spacing w:line="480" w:lineRule="auto"/>
        <w:ind w:left="360"/>
        <w:jc w:val="both"/>
        <w:rPr>
          <w:rFonts w:ascii="Times New Roman" w:hAnsi="Times New Roman" w:cs="Times New Roman"/>
          <w:b/>
          <w:sz w:val="24"/>
          <w:szCs w:val="24"/>
        </w:rPr>
      </w:pPr>
    </w:p>
    <w:p w:rsidR="009E67BD" w:rsidRPr="00E15450" w:rsidRDefault="009E67BD" w:rsidP="009E67BD">
      <w:pPr>
        <w:pStyle w:val="ListParagraph"/>
        <w:numPr>
          <w:ilvl w:val="1"/>
          <w:numId w:val="1"/>
        </w:numPr>
        <w:spacing w:line="480" w:lineRule="auto"/>
        <w:jc w:val="both"/>
        <w:rPr>
          <w:rFonts w:ascii="Times New Roman" w:hAnsi="Times New Roman" w:cs="Times New Roman"/>
          <w:b/>
          <w:sz w:val="24"/>
          <w:szCs w:val="24"/>
        </w:rPr>
      </w:pPr>
      <w:r w:rsidRPr="00E15450">
        <w:rPr>
          <w:rFonts w:ascii="Times New Roman" w:hAnsi="Times New Roman" w:cs="Times New Roman"/>
          <w:b/>
          <w:sz w:val="24"/>
          <w:szCs w:val="24"/>
        </w:rPr>
        <w:t>Programme 2: Economic Policy, Tax, Financial Regulation and Research</w:t>
      </w:r>
    </w:p>
    <w:p w:rsidR="008641B9" w:rsidRPr="008641B9" w:rsidRDefault="009E67BD" w:rsidP="008641B9">
      <w:pPr>
        <w:pStyle w:val="ListParagraph"/>
        <w:numPr>
          <w:ilvl w:val="2"/>
          <w:numId w:val="1"/>
        </w:numPr>
        <w:spacing w:line="480" w:lineRule="auto"/>
        <w:jc w:val="both"/>
        <w:rPr>
          <w:rFonts w:ascii="Times New Roman" w:hAnsi="Times New Roman" w:cs="Times New Roman"/>
          <w:b/>
          <w:sz w:val="24"/>
          <w:szCs w:val="24"/>
        </w:rPr>
      </w:pPr>
      <w:r w:rsidRPr="00E15450">
        <w:rPr>
          <w:rFonts w:ascii="Times New Roman" w:hAnsi="Times New Roman" w:cs="Times New Roman"/>
          <w:sz w:val="24"/>
          <w:szCs w:val="24"/>
        </w:rPr>
        <w:t>This programme is dedicated to economic policy research, analysis and advisory services in the areas of macroeconomics, microeconomics, the financial sector, taxation and regulatory reforms. The 2022</w:t>
      </w:r>
      <w:r w:rsidR="008641B9">
        <w:rPr>
          <w:rFonts w:ascii="Times New Roman" w:hAnsi="Times New Roman" w:cs="Times New Roman"/>
          <w:sz w:val="24"/>
          <w:szCs w:val="24"/>
        </w:rPr>
        <w:t>/23</w:t>
      </w:r>
      <w:r w:rsidRPr="00E15450">
        <w:rPr>
          <w:rFonts w:ascii="Times New Roman" w:hAnsi="Times New Roman" w:cs="Times New Roman"/>
          <w:sz w:val="24"/>
          <w:szCs w:val="24"/>
        </w:rPr>
        <w:t xml:space="preserve"> allocation is R158</w:t>
      </w:r>
      <w:r w:rsidR="008641B9">
        <w:rPr>
          <w:rFonts w:ascii="Times New Roman" w:hAnsi="Times New Roman" w:cs="Times New Roman"/>
          <w:sz w:val="24"/>
          <w:szCs w:val="24"/>
        </w:rPr>
        <w:t>.2</w:t>
      </w:r>
      <w:r w:rsidRPr="00E15450">
        <w:rPr>
          <w:rFonts w:ascii="Times New Roman" w:hAnsi="Times New Roman" w:cs="Times New Roman"/>
          <w:sz w:val="24"/>
          <w:szCs w:val="24"/>
        </w:rPr>
        <w:t xml:space="preserve">, </w:t>
      </w:r>
      <w:r w:rsidR="008641B9">
        <w:rPr>
          <w:rFonts w:ascii="Times New Roman" w:hAnsi="Times New Roman" w:cs="Times New Roman"/>
          <w:sz w:val="24"/>
          <w:szCs w:val="24"/>
        </w:rPr>
        <w:t>up from 153.8</w:t>
      </w:r>
      <w:r w:rsidRPr="00E15450">
        <w:rPr>
          <w:rFonts w:ascii="Times New Roman" w:hAnsi="Times New Roman" w:cs="Times New Roman"/>
          <w:sz w:val="24"/>
          <w:szCs w:val="24"/>
        </w:rPr>
        <w:t xml:space="preserve"> million in </w:t>
      </w:r>
      <w:r w:rsidR="008641B9">
        <w:rPr>
          <w:rFonts w:ascii="Times New Roman" w:hAnsi="Times New Roman" w:cs="Times New Roman"/>
          <w:sz w:val="24"/>
          <w:szCs w:val="24"/>
        </w:rPr>
        <w:t xml:space="preserve">the </w:t>
      </w:r>
      <w:r w:rsidRPr="00E15450">
        <w:rPr>
          <w:rFonts w:ascii="Times New Roman" w:hAnsi="Times New Roman" w:cs="Times New Roman"/>
          <w:sz w:val="24"/>
          <w:szCs w:val="24"/>
        </w:rPr>
        <w:t>2021</w:t>
      </w:r>
      <w:r w:rsidR="008641B9">
        <w:rPr>
          <w:rFonts w:ascii="Times New Roman" w:hAnsi="Times New Roman" w:cs="Times New Roman"/>
          <w:sz w:val="24"/>
          <w:szCs w:val="24"/>
        </w:rPr>
        <w:t>/22 adjustment budget</w:t>
      </w:r>
      <w:r w:rsidRPr="00E15450">
        <w:rPr>
          <w:rFonts w:ascii="Times New Roman" w:hAnsi="Times New Roman" w:cs="Times New Roman"/>
          <w:sz w:val="24"/>
          <w:szCs w:val="24"/>
        </w:rPr>
        <w:t>. Over the medium term, the bu</w:t>
      </w:r>
      <w:r w:rsidR="008641B9">
        <w:rPr>
          <w:rFonts w:ascii="Times New Roman" w:hAnsi="Times New Roman" w:cs="Times New Roman"/>
          <w:sz w:val="24"/>
          <w:szCs w:val="24"/>
        </w:rPr>
        <w:t>dget is projected to grow by 1.4</w:t>
      </w:r>
      <w:r w:rsidRPr="00E15450">
        <w:rPr>
          <w:rFonts w:ascii="Times New Roman" w:hAnsi="Times New Roman" w:cs="Times New Roman"/>
          <w:sz w:val="24"/>
          <w:szCs w:val="24"/>
        </w:rPr>
        <w:t>%, to R1</w:t>
      </w:r>
      <w:r w:rsidR="008641B9">
        <w:rPr>
          <w:rFonts w:ascii="Times New Roman" w:hAnsi="Times New Roman" w:cs="Times New Roman"/>
          <w:sz w:val="24"/>
          <w:szCs w:val="24"/>
        </w:rPr>
        <w:t>60.4</w:t>
      </w:r>
      <w:r w:rsidRPr="00E15450">
        <w:rPr>
          <w:rFonts w:ascii="Times New Roman" w:hAnsi="Times New Roman" w:cs="Times New Roman"/>
          <w:sz w:val="24"/>
          <w:szCs w:val="24"/>
        </w:rPr>
        <w:t xml:space="preserve"> million </w:t>
      </w:r>
      <w:r w:rsidR="008641B9">
        <w:rPr>
          <w:rFonts w:ascii="Times New Roman" w:hAnsi="Times New Roman" w:cs="Times New Roman"/>
          <w:sz w:val="24"/>
          <w:szCs w:val="24"/>
        </w:rPr>
        <w:t xml:space="preserve">each </w:t>
      </w:r>
      <w:r w:rsidRPr="00E15450">
        <w:rPr>
          <w:rFonts w:ascii="Times New Roman" w:hAnsi="Times New Roman" w:cs="Times New Roman"/>
          <w:sz w:val="24"/>
          <w:szCs w:val="24"/>
        </w:rPr>
        <w:t>in the two outer years.</w:t>
      </w:r>
      <w:r w:rsidR="008641B9" w:rsidRPr="008641B9">
        <w:rPr>
          <w:rFonts w:ascii="Times New Roman" w:hAnsi="Times New Roman" w:cs="Times New Roman"/>
          <w:b/>
          <w:sz w:val="24"/>
          <w:szCs w:val="24"/>
        </w:rPr>
        <w:t xml:space="preserve"> </w:t>
      </w:r>
    </w:p>
    <w:p w:rsidR="009E67BD" w:rsidRPr="00A17486" w:rsidRDefault="008641B9" w:rsidP="009E67BD">
      <w:pPr>
        <w:pStyle w:val="ListParagraph"/>
        <w:numPr>
          <w:ilvl w:val="2"/>
          <w:numId w:val="1"/>
        </w:numPr>
        <w:spacing w:line="480" w:lineRule="auto"/>
        <w:jc w:val="both"/>
        <w:rPr>
          <w:rFonts w:ascii="Times New Roman" w:hAnsi="Times New Roman" w:cs="Times New Roman"/>
          <w:b/>
          <w:sz w:val="24"/>
          <w:szCs w:val="24"/>
        </w:rPr>
      </w:pPr>
      <w:r>
        <w:rPr>
          <w:rFonts w:ascii="Times New Roman" w:hAnsi="Times New Roman" w:cs="Times New Roman"/>
          <w:sz w:val="24"/>
          <w:szCs w:val="24"/>
        </w:rPr>
        <w:t>This programme a</w:t>
      </w:r>
      <w:r w:rsidR="009E67BD" w:rsidRPr="00E15450">
        <w:rPr>
          <w:rFonts w:ascii="Times New Roman" w:hAnsi="Times New Roman" w:cs="Times New Roman"/>
          <w:sz w:val="24"/>
          <w:szCs w:val="24"/>
        </w:rPr>
        <w:t xml:space="preserve">ims to publish </w:t>
      </w:r>
      <w:r>
        <w:rPr>
          <w:rFonts w:ascii="Times New Roman" w:hAnsi="Times New Roman" w:cs="Times New Roman"/>
          <w:sz w:val="24"/>
          <w:szCs w:val="24"/>
        </w:rPr>
        <w:t>15</w:t>
      </w:r>
      <w:r w:rsidR="009E67BD" w:rsidRPr="00E15450">
        <w:rPr>
          <w:rFonts w:ascii="Times New Roman" w:hAnsi="Times New Roman" w:cs="Times New Roman"/>
          <w:sz w:val="24"/>
          <w:szCs w:val="24"/>
        </w:rPr>
        <w:t xml:space="preserve"> research papers through the SA-TIED programme, table financial sector and tax legislation in Parliament, develop four economic forecasts that provide reliable macro-economic projections to aid policy-making, produce four relevant micro and macro-economic research outputs that contribute to the promotion of macroeconomic stability, poverty alleviation, retirement reform, social security and the development of inclusive growth and job creating </w:t>
      </w:r>
      <w:r>
        <w:rPr>
          <w:rFonts w:ascii="Times New Roman" w:hAnsi="Times New Roman" w:cs="Times New Roman"/>
          <w:sz w:val="24"/>
          <w:szCs w:val="24"/>
        </w:rPr>
        <w:t>policies</w:t>
      </w:r>
      <w:r w:rsidR="009E67BD" w:rsidRPr="00E15450">
        <w:rPr>
          <w:rFonts w:ascii="Times New Roman" w:hAnsi="Times New Roman" w:cs="Times New Roman"/>
          <w:sz w:val="24"/>
          <w:szCs w:val="24"/>
        </w:rPr>
        <w:t xml:space="preserve">. </w:t>
      </w:r>
    </w:p>
    <w:p w:rsidR="00A17486" w:rsidRPr="0077613B" w:rsidRDefault="00A17486" w:rsidP="009E67BD">
      <w:pPr>
        <w:pStyle w:val="ListParagraph"/>
        <w:numPr>
          <w:ilvl w:val="2"/>
          <w:numId w:val="1"/>
        </w:num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It has the following sub-programmes for 2022/23: Programme Management for Economic Policy, Tax, Financial Regulation and Research (R</w:t>
      </w:r>
      <w:r w:rsidR="002D26F5">
        <w:rPr>
          <w:rFonts w:ascii="Times New Roman" w:hAnsi="Times New Roman" w:cs="Times New Roman"/>
          <w:sz w:val="24"/>
          <w:szCs w:val="24"/>
        </w:rPr>
        <w:t>51</w:t>
      </w:r>
      <w:r>
        <w:rPr>
          <w:rFonts w:ascii="Times New Roman" w:hAnsi="Times New Roman" w:cs="Times New Roman"/>
          <w:sz w:val="24"/>
          <w:szCs w:val="24"/>
        </w:rPr>
        <w:t>.</w:t>
      </w:r>
      <w:r w:rsidR="002D26F5">
        <w:rPr>
          <w:rFonts w:ascii="Times New Roman" w:hAnsi="Times New Roman" w:cs="Times New Roman"/>
          <w:sz w:val="24"/>
          <w:szCs w:val="24"/>
        </w:rPr>
        <w:t>5</w:t>
      </w:r>
      <w:r>
        <w:rPr>
          <w:rFonts w:ascii="Times New Roman" w:hAnsi="Times New Roman" w:cs="Times New Roman"/>
          <w:sz w:val="24"/>
          <w:szCs w:val="24"/>
        </w:rPr>
        <w:t>m); Financial Sector Policy (R2</w:t>
      </w:r>
      <w:r w:rsidR="002D26F5">
        <w:rPr>
          <w:rFonts w:ascii="Times New Roman" w:hAnsi="Times New Roman" w:cs="Times New Roman"/>
          <w:sz w:val="24"/>
          <w:szCs w:val="24"/>
        </w:rPr>
        <w:t>4</w:t>
      </w:r>
      <w:r>
        <w:rPr>
          <w:rFonts w:ascii="Times New Roman" w:hAnsi="Times New Roman" w:cs="Times New Roman"/>
          <w:sz w:val="24"/>
          <w:szCs w:val="24"/>
        </w:rPr>
        <w:t>.</w:t>
      </w:r>
      <w:r w:rsidR="002D26F5">
        <w:rPr>
          <w:rFonts w:ascii="Times New Roman" w:hAnsi="Times New Roman" w:cs="Times New Roman"/>
          <w:sz w:val="24"/>
          <w:szCs w:val="24"/>
        </w:rPr>
        <w:t>7</w:t>
      </w:r>
      <w:r>
        <w:rPr>
          <w:rFonts w:ascii="Times New Roman" w:hAnsi="Times New Roman" w:cs="Times New Roman"/>
          <w:sz w:val="24"/>
          <w:szCs w:val="24"/>
        </w:rPr>
        <w:t>m); Tax Policy (R</w:t>
      </w:r>
      <w:r w:rsidR="002D26F5">
        <w:rPr>
          <w:rFonts w:ascii="Times New Roman" w:hAnsi="Times New Roman" w:cs="Times New Roman"/>
          <w:sz w:val="24"/>
          <w:szCs w:val="24"/>
        </w:rPr>
        <w:t>32.6</w:t>
      </w:r>
      <w:r>
        <w:rPr>
          <w:rFonts w:ascii="Times New Roman" w:hAnsi="Times New Roman" w:cs="Times New Roman"/>
          <w:sz w:val="24"/>
          <w:szCs w:val="24"/>
        </w:rPr>
        <w:t>m); Economic Policy (R</w:t>
      </w:r>
      <w:r w:rsidR="002D26F5">
        <w:rPr>
          <w:rFonts w:ascii="Times New Roman" w:hAnsi="Times New Roman" w:cs="Times New Roman"/>
          <w:sz w:val="24"/>
          <w:szCs w:val="24"/>
        </w:rPr>
        <w:t>28.6</w:t>
      </w:r>
      <w:r>
        <w:rPr>
          <w:rFonts w:ascii="Times New Roman" w:hAnsi="Times New Roman" w:cs="Times New Roman"/>
          <w:sz w:val="24"/>
          <w:szCs w:val="24"/>
        </w:rPr>
        <w:t>m); and Cooperative Banks Development Agency (R</w:t>
      </w:r>
      <w:r w:rsidR="002D26F5">
        <w:rPr>
          <w:rFonts w:ascii="Times New Roman" w:hAnsi="Times New Roman" w:cs="Times New Roman"/>
          <w:sz w:val="24"/>
          <w:szCs w:val="24"/>
        </w:rPr>
        <w:t>20.8</w:t>
      </w:r>
      <w:r>
        <w:rPr>
          <w:rFonts w:ascii="Times New Roman" w:hAnsi="Times New Roman" w:cs="Times New Roman"/>
          <w:sz w:val="24"/>
          <w:szCs w:val="24"/>
        </w:rPr>
        <w:t xml:space="preserve">m). </w:t>
      </w:r>
    </w:p>
    <w:p w:rsidR="009E67BD" w:rsidRPr="00E15450" w:rsidRDefault="009E67BD" w:rsidP="009E67BD">
      <w:pPr>
        <w:pStyle w:val="ListParagraph"/>
        <w:spacing w:line="480" w:lineRule="auto"/>
        <w:jc w:val="both"/>
        <w:rPr>
          <w:rFonts w:ascii="Times New Roman" w:hAnsi="Times New Roman" w:cs="Times New Roman"/>
          <w:b/>
          <w:sz w:val="24"/>
          <w:szCs w:val="24"/>
        </w:rPr>
      </w:pPr>
    </w:p>
    <w:p w:rsidR="009E67BD" w:rsidRPr="00E15450" w:rsidRDefault="009E67BD" w:rsidP="009E67BD">
      <w:pPr>
        <w:pStyle w:val="ListParagraph"/>
        <w:numPr>
          <w:ilvl w:val="1"/>
          <w:numId w:val="1"/>
        </w:numPr>
        <w:spacing w:line="480" w:lineRule="auto"/>
        <w:jc w:val="both"/>
        <w:rPr>
          <w:rFonts w:ascii="Times New Roman" w:hAnsi="Times New Roman" w:cs="Times New Roman"/>
          <w:b/>
          <w:sz w:val="24"/>
          <w:szCs w:val="24"/>
        </w:rPr>
      </w:pPr>
      <w:r w:rsidRPr="00E15450">
        <w:rPr>
          <w:rFonts w:ascii="Times New Roman" w:hAnsi="Times New Roman" w:cs="Times New Roman"/>
          <w:b/>
          <w:sz w:val="24"/>
          <w:szCs w:val="24"/>
        </w:rPr>
        <w:t>Programme 3: Public Finance and Budget Management</w:t>
      </w:r>
    </w:p>
    <w:p w:rsidR="009E67BD" w:rsidRPr="00E15450" w:rsidRDefault="009E67BD" w:rsidP="009E67BD">
      <w:pPr>
        <w:pStyle w:val="ListParagraph"/>
        <w:numPr>
          <w:ilvl w:val="2"/>
          <w:numId w:val="1"/>
        </w:numPr>
        <w:spacing w:line="480" w:lineRule="auto"/>
        <w:jc w:val="both"/>
        <w:rPr>
          <w:rFonts w:ascii="Times New Roman" w:hAnsi="Times New Roman" w:cs="Times New Roman"/>
          <w:b/>
          <w:sz w:val="24"/>
          <w:szCs w:val="24"/>
        </w:rPr>
      </w:pPr>
      <w:r w:rsidRPr="00E15450">
        <w:rPr>
          <w:rFonts w:ascii="Times New Roman" w:hAnsi="Times New Roman" w:cs="Times New Roman"/>
          <w:sz w:val="24"/>
          <w:szCs w:val="24"/>
        </w:rPr>
        <w:t>This programme provides analysis and advice on fiscal policy, public finances and, intergovernmental financial relations.  It man</w:t>
      </w:r>
      <w:r w:rsidR="00A17486">
        <w:rPr>
          <w:rFonts w:ascii="Times New Roman" w:hAnsi="Times New Roman" w:cs="Times New Roman"/>
          <w:sz w:val="24"/>
          <w:szCs w:val="24"/>
        </w:rPr>
        <w:t xml:space="preserve">ages the annual budget process </w:t>
      </w:r>
      <w:r w:rsidR="00CF5634">
        <w:rPr>
          <w:rFonts w:ascii="Times New Roman" w:hAnsi="Times New Roman" w:cs="Times New Roman"/>
          <w:sz w:val="24"/>
          <w:szCs w:val="24"/>
        </w:rPr>
        <w:t xml:space="preserve">of government </w:t>
      </w:r>
      <w:r w:rsidR="00A17486">
        <w:rPr>
          <w:rFonts w:ascii="Times New Roman" w:hAnsi="Times New Roman" w:cs="Times New Roman"/>
          <w:sz w:val="24"/>
          <w:szCs w:val="24"/>
        </w:rPr>
        <w:t>a</w:t>
      </w:r>
      <w:r w:rsidRPr="00E15450">
        <w:rPr>
          <w:rFonts w:ascii="Times New Roman" w:hAnsi="Times New Roman" w:cs="Times New Roman"/>
          <w:sz w:val="24"/>
          <w:szCs w:val="24"/>
        </w:rPr>
        <w:t xml:space="preserve">nd provides public finance management support. </w:t>
      </w:r>
      <w:r w:rsidR="00014540">
        <w:rPr>
          <w:rFonts w:ascii="Times New Roman" w:hAnsi="Times New Roman" w:cs="Times New Roman"/>
          <w:sz w:val="24"/>
          <w:szCs w:val="24"/>
        </w:rPr>
        <w:t>This programme was</w:t>
      </w:r>
      <w:r w:rsidRPr="00E15450">
        <w:rPr>
          <w:rFonts w:ascii="Times New Roman" w:hAnsi="Times New Roman" w:cs="Times New Roman"/>
          <w:sz w:val="24"/>
          <w:szCs w:val="24"/>
        </w:rPr>
        <w:t xml:space="preserve"> expanded to incorporate what was previously programme 8 “Technical Support and Development Finance” in the previous strategic plan</w:t>
      </w:r>
      <w:r w:rsidR="00014540">
        <w:rPr>
          <w:rFonts w:ascii="Times New Roman" w:hAnsi="Times New Roman" w:cs="Times New Roman"/>
          <w:sz w:val="24"/>
          <w:szCs w:val="24"/>
        </w:rPr>
        <w:t xml:space="preserve"> of NT</w:t>
      </w:r>
      <w:r w:rsidRPr="00E15450">
        <w:rPr>
          <w:rFonts w:ascii="Times New Roman" w:hAnsi="Times New Roman" w:cs="Times New Roman"/>
          <w:sz w:val="24"/>
          <w:szCs w:val="24"/>
        </w:rPr>
        <w:t xml:space="preserve">. </w:t>
      </w:r>
      <w:r w:rsidR="00014540">
        <w:rPr>
          <w:rFonts w:ascii="Times New Roman" w:hAnsi="Times New Roman" w:cs="Times New Roman"/>
          <w:sz w:val="24"/>
          <w:szCs w:val="24"/>
        </w:rPr>
        <w:t xml:space="preserve"> It is also aimed at facilitating employment creation and high-impact government initiatives, and strengthen infrastructure planning and delivery </w:t>
      </w:r>
    </w:p>
    <w:p w:rsidR="009E67BD" w:rsidRPr="00654001" w:rsidRDefault="009E67BD" w:rsidP="009E67BD">
      <w:pPr>
        <w:pStyle w:val="ListParagraph"/>
        <w:numPr>
          <w:ilvl w:val="2"/>
          <w:numId w:val="1"/>
        </w:numPr>
        <w:spacing w:line="480" w:lineRule="auto"/>
        <w:jc w:val="both"/>
        <w:rPr>
          <w:rFonts w:ascii="Times New Roman" w:hAnsi="Times New Roman" w:cs="Times New Roman"/>
          <w:b/>
          <w:sz w:val="24"/>
          <w:szCs w:val="24"/>
        </w:rPr>
      </w:pPr>
      <w:r w:rsidRPr="00E15450">
        <w:rPr>
          <w:rFonts w:ascii="Times New Roman" w:hAnsi="Times New Roman" w:cs="Times New Roman"/>
          <w:sz w:val="24"/>
          <w:szCs w:val="24"/>
        </w:rPr>
        <w:t>This programme will be allocated R</w:t>
      </w:r>
      <w:r w:rsidR="003E561B">
        <w:rPr>
          <w:rFonts w:ascii="Times New Roman" w:hAnsi="Times New Roman" w:cs="Times New Roman"/>
          <w:sz w:val="24"/>
          <w:szCs w:val="24"/>
        </w:rPr>
        <w:t>4</w:t>
      </w:r>
      <w:r w:rsidRPr="00E15450">
        <w:rPr>
          <w:rFonts w:ascii="Times New Roman" w:hAnsi="Times New Roman" w:cs="Times New Roman"/>
          <w:sz w:val="24"/>
          <w:szCs w:val="24"/>
        </w:rPr>
        <w:t>,</w:t>
      </w:r>
      <w:r w:rsidR="003E561B">
        <w:rPr>
          <w:rFonts w:ascii="Times New Roman" w:hAnsi="Times New Roman" w:cs="Times New Roman"/>
          <w:sz w:val="24"/>
          <w:szCs w:val="24"/>
        </w:rPr>
        <w:t>4 billion in 20</w:t>
      </w:r>
      <w:r w:rsidRPr="00E15450">
        <w:rPr>
          <w:rFonts w:ascii="Times New Roman" w:hAnsi="Times New Roman" w:cs="Times New Roman"/>
          <w:sz w:val="24"/>
          <w:szCs w:val="24"/>
        </w:rPr>
        <w:t>22</w:t>
      </w:r>
      <w:r w:rsidR="003E561B">
        <w:rPr>
          <w:rFonts w:ascii="Times New Roman" w:hAnsi="Times New Roman" w:cs="Times New Roman"/>
          <w:sz w:val="24"/>
          <w:szCs w:val="24"/>
        </w:rPr>
        <w:t>/23, up from 4,3 billion in the adjustment budget</w:t>
      </w:r>
      <w:r w:rsidRPr="00E15450">
        <w:rPr>
          <w:rFonts w:ascii="Times New Roman" w:hAnsi="Times New Roman" w:cs="Times New Roman"/>
          <w:sz w:val="24"/>
          <w:szCs w:val="24"/>
        </w:rPr>
        <w:t>. The projected allocations are R</w:t>
      </w:r>
      <w:r w:rsidR="003E561B">
        <w:rPr>
          <w:rFonts w:ascii="Times New Roman" w:hAnsi="Times New Roman" w:cs="Times New Roman"/>
          <w:sz w:val="24"/>
          <w:szCs w:val="24"/>
        </w:rPr>
        <w:t>4,3</w:t>
      </w:r>
      <w:r w:rsidRPr="00E15450">
        <w:rPr>
          <w:rFonts w:ascii="Times New Roman" w:hAnsi="Times New Roman" w:cs="Times New Roman"/>
          <w:sz w:val="24"/>
          <w:szCs w:val="24"/>
        </w:rPr>
        <w:t xml:space="preserve"> </w:t>
      </w:r>
      <w:r w:rsidR="003E561B">
        <w:rPr>
          <w:rFonts w:ascii="Times New Roman" w:hAnsi="Times New Roman" w:cs="Times New Roman"/>
          <w:sz w:val="24"/>
          <w:szCs w:val="24"/>
        </w:rPr>
        <w:t xml:space="preserve">and 3,4 </w:t>
      </w:r>
      <w:r w:rsidRPr="00E15450">
        <w:rPr>
          <w:rFonts w:ascii="Times New Roman" w:hAnsi="Times New Roman" w:cs="Times New Roman"/>
          <w:sz w:val="24"/>
          <w:szCs w:val="24"/>
        </w:rPr>
        <w:t>billion for the outer two years of the MTEF.</w:t>
      </w:r>
    </w:p>
    <w:p w:rsidR="009E67BD" w:rsidRPr="00E15450" w:rsidRDefault="002E6883" w:rsidP="009E67BD">
      <w:pPr>
        <w:pStyle w:val="ListParagraph"/>
        <w:numPr>
          <w:ilvl w:val="2"/>
          <w:numId w:val="1"/>
        </w:numPr>
        <w:spacing w:line="480" w:lineRule="auto"/>
        <w:jc w:val="both"/>
        <w:rPr>
          <w:rFonts w:ascii="Times New Roman" w:hAnsi="Times New Roman" w:cs="Times New Roman"/>
          <w:b/>
          <w:sz w:val="24"/>
          <w:szCs w:val="24"/>
        </w:rPr>
      </w:pPr>
      <w:r>
        <w:rPr>
          <w:rFonts w:ascii="Times New Roman" w:hAnsi="Times New Roman" w:cs="Times New Roman"/>
          <w:sz w:val="24"/>
          <w:szCs w:val="24"/>
        </w:rPr>
        <w:t>This programme has got the following sub-programmes</w:t>
      </w:r>
      <w:r w:rsidR="00D351D6">
        <w:rPr>
          <w:rFonts w:ascii="Times New Roman" w:hAnsi="Times New Roman" w:cs="Times New Roman"/>
          <w:sz w:val="24"/>
          <w:szCs w:val="24"/>
        </w:rPr>
        <w:t xml:space="preserve"> (and allocations)</w:t>
      </w:r>
      <w:r>
        <w:rPr>
          <w:rFonts w:ascii="Times New Roman" w:hAnsi="Times New Roman" w:cs="Times New Roman"/>
          <w:sz w:val="24"/>
          <w:szCs w:val="24"/>
        </w:rPr>
        <w:t>: Programme Management for Public Finance and Budget Management</w:t>
      </w:r>
      <w:r w:rsidR="00D351D6">
        <w:rPr>
          <w:rFonts w:ascii="Times New Roman" w:hAnsi="Times New Roman" w:cs="Times New Roman"/>
          <w:sz w:val="24"/>
          <w:szCs w:val="24"/>
        </w:rPr>
        <w:t xml:space="preserve"> (R</w:t>
      </w:r>
      <w:r w:rsidR="002D26F5">
        <w:rPr>
          <w:rFonts w:ascii="Times New Roman" w:hAnsi="Times New Roman" w:cs="Times New Roman"/>
          <w:sz w:val="24"/>
          <w:szCs w:val="24"/>
        </w:rPr>
        <w:t>34</w:t>
      </w:r>
      <w:r w:rsidR="00D351D6">
        <w:rPr>
          <w:rFonts w:ascii="Times New Roman" w:hAnsi="Times New Roman" w:cs="Times New Roman"/>
          <w:sz w:val="24"/>
          <w:szCs w:val="24"/>
        </w:rPr>
        <w:t>.7m)</w:t>
      </w:r>
      <w:r>
        <w:rPr>
          <w:rFonts w:ascii="Times New Roman" w:hAnsi="Times New Roman" w:cs="Times New Roman"/>
          <w:sz w:val="24"/>
          <w:szCs w:val="24"/>
        </w:rPr>
        <w:t>; Public Finance</w:t>
      </w:r>
      <w:r w:rsidR="00D351D6">
        <w:rPr>
          <w:rFonts w:ascii="Times New Roman" w:hAnsi="Times New Roman" w:cs="Times New Roman"/>
          <w:sz w:val="24"/>
          <w:szCs w:val="24"/>
        </w:rPr>
        <w:t xml:space="preserve"> (R</w:t>
      </w:r>
      <w:r w:rsidR="002D26F5">
        <w:rPr>
          <w:rFonts w:ascii="Times New Roman" w:hAnsi="Times New Roman" w:cs="Times New Roman"/>
          <w:sz w:val="24"/>
          <w:szCs w:val="24"/>
        </w:rPr>
        <w:t>64.7</w:t>
      </w:r>
      <w:r w:rsidR="00D351D6">
        <w:rPr>
          <w:rFonts w:ascii="Times New Roman" w:hAnsi="Times New Roman" w:cs="Times New Roman"/>
          <w:sz w:val="24"/>
          <w:szCs w:val="24"/>
        </w:rPr>
        <w:t>m)</w:t>
      </w:r>
      <w:r>
        <w:rPr>
          <w:rFonts w:ascii="Times New Roman" w:hAnsi="Times New Roman" w:cs="Times New Roman"/>
          <w:sz w:val="24"/>
          <w:szCs w:val="24"/>
        </w:rPr>
        <w:t>; Budget Office and Coordination</w:t>
      </w:r>
      <w:r w:rsidR="00D351D6">
        <w:rPr>
          <w:rFonts w:ascii="Times New Roman" w:hAnsi="Times New Roman" w:cs="Times New Roman"/>
          <w:sz w:val="24"/>
          <w:szCs w:val="24"/>
        </w:rPr>
        <w:t xml:space="preserve"> (R</w:t>
      </w:r>
      <w:r w:rsidR="002D26F5">
        <w:rPr>
          <w:rFonts w:ascii="Times New Roman" w:hAnsi="Times New Roman" w:cs="Times New Roman"/>
          <w:sz w:val="24"/>
          <w:szCs w:val="24"/>
        </w:rPr>
        <w:t>66.4</w:t>
      </w:r>
      <w:r w:rsidR="00D351D6">
        <w:rPr>
          <w:rFonts w:ascii="Times New Roman" w:hAnsi="Times New Roman" w:cs="Times New Roman"/>
          <w:sz w:val="24"/>
          <w:szCs w:val="24"/>
        </w:rPr>
        <w:t>m)</w:t>
      </w:r>
      <w:r>
        <w:rPr>
          <w:rFonts w:ascii="Times New Roman" w:hAnsi="Times New Roman" w:cs="Times New Roman"/>
          <w:sz w:val="24"/>
          <w:szCs w:val="24"/>
        </w:rPr>
        <w:t>; Intergovernmental Relations</w:t>
      </w:r>
      <w:r w:rsidR="002D26F5">
        <w:rPr>
          <w:rFonts w:ascii="Times New Roman" w:hAnsi="Times New Roman" w:cs="Times New Roman"/>
          <w:sz w:val="24"/>
          <w:szCs w:val="24"/>
        </w:rPr>
        <w:t xml:space="preserve"> (285.5</w:t>
      </w:r>
      <w:r w:rsidR="00D351D6">
        <w:rPr>
          <w:rFonts w:ascii="Times New Roman" w:hAnsi="Times New Roman" w:cs="Times New Roman"/>
          <w:sz w:val="24"/>
          <w:szCs w:val="24"/>
        </w:rPr>
        <w:t>m)</w:t>
      </w:r>
      <w:r>
        <w:rPr>
          <w:rFonts w:ascii="Times New Roman" w:hAnsi="Times New Roman" w:cs="Times New Roman"/>
          <w:sz w:val="24"/>
          <w:szCs w:val="24"/>
        </w:rPr>
        <w:t>; Financial and Fiscal Commission</w:t>
      </w:r>
      <w:r w:rsidR="00D351D6">
        <w:rPr>
          <w:rFonts w:ascii="Times New Roman" w:hAnsi="Times New Roman" w:cs="Times New Roman"/>
          <w:sz w:val="24"/>
          <w:szCs w:val="24"/>
        </w:rPr>
        <w:t xml:space="preserve"> (R</w:t>
      </w:r>
      <w:r w:rsidR="002D26F5">
        <w:rPr>
          <w:rFonts w:ascii="Times New Roman" w:hAnsi="Times New Roman" w:cs="Times New Roman"/>
          <w:sz w:val="24"/>
          <w:szCs w:val="24"/>
        </w:rPr>
        <w:t>63.8</w:t>
      </w:r>
      <w:r w:rsidR="00D351D6">
        <w:rPr>
          <w:rFonts w:ascii="Times New Roman" w:hAnsi="Times New Roman" w:cs="Times New Roman"/>
          <w:sz w:val="24"/>
          <w:szCs w:val="24"/>
        </w:rPr>
        <w:t>m)</w:t>
      </w:r>
      <w:r>
        <w:rPr>
          <w:rFonts w:ascii="Times New Roman" w:hAnsi="Times New Roman" w:cs="Times New Roman"/>
          <w:sz w:val="24"/>
          <w:szCs w:val="24"/>
        </w:rPr>
        <w:t>; Facilitation of Conditional Grants</w:t>
      </w:r>
      <w:r w:rsidR="00D351D6">
        <w:rPr>
          <w:rFonts w:ascii="Times New Roman" w:hAnsi="Times New Roman" w:cs="Times New Roman"/>
          <w:sz w:val="24"/>
          <w:szCs w:val="24"/>
        </w:rPr>
        <w:t xml:space="preserve"> (R</w:t>
      </w:r>
      <w:r w:rsidR="002D26F5">
        <w:rPr>
          <w:rFonts w:ascii="Times New Roman" w:hAnsi="Times New Roman" w:cs="Times New Roman"/>
          <w:sz w:val="24"/>
          <w:szCs w:val="24"/>
        </w:rPr>
        <w:t>2,4</w:t>
      </w:r>
      <w:r w:rsidR="00D351D6">
        <w:rPr>
          <w:rFonts w:ascii="Times New Roman" w:hAnsi="Times New Roman" w:cs="Times New Roman"/>
          <w:sz w:val="24"/>
          <w:szCs w:val="24"/>
        </w:rPr>
        <w:t>b)</w:t>
      </w:r>
      <w:r>
        <w:rPr>
          <w:rFonts w:ascii="Times New Roman" w:hAnsi="Times New Roman" w:cs="Times New Roman"/>
          <w:sz w:val="24"/>
          <w:szCs w:val="24"/>
        </w:rPr>
        <w:t>; Catalytic Infrastructure and Development Support Programme</w:t>
      </w:r>
      <w:r w:rsidR="00D351D6">
        <w:rPr>
          <w:rFonts w:ascii="Times New Roman" w:hAnsi="Times New Roman" w:cs="Times New Roman"/>
          <w:sz w:val="24"/>
          <w:szCs w:val="24"/>
        </w:rPr>
        <w:t xml:space="preserve"> (R</w:t>
      </w:r>
      <w:r w:rsidR="002D26F5">
        <w:rPr>
          <w:rFonts w:ascii="Times New Roman" w:hAnsi="Times New Roman" w:cs="Times New Roman"/>
          <w:sz w:val="24"/>
          <w:szCs w:val="24"/>
        </w:rPr>
        <w:t>654.1</w:t>
      </w:r>
      <w:r w:rsidR="00D351D6">
        <w:rPr>
          <w:rFonts w:ascii="Times New Roman" w:hAnsi="Times New Roman" w:cs="Times New Roman"/>
          <w:sz w:val="24"/>
          <w:szCs w:val="24"/>
        </w:rPr>
        <w:t>m)</w:t>
      </w:r>
      <w:r>
        <w:rPr>
          <w:rFonts w:ascii="Times New Roman" w:hAnsi="Times New Roman" w:cs="Times New Roman"/>
          <w:sz w:val="24"/>
          <w:szCs w:val="24"/>
        </w:rPr>
        <w:t>; and the Government Technical Advisory Centre</w:t>
      </w:r>
      <w:r w:rsidR="00D351D6">
        <w:rPr>
          <w:rFonts w:ascii="Times New Roman" w:hAnsi="Times New Roman" w:cs="Times New Roman"/>
          <w:sz w:val="24"/>
          <w:szCs w:val="24"/>
        </w:rPr>
        <w:t xml:space="preserve"> (R</w:t>
      </w:r>
      <w:r w:rsidR="002D26F5">
        <w:rPr>
          <w:rFonts w:ascii="Times New Roman" w:hAnsi="Times New Roman" w:cs="Times New Roman"/>
          <w:sz w:val="24"/>
          <w:szCs w:val="24"/>
        </w:rPr>
        <w:t>789.4</w:t>
      </w:r>
      <w:r w:rsidR="00D351D6">
        <w:rPr>
          <w:rFonts w:ascii="Times New Roman" w:hAnsi="Times New Roman" w:cs="Times New Roman"/>
          <w:sz w:val="24"/>
          <w:szCs w:val="24"/>
        </w:rPr>
        <w:t>m)</w:t>
      </w:r>
      <w:r>
        <w:rPr>
          <w:rFonts w:ascii="Times New Roman" w:hAnsi="Times New Roman" w:cs="Times New Roman"/>
          <w:sz w:val="24"/>
          <w:szCs w:val="24"/>
        </w:rPr>
        <w:t xml:space="preserve">. </w:t>
      </w:r>
    </w:p>
    <w:p w:rsidR="009E67BD" w:rsidRPr="00E15450" w:rsidRDefault="009E67BD" w:rsidP="009E67BD">
      <w:pPr>
        <w:pStyle w:val="ListParagraph"/>
        <w:tabs>
          <w:tab w:val="center" w:pos="3596"/>
          <w:tab w:val="center" w:pos="4955"/>
          <w:tab w:val="center" w:pos="6296"/>
          <w:tab w:val="right" w:pos="14206"/>
        </w:tabs>
        <w:spacing w:after="241" w:line="480" w:lineRule="auto"/>
        <w:ind w:left="360" w:right="36"/>
        <w:jc w:val="both"/>
        <w:rPr>
          <w:rFonts w:ascii="Times New Roman" w:hAnsi="Times New Roman" w:cs="Times New Roman"/>
          <w:b/>
          <w:sz w:val="24"/>
          <w:szCs w:val="24"/>
        </w:rPr>
      </w:pPr>
    </w:p>
    <w:p w:rsidR="009E67BD" w:rsidRPr="00E15450" w:rsidRDefault="009E67BD" w:rsidP="009E67BD">
      <w:pPr>
        <w:pStyle w:val="ListParagraph"/>
        <w:numPr>
          <w:ilvl w:val="1"/>
          <w:numId w:val="1"/>
        </w:numPr>
        <w:spacing w:line="480" w:lineRule="auto"/>
        <w:jc w:val="both"/>
        <w:rPr>
          <w:rFonts w:ascii="Times New Roman" w:hAnsi="Times New Roman" w:cs="Times New Roman"/>
          <w:b/>
          <w:sz w:val="24"/>
          <w:szCs w:val="24"/>
        </w:rPr>
      </w:pPr>
      <w:r w:rsidRPr="00E15450">
        <w:rPr>
          <w:rFonts w:ascii="Times New Roman" w:hAnsi="Times New Roman" w:cs="Times New Roman"/>
          <w:b/>
          <w:sz w:val="24"/>
          <w:szCs w:val="24"/>
        </w:rPr>
        <w:t>Programme 4: Asset and Liability Management</w:t>
      </w:r>
    </w:p>
    <w:p w:rsidR="009E67BD" w:rsidRPr="003074CE" w:rsidRDefault="009E67BD" w:rsidP="009E67BD">
      <w:pPr>
        <w:pStyle w:val="ListParagraph"/>
        <w:numPr>
          <w:ilvl w:val="2"/>
          <w:numId w:val="1"/>
        </w:numPr>
        <w:spacing w:line="480" w:lineRule="auto"/>
        <w:jc w:val="both"/>
        <w:rPr>
          <w:rFonts w:ascii="Times New Roman" w:hAnsi="Times New Roman" w:cs="Times New Roman"/>
          <w:b/>
          <w:sz w:val="24"/>
          <w:szCs w:val="24"/>
        </w:rPr>
      </w:pPr>
      <w:r w:rsidRPr="00E15450">
        <w:rPr>
          <w:rFonts w:ascii="Times New Roman" w:hAnsi="Times New Roman" w:cs="Times New Roman"/>
          <w:sz w:val="24"/>
          <w:szCs w:val="24"/>
        </w:rPr>
        <w:lastRenderedPageBreak/>
        <w:t xml:space="preserve">The Asset and Liability Management programme manages financial assets, national debt and liquidity requirements of the </w:t>
      </w:r>
      <w:proofErr w:type="spellStart"/>
      <w:r w:rsidRPr="00E15450">
        <w:rPr>
          <w:rFonts w:ascii="Times New Roman" w:hAnsi="Times New Roman" w:cs="Times New Roman"/>
          <w:sz w:val="24"/>
          <w:szCs w:val="24"/>
        </w:rPr>
        <w:t>fiscus</w:t>
      </w:r>
      <w:proofErr w:type="spellEnd"/>
      <w:r w:rsidRPr="00E15450">
        <w:rPr>
          <w:rFonts w:ascii="Times New Roman" w:hAnsi="Times New Roman" w:cs="Times New Roman"/>
          <w:sz w:val="24"/>
          <w:szCs w:val="24"/>
        </w:rPr>
        <w:t xml:space="preserve"> in order to facilitate national expenditure and maintain favourable sovereign debt ratings. Over the medium term, the strategic focus of this programme continues to be its oversight of state owned companies (SOCs) by enabling them to meet government’s policy objectives in a financially and fiscally sustainable manner, as well as promote sound corporate governance. </w:t>
      </w:r>
    </w:p>
    <w:p w:rsidR="009E67BD" w:rsidRPr="00E15450" w:rsidRDefault="009E67BD" w:rsidP="009E67BD">
      <w:pPr>
        <w:pStyle w:val="ListParagraph"/>
        <w:numPr>
          <w:ilvl w:val="2"/>
          <w:numId w:val="1"/>
        </w:numPr>
        <w:spacing w:line="480" w:lineRule="auto"/>
        <w:jc w:val="both"/>
        <w:rPr>
          <w:rFonts w:ascii="Times New Roman" w:hAnsi="Times New Roman" w:cs="Times New Roman"/>
          <w:b/>
          <w:sz w:val="24"/>
          <w:szCs w:val="24"/>
        </w:rPr>
      </w:pPr>
      <w:r w:rsidRPr="00E15450">
        <w:rPr>
          <w:rFonts w:ascii="Times New Roman" w:hAnsi="Times New Roman" w:cs="Times New Roman"/>
          <w:sz w:val="24"/>
          <w:szCs w:val="24"/>
        </w:rPr>
        <w:t>Other targets are to: ensure timely and accurate payment of government debt obligations to avoid any credit defaults; finance government’s gross borrowing requirement over the MTEF and minimise risk</w:t>
      </w:r>
      <w:r w:rsidR="00270DFD">
        <w:rPr>
          <w:rFonts w:ascii="Times New Roman" w:hAnsi="Times New Roman" w:cs="Times New Roman"/>
          <w:sz w:val="24"/>
          <w:szCs w:val="24"/>
        </w:rPr>
        <w:t>s</w:t>
      </w:r>
      <w:r w:rsidRPr="00E15450">
        <w:rPr>
          <w:rFonts w:ascii="Times New Roman" w:hAnsi="Times New Roman" w:cs="Times New Roman"/>
          <w:sz w:val="24"/>
          <w:szCs w:val="24"/>
        </w:rPr>
        <w:t xml:space="preserve"> emanating from government’s fiscal obligations by measuring performance and ensuring compliance with market and refinancing risk benchmarks; ensure sound management of government’s cash resources by meeting government’s liquidity requirements at all times and; produce 4 reports on the management of government’s contingent liabilities.</w:t>
      </w:r>
    </w:p>
    <w:p w:rsidR="009E67BD" w:rsidRDefault="009E67BD" w:rsidP="00270DFD">
      <w:pPr>
        <w:pStyle w:val="ListParagraph"/>
        <w:numPr>
          <w:ilvl w:val="2"/>
          <w:numId w:val="1"/>
        </w:numPr>
        <w:spacing w:line="480" w:lineRule="auto"/>
        <w:jc w:val="both"/>
        <w:rPr>
          <w:rFonts w:ascii="Times New Roman" w:eastAsia="MS Mincho" w:hAnsi="Times New Roman" w:cs="Times New Roman"/>
          <w:sz w:val="24"/>
          <w:szCs w:val="24"/>
          <w:lang w:val="en-US"/>
        </w:rPr>
      </w:pPr>
      <w:r w:rsidRPr="00E15450">
        <w:rPr>
          <w:rFonts w:ascii="Times New Roman" w:eastAsia="MS Mincho" w:hAnsi="Times New Roman" w:cs="Times New Roman"/>
          <w:sz w:val="24"/>
          <w:szCs w:val="24"/>
          <w:lang w:val="en-US"/>
        </w:rPr>
        <w:t xml:space="preserve">This </w:t>
      </w:r>
      <w:proofErr w:type="spellStart"/>
      <w:r w:rsidRPr="00E15450">
        <w:rPr>
          <w:rFonts w:ascii="Times New Roman" w:eastAsia="MS Mincho" w:hAnsi="Times New Roman" w:cs="Times New Roman"/>
          <w:sz w:val="24"/>
          <w:szCs w:val="24"/>
          <w:lang w:val="en-US"/>
        </w:rPr>
        <w:t>programme’s</w:t>
      </w:r>
      <w:proofErr w:type="spellEnd"/>
      <w:r w:rsidRPr="00E15450">
        <w:rPr>
          <w:rFonts w:ascii="Times New Roman" w:eastAsia="MS Mincho" w:hAnsi="Times New Roman" w:cs="Times New Roman"/>
          <w:sz w:val="24"/>
          <w:szCs w:val="24"/>
          <w:lang w:val="en-US"/>
        </w:rPr>
        <w:t xml:space="preserve"> budget allocation for 2022</w:t>
      </w:r>
      <w:r w:rsidR="00270DFD">
        <w:rPr>
          <w:rFonts w:ascii="Times New Roman" w:eastAsia="MS Mincho" w:hAnsi="Times New Roman" w:cs="Times New Roman"/>
          <w:sz w:val="24"/>
          <w:szCs w:val="24"/>
          <w:lang w:val="en-US"/>
        </w:rPr>
        <w:t>/23</w:t>
      </w:r>
      <w:r w:rsidRPr="00E15450">
        <w:rPr>
          <w:rFonts w:ascii="Times New Roman" w:eastAsia="MS Mincho" w:hAnsi="Times New Roman" w:cs="Times New Roman"/>
          <w:sz w:val="24"/>
          <w:szCs w:val="24"/>
          <w:lang w:val="en-US"/>
        </w:rPr>
        <w:t xml:space="preserve"> is R</w:t>
      </w:r>
      <w:r w:rsidR="00270DFD">
        <w:rPr>
          <w:rFonts w:ascii="Times New Roman" w:eastAsia="MS Mincho" w:hAnsi="Times New Roman" w:cs="Times New Roman"/>
          <w:sz w:val="24"/>
          <w:szCs w:val="24"/>
          <w:lang w:val="en-US"/>
        </w:rPr>
        <w:t>1</w:t>
      </w:r>
      <w:r w:rsidRPr="00E15450">
        <w:rPr>
          <w:rFonts w:ascii="Times New Roman" w:eastAsia="MS Mincho" w:hAnsi="Times New Roman" w:cs="Times New Roman"/>
          <w:sz w:val="24"/>
          <w:szCs w:val="24"/>
          <w:lang w:val="en-US"/>
        </w:rPr>
        <w:t xml:space="preserve">,1 billion, </w:t>
      </w:r>
      <w:r w:rsidR="00270DFD">
        <w:rPr>
          <w:rFonts w:ascii="Times New Roman" w:eastAsia="MS Mincho" w:hAnsi="Times New Roman" w:cs="Times New Roman"/>
          <w:sz w:val="24"/>
          <w:szCs w:val="24"/>
          <w:lang w:val="en-US"/>
        </w:rPr>
        <w:t xml:space="preserve">down from an adjustment allocation of R9.0 billion </w:t>
      </w:r>
      <w:r w:rsidRPr="00E15450">
        <w:rPr>
          <w:rFonts w:ascii="Times New Roman" w:eastAsia="MS Mincho" w:hAnsi="Times New Roman" w:cs="Times New Roman"/>
          <w:sz w:val="24"/>
          <w:szCs w:val="24"/>
          <w:lang w:val="en-US"/>
        </w:rPr>
        <w:t xml:space="preserve">the previous year. </w:t>
      </w:r>
      <w:r w:rsidR="00270DFD">
        <w:rPr>
          <w:rFonts w:ascii="Times New Roman" w:eastAsia="MS Mincho" w:hAnsi="Times New Roman" w:cs="Times New Roman"/>
          <w:sz w:val="24"/>
          <w:szCs w:val="24"/>
          <w:lang w:val="en-US"/>
        </w:rPr>
        <w:t xml:space="preserve">The </w:t>
      </w:r>
      <w:proofErr w:type="spellStart"/>
      <w:r w:rsidR="00270DFD">
        <w:rPr>
          <w:rFonts w:ascii="Times New Roman" w:eastAsia="MS Mincho" w:hAnsi="Times New Roman" w:cs="Times New Roman"/>
          <w:sz w:val="24"/>
          <w:szCs w:val="24"/>
          <w:lang w:val="en-US"/>
        </w:rPr>
        <w:t>programme</w:t>
      </w:r>
      <w:proofErr w:type="spellEnd"/>
      <w:r w:rsidR="00270DFD">
        <w:rPr>
          <w:rFonts w:ascii="Times New Roman" w:eastAsia="MS Mincho" w:hAnsi="Times New Roman" w:cs="Times New Roman"/>
          <w:sz w:val="24"/>
          <w:szCs w:val="24"/>
          <w:lang w:val="en-US"/>
        </w:rPr>
        <w:t xml:space="preserve"> is allocated R1,1 billion in 2023/24, </w:t>
      </w:r>
      <w:r w:rsidR="00CF20EC">
        <w:rPr>
          <w:rFonts w:ascii="Times New Roman" w:eastAsia="MS Mincho" w:hAnsi="Times New Roman" w:cs="Times New Roman"/>
          <w:sz w:val="24"/>
          <w:szCs w:val="24"/>
          <w:lang w:val="en-US"/>
        </w:rPr>
        <w:t>decreasing</w:t>
      </w:r>
      <w:r w:rsidR="00270DFD">
        <w:rPr>
          <w:rFonts w:ascii="Times New Roman" w:eastAsia="MS Mincho" w:hAnsi="Times New Roman" w:cs="Times New Roman"/>
          <w:sz w:val="24"/>
          <w:szCs w:val="24"/>
          <w:lang w:val="en-US"/>
        </w:rPr>
        <w:t xml:space="preserve"> sharply by -75.8% to R128 million in 2024/25. </w:t>
      </w:r>
    </w:p>
    <w:p w:rsidR="00270DFD" w:rsidRDefault="00270DFD" w:rsidP="00270DFD">
      <w:pPr>
        <w:pStyle w:val="ListParagraph"/>
        <w:numPr>
          <w:ilvl w:val="2"/>
          <w:numId w:val="1"/>
        </w:numPr>
        <w:spacing w:line="480" w:lineRule="auto"/>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This </w:t>
      </w:r>
      <w:proofErr w:type="spellStart"/>
      <w:r>
        <w:rPr>
          <w:rFonts w:ascii="Times New Roman" w:eastAsia="MS Mincho" w:hAnsi="Times New Roman" w:cs="Times New Roman"/>
          <w:sz w:val="24"/>
          <w:szCs w:val="24"/>
          <w:lang w:val="en-US"/>
        </w:rPr>
        <w:t>programme</w:t>
      </w:r>
      <w:proofErr w:type="spellEnd"/>
      <w:r>
        <w:rPr>
          <w:rFonts w:ascii="Times New Roman" w:eastAsia="MS Mincho" w:hAnsi="Times New Roman" w:cs="Times New Roman"/>
          <w:sz w:val="24"/>
          <w:szCs w:val="24"/>
          <w:lang w:val="en-US"/>
        </w:rPr>
        <w:t xml:space="preserve"> consists of the following sub</w:t>
      </w:r>
      <w:r w:rsidR="00CF20EC">
        <w:rPr>
          <w:rFonts w:ascii="Times New Roman" w:eastAsia="MS Mincho" w:hAnsi="Times New Roman" w:cs="Times New Roman"/>
          <w:sz w:val="24"/>
          <w:szCs w:val="24"/>
          <w:lang w:val="en-US"/>
        </w:rPr>
        <w:t>-</w:t>
      </w:r>
      <w:proofErr w:type="spellStart"/>
      <w:r>
        <w:rPr>
          <w:rFonts w:ascii="Times New Roman" w:eastAsia="MS Mincho" w:hAnsi="Times New Roman" w:cs="Times New Roman"/>
          <w:sz w:val="24"/>
          <w:szCs w:val="24"/>
          <w:lang w:val="en-US"/>
        </w:rPr>
        <w:t>programmes</w:t>
      </w:r>
      <w:proofErr w:type="spellEnd"/>
      <w:r w:rsidR="00D351D6">
        <w:rPr>
          <w:rFonts w:ascii="Times New Roman" w:eastAsia="MS Mincho" w:hAnsi="Times New Roman" w:cs="Times New Roman"/>
          <w:sz w:val="24"/>
          <w:szCs w:val="24"/>
          <w:lang w:val="en-US"/>
        </w:rPr>
        <w:t xml:space="preserve"> and allocations</w:t>
      </w:r>
      <w:r>
        <w:rPr>
          <w:rFonts w:ascii="Times New Roman" w:eastAsia="MS Mincho" w:hAnsi="Times New Roman" w:cs="Times New Roman"/>
          <w:sz w:val="24"/>
          <w:szCs w:val="24"/>
          <w:lang w:val="en-US"/>
        </w:rPr>
        <w:t xml:space="preserve">: </w:t>
      </w:r>
      <w:proofErr w:type="spellStart"/>
      <w:r>
        <w:rPr>
          <w:rFonts w:ascii="Times New Roman" w:eastAsia="MS Mincho" w:hAnsi="Times New Roman" w:cs="Times New Roman"/>
          <w:sz w:val="24"/>
          <w:szCs w:val="24"/>
          <w:lang w:val="en-US"/>
        </w:rPr>
        <w:t>Programme</w:t>
      </w:r>
      <w:proofErr w:type="spellEnd"/>
      <w:r>
        <w:rPr>
          <w:rFonts w:ascii="Times New Roman" w:eastAsia="MS Mincho" w:hAnsi="Times New Roman" w:cs="Times New Roman"/>
          <w:sz w:val="24"/>
          <w:szCs w:val="24"/>
          <w:lang w:val="en-US"/>
        </w:rPr>
        <w:t xml:space="preserve"> Management for Asset and Liability Management</w:t>
      </w:r>
      <w:r w:rsidR="00D351D6">
        <w:rPr>
          <w:rFonts w:ascii="Times New Roman" w:eastAsia="MS Mincho" w:hAnsi="Times New Roman" w:cs="Times New Roman"/>
          <w:sz w:val="24"/>
          <w:szCs w:val="24"/>
          <w:lang w:val="en-US"/>
        </w:rPr>
        <w:t xml:space="preserve"> (R</w:t>
      </w:r>
      <w:r w:rsidR="00771B8A">
        <w:rPr>
          <w:rFonts w:ascii="Times New Roman" w:eastAsia="MS Mincho" w:hAnsi="Times New Roman" w:cs="Times New Roman"/>
          <w:sz w:val="24"/>
          <w:szCs w:val="24"/>
          <w:lang w:val="en-US"/>
        </w:rPr>
        <w:t>31</w:t>
      </w:r>
      <w:r w:rsidR="00D351D6">
        <w:rPr>
          <w:rFonts w:ascii="Times New Roman" w:eastAsia="MS Mincho" w:hAnsi="Times New Roman" w:cs="Times New Roman"/>
          <w:sz w:val="24"/>
          <w:szCs w:val="24"/>
          <w:lang w:val="en-US"/>
        </w:rPr>
        <w:t>.8m); State-O</w:t>
      </w:r>
      <w:r>
        <w:rPr>
          <w:rFonts w:ascii="Times New Roman" w:eastAsia="MS Mincho" w:hAnsi="Times New Roman" w:cs="Times New Roman"/>
          <w:sz w:val="24"/>
          <w:szCs w:val="24"/>
          <w:lang w:val="en-US"/>
        </w:rPr>
        <w:t>wned Entity Financial Management and Governance</w:t>
      </w:r>
      <w:r w:rsidR="00D351D6">
        <w:rPr>
          <w:rFonts w:ascii="Times New Roman" w:eastAsia="MS Mincho" w:hAnsi="Times New Roman" w:cs="Times New Roman"/>
          <w:sz w:val="24"/>
          <w:szCs w:val="24"/>
          <w:lang w:val="en-US"/>
        </w:rPr>
        <w:t xml:space="preserve"> (R</w:t>
      </w:r>
      <w:r w:rsidR="00771B8A">
        <w:rPr>
          <w:rFonts w:ascii="Times New Roman" w:eastAsia="MS Mincho" w:hAnsi="Times New Roman" w:cs="Times New Roman"/>
          <w:sz w:val="24"/>
          <w:szCs w:val="24"/>
          <w:lang w:val="en-US"/>
        </w:rPr>
        <w:t>1,0</w:t>
      </w:r>
      <w:r w:rsidR="00D351D6">
        <w:rPr>
          <w:rFonts w:ascii="Times New Roman" w:eastAsia="MS Mincho" w:hAnsi="Times New Roman" w:cs="Times New Roman"/>
          <w:sz w:val="24"/>
          <w:szCs w:val="24"/>
          <w:lang w:val="en-US"/>
        </w:rPr>
        <w:t>b)</w:t>
      </w:r>
      <w:r>
        <w:rPr>
          <w:rFonts w:ascii="Times New Roman" w:eastAsia="MS Mincho" w:hAnsi="Times New Roman" w:cs="Times New Roman"/>
          <w:sz w:val="24"/>
          <w:szCs w:val="24"/>
          <w:lang w:val="en-US"/>
        </w:rPr>
        <w:t>; Government Debt Management</w:t>
      </w:r>
      <w:r w:rsidR="00D351D6">
        <w:rPr>
          <w:rFonts w:ascii="Times New Roman" w:eastAsia="MS Mincho" w:hAnsi="Times New Roman" w:cs="Times New Roman"/>
          <w:sz w:val="24"/>
          <w:szCs w:val="24"/>
          <w:lang w:val="en-US"/>
        </w:rPr>
        <w:t xml:space="preserve"> (R</w:t>
      </w:r>
      <w:r w:rsidR="00771B8A">
        <w:rPr>
          <w:rFonts w:ascii="Times New Roman" w:eastAsia="MS Mincho" w:hAnsi="Times New Roman" w:cs="Times New Roman"/>
          <w:sz w:val="24"/>
          <w:szCs w:val="24"/>
          <w:lang w:val="en-US"/>
        </w:rPr>
        <w:t>20.6</w:t>
      </w:r>
      <w:r w:rsidR="00D351D6">
        <w:rPr>
          <w:rFonts w:ascii="Times New Roman" w:eastAsia="MS Mincho" w:hAnsi="Times New Roman" w:cs="Times New Roman"/>
          <w:sz w:val="24"/>
          <w:szCs w:val="24"/>
          <w:lang w:val="en-US"/>
        </w:rPr>
        <w:t>m)</w:t>
      </w:r>
      <w:r>
        <w:rPr>
          <w:rFonts w:ascii="Times New Roman" w:eastAsia="MS Mincho" w:hAnsi="Times New Roman" w:cs="Times New Roman"/>
          <w:sz w:val="24"/>
          <w:szCs w:val="24"/>
          <w:lang w:val="en-US"/>
        </w:rPr>
        <w:t>; Financial Operations</w:t>
      </w:r>
      <w:r w:rsidR="00D351D6">
        <w:rPr>
          <w:rFonts w:ascii="Times New Roman" w:eastAsia="MS Mincho" w:hAnsi="Times New Roman" w:cs="Times New Roman"/>
          <w:sz w:val="24"/>
          <w:szCs w:val="24"/>
          <w:lang w:val="en-US"/>
        </w:rPr>
        <w:t xml:space="preserve"> (R</w:t>
      </w:r>
      <w:r w:rsidR="00771B8A">
        <w:rPr>
          <w:rFonts w:ascii="Times New Roman" w:eastAsia="MS Mincho" w:hAnsi="Times New Roman" w:cs="Times New Roman"/>
          <w:sz w:val="24"/>
          <w:szCs w:val="24"/>
          <w:lang w:val="en-US"/>
        </w:rPr>
        <w:t>25</w:t>
      </w:r>
      <w:r w:rsidR="00D351D6">
        <w:rPr>
          <w:rFonts w:ascii="Times New Roman" w:eastAsia="MS Mincho" w:hAnsi="Times New Roman" w:cs="Times New Roman"/>
          <w:sz w:val="24"/>
          <w:szCs w:val="24"/>
          <w:lang w:val="en-US"/>
        </w:rPr>
        <w:t>.</w:t>
      </w:r>
      <w:r w:rsidR="00771B8A">
        <w:rPr>
          <w:rFonts w:ascii="Times New Roman" w:eastAsia="MS Mincho" w:hAnsi="Times New Roman" w:cs="Times New Roman"/>
          <w:sz w:val="24"/>
          <w:szCs w:val="24"/>
          <w:lang w:val="en-US"/>
        </w:rPr>
        <w:t>8</w:t>
      </w:r>
      <w:r w:rsidR="00D351D6">
        <w:rPr>
          <w:rFonts w:ascii="Times New Roman" w:eastAsia="MS Mincho" w:hAnsi="Times New Roman" w:cs="Times New Roman"/>
          <w:sz w:val="24"/>
          <w:szCs w:val="24"/>
          <w:lang w:val="en-US"/>
        </w:rPr>
        <w:t>m)</w:t>
      </w:r>
      <w:r>
        <w:rPr>
          <w:rFonts w:ascii="Times New Roman" w:eastAsia="MS Mincho" w:hAnsi="Times New Roman" w:cs="Times New Roman"/>
          <w:sz w:val="24"/>
          <w:szCs w:val="24"/>
          <w:lang w:val="en-US"/>
        </w:rPr>
        <w:t>; and Strategy and Risk Management</w:t>
      </w:r>
      <w:r w:rsidR="00D351D6">
        <w:rPr>
          <w:rFonts w:ascii="Times New Roman" w:eastAsia="MS Mincho" w:hAnsi="Times New Roman" w:cs="Times New Roman"/>
          <w:sz w:val="24"/>
          <w:szCs w:val="24"/>
          <w:lang w:val="en-US"/>
        </w:rPr>
        <w:t xml:space="preserve"> (R</w:t>
      </w:r>
      <w:r w:rsidR="00771B8A">
        <w:rPr>
          <w:rFonts w:ascii="Times New Roman" w:eastAsia="MS Mincho" w:hAnsi="Times New Roman" w:cs="Times New Roman"/>
          <w:sz w:val="24"/>
          <w:szCs w:val="24"/>
          <w:lang w:val="en-US"/>
        </w:rPr>
        <w:t>12.0</w:t>
      </w:r>
      <w:r w:rsidR="00D351D6">
        <w:rPr>
          <w:rFonts w:ascii="Times New Roman" w:eastAsia="MS Mincho" w:hAnsi="Times New Roman" w:cs="Times New Roman"/>
          <w:sz w:val="24"/>
          <w:szCs w:val="24"/>
          <w:lang w:val="en-US"/>
        </w:rPr>
        <w:t>m)</w:t>
      </w:r>
      <w:r>
        <w:rPr>
          <w:rFonts w:ascii="Times New Roman" w:eastAsia="MS Mincho" w:hAnsi="Times New Roman" w:cs="Times New Roman"/>
          <w:sz w:val="24"/>
          <w:szCs w:val="24"/>
          <w:lang w:val="en-US"/>
        </w:rPr>
        <w:t xml:space="preserve">. </w:t>
      </w:r>
    </w:p>
    <w:p w:rsidR="00270DFD" w:rsidRPr="00E15450" w:rsidRDefault="00270DFD" w:rsidP="00270DFD">
      <w:pPr>
        <w:pStyle w:val="ListParagraph"/>
        <w:spacing w:line="480" w:lineRule="auto"/>
        <w:jc w:val="both"/>
        <w:rPr>
          <w:rFonts w:ascii="Times New Roman" w:eastAsia="MS Mincho" w:hAnsi="Times New Roman" w:cs="Times New Roman"/>
          <w:sz w:val="24"/>
          <w:szCs w:val="24"/>
          <w:lang w:val="en-US"/>
        </w:rPr>
      </w:pPr>
    </w:p>
    <w:p w:rsidR="009E67BD" w:rsidRPr="00E15450" w:rsidRDefault="009E67BD" w:rsidP="009E67BD">
      <w:pPr>
        <w:pStyle w:val="ListParagraph"/>
        <w:numPr>
          <w:ilvl w:val="1"/>
          <w:numId w:val="1"/>
        </w:numPr>
        <w:spacing w:line="480" w:lineRule="auto"/>
        <w:jc w:val="both"/>
        <w:rPr>
          <w:rFonts w:ascii="Times New Roman" w:hAnsi="Times New Roman" w:cs="Times New Roman"/>
          <w:b/>
          <w:sz w:val="24"/>
          <w:szCs w:val="24"/>
        </w:rPr>
      </w:pPr>
      <w:r w:rsidRPr="00E15450">
        <w:rPr>
          <w:rFonts w:ascii="Times New Roman" w:hAnsi="Times New Roman" w:cs="Times New Roman"/>
          <w:b/>
          <w:sz w:val="24"/>
          <w:szCs w:val="24"/>
        </w:rPr>
        <w:t>Programme 5: Financial Accounting and Supply Chain Management System</w:t>
      </w:r>
    </w:p>
    <w:p w:rsidR="00D351D6" w:rsidRPr="00D351D6" w:rsidRDefault="009E67BD" w:rsidP="009E67BD">
      <w:pPr>
        <w:pStyle w:val="ListParagraph"/>
        <w:numPr>
          <w:ilvl w:val="2"/>
          <w:numId w:val="1"/>
        </w:numPr>
        <w:tabs>
          <w:tab w:val="center" w:pos="3148"/>
          <w:tab w:val="center" w:pos="4049"/>
          <w:tab w:val="center" w:pos="7141"/>
        </w:tabs>
        <w:spacing w:after="355" w:line="480" w:lineRule="auto"/>
        <w:ind w:left="683" w:right="36"/>
        <w:jc w:val="both"/>
        <w:rPr>
          <w:rFonts w:ascii="Times New Roman" w:hAnsi="Times New Roman" w:cs="Times New Roman"/>
          <w:b/>
          <w:sz w:val="24"/>
          <w:szCs w:val="24"/>
        </w:rPr>
      </w:pPr>
      <w:r w:rsidRPr="00E15450">
        <w:rPr>
          <w:rFonts w:ascii="Times New Roman" w:hAnsi="Times New Roman" w:cs="Times New Roman"/>
          <w:sz w:val="24"/>
          <w:szCs w:val="24"/>
        </w:rPr>
        <w:t>This programme has been allocated R1,</w:t>
      </w:r>
      <w:r w:rsidR="00D351D6">
        <w:rPr>
          <w:rFonts w:ascii="Times New Roman" w:hAnsi="Times New Roman" w:cs="Times New Roman"/>
          <w:sz w:val="24"/>
          <w:szCs w:val="24"/>
        </w:rPr>
        <w:t>1</w:t>
      </w:r>
      <w:r w:rsidRPr="00E15450">
        <w:rPr>
          <w:rFonts w:ascii="Times New Roman" w:hAnsi="Times New Roman" w:cs="Times New Roman"/>
          <w:sz w:val="24"/>
          <w:szCs w:val="24"/>
        </w:rPr>
        <w:t xml:space="preserve"> billion in 2022</w:t>
      </w:r>
      <w:r w:rsidR="00D351D6">
        <w:rPr>
          <w:rFonts w:ascii="Times New Roman" w:hAnsi="Times New Roman" w:cs="Times New Roman"/>
          <w:sz w:val="24"/>
          <w:szCs w:val="24"/>
        </w:rPr>
        <w:t>/23</w:t>
      </w:r>
      <w:r w:rsidRPr="00E15450">
        <w:rPr>
          <w:rFonts w:ascii="Times New Roman" w:hAnsi="Times New Roman" w:cs="Times New Roman"/>
          <w:sz w:val="24"/>
          <w:szCs w:val="24"/>
        </w:rPr>
        <w:t xml:space="preserve">, from </w:t>
      </w:r>
      <w:r w:rsidR="007E3E52">
        <w:rPr>
          <w:rFonts w:ascii="Times New Roman" w:hAnsi="Times New Roman" w:cs="Times New Roman"/>
          <w:sz w:val="24"/>
          <w:szCs w:val="24"/>
        </w:rPr>
        <w:t xml:space="preserve">an adjustment budget of </w:t>
      </w:r>
      <w:r w:rsidRPr="00E15450">
        <w:rPr>
          <w:rFonts w:ascii="Times New Roman" w:hAnsi="Times New Roman" w:cs="Times New Roman"/>
          <w:sz w:val="24"/>
          <w:szCs w:val="24"/>
        </w:rPr>
        <w:t>R</w:t>
      </w:r>
      <w:r w:rsidR="007E3E52">
        <w:rPr>
          <w:rFonts w:ascii="Times New Roman" w:hAnsi="Times New Roman" w:cs="Times New Roman"/>
          <w:sz w:val="24"/>
          <w:szCs w:val="24"/>
        </w:rPr>
        <w:t>1</w:t>
      </w:r>
      <w:r w:rsidRPr="00E15450">
        <w:rPr>
          <w:rFonts w:ascii="Times New Roman" w:hAnsi="Times New Roman" w:cs="Times New Roman"/>
          <w:sz w:val="24"/>
          <w:szCs w:val="24"/>
        </w:rPr>
        <w:t xml:space="preserve"> </w:t>
      </w:r>
      <w:r w:rsidR="007E3E52">
        <w:rPr>
          <w:rFonts w:ascii="Times New Roman" w:hAnsi="Times New Roman" w:cs="Times New Roman"/>
          <w:sz w:val="24"/>
          <w:szCs w:val="24"/>
        </w:rPr>
        <w:t>billion</w:t>
      </w:r>
      <w:r w:rsidRPr="00E15450">
        <w:rPr>
          <w:rFonts w:ascii="Times New Roman" w:hAnsi="Times New Roman" w:cs="Times New Roman"/>
          <w:sz w:val="24"/>
          <w:szCs w:val="24"/>
        </w:rPr>
        <w:t xml:space="preserve"> the previous year. The projected allocations in the outer financial years of </w:t>
      </w:r>
      <w:r w:rsidRPr="00E15450">
        <w:rPr>
          <w:rFonts w:ascii="Times New Roman" w:hAnsi="Times New Roman" w:cs="Times New Roman"/>
          <w:sz w:val="24"/>
          <w:szCs w:val="24"/>
        </w:rPr>
        <w:lastRenderedPageBreak/>
        <w:t>the MTEF are R1,</w:t>
      </w:r>
      <w:r w:rsidR="007E3E52">
        <w:rPr>
          <w:rFonts w:ascii="Times New Roman" w:hAnsi="Times New Roman" w:cs="Times New Roman"/>
          <w:sz w:val="24"/>
          <w:szCs w:val="24"/>
        </w:rPr>
        <w:t>3 and R1.1</w:t>
      </w:r>
      <w:r w:rsidRPr="00E15450">
        <w:rPr>
          <w:rFonts w:ascii="Times New Roman" w:hAnsi="Times New Roman" w:cs="Times New Roman"/>
          <w:sz w:val="24"/>
          <w:szCs w:val="24"/>
        </w:rPr>
        <w:t xml:space="preserve"> billion</w:t>
      </w:r>
      <w:r w:rsidR="007E3E52">
        <w:rPr>
          <w:rFonts w:ascii="Times New Roman" w:hAnsi="Times New Roman" w:cs="Times New Roman"/>
          <w:sz w:val="24"/>
          <w:szCs w:val="24"/>
        </w:rPr>
        <w:t>,</w:t>
      </w:r>
      <w:r w:rsidRPr="00E15450">
        <w:rPr>
          <w:rFonts w:ascii="Times New Roman" w:hAnsi="Times New Roman" w:cs="Times New Roman"/>
          <w:sz w:val="24"/>
          <w:szCs w:val="24"/>
        </w:rPr>
        <w:t xml:space="preserve"> respectively. </w:t>
      </w:r>
      <w:r w:rsidR="007E3E52">
        <w:rPr>
          <w:rFonts w:ascii="Times New Roman" w:hAnsi="Times New Roman" w:cs="Times New Roman"/>
          <w:sz w:val="24"/>
          <w:szCs w:val="24"/>
        </w:rPr>
        <w:t xml:space="preserve">The purpose of this programme is to facilitate governance and accountability by promoting and enforcing the transparent, economic and effective management of revenue, expenditure, assets, liabilities and supply chain processes in the public sector. </w:t>
      </w:r>
    </w:p>
    <w:p w:rsidR="009E67BD" w:rsidRPr="007E3E52" w:rsidRDefault="009E67BD" w:rsidP="007E3E52">
      <w:pPr>
        <w:pStyle w:val="ListParagraph"/>
        <w:numPr>
          <w:ilvl w:val="2"/>
          <w:numId w:val="1"/>
        </w:numPr>
        <w:tabs>
          <w:tab w:val="center" w:pos="3148"/>
          <w:tab w:val="center" w:pos="4049"/>
          <w:tab w:val="center" w:pos="7141"/>
        </w:tabs>
        <w:spacing w:after="355" w:line="480" w:lineRule="auto"/>
        <w:ind w:left="683" w:right="36"/>
        <w:jc w:val="both"/>
        <w:rPr>
          <w:rFonts w:ascii="Times New Roman" w:hAnsi="Times New Roman" w:cs="Times New Roman"/>
          <w:b/>
          <w:sz w:val="24"/>
          <w:szCs w:val="24"/>
        </w:rPr>
      </w:pPr>
      <w:r w:rsidRPr="00E15450">
        <w:rPr>
          <w:rFonts w:ascii="Times New Roman" w:hAnsi="Times New Roman" w:cs="Times New Roman"/>
          <w:sz w:val="24"/>
          <w:szCs w:val="24"/>
        </w:rPr>
        <w:t xml:space="preserve">The programme seeks to promote effective and efficient government financial management and accountability across the three spheres of government. A major focus has been placed on improving government procurement processes and identifying malpractices as a result of procurement irregularities through the Office of the Chief Procurement Officer sub-programme. </w:t>
      </w:r>
    </w:p>
    <w:p w:rsidR="007E3E52" w:rsidRPr="00D351D6" w:rsidRDefault="007E3E52" w:rsidP="007E3E52">
      <w:pPr>
        <w:pStyle w:val="ListParagraph"/>
        <w:numPr>
          <w:ilvl w:val="2"/>
          <w:numId w:val="1"/>
        </w:numPr>
        <w:tabs>
          <w:tab w:val="center" w:pos="3148"/>
          <w:tab w:val="center" w:pos="4049"/>
          <w:tab w:val="center" w:pos="7141"/>
        </w:tabs>
        <w:spacing w:after="355" w:line="480" w:lineRule="auto"/>
        <w:ind w:left="683" w:right="36"/>
        <w:jc w:val="both"/>
        <w:rPr>
          <w:rFonts w:ascii="Times New Roman" w:hAnsi="Times New Roman" w:cs="Times New Roman"/>
          <w:b/>
          <w:sz w:val="24"/>
          <w:szCs w:val="24"/>
        </w:rPr>
      </w:pPr>
      <w:r>
        <w:rPr>
          <w:rFonts w:ascii="Times New Roman" w:hAnsi="Times New Roman" w:cs="Times New Roman"/>
          <w:sz w:val="24"/>
          <w:szCs w:val="24"/>
        </w:rPr>
        <w:t>This programme has the following sub</w:t>
      </w:r>
      <w:r w:rsidR="00CF20EC">
        <w:rPr>
          <w:rFonts w:ascii="Times New Roman" w:hAnsi="Times New Roman" w:cs="Times New Roman"/>
          <w:sz w:val="24"/>
          <w:szCs w:val="24"/>
        </w:rPr>
        <w:t>-</w:t>
      </w:r>
      <w:r>
        <w:rPr>
          <w:rFonts w:ascii="Times New Roman" w:hAnsi="Times New Roman" w:cs="Times New Roman"/>
          <w:sz w:val="24"/>
          <w:szCs w:val="24"/>
        </w:rPr>
        <w:t xml:space="preserve">programmes (and </w:t>
      </w:r>
      <w:r w:rsidR="00CF20EC">
        <w:rPr>
          <w:rFonts w:ascii="Times New Roman" w:hAnsi="Times New Roman" w:cs="Times New Roman"/>
          <w:sz w:val="24"/>
          <w:szCs w:val="24"/>
        </w:rPr>
        <w:t xml:space="preserve">their </w:t>
      </w:r>
      <w:r>
        <w:rPr>
          <w:rFonts w:ascii="Times New Roman" w:hAnsi="Times New Roman" w:cs="Times New Roman"/>
          <w:sz w:val="24"/>
          <w:szCs w:val="24"/>
        </w:rPr>
        <w:t>allocations): Programme Management for Financial Accounting and Supply Chain Management Systems (R 1</w:t>
      </w:r>
      <w:r w:rsidR="00EB2772">
        <w:rPr>
          <w:rFonts w:ascii="Times New Roman" w:hAnsi="Times New Roman" w:cs="Times New Roman"/>
          <w:sz w:val="24"/>
          <w:szCs w:val="24"/>
        </w:rPr>
        <w:t>22</w:t>
      </w:r>
      <w:r>
        <w:rPr>
          <w:rFonts w:ascii="Times New Roman" w:hAnsi="Times New Roman" w:cs="Times New Roman"/>
          <w:sz w:val="24"/>
          <w:szCs w:val="24"/>
        </w:rPr>
        <w:t>.</w:t>
      </w:r>
      <w:r w:rsidR="00EB2772">
        <w:rPr>
          <w:rFonts w:ascii="Times New Roman" w:hAnsi="Times New Roman" w:cs="Times New Roman"/>
          <w:sz w:val="24"/>
          <w:szCs w:val="24"/>
        </w:rPr>
        <w:t>3</w:t>
      </w:r>
      <w:r>
        <w:rPr>
          <w:rFonts w:ascii="Times New Roman" w:hAnsi="Times New Roman" w:cs="Times New Roman"/>
          <w:sz w:val="24"/>
          <w:szCs w:val="24"/>
        </w:rPr>
        <w:t>m); Office of the Chief Procurement Officer (R</w:t>
      </w:r>
      <w:r w:rsidR="00EB2772">
        <w:rPr>
          <w:rFonts w:ascii="Times New Roman" w:hAnsi="Times New Roman" w:cs="Times New Roman"/>
          <w:sz w:val="24"/>
          <w:szCs w:val="24"/>
        </w:rPr>
        <w:t>68.7</w:t>
      </w:r>
      <w:r>
        <w:rPr>
          <w:rFonts w:ascii="Times New Roman" w:hAnsi="Times New Roman" w:cs="Times New Roman"/>
          <w:sz w:val="24"/>
          <w:szCs w:val="24"/>
        </w:rPr>
        <w:t>m); Financial Systems (R</w:t>
      </w:r>
      <w:r w:rsidR="00EB2772">
        <w:rPr>
          <w:rFonts w:ascii="Times New Roman" w:hAnsi="Times New Roman" w:cs="Times New Roman"/>
          <w:sz w:val="24"/>
          <w:szCs w:val="24"/>
        </w:rPr>
        <w:t>626.4</w:t>
      </w:r>
      <w:r>
        <w:rPr>
          <w:rFonts w:ascii="Times New Roman" w:hAnsi="Times New Roman" w:cs="Times New Roman"/>
          <w:sz w:val="24"/>
          <w:szCs w:val="24"/>
        </w:rPr>
        <w:t>m); Financial Reporting for National Accounts (R</w:t>
      </w:r>
      <w:r w:rsidR="00EB2772">
        <w:rPr>
          <w:rFonts w:ascii="Times New Roman" w:hAnsi="Times New Roman" w:cs="Times New Roman"/>
          <w:sz w:val="24"/>
          <w:szCs w:val="24"/>
        </w:rPr>
        <w:t>112</w:t>
      </w:r>
      <w:r>
        <w:rPr>
          <w:rFonts w:ascii="Times New Roman" w:hAnsi="Times New Roman" w:cs="Times New Roman"/>
          <w:sz w:val="24"/>
          <w:szCs w:val="24"/>
        </w:rPr>
        <w:t>.</w:t>
      </w:r>
      <w:r w:rsidR="00EB2772">
        <w:rPr>
          <w:rFonts w:ascii="Times New Roman" w:hAnsi="Times New Roman" w:cs="Times New Roman"/>
          <w:sz w:val="24"/>
          <w:szCs w:val="24"/>
        </w:rPr>
        <w:t>3</w:t>
      </w:r>
      <w:r>
        <w:rPr>
          <w:rFonts w:ascii="Times New Roman" w:hAnsi="Times New Roman" w:cs="Times New Roman"/>
          <w:sz w:val="24"/>
          <w:szCs w:val="24"/>
        </w:rPr>
        <w:t>m); Financial Management Policy and Compliance Improvement (R</w:t>
      </w:r>
      <w:r w:rsidR="00EB2772">
        <w:rPr>
          <w:rFonts w:ascii="Times New Roman" w:hAnsi="Times New Roman" w:cs="Times New Roman"/>
          <w:sz w:val="24"/>
          <w:szCs w:val="24"/>
        </w:rPr>
        <w:t>142.1</w:t>
      </w:r>
      <w:r>
        <w:rPr>
          <w:rFonts w:ascii="Times New Roman" w:hAnsi="Times New Roman" w:cs="Times New Roman"/>
          <w:sz w:val="24"/>
          <w:szCs w:val="24"/>
        </w:rPr>
        <w:t>m); Audit Statutory Bodies (R50m); and Service Charges: Commercial Banks (0.3m)</w:t>
      </w:r>
    </w:p>
    <w:p w:rsidR="00D351D6" w:rsidRPr="00E15450" w:rsidRDefault="00D351D6" w:rsidP="00D351D6">
      <w:pPr>
        <w:pStyle w:val="ListParagraph"/>
        <w:tabs>
          <w:tab w:val="center" w:pos="3148"/>
          <w:tab w:val="center" w:pos="4049"/>
          <w:tab w:val="center" w:pos="7141"/>
        </w:tabs>
        <w:spacing w:after="355" w:line="480" w:lineRule="auto"/>
        <w:ind w:left="683" w:right="36"/>
        <w:jc w:val="both"/>
        <w:rPr>
          <w:rFonts w:ascii="Times New Roman" w:hAnsi="Times New Roman" w:cs="Times New Roman"/>
          <w:b/>
          <w:sz w:val="24"/>
          <w:szCs w:val="24"/>
        </w:rPr>
      </w:pPr>
    </w:p>
    <w:p w:rsidR="009E67BD" w:rsidRPr="00E15450" w:rsidRDefault="009E67BD" w:rsidP="009E67BD">
      <w:pPr>
        <w:pStyle w:val="ListParagraph"/>
        <w:numPr>
          <w:ilvl w:val="1"/>
          <w:numId w:val="1"/>
        </w:numPr>
        <w:spacing w:line="480" w:lineRule="auto"/>
        <w:jc w:val="both"/>
        <w:rPr>
          <w:rFonts w:ascii="Times New Roman" w:hAnsi="Times New Roman" w:cs="Times New Roman"/>
          <w:b/>
          <w:sz w:val="24"/>
          <w:szCs w:val="24"/>
        </w:rPr>
      </w:pPr>
      <w:r w:rsidRPr="00E15450">
        <w:rPr>
          <w:rFonts w:ascii="Times New Roman" w:hAnsi="Times New Roman" w:cs="Times New Roman"/>
          <w:b/>
          <w:sz w:val="24"/>
          <w:szCs w:val="24"/>
        </w:rPr>
        <w:t>Programme 6: International Financial Relations</w:t>
      </w:r>
    </w:p>
    <w:p w:rsidR="009E67BD" w:rsidRPr="00E15450" w:rsidRDefault="009E67BD" w:rsidP="009E67BD">
      <w:pPr>
        <w:pStyle w:val="ListParagraph"/>
        <w:numPr>
          <w:ilvl w:val="2"/>
          <w:numId w:val="1"/>
        </w:numPr>
        <w:spacing w:line="480" w:lineRule="auto"/>
        <w:jc w:val="both"/>
        <w:rPr>
          <w:rFonts w:ascii="Times New Roman" w:hAnsi="Times New Roman" w:cs="Times New Roman"/>
          <w:sz w:val="24"/>
          <w:szCs w:val="24"/>
        </w:rPr>
      </w:pPr>
      <w:r w:rsidRPr="00E15450">
        <w:rPr>
          <w:rFonts w:ascii="Times New Roman" w:hAnsi="Times New Roman" w:cs="Times New Roman"/>
          <w:sz w:val="24"/>
          <w:szCs w:val="24"/>
        </w:rPr>
        <w:t xml:space="preserve">The programme’s mandate is to manage South Africa’s interests in shaping regional and global policies that advance the economic, financial and development objectives of the country and the African continent. </w:t>
      </w:r>
    </w:p>
    <w:p w:rsidR="009E67BD" w:rsidRPr="00E15450" w:rsidRDefault="009E67BD" w:rsidP="009E67BD">
      <w:pPr>
        <w:pStyle w:val="ListParagraph"/>
        <w:numPr>
          <w:ilvl w:val="2"/>
          <w:numId w:val="1"/>
        </w:numPr>
        <w:spacing w:line="480" w:lineRule="auto"/>
        <w:jc w:val="both"/>
        <w:rPr>
          <w:rFonts w:ascii="Times New Roman" w:hAnsi="Times New Roman" w:cs="Times New Roman"/>
          <w:sz w:val="24"/>
          <w:szCs w:val="24"/>
        </w:rPr>
      </w:pPr>
      <w:r w:rsidRPr="00E15450">
        <w:rPr>
          <w:rFonts w:ascii="Times New Roman" w:hAnsi="Times New Roman" w:cs="Times New Roman"/>
          <w:sz w:val="24"/>
          <w:szCs w:val="24"/>
        </w:rPr>
        <w:t>The focus and target</w:t>
      </w:r>
      <w:r>
        <w:rPr>
          <w:rFonts w:ascii="Times New Roman" w:hAnsi="Times New Roman" w:cs="Times New Roman"/>
          <w:sz w:val="24"/>
          <w:szCs w:val="24"/>
        </w:rPr>
        <w:t>s of this programme this year are</w:t>
      </w:r>
      <w:r w:rsidRPr="00E15450">
        <w:rPr>
          <w:rFonts w:ascii="Times New Roman" w:hAnsi="Times New Roman" w:cs="Times New Roman"/>
          <w:sz w:val="24"/>
          <w:szCs w:val="24"/>
        </w:rPr>
        <w:t xml:space="preserve"> to: ensure 100% response to all economic surveillance reports; host one advocacy forum to increase the uptake of development finan</w:t>
      </w:r>
      <w:r w:rsidR="003672AD">
        <w:rPr>
          <w:rFonts w:ascii="Times New Roman" w:hAnsi="Times New Roman" w:cs="Times New Roman"/>
          <w:sz w:val="24"/>
          <w:szCs w:val="24"/>
        </w:rPr>
        <w:t>ce; produce two</w:t>
      </w:r>
      <w:r w:rsidRPr="00E15450">
        <w:rPr>
          <w:rFonts w:ascii="Times New Roman" w:hAnsi="Times New Roman" w:cs="Times New Roman"/>
          <w:sz w:val="24"/>
          <w:szCs w:val="24"/>
        </w:rPr>
        <w:t xml:space="preserve"> country partnership framework progress reports that report o</w:t>
      </w:r>
      <w:r>
        <w:rPr>
          <w:rFonts w:ascii="Times New Roman" w:hAnsi="Times New Roman" w:cs="Times New Roman"/>
          <w:sz w:val="24"/>
          <w:szCs w:val="24"/>
        </w:rPr>
        <w:t>n the relationship between the g</w:t>
      </w:r>
      <w:r w:rsidRPr="00E15450">
        <w:rPr>
          <w:rFonts w:ascii="Times New Roman" w:hAnsi="Times New Roman" w:cs="Times New Roman"/>
          <w:sz w:val="24"/>
          <w:szCs w:val="24"/>
        </w:rPr>
        <w:t xml:space="preserve">overnment of South Africa and various Multilateral Development Banks that operate within the Republic of South Africa; </w:t>
      </w:r>
      <w:r w:rsidRPr="00E15450">
        <w:rPr>
          <w:rFonts w:ascii="Times New Roman" w:hAnsi="Times New Roman" w:cs="Times New Roman"/>
          <w:sz w:val="24"/>
          <w:szCs w:val="24"/>
        </w:rPr>
        <w:lastRenderedPageBreak/>
        <w:t>produce one analysis report on the outcomes of South Africa’s engagements in regional and global forums; develop policy positions to measure South Africa’s engagement in various global forums and institutions.</w:t>
      </w:r>
    </w:p>
    <w:p w:rsidR="009E67BD" w:rsidRDefault="009E67BD" w:rsidP="009E67BD">
      <w:pPr>
        <w:pStyle w:val="ListParagraph"/>
        <w:numPr>
          <w:ilvl w:val="2"/>
          <w:numId w:val="1"/>
        </w:numPr>
        <w:spacing w:line="480" w:lineRule="auto"/>
        <w:jc w:val="both"/>
        <w:rPr>
          <w:rFonts w:ascii="Times New Roman" w:hAnsi="Times New Roman" w:cs="Times New Roman"/>
          <w:sz w:val="24"/>
          <w:szCs w:val="24"/>
        </w:rPr>
      </w:pPr>
      <w:r w:rsidRPr="00E15450">
        <w:rPr>
          <w:rFonts w:ascii="Times New Roman" w:hAnsi="Times New Roman" w:cs="Times New Roman"/>
          <w:sz w:val="24"/>
          <w:szCs w:val="24"/>
        </w:rPr>
        <w:t>This programme has been allocated R2</w:t>
      </w:r>
      <w:r w:rsidR="00E90FF0">
        <w:rPr>
          <w:rFonts w:ascii="Times New Roman" w:hAnsi="Times New Roman" w:cs="Times New Roman"/>
          <w:sz w:val="24"/>
          <w:szCs w:val="24"/>
        </w:rPr>
        <w:t xml:space="preserve">,6 billion in 2022/23, decreasing from R7,7 billion in the adjustment budget of </w:t>
      </w:r>
      <w:r w:rsidR="00EB2772">
        <w:rPr>
          <w:rFonts w:ascii="Times New Roman" w:hAnsi="Times New Roman" w:cs="Times New Roman"/>
          <w:sz w:val="24"/>
          <w:szCs w:val="24"/>
        </w:rPr>
        <w:t>2021/22</w:t>
      </w:r>
      <w:r w:rsidRPr="00E15450">
        <w:rPr>
          <w:rFonts w:ascii="Times New Roman" w:hAnsi="Times New Roman" w:cs="Times New Roman"/>
          <w:sz w:val="24"/>
          <w:szCs w:val="24"/>
        </w:rPr>
        <w:t xml:space="preserve">. It </w:t>
      </w:r>
      <w:r w:rsidR="00E90FF0">
        <w:rPr>
          <w:rFonts w:ascii="Times New Roman" w:hAnsi="Times New Roman" w:cs="Times New Roman"/>
          <w:sz w:val="24"/>
          <w:szCs w:val="24"/>
        </w:rPr>
        <w:t xml:space="preserve">is projected to be </w:t>
      </w:r>
      <w:r w:rsidRPr="00E15450">
        <w:rPr>
          <w:rFonts w:ascii="Times New Roman" w:hAnsi="Times New Roman" w:cs="Times New Roman"/>
          <w:sz w:val="24"/>
          <w:szCs w:val="24"/>
        </w:rPr>
        <w:t>R2,</w:t>
      </w:r>
      <w:r w:rsidR="00E90FF0">
        <w:rPr>
          <w:rFonts w:ascii="Times New Roman" w:hAnsi="Times New Roman" w:cs="Times New Roman"/>
          <w:sz w:val="24"/>
          <w:szCs w:val="24"/>
        </w:rPr>
        <w:t>5</w:t>
      </w:r>
      <w:r w:rsidRPr="00E15450">
        <w:rPr>
          <w:rFonts w:ascii="Times New Roman" w:hAnsi="Times New Roman" w:cs="Times New Roman"/>
          <w:sz w:val="24"/>
          <w:szCs w:val="24"/>
        </w:rPr>
        <w:t xml:space="preserve"> billion</w:t>
      </w:r>
      <w:r w:rsidR="00E90FF0">
        <w:rPr>
          <w:rFonts w:ascii="Times New Roman" w:hAnsi="Times New Roman" w:cs="Times New Roman"/>
          <w:sz w:val="24"/>
          <w:szCs w:val="24"/>
        </w:rPr>
        <w:t xml:space="preserve"> and R2,8 respectively in the</w:t>
      </w:r>
      <w:r w:rsidRPr="00E15450">
        <w:rPr>
          <w:rFonts w:ascii="Times New Roman" w:hAnsi="Times New Roman" w:cs="Times New Roman"/>
          <w:sz w:val="24"/>
          <w:szCs w:val="24"/>
        </w:rPr>
        <w:t xml:space="preserve"> two outer years of the MTEF</w:t>
      </w:r>
      <w:r w:rsidR="00E90FF0">
        <w:rPr>
          <w:rFonts w:ascii="Times New Roman" w:hAnsi="Times New Roman" w:cs="Times New Roman"/>
          <w:sz w:val="24"/>
          <w:szCs w:val="24"/>
        </w:rPr>
        <w:t>. It has the following sub</w:t>
      </w:r>
      <w:r w:rsidR="00EB2772">
        <w:rPr>
          <w:rFonts w:ascii="Times New Roman" w:hAnsi="Times New Roman" w:cs="Times New Roman"/>
          <w:sz w:val="24"/>
          <w:szCs w:val="24"/>
        </w:rPr>
        <w:t>-</w:t>
      </w:r>
      <w:r w:rsidR="00E90FF0">
        <w:rPr>
          <w:rFonts w:ascii="Times New Roman" w:hAnsi="Times New Roman" w:cs="Times New Roman"/>
          <w:sz w:val="24"/>
          <w:szCs w:val="24"/>
        </w:rPr>
        <w:t>programmes for 2022/23: Programme Management for International Financial Relations (R</w:t>
      </w:r>
      <w:r w:rsidR="00EB2772">
        <w:rPr>
          <w:rFonts w:ascii="Times New Roman" w:hAnsi="Times New Roman" w:cs="Times New Roman"/>
          <w:sz w:val="24"/>
          <w:szCs w:val="24"/>
        </w:rPr>
        <w:t>10.8</w:t>
      </w:r>
      <w:r w:rsidR="00E90FF0">
        <w:rPr>
          <w:rFonts w:ascii="Times New Roman" w:hAnsi="Times New Roman" w:cs="Times New Roman"/>
          <w:sz w:val="24"/>
          <w:szCs w:val="24"/>
        </w:rPr>
        <w:t>m); International Economic Cooperation (R</w:t>
      </w:r>
      <w:r w:rsidR="00EB2772">
        <w:rPr>
          <w:rFonts w:ascii="Times New Roman" w:hAnsi="Times New Roman" w:cs="Times New Roman"/>
          <w:sz w:val="24"/>
          <w:szCs w:val="24"/>
        </w:rPr>
        <w:t>52.4</w:t>
      </w:r>
      <w:r w:rsidR="00E90FF0">
        <w:rPr>
          <w:rFonts w:ascii="Times New Roman" w:hAnsi="Times New Roman" w:cs="Times New Roman"/>
          <w:sz w:val="24"/>
          <w:szCs w:val="24"/>
        </w:rPr>
        <w:t>m</w:t>
      </w:r>
      <w:r w:rsidR="00C60DA1">
        <w:rPr>
          <w:rFonts w:ascii="Times New Roman" w:hAnsi="Times New Roman" w:cs="Times New Roman"/>
          <w:sz w:val="24"/>
          <w:szCs w:val="24"/>
        </w:rPr>
        <w:t>); Africa Integration and Support (R1,</w:t>
      </w:r>
      <w:r w:rsidR="00EB2772">
        <w:rPr>
          <w:rFonts w:ascii="Times New Roman" w:hAnsi="Times New Roman" w:cs="Times New Roman"/>
          <w:sz w:val="24"/>
          <w:szCs w:val="24"/>
        </w:rPr>
        <w:t>4</w:t>
      </w:r>
      <w:r w:rsidR="00C60DA1">
        <w:rPr>
          <w:rFonts w:ascii="Times New Roman" w:hAnsi="Times New Roman" w:cs="Times New Roman"/>
          <w:sz w:val="24"/>
          <w:szCs w:val="24"/>
        </w:rPr>
        <w:t>b); International Development Funding Institutions (R</w:t>
      </w:r>
      <w:r w:rsidR="00EB2772">
        <w:rPr>
          <w:rFonts w:ascii="Times New Roman" w:hAnsi="Times New Roman" w:cs="Times New Roman"/>
          <w:sz w:val="24"/>
          <w:szCs w:val="24"/>
        </w:rPr>
        <w:t>1</w:t>
      </w:r>
      <w:r w:rsidR="00C60DA1">
        <w:rPr>
          <w:rFonts w:ascii="Times New Roman" w:hAnsi="Times New Roman" w:cs="Times New Roman"/>
          <w:sz w:val="24"/>
          <w:szCs w:val="24"/>
        </w:rPr>
        <w:t>,</w:t>
      </w:r>
      <w:r w:rsidR="00EB2772">
        <w:rPr>
          <w:rFonts w:ascii="Times New Roman" w:hAnsi="Times New Roman" w:cs="Times New Roman"/>
          <w:sz w:val="24"/>
          <w:szCs w:val="24"/>
        </w:rPr>
        <w:t>1</w:t>
      </w:r>
      <w:r w:rsidR="00C60DA1">
        <w:rPr>
          <w:rFonts w:ascii="Times New Roman" w:hAnsi="Times New Roman" w:cs="Times New Roman"/>
          <w:sz w:val="24"/>
          <w:szCs w:val="24"/>
        </w:rPr>
        <w:t>b); and International Projects (</w:t>
      </w:r>
      <w:r w:rsidR="004E700B">
        <w:rPr>
          <w:rFonts w:ascii="Times New Roman" w:hAnsi="Times New Roman" w:cs="Times New Roman"/>
          <w:sz w:val="24"/>
          <w:szCs w:val="24"/>
        </w:rPr>
        <w:t>R2</w:t>
      </w:r>
      <w:r w:rsidR="00EB2772">
        <w:rPr>
          <w:rFonts w:ascii="Times New Roman" w:hAnsi="Times New Roman" w:cs="Times New Roman"/>
          <w:sz w:val="24"/>
          <w:szCs w:val="24"/>
        </w:rPr>
        <w:t>3</w:t>
      </w:r>
      <w:r w:rsidR="004E700B">
        <w:rPr>
          <w:rFonts w:ascii="Times New Roman" w:hAnsi="Times New Roman" w:cs="Times New Roman"/>
          <w:sz w:val="24"/>
          <w:szCs w:val="24"/>
        </w:rPr>
        <w:t>m)</w:t>
      </w:r>
    </w:p>
    <w:p w:rsidR="00520427" w:rsidRPr="00E15450" w:rsidRDefault="00520427" w:rsidP="00520427">
      <w:pPr>
        <w:pStyle w:val="ListParagraph"/>
        <w:spacing w:line="480" w:lineRule="auto"/>
        <w:jc w:val="both"/>
        <w:rPr>
          <w:rFonts w:ascii="Times New Roman" w:hAnsi="Times New Roman" w:cs="Times New Roman"/>
          <w:sz w:val="24"/>
          <w:szCs w:val="24"/>
        </w:rPr>
      </w:pPr>
    </w:p>
    <w:p w:rsidR="009E67BD" w:rsidRPr="00E15450" w:rsidRDefault="009E67BD" w:rsidP="009E67BD">
      <w:pPr>
        <w:pStyle w:val="ListParagraph"/>
        <w:numPr>
          <w:ilvl w:val="1"/>
          <w:numId w:val="1"/>
        </w:numPr>
        <w:spacing w:line="480" w:lineRule="auto"/>
        <w:jc w:val="both"/>
        <w:rPr>
          <w:rFonts w:ascii="Times New Roman" w:hAnsi="Times New Roman" w:cs="Times New Roman"/>
          <w:b/>
          <w:sz w:val="24"/>
          <w:szCs w:val="24"/>
        </w:rPr>
      </w:pPr>
      <w:r w:rsidRPr="00E15450">
        <w:rPr>
          <w:rFonts w:ascii="Times New Roman" w:hAnsi="Times New Roman" w:cs="Times New Roman"/>
          <w:b/>
          <w:sz w:val="24"/>
          <w:szCs w:val="24"/>
        </w:rPr>
        <w:t>Programme 7: Civil and Military Pensions, Contribution to Funds and Other Benefits</w:t>
      </w:r>
    </w:p>
    <w:p w:rsidR="009E67BD" w:rsidRDefault="009E67BD" w:rsidP="009E67BD">
      <w:pPr>
        <w:pStyle w:val="ListParagraph"/>
        <w:numPr>
          <w:ilvl w:val="2"/>
          <w:numId w:val="1"/>
        </w:numPr>
        <w:spacing w:line="480" w:lineRule="auto"/>
        <w:jc w:val="both"/>
        <w:rPr>
          <w:rFonts w:ascii="Times New Roman" w:hAnsi="Times New Roman" w:cs="Times New Roman"/>
          <w:sz w:val="24"/>
          <w:szCs w:val="24"/>
        </w:rPr>
      </w:pPr>
      <w:r w:rsidRPr="00E15450">
        <w:rPr>
          <w:rFonts w:ascii="Times New Roman" w:hAnsi="Times New Roman" w:cs="Times New Roman"/>
          <w:sz w:val="24"/>
          <w:szCs w:val="24"/>
        </w:rPr>
        <w:t>The mandate of this programme is to ensure that government’s pension and post-retirement medical benefit obligations to former employees of the state and retired military members are fulfilled. Its allocation amounts to R</w:t>
      </w:r>
      <w:r w:rsidR="004E700B">
        <w:rPr>
          <w:rFonts w:ascii="Times New Roman" w:hAnsi="Times New Roman" w:cs="Times New Roman"/>
          <w:sz w:val="24"/>
          <w:szCs w:val="24"/>
        </w:rPr>
        <w:t>7,0</w:t>
      </w:r>
      <w:r w:rsidRPr="00E15450">
        <w:rPr>
          <w:rFonts w:ascii="Times New Roman" w:hAnsi="Times New Roman" w:cs="Times New Roman"/>
          <w:sz w:val="24"/>
          <w:szCs w:val="24"/>
        </w:rPr>
        <w:t xml:space="preserve"> billion in 202</w:t>
      </w:r>
      <w:r w:rsidR="004E700B">
        <w:rPr>
          <w:rFonts w:ascii="Times New Roman" w:hAnsi="Times New Roman" w:cs="Times New Roman"/>
          <w:sz w:val="24"/>
          <w:szCs w:val="24"/>
        </w:rPr>
        <w:t>2/23</w:t>
      </w:r>
      <w:r w:rsidRPr="00E15450">
        <w:rPr>
          <w:rFonts w:ascii="Times New Roman" w:hAnsi="Times New Roman" w:cs="Times New Roman"/>
          <w:sz w:val="24"/>
          <w:szCs w:val="24"/>
        </w:rPr>
        <w:t>, R7,0</w:t>
      </w:r>
      <w:r w:rsidR="004E700B">
        <w:rPr>
          <w:rFonts w:ascii="Times New Roman" w:hAnsi="Times New Roman" w:cs="Times New Roman"/>
          <w:sz w:val="24"/>
          <w:szCs w:val="24"/>
        </w:rPr>
        <w:t xml:space="preserve"> and</w:t>
      </w:r>
      <w:r w:rsidR="00EB2772">
        <w:rPr>
          <w:rFonts w:ascii="Times New Roman" w:hAnsi="Times New Roman" w:cs="Times New Roman"/>
          <w:sz w:val="24"/>
          <w:szCs w:val="24"/>
        </w:rPr>
        <w:t xml:space="preserve"> </w:t>
      </w:r>
      <w:r w:rsidR="004E700B">
        <w:rPr>
          <w:rFonts w:ascii="Times New Roman" w:hAnsi="Times New Roman" w:cs="Times New Roman"/>
          <w:sz w:val="24"/>
          <w:szCs w:val="24"/>
        </w:rPr>
        <w:t>R7,3 billion respectively</w:t>
      </w:r>
      <w:r w:rsidRPr="00E15450">
        <w:rPr>
          <w:rFonts w:ascii="Times New Roman" w:hAnsi="Times New Roman" w:cs="Times New Roman"/>
          <w:sz w:val="24"/>
          <w:szCs w:val="24"/>
        </w:rPr>
        <w:t xml:space="preserve"> in the two outer year of the MTEF. </w:t>
      </w:r>
    </w:p>
    <w:p w:rsidR="004E700B" w:rsidRPr="00E15450" w:rsidRDefault="004E700B" w:rsidP="009E67BD">
      <w:pPr>
        <w:pStyle w:val="ListParagraph"/>
        <w:numPr>
          <w:ilvl w:val="2"/>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The sub-programmes and their allocations under this programme for 2022/23 are: Government Pensions Administration Agency (R</w:t>
      </w:r>
      <w:r w:rsidR="00EB2772">
        <w:rPr>
          <w:rFonts w:ascii="Times New Roman" w:hAnsi="Times New Roman" w:cs="Times New Roman"/>
          <w:sz w:val="24"/>
          <w:szCs w:val="24"/>
        </w:rPr>
        <w:t>79</w:t>
      </w:r>
      <w:r>
        <w:rPr>
          <w:rFonts w:ascii="Times New Roman" w:hAnsi="Times New Roman" w:cs="Times New Roman"/>
          <w:sz w:val="24"/>
          <w:szCs w:val="24"/>
        </w:rPr>
        <w:t>.</w:t>
      </w:r>
      <w:r w:rsidR="00EB2772">
        <w:rPr>
          <w:rFonts w:ascii="Times New Roman" w:hAnsi="Times New Roman" w:cs="Times New Roman"/>
          <w:sz w:val="24"/>
          <w:szCs w:val="24"/>
        </w:rPr>
        <w:t>8</w:t>
      </w:r>
      <w:r>
        <w:rPr>
          <w:rFonts w:ascii="Times New Roman" w:hAnsi="Times New Roman" w:cs="Times New Roman"/>
          <w:sz w:val="24"/>
          <w:szCs w:val="24"/>
        </w:rPr>
        <w:t>m); Civil Pensions and Contributions to Funds (R6,</w:t>
      </w:r>
      <w:r w:rsidR="00EB2772">
        <w:rPr>
          <w:rFonts w:ascii="Times New Roman" w:hAnsi="Times New Roman" w:cs="Times New Roman"/>
          <w:sz w:val="24"/>
          <w:szCs w:val="24"/>
        </w:rPr>
        <w:t>6</w:t>
      </w:r>
      <w:r>
        <w:rPr>
          <w:rFonts w:ascii="Times New Roman" w:hAnsi="Times New Roman" w:cs="Times New Roman"/>
          <w:sz w:val="24"/>
          <w:szCs w:val="24"/>
        </w:rPr>
        <w:t xml:space="preserve">b); and Military Pensions and Other Benefits </w:t>
      </w:r>
      <w:r w:rsidR="00520427">
        <w:rPr>
          <w:rFonts w:ascii="Times New Roman" w:hAnsi="Times New Roman" w:cs="Times New Roman"/>
          <w:sz w:val="24"/>
          <w:szCs w:val="24"/>
        </w:rPr>
        <w:t>(R2</w:t>
      </w:r>
      <w:r w:rsidR="00EB2772">
        <w:rPr>
          <w:rFonts w:ascii="Times New Roman" w:hAnsi="Times New Roman" w:cs="Times New Roman"/>
          <w:sz w:val="24"/>
          <w:szCs w:val="24"/>
        </w:rPr>
        <w:t>51.7</w:t>
      </w:r>
      <w:r w:rsidR="008E4272">
        <w:rPr>
          <w:rFonts w:ascii="Times New Roman" w:hAnsi="Times New Roman" w:cs="Times New Roman"/>
          <w:sz w:val="24"/>
          <w:szCs w:val="24"/>
        </w:rPr>
        <w:t>m</w:t>
      </w:r>
      <w:r w:rsidR="00520427">
        <w:rPr>
          <w:rFonts w:ascii="Times New Roman" w:hAnsi="Times New Roman" w:cs="Times New Roman"/>
          <w:sz w:val="24"/>
          <w:szCs w:val="24"/>
        </w:rPr>
        <w:t>).</w:t>
      </w:r>
      <w:r>
        <w:rPr>
          <w:rFonts w:ascii="Times New Roman" w:hAnsi="Times New Roman" w:cs="Times New Roman"/>
          <w:sz w:val="24"/>
          <w:szCs w:val="24"/>
        </w:rPr>
        <w:t xml:space="preserve"> </w:t>
      </w:r>
    </w:p>
    <w:p w:rsidR="009E67BD" w:rsidRPr="00E15450" w:rsidRDefault="009E67BD" w:rsidP="009E67BD">
      <w:pPr>
        <w:pStyle w:val="ListParagraph"/>
        <w:spacing w:line="480" w:lineRule="auto"/>
        <w:ind w:left="360"/>
        <w:jc w:val="both"/>
        <w:rPr>
          <w:rFonts w:ascii="Times New Roman" w:hAnsi="Times New Roman" w:cs="Times New Roman"/>
          <w:b/>
          <w:sz w:val="24"/>
          <w:szCs w:val="24"/>
        </w:rPr>
      </w:pPr>
    </w:p>
    <w:p w:rsidR="009E67BD" w:rsidRPr="00E15450" w:rsidRDefault="009E67BD" w:rsidP="009E67BD">
      <w:pPr>
        <w:pStyle w:val="ListParagraph"/>
        <w:numPr>
          <w:ilvl w:val="1"/>
          <w:numId w:val="1"/>
        </w:numPr>
        <w:spacing w:line="480" w:lineRule="auto"/>
        <w:jc w:val="both"/>
        <w:rPr>
          <w:rFonts w:ascii="Times New Roman" w:hAnsi="Times New Roman" w:cs="Times New Roman"/>
          <w:sz w:val="24"/>
          <w:szCs w:val="24"/>
        </w:rPr>
      </w:pPr>
      <w:r w:rsidRPr="00E15450">
        <w:rPr>
          <w:rFonts w:ascii="Times New Roman" w:hAnsi="Times New Roman" w:cs="Times New Roman"/>
          <w:b/>
          <w:sz w:val="24"/>
          <w:szCs w:val="24"/>
        </w:rPr>
        <w:t>Programme 8: Revenue Administration</w:t>
      </w:r>
    </w:p>
    <w:p w:rsidR="009E67BD" w:rsidRPr="00E15450" w:rsidRDefault="009E67BD" w:rsidP="009E67BD">
      <w:pPr>
        <w:pStyle w:val="ListParagraph"/>
        <w:numPr>
          <w:ilvl w:val="2"/>
          <w:numId w:val="1"/>
        </w:numPr>
        <w:spacing w:line="480" w:lineRule="auto"/>
        <w:jc w:val="both"/>
        <w:rPr>
          <w:rFonts w:ascii="Times New Roman" w:hAnsi="Times New Roman" w:cs="Times New Roman"/>
          <w:sz w:val="24"/>
          <w:szCs w:val="24"/>
        </w:rPr>
      </w:pPr>
      <w:r w:rsidRPr="00E15450">
        <w:rPr>
          <w:rFonts w:ascii="Times New Roman" w:hAnsi="Times New Roman" w:cs="Times New Roman"/>
          <w:sz w:val="24"/>
          <w:szCs w:val="24"/>
        </w:rPr>
        <w:t>The Revenue Administration programme</w:t>
      </w:r>
      <w:r w:rsidR="00F856D0">
        <w:rPr>
          <w:rFonts w:ascii="Times New Roman" w:hAnsi="Times New Roman" w:cs="Times New Roman"/>
          <w:sz w:val="24"/>
          <w:szCs w:val="24"/>
        </w:rPr>
        <w:t xml:space="preserve"> receives an allocation of R11,5</w:t>
      </w:r>
      <w:r w:rsidRPr="00E15450">
        <w:rPr>
          <w:rFonts w:ascii="Times New Roman" w:hAnsi="Times New Roman" w:cs="Times New Roman"/>
          <w:sz w:val="24"/>
          <w:szCs w:val="24"/>
        </w:rPr>
        <w:t xml:space="preserve"> billion in 2022</w:t>
      </w:r>
      <w:r w:rsidR="00F856D0">
        <w:rPr>
          <w:rFonts w:ascii="Times New Roman" w:hAnsi="Times New Roman" w:cs="Times New Roman"/>
          <w:sz w:val="24"/>
          <w:szCs w:val="24"/>
        </w:rPr>
        <w:t>/23, up from R11,2 in the adjustment budget of 2021/22</w:t>
      </w:r>
      <w:r w:rsidRPr="00E15450">
        <w:rPr>
          <w:rFonts w:ascii="Times New Roman" w:hAnsi="Times New Roman" w:cs="Times New Roman"/>
          <w:sz w:val="24"/>
          <w:szCs w:val="24"/>
        </w:rPr>
        <w:t>. In the outer years</w:t>
      </w:r>
      <w:r w:rsidR="00F856D0">
        <w:rPr>
          <w:rFonts w:ascii="Times New Roman" w:hAnsi="Times New Roman" w:cs="Times New Roman"/>
          <w:sz w:val="24"/>
          <w:szCs w:val="24"/>
        </w:rPr>
        <w:t xml:space="preserve"> of the MTEF</w:t>
      </w:r>
      <w:r w:rsidRPr="00E15450">
        <w:rPr>
          <w:rFonts w:ascii="Times New Roman" w:hAnsi="Times New Roman" w:cs="Times New Roman"/>
          <w:sz w:val="24"/>
          <w:szCs w:val="24"/>
        </w:rPr>
        <w:t>, the allocations are projected at R1</w:t>
      </w:r>
      <w:r w:rsidR="00F856D0">
        <w:rPr>
          <w:rFonts w:ascii="Times New Roman" w:hAnsi="Times New Roman" w:cs="Times New Roman"/>
          <w:sz w:val="24"/>
          <w:szCs w:val="24"/>
        </w:rPr>
        <w:t>1</w:t>
      </w:r>
      <w:r w:rsidRPr="00E15450">
        <w:rPr>
          <w:rFonts w:ascii="Times New Roman" w:hAnsi="Times New Roman" w:cs="Times New Roman"/>
          <w:sz w:val="24"/>
          <w:szCs w:val="24"/>
        </w:rPr>
        <w:t>,</w:t>
      </w:r>
      <w:r w:rsidR="00F856D0">
        <w:rPr>
          <w:rFonts w:ascii="Times New Roman" w:hAnsi="Times New Roman" w:cs="Times New Roman"/>
          <w:sz w:val="24"/>
          <w:szCs w:val="24"/>
        </w:rPr>
        <w:t>6</w:t>
      </w:r>
      <w:r w:rsidRPr="00E15450">
        <w:rPr>
          <w:rFonts w:ascii="Times New Roman" w:hAnsi="Times New Roman" w:cs="Times New Roman"/>
          <w:sz w:val="24"/>
          <w:szCs w:val="24"/>
        </w:rPr>
        <w:t xml:space="preserve"> and 1</w:t>
      </w:r>
      <w:r w:rsidR="00F856D0">
        <w:rPr>
          <w:rFonts w:ascii="Times New Roman" w:hAnsi="Times New Roman" w:cs="Times New Roman"/>
          <w:sz w:val="24"/>
          <w:szCs w:val="24"/>
        </w:rPr>
        <w:t>1</w:t>
      </w:r>
      <w:r w:rsidRPr="00E15450">
        <w:rPr>
          <w:rFonts w:ascii="Times New Roman" w:hAnsi="Times New Roman" w:cs="Times New Roman"/>
          <w:sz w:val="24"/>
          <w:szCs w:val="24"/>
        </w:rPr>
        <w:t>,</w:t>
      </w:r>
      <w:r w:rsidR="00F856D0">
        <w:rPr>
          <w:rFonts w:ascii="Times New Roman" w:hAnsi="Times New Roman" w:cs="Times New Roman"/>
          <w:sz w:val="24"/>
          <w:szCs w:val="24"/>
        </w:rPr>
        <w:t>1</w:t>
      </w:r>
      <w:r w:rsidRPr="00E15450">
        <w:rPr>
          <w:rFonts w:ascii="Times New Roman" w:hAnsi="Times New Roman" w:cs="Times New Roman"/>
          <w:sz w:val="24"/>
          <w:szCs w:val="24"/>
        </w:rPr>
        <w:t xml:space="preserve"> billion respectively. The budget allocation is a transfer payment to the South African Revenue Service, which is </w:t>
      </w:r>
      <w:r w:rsidRPr="00E15450">
        <w:rPr>
          <w:rFonts w:ascii="Times New Roman" w:hAnsi="Times New Roman" w:cs="Times New Roman"/>
          <w:sz w:val="24"/>
          <w:szCs w:val="24"/>
        </w:rPr>
        <w:lastRenderedPageBreak/>
        <w:t>responsible for administering the country’s revenue system.</w:t>
      </w:r>
      <w:r>
        <w:rPr>
          <w:rFonts w:ascii="Times New Roman" w:hAnsi="Times New Roman" w:cs="Times New Roman"/>
          <w:sz w:val="24"/>
          <w:szCs w:val="24"/>
        </w:rPr>
        <w:t xml:space="preserve"> This programme is discussed further</w:t>
      </w:r>
      <w:r w:rsidRPr="00E15450">
        <w:rPr>
          <w:rFonts w:ascii="Times New Roman" w:hAnsi="Times New Roman" w:cs="Times New Roman"/>
          <w:sz w:val="24"/>
          <w:szCs w:val="24"/>
        </w:rPr>
        <w:t xml:space="preserve"> below</w:t>
      </w:r>
      <w:r w:rsidR="00F856D0">
        <w:rPr>
          <w:rFonts w:ascii="Times New Roman" w:hAnsi="Times New Roman" w:cs="Times New Roman"/>
          <w:sz w:val="24"/>
          <w:szCs w:val="24"/>
        </w:rPr>
        <w:t xml:space="preserve"> under SARS’s annual performance plan</w:t>
      </w:r>
      <w:r w:rsidRPr="00E15450">
        <w:rPr>
          <w:rFonts w:ascii="Times New Roman" w:hAnsi="Times New Roman" w:cs="Times New Roman"/>
          <w:sz w:val="24"/>
          <w:szCs w:val="24"/>
        </w:rPr>
        <w:t xml:space="preserve">. </w:t>
      </w:r>
    </w:p>
    <w:p w:rsidR="00F856D0" w:rsidRPr="00E15450" w:rsidRDefault="00F856D0" w:rsidP="009E67BD">
      <w:pPr>
        <w:pStyle w:val="ListParagraph"/>
        <w:spacing w:line="480" w:lineRule="auto"/>
        <w:jc w:val="both"/>
        <w:rPr>
          <w:rFonts w:ascii="Times New Roman" w:hAnsi="Times New Roman" w:cs="Times New Roman"/>
          <w:sz w:val="24"/>
          <w:szCs w:val="24"/>
        </w:rPr>
      </w:pPr>
    </w:p>
    <w:p w:rsidR="009E67BD" w:rsidRPr="00E15450" w:rsidRDefault="009E67BD" w:rsidP="009E67BD">
      <w:pPr>
        <w:pStyle w:val="ListParagraph"/>
        <w:numPr>
          <w:ilvl w:val="1"/>
          <w:numId w:val="1"/>
        </w:numPr>
        <w:spacing w:line="480" w:lineRule="auto"/>
        <w:jc w:val="both"/>
        <w:rPr>
          <w:rFonts w:ascii="Times New Roman" w:hAnsi="Times New Roman" w:cs="Times New Roman"/>
          <w:sz w:val="24"/>
          <w:szCs w:val="24"/>
        </w:rPr>
      </w:pPr>
      <w:r w:rsidRPr="00E15450">
        <w:rPr>
          <w:rFonts w:ascii="Times New Roman" w:hAnsi="Times New Roman" w:cs="Times New Roman"/>
          <w:b/>
          <w:sz w:val="24"/>
          <w:szCs w:val="24"/>
        </w:rPr>
        <w:t>Programme 9: Financial Intelligence and State Security</w:t>
      </w:r>
    </w:p>
    <w:p w:rsidR="009E67BD" w:rsidRPr="00E15450" w:rsidRDefault="009E67BD" w:rsidP="009E67BD">
      <w:pPr>
        <w:pStyle w:val="ListParagraph"/>
        <w:numPr>
          <w:ilvl w:val="2"/>
          <w:numId w:val="1"/>
        </w:numPr>
        <w:spacing w:line="480" w:lineRule="auto"/>
        <w:jc w:val="both"/>
        <w:rPr>
          <w:rFonts w:ascii="Times New Roman" w:hAnsi="Times New Roman" w:cs="Times New Roman"/>
          <w:sz w:val="24"/>
          <w:szCs w:val="24"/>
        </w:rPr>
      </w:pPr>
      <w:r w:rsidRPr="00E15450">
        <w:rPr>
          <w:rFonts w:ascii="Times New Roman" w:hAnsi="Times New Roman" w:cs="Times New Roman"/>
          <w:sz w:val="24"/>
          <w:szCs w:val="24"/>
        </w:rPr>
        <w:t>Financial Intelligence and State Security comprises transfers to the Financial Intelligence Centre (FIC) to combat financial crimes, including money laundering and terrorism</w:t>
      </w:r>
      <w:r w:rsidR="00D479F6">
        <w:rPr>
          <w:rFonts w:ascii="Times New Roman" w:hAnsi="Times New Roman" w:cs="Times New Roman"/>
          <w:sz w:val="24"/>
          <w:szCs w:val="24"/>
        </w:rPr>
        <w:t>-financing activities. The 20</w:t>
      </w:r>
      <w:r w:rsidRPr="00E15450">
        <w:rPr>
          <w:rFonts w:ascii="Times New Roman" w:hAnsi="Times New Roman" w:cs="Times New Roman"/>
          <w:sz w:val="24"/>
          <w:szCs w:val="24"/>
        </w:rPr>
        <w:t>22</w:t>
      </w:r>
      <w:r w:rsidR="00D479F6">
        <w:rPr>
          <w:rFonts w:ascii="Times New Roman" w:hAnsi="Times New Roman" w:cs="Times New Roman"/>
          <w:sz w:val="24"/>
          <w:szCs w:val="24"/>
        </w:rPr>
        <w:t>/23</w:t>
      </w:r>
      <w:r w:rsidRPr="00E15450">
        <w:rPr>
          <w:rFonts w:ascii="Times New Roman" w:hAnsi="Times New Roman" w:cs="Times New Roman"/>
          <w:sz w:val="24"/>
          <w:szCs w:val="24"/>
        </w:rPr>
        <w:t xml:space="preserve"> allocation for the Financial Intelligence Centre and the South African Secret Services is R5,</w:t>
      </w:r>
      <w:r w:rsidR="00D479F6">
        <w:rPr>
          <w:rFonts w:ascii="Times New Roman" w:hAnsi="Times New Roman" w:cs="Times New Roman"/>
          <w:sz w:val="24"/>
          <w:szCs w:val="24"/>
        </w:rPr>
        <w:t>3</w:t>
      </w:r>
      <w:r w:rsidRPr="00E15450">
        <w:rPr>
          <w:rFonts w:ascii="Times New Roman" w:hAnsi="Times New Roman" w:cs="Times New Roman"/>
          <w:sz w:val="24"/>
          <w:szCs w:val="24"/>
        </w:rPr>
        <w:t xml:space="preserve"> billion</w:t>
      </w:r>
      <w:r w:rsidR="00D479F6">
        <w:rPr>
          <w:rFonts w:ascii="Times New Roman" w:hAnsi="Times New Roman" w:cs="Times New Roman"/>
          <w:sz w:val="24"/>
          <w:szCs w:val="24"/>
        </w:rPr>
        <w:t xml:space="preserve">, from R4,9 billion in the adjustment budget of 2021/22, and </w:t>
      </w:r>
      <w:r w:rsidRPr="00E15450">
        <w:rPr>
          <w:rFonts w:ascii="Times New Roman" w:hAnsi="Times New Roman" w:cs="Times New Roman"/>
          <w:sz w:val="24"/>
          <w:szCs w:val="24"/>
        </w:rPr>
        <w:t>i</w:t>
      </w:r>
      <w:r w:rsidR="00D479F6">
        <w:rPr>
          <w:rFonts w:ascii="Times New Roman" w:hAnsi="Times New Roman" w:cs="Times New Roman"/>
          <w:sz w:val="24"/>
          <w:szCs w:val="24"/>
        </w:rPr>
        <w:t>ncreasing to R5,4 and R5,6</w:t>
      </w:r>
      <w:r w:rsidRPr="00E15450">
        <w:rPr>
          <w:rFonts w:ascii="Times New Roman" w:hAnsi="Times New Roman" w:cs="Times New Roman"/>
          <w:sz w:val="24"/>
          <w:szCs w:val="24"/>
        </w:rPr>
        <w:t xml:space="preserve"> billion in the outer years. </w:t>
      </w:r>
      <w:r w:rsidR="00D479F6">
        <w:rPr>
          <w:rFonts w:ascii="Times New Roman" w:hAnsi="Times New Roman" w:cs="Times New Roman"/>
          <w:sz w:val="24"/>
          <w:szCs w:val="24"/>
        </w:rPr>
        <w:t>The allocation to Financial Intelligence Centre for 2022/23 is R3</w:t>
      </w:r>
      <w:r w:rsidR="00EB2772">
        <w:rPr>
          <w:rFonts w:ascii="Times New Roman" w:hAnsi="Times New Roman" w:cs="Times New Roman"/>
          <w:sz w:val="24"/>
          <w:szCs w:val="24"/>
        </w:rPr>
        <w:t>16.8</w:t>
      </w:r>
      <w:r w:rsidR="00D479F6">
        <w:rPr>
          <w:rFonts w:ascii="Times New Roman" w:hAnsi="Times New Roman" w:cs="Times New Roman"/>
          <w:sz w:val="24"/>
          <w:szCs w:val="24"/>
        </w:rPr>
        <w:t xml:space="preserve"> million and Secret Services, R</w:t>
      </w:r>
      <w:r w:rsidR="00EB2772">
        <w:rPr>
          <w:rFonts w:ascii="Times New Roman" w:hAnsi="Times New Roman" w:cs="Times New Roman"/>
          <w:sz w:val="24"/>
          <w:szCs w:val="24"/>
        </w:rPr>
        <w:t>5</w:t>
      </w:r>
      <w:r w:rsidR="00D479F6">
        <w:rPr>
          <w:rFonts w:ascii="Times New Roman" w:hAnsi="Times New Roman" w:cs="Times New Roman"/>
          <w:sz w:val="24"/>
          <w:szCs w:val="24"/>
        </w:rPr>
        <w:t>,</w:t>
      </w:r>
      <w:r w:rsidR="00EB2772">
        <w:rPr>
          <w:rFonts w:ascii="Times New Roman" w:hAnsi="Times New Roman" w:cs="Times New Roman"/>
          <w:sz w:val="24"/>
          <w:szCs w:val="24"/>
        </w:rPr>
        <w:t>0</w:t>
      </w:r>
      <w:r w:rsidR="00D479F6">
        <w:rPr>
          <w:rFonts w:ascii="Times New Roman" w:hAnsi="Times New Roman" w:cs="Times New Roman"/>
          <w:sz w:val="24"/>
          <w:szCs w:val="24"/>
        </w:rPr>
        <w:t xml:space="preserve"> billion. </w:t>
      </w:r>
    </w:p>
    <w:p w:rsidR="009E67BD" w:rsidRDefault="009E67BD" w:rsidP="009E67BD">
      <w:pPr>
        <w:pStyle w:val="ListParagraph"/>
        <w:spacing w:line="480" w:lineRule="auto"/>
        <w:jc w:val="both"/>
        <w:rPr>
          <w:rFonts w:ascii="Times New Roman" w:hAnsi="Times New Roman" w:cs="Times New Roman"/>
          <w:sz w:val="24"/>
          <w:szCs w:val="24"/>
        </w:rPr>
      </w:pPr>
    </w:p>
    <w:p w:rsidR="009E67BD" w:rsidRPr="00E15450" w:rsidRDefault="009E67BD" w:rsidP="009E67BD">
      <w:pPr>
        <w:pStyle w:val="ListParagraph"/>
        <w:numPr>
          <w:ilvl w:val="0"/>
          <w:numId w:val="1"/>
        </w:numPr>
        <w:spacing w:line="480" w:lineRule="auto"/>
        <w:jc w:val="both"/>
        <w:rPr>
          <w:rFonts w:ascii="Times New Roman" w:hAnsi="Times New Roman" w:cs="Times New Roman"/>
          <w:b/>
          <w:sz w:val="24"/>
          <w:szCs w:val="24"/>
        </w:rPr>
      </w:pPr>
      <w:r w:rsidRPr="00E15450">
        <w:rPr>
          <w:rFonts w:ascii="Times New Roman" w:hAnsi="Times New Roman" w:cs="Times New Roman"/>
          <w:b/>
          <w:sz w:val="24"/>
          <w:szCs w:val="24"/>
        </w:rPr>
        <w:t xml:space="preserve">OVERVIEW OF THE SARS’S BUDGET </w:t>
      </w:r>
    </w:p>
    <w:p w:rsidR="00276DF3" w:rsidRPr="006F0A99" w:rsidRDefault="009E67BD" w:rsidP="00D5691E">
      <w:pPr>
        <w:pStyle w:val="ListParagraph"/>
        <w:numPr>
          <w:ilvl w:val="1"/>
          <w:numId w:val="1"/>
        </w:numPr>
        <w:spacing w:line="480" w:lineRule="auto"/>
        <w:jc w:val="both"/>
        <w:rPr>
          <w:rFonts w:ascii="Times New Roman" w:hAnsi="Times New Roman" w:cs="Times New Roman"/>
          <w:sz w:val="24"/>
          <w:szCs w:val="24"/>
        </w:rPr>
      </w:pPr>
      <w:r w:rsidRPr="006F0A99">
        <w:rPr>
          <w:rFonts w:ascii="Times New Roman" w:hAnsi="Times New Roman" w:cs="Times New Roman"/>
          <w:sz w:val="24"/>
          <w:szCs w:val="24"/>
        </w:rPr>
        <w:t>SARS receives a transfer from National Treasury under Programme 8. In 2022</w:t>
      </w:r>
      <w:r w:rsidR="00D479F6" w:rsidRPr="006F0A99">
        <w:rPr>
          <w:rFonts w:ascii="Times New Roman" w:hAnsi="Times New Roman" w:cs="Times New Roman"/>
          <w:sz w:val="24"/>
          <w:szCs w:val="24"/>
        </w:rPr>
        <w:t>/23</w:t>
      </w:r>
      <w:r w:rsidRPr="006F0A99">
        <w:rPr>
          <w:rFonts w:ascii="Times New Roman" w:hAnsi="Times New Roman" w:cs="Times New Roman"/>
          <w:sz w:val="24"/>
          <w:szCs w:val="24"/>
        </w:rPr>
        <w:t xml:space="preserve"> SARS will be a</w:t>
      </w:r>
      <w:r w:rsidR="00E50933" w:rsidRPr="006F0A99">
        <w:rPr>
          <w:rFonts w:ascii="Times New Roman" w:hAnsi="Times New Roman" w:cs="Times New Roman"/>
          <w:sz w:val="24"/>
          <w:szCs w:val="24"/>
        </w:rPr>
        <w:t>llocated a total budget of R11,5</w:t>
      </w:r>
      <w:r w:rsidRPr="006F0A99">
        <w:rPr>
          <w:rFonts w:ascii="Times New Roman" w:hAnsi="Times New Roman" w:cs="Times New Roman"/>
          <w:sz w:val="24"/>
          <w:szCs w:val="24"/>
        </w:rPr>
        <w:t xml:space="preserve"> billion</w:t>
      </w:r>
      <w:r w:rsidR="00E50933" w:rsidRPr="006F0A99">
        <w:rPr>
          <w:rFonts w:ascii="Times New Roman" w:hAnsi="Times New Roman" w:cs="Times New Roman"/>
          <w:sz w:val="24"/>
          <w:szCs w:val="24"/>
        </w:rPr>
        <w:t xml:space="preserve"> from R11,2 in the adjusted appropriation of 2021/22</w:t>
      </w:r>
      <w:r w:rsidRPr="006F0A99">
        <w:rPr>
          <w:rFonts w:ascii="Times New Roman" w:hAnsi="Times New Roman" w:cs="Times New Roman"/>
          <w:sz w:val="24"/>
          <w:szCs w:val="24"/>
        </w:rPr>
        <w:t xml:space="preserve">. </w:t>
      </w:r>
      <w:r w:rsidR="00E50933" w:rsidRPr="006F0A99">
        <w:rPr>
          <w:rFonts w:ascii="Times New Roman" w:hAnsi="Times New Roman" w:cs="Times New Roman"/>
          <w:sz w:val="24"/>
          <w:szCs w:val="24"/>
        </w:rPr>
        <w:t xml:space="preserve">R46.5 million of this is </w:t>
      </w:r>
      <w:r w:rsidRPr="006F0A99">
        <w:rPr>
          <w:rFonts w:ascii="Times New Roman" w:hAnsi="Times New Roman" w:cs="Times New Roman"/>
          <w:sz w:val="24"/>
          <w:szCs w:val="24"/>
        </w:rPr>
        <w:t xml:space="preserve">a grant to the Office of the Tax </w:t>
      </w:r>
      <w:proofErr w:type="spellStart"/>
      <w:r w:rsidRPr="006F0A99">
        <w:rPr>
          <w:rFonts w:ascii="Times New Roman" w:hAnsi="Times New Roman" w:cs="Times New Roman"/>
          <w:sz w:val="24"/>
          <w:szCs w:val="24"/>
        </w:rPr>
        <w:t>Ombuds</w:t>
      </w:r>
      <w:proofErr w:type="spellEnd"/>
      <w:r w:rsidRPr="006F0A99">
        <w:rPr>
          <w:rFonts w:ascii="Times New Roman" w:hAnsi="Times New Roman" w:cs="Times New Roman"/>
          <w:sz w:val="24"/>
          <w:szCs w:val="24"/>
        </w:rPr>
        <w:t xml:space="preserve"> (OTO)</w:t>
      </w:r>
      <w:r w:rsidR="00E50933" w:rsidRPr="006F0A99">
        <w:rPr>
          <w:rFonts w:ascii="Times New Roman" w:hAnsi="Times New Roman" w:cs="Times New Roman"/>
          <w:sz w:val="24"/>
          <w:szCs w:val="24"/>
        </w:rPr>
        <w:t>, an increase of 2.6 per cent from the previous year’s adjusted appropriation</w:t>
      </w:r>
      <w:r w:rsidRPr="006F0A99">
        <w:rPr>
          <w:rFonts w:ascii="Times New Roman" w:hAnsi="Times New Roman" w:cs="Times New Roman"/>
          <w:sz w:val="24"/>
          <w:szCs w:val="24"/>
        </w:rPr>
        <w:t xml:space="preserve">. The allocation to SARS is projected to </w:t>
      </w:r>
      <w:r w:rsidR="00E50933" w:rsidRPr="006F0A99">
        <w:rPr>
          <w:rFonts w:ascii="Times New Roman" w:hAnsi="Times New Roman" w:cs="Times New Roman"/>
          <w:sz w:val="24"/>
          <w:szCs w:val="24"/>
        </w:rPr>
        <w:t xml:space="preserve">increase </w:t>
      </w:r>
      <w:r w:rsidRPr="006F0A99">
        <w:rPr>
          <w:rFonts w:ascii="Times New Roman" w:hAnsi="Times New Roman" w:cs="Times New Roman"/>
          <w:sz w:val="24"/>
          <w:szCs w:val="24"/>
        </w:rPr>
        <w:t>to R1</w:t>
      </w:r>
      <w:r w:rsidR="00E50933" w:rsidRPr="006F0A99">
        <w:rPr>
          <w:rFonts w:ascii="Times New Roman" w:hAnsi="Times New Roman" w:cs="Times New Roman"/>
          <w:sz w:val="24"/>
          <w:szCs w:val="24"/>
        </w:rPr>
        <w:t>1</w:t>
      </w:r>
      <w:r w:rsidRPr="006F0A99">
        <w:rPr>
          <w:rFonts w:ascii="Times New Roman" w:hAnsi="Times New Roman" w:cs="Times New Roman"/>
          <w:sz w:val="24"/>
          <w:szCs w:val="24"/>
        </w:rPr>
        <w:t>,6 billion in 23/24,</w:t>
      </w:r>
      <w:r w:rsidR="00E50933" w:rsidRPr="006F0A99">
        <w:rPr>
          <w:rFonts w:ascii="Times New Roman" w:hAnsi="Times New Roman" w:cs="Times New Roman"/>
          <w:sz w:val="24"/>
          <w:szCs w:val="24"/>
        </w:rPr>
        <w:t xml:space="preserve"> moderating to R11, 1 billion in 2024/25.</w:t>
      </w:r>
      <w:r w:rsidRPr="006F0A99">
        <w:rPr>
          <w:rFonts w:ascii="Times New Roman" w:hAnsi="Times New Roman" w:cs="Times New Roman"/>
          <w:sz w:val="24"/>
          <w:szCs w:val="24"/>
        </w:rPr>
        <w:t xml:space="preserve"> </w:t>
      </w:r>
      <w:r w:rsidR="00E50933" w:rsidRPr="006F0A99">
        <w:rPr>
          <w:rFonts w:ascii="Times New Roman" w:hAnsi="Times New Roman" w:cs="Times New Roman"/>
          <w:sz w:val="24"/>
          <w:szCs w:val="24"/>
        </w:rPr>
        <w:t>T</w:t>
      </w:r>
      <w:r w:rsidRPr="006F0A99">
        <w:rPr>
          <w:rFonts w:ascii="Times New Roman" w:hAnsi="Times New Roman" w:cs="Times New Roman"/>
          <w:sz w:val="24"/>
          <w:szCs w:val="24"/>
        </w:rPr>
        <w:t>he allocation to the OTO will increase to R51.2 million</w:t>
      </w:r>
      <w:r w:rsidR="00E50933" w:rsidRPr="006F0A99">
        <w:rPr>
          <w:rFonts w:ascii="Times New Roman" w:hAnsi="Times New Roman" w:cs="Times New Roman"/>
          <w:sz w:val="24"/>
          <w:szCs w:val="24"/>
        </w:rPr>
        <w:t xml:space="preserve"> and R53.5 million</w:t>
      </w:r>
      <w:r w:rsidRPr="006F0A99">
        <w:rPr>
          <w:rFonts w:ascii="Times New Roman" w:hAnsi="Times New Roman" w:cs="Times New Roman"/>
          <w:sz w:val="24"/>
          <w:szCs w:val="24"/>
        </w:rPr>
        <w:t xml:space="preserve">, an </w:t>
      </w:r>
      <w:r w:rsidR="00E50933" w:rsidRPr="006F0A99">
        <w:rPr>
          <w:rFonts w:ascii="Times New Roman" w:hAnsi="Times New Roman" w:cs="Times New Roman"/>
          <w:sz w:val="24"/>
          <w:szCs w:val="24"/>
        </w:rPr>
        <w:t>average increase of 6.1 per cent over the MTEF</w:t>
      </w:r>
      <w:r w:rsidRPr="006F0A99">
        <w:rPr>
          <w:rFonts w:ascii="Times New Roman" w:hAnsi="Times New Roman" w:cs="Times New Roman"/>
          <w:sz w:val="24"/>
          <w:szCs w:val="24"/>
        </w:rPr>
        <w:t xml:space="preserve">. </w:t>
      </w:r>
    </w:p>
    <w:p w:rsidR="006F0A99" w:rsidRDefault="006F0A99" w:rsidP="00D5691E">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SARS stated that it had: collected R1.56 trillion in 2021/22 (which was 255 more than in 2020/21); paid refunds of R321 billion (R20 billion more than 2020/21); collected R209.7 billion compliance revenue (21% more than the previous year); </w:t>
      </w:r>
      <w:r w:rsidR="00233F8A">
        <w:rPr>
          <w:rFonts w:ascii="Times New Roman" w:hAnsi="Times New Roman" w:cs="Times New Roman"/>
          <w:sz w:val="24"/>
          <w:szCs w:val="24"/>
        </w:rPr>
        <w:t xml:space="preserve">and facilitated trade totalling R3.3 trillion (which was 27% more than in 2020/21). </w:t>
      </w:r>
    </w:p>
    <w:p w:rsidR="009E67BD" w:rsidRPr="00E15450" w:rsidRDefault="009E67BD" w:rsidP="009E67BD">
      <w:pPr>
        <w:pStyle w:val="ListParagraph"/>
        <w:spacing w:line="480" w:lineRule="auto"/>
        <w:ind w:left="360"/>
        <w:jc w:val="both"/>
        <w:rPr>
          <w:rFonts w:ascii="Times New Roman" w:hAnsi="Times New Roman" w:cs="Times New Roman"/>
          <w:sz w:val="24"/>
          <w:szCs w:val="24"/>
        </w:rPr>
      </w:pPr>
    </w:p>
    <w:p w:rsidR="009C6C4A" w:rsidRDefault="009C6C4A" w:rsidP="009C6C4A">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OTHER ENTITIES VISITED BY THE COMMITTEE </w:t>
      </w:r>
    </w:p>
    <w:p w:rsidR="009C6C4A" w:rsidRPr="009C6C4A" w:rsidRDefault="009C6C4A" w:rsidP="009C6C4A">
      <w:pPr>
        <w:pStyle w:val="ListParagraph"/>
        <w:numPr>
          <w:ilvl w:val="1"/>
          <w:numId w:val="1"/>
        </w:numPr>
        <w:spacing w:line="480" w:lineRule="auto"/>
        <w:jc w:val="both"/>
        <w:rPr>
          <w:rFonts w:ascii="Times New Roman" w:hAnsi="Times New Roman" w:cs="Times New Roman"/>
          <w:b/>
          <w:sz w:val="24"/>
          <w:szCs w:val="24"/>
        </w:rPr>
      </w:pPr>
      <w:r w:rsidRPr="009C6C4A">
        <w:rPr>
          <w:rFonts w:ascii="Times New Roman" w:hAnsi="Times New Roman" w:cs="Times New Roman"/>
        </w:rPr>
        <w:t>The Committee undertook an oversight visit to the South African Special Risk Insurance Association (SASRIA), the</w:t>
      </w:r>
      <w:r w:rsidRPr="009C6C4A">
        <w:rPr>
          <w:rFonts w:ascii="Times New Roman" w:hAnsi="Times New Roman" w:cs="Times New Roman"/>
          <w:color w:val="4D5156"/>
          <w:shd w:val="clear" w:color="auto" w:fill="FFFFFF"/>
        </w:rPr>
        <w:t> </w:t>
      </w:r>
      <w:r w:rsidRPr="009C6C4A">
        <w:rPr>
          <w:rFonts w:ascii="Times New Roman" w:hAnsi="Times New Roman" w:cs="Times New Roman"/>
          <w:shd w:val="clear" w:color="auto" w:fill="FFFFFF"/>
        </w:rPr>
        <w:t>Land and Agricultural Development Bank of South Africa (</w:t>
      </w:r>
      <w:r w:rsidRPr="009C6C4A">
        <w:rPr>
          <w:rStyle w:val="Emphasis"/>
          <w:rFonts w:ascii="Times New Roman" w:hAnsi="Times New Roman" w:cs="Times New Roman"/>
          <w:bCs/>
          <w:shd w:val="clear" w:color="auto" w:fill="FFFFFF"/>
        </w:rPr>
        <w:t>Land Bank</w:t>
      </w:r>
      <w:r w:rsidRPr="009C6C4A">
        <w:rPr>
          <w:rFonts w:ascii="Times New Roman" w:hAnsi="Times New Roman" w:cs="Times New Roman"/>
          <w:shd w:val="clear" w:color="auto" w:fill="FFFFFF"/>
        </w:rPr>
        <w:t xml:space="preserve">) and the Financial and Fiscal Commission (FFC) </w:t>
      </w:r>
      <w:r w:rsidRPr="009C6C4A">
        <w:rPr>
          <w:rFonts w:ascii="Times New Roman" w:hAnsi="Times New Roman" w:cs="Times New Roman"/>
        </w:rPr>
        <w:t xml:space="preserve">from the 20 – 22 April 2022 in Gauteng. </w:t>
      </w:r>
      <w:r w:rsidR="00C408C8">
        <w:rPr>
          <w:rFonts w:ascii="Times New Roman" w:hAnsi="Times New Roman" w:cs="Times New Roman"/>
        </w:rPr>
        <w:t xml:space="preserve">The Committee observations and recommendations on the oversight visit will be included in the Oversight Report. </w:t>
      </w:r>
    </w:p>
    <w:p w:rsidR="009C6C4A" w:rsidRDefault="009C6C4A" w:rsidP="009C6C4A">
      <w:pPr>
        <w:pStyle w:val="ListParagraph"/>
        <w:spacing w:line="480" w:lineRule="auto"/>
        <w:ind w:left="360"/>
        <w:jc w:val="both"/>
        <w:rPr>
          <w:rFonts w:ascii="Times New Roman" w:hAnsi="Times New Roman" w:cs="Times New Roman"/>
          <w:b/>
          <w:sz w:val="24"/>
          <w:szCs w:val="24"/>
        </w:rPr>
      </w:pPr>
    </w:p>
    <w:p w:rsidR="009C6C4A" w:rsidRPr="009C6C4A" w:rsidRDefault="009C6C4A" w:rsidP="009C6C4A">
      <w:pPr>
        <w:spacing w:line="480" w:lineRule="auto"/>
        <w:jc w:val="both"/>
        <w:rPr>
          <w:rFonts w:ascii="Times New Roman" w:hAnsi="Times New Roman"/>
          <w:b/>
        </w:rPr>
      </w:pPr>
      <w:r w:rsidRPr="009C6C4A">
        <w:rPr>
          <w:rFonts w:ascii="Times New Roman" w:hAnsi="Times New Roman"/>
          <w:b/>
        </w:rPr>
        <w:t>SOUTH AFRICAN SPECIAL RISK INSURANCE ASSOCIATION (SASRIA)</w:t>
      </w:r>
    </w:p>
    <w:p w:rsidR="009C6C4A" w:rsidRPr="00F83FD1" w:rsidRDefault="009C6C4A" w:rsidP="009C6C4A">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F83FD1">
        <w:rPr>
          <w:rFonts w:ascii="Times New Roman" w:hAnsi="Times New Roman" w:cs="Times New Roman"/>
          <w:sz w:val="24"/>
          <w:szCs w:val="24"/>
        </w:rPr>
        <w:t xml:space="preserve">The main purpose of the visit to SASRIA was to get </w:t>
      </w:r>
      <w:r w:rsidR="00147E62" w:rsidRPr="00F83FD1">
        <w:rPr>
          <w:rFonts w:ascii="Times New Roman" w:hAnsi="Times New Roman" w:cs="Times New Roman"/>
          <w:sz w:val="24"/>
          <w:szCs w:val="24"/>
        </w:rPr>
        <w:t xml:space="preserve">presentation of their </w:t>
      </w:r>
      <w:r w:rsidRPr="00F83FD1">
        <w:rPr>
          <w:rFonts w:ascii="Times New Roman" w:hAnsi="Times New Roman" w:cs="Times New Roman"/>
          <w:sz w:val="24"/>
          <w:szCs w:val="24"/>
        </w:rPr>
        <w:t>annual report</w:t>
      </w:r>
      <w:r w:rsidR="00147E62" w:rsidRPr="00F83FD1">
        <w:rPr>
          <w:rFonts w:ascii="Times New Roman" w:hAnsi="Times New Roman" w:cs="Times New Roman"/>
          <w:sz w:val="24"/>
          <w:szCs w:val="24"/>
        </w:rPr>
        <w:t>,</w:t>
      </w:r>
      <w:r w:rsidRPr="00F83FD1">
        <w:rPr>
          <w:rFonts w:ascii="Times New Roman" w:hAnsi="Times New Roman" w:cs="Times New Roman"/>
          <w:sz w:val="24"/>
          <w:szCs w:val="24"/>
        </w:rPr>
        <w:t xml:space="preserve"> strategic and annual performance plans</w:t>
      </w:r>
      <w:r w:rsidR="00147E62" w:rsidRPr="00F83FD1">
        <w:rPr>
          <w:rFonts w:ascii="Times New Roman" w:hAnsi="Times New Roman" w:cs="Times New Roman"/>
          <w:sz w:val="24"/>
          <w:szCs w:val="24"/>
        </w:rPr>
        <w:t>,</w:t>
      </w:r>
      <w:r w:rsidRPr="00F83FD1">
        <w:rPr>
          <w:rFonts w:ascii="Times New Roman" w:hAnsi="Times New Roman" w:cs="Times New Roman"/>
          <w:sz w:val="24"/>
          <w:szCs w:val="24"/>
        </w:rPr>
        <w:t xml:space="preserve"> and the implementation of the audit action plans</w:t>
      </w:r>
      <w:r w:rsidR="00147E62" w:rsidRPr="00F83FD1">
        <w:rPr>
          <w:rFonts w:ascii="Times New Roman" w:hAnsi="Times New Roman" w:cs="Times New Roman"/>
          <w:sz w:val="24"/>
          <w:szCs w:val="24"/>
        </w:rPr>
        <w:t xml:space="preserve">. It was also to get a detailed briefing on how 2021 </w:t>
      </w:r>
      <w:r w:rsidRPr="00F83FD1">
        <w:rPr>
          <w:rFonts w:ascii="Times New Roman" w:hAnsi="Times New Roman" w:cs="Times New Roman"/>
          <w:sz w:val="24"/>
          <w:szCs w:val="24"/>
        </w:rPr>
        <w:t>July unrest</w:t>
      </w:r>
      <w:r w:rsidR="00147E62" w:rsidRPr="00F83FD1">
        <w:rPr>
          <w:rFonts w:ascii="Times New Roman" w:hAnsi="Times New Roman" w:cs="Times New Roman"/>
          <w:sz w:val="24"/>
          <w:szCs w:val="24"/>
        </w:rPr>
        <w:t>s impacted</w:t>
      </w:r>
      <w:r w:rsidRPr="00F83FD1">
        <w:rPr>
          <w:rFonts w:ascii="Times New Roman" w:hAnsi="Times New Roman" w:cs="Times New Roman"/>
          <w:sz w:val="24"/>
          <w:szCs w:val="24"/>
        </w:rPr>
        <w:t xml:space="preserve"> on SASRIA. </w:t>
      </w:r>
    </w:p>
    <w:p w:rsidR="009C6C4A" w:rsidRPr="00F83FD1" w:rsidRDefault="009C6C4A" w:rsidP="009C6C4A">
      <w:pPr>
        <w:pStyle w:val="ListParagraph"/>
        <w:numPr>
          <w:ilvl w:val="1"/>
          <w:numId w:val="1"/>
        </w:numPr>
        <w:spacing w:line="480" w:lineRule="auto"/>
        <w:jc w:val="both"/>
        <w:rPr>
          <w:rFonts w:ascii="Times New Roman" w:hAnsi="Times New Roman" w:cs="Times New Roman"/>
          <w:b/>
          <w:sz w:val="24"/>
          <w:szCs w:val="24"/>
        </w:rPr>
      </w:pPr>
      <w:r w:rsidRPr="00F83FD1">
        <w:rPr>
          <w:rFonts w:ascii="Times New Roman" w:hAnsi="Times New Roman" w:cs="Times New Roman"/>
          <w:b/>
          <w:sz w:val="24"/>
          <w:szCs w:val="24"/>
        </w:rPr>
        <w:t xml:space="preserve"> </w:t>
      </w:r>
      <w:r w:rsidR="00147E62" w:rsidRPr="00F83FD1">
        <w:rPr>
          <w:rFonts w:ascii="Times New Roman" w:hAnsi="Times New Roman" w:cs="Times New Roman"/>
          <w:sz w:val="24"/>
          <w:szCs w:val="24"/>
        </w:rPr>
        <w:t>Established in 1979, SASRIA is owned by the government of South Africa as the sole shareholder. It is mandated to provid</w:t>
      </w:r>
      <w:r w:rsidR="0077412C" w:rsidRPr="00F83FD1">
        <w:rPr>
          <w:rFonts w:ascii="Times New Roman" w:hAnsi="Times New Roman" w:cs="Times New Roman"/>
          <w:sz w:val="24"/>
          <w:szCs w:val="24"/>
        </w:rPr>
        <w:t>e</w:t>
      </w:r>
      <w:r w:rsidR="00147E62" w:rsidRPr="00F83FD1">
        <w:rPr>
          <w:rFonts w:ascii="Times New Roman" w:hAnsi="Times New Roman" w:cs="Times New Roman"/>
          <w:sz w:val="24"/>
          <w:szCs w:val="24"/>
        </w:rPr>
        <w:t xml:space="preserve"> cover for special risks such as riots, strikes, political unrest, terrorist attacks, civil commotion, public disorder and labour disturbances. </w:t>
      </w:r>
    </w:p>
    <w:p w:rsidR="00147E62" w:rsidRPr="00F83FD1" w:rsidRDefault="00147E62" w:rsidP="009C6C4A">
      <w:pPr>
        <w:pStyle w:val="ListParagraph"/>
        <w:numPr>
          <w:ilvl w:val="1"/>
          <w:numId w:val="1"/>
        </w:numPr>
        <w:spacing w:line="480" w:lineRule="auto"/>
        <w:jc w:val="both"/>
        <w:rPr>
          <w:rFonts w:ascii="Times New Roman" w:hAnsi="Times New Roman" w:cs="Times New Roman"/>
          <w:sz w:val="24"/>
          <w:szCs w:val="24"/>
        </w:rPr>
      </w:pPr>
      <w:r w:rsidRPr="00F83FD1">
        <w:rPr>
          <w:rFonts w:ascii="Times New Roman" w:hAnsi="Times New Roman" w:cs="Times New Roman"/>
          <w:sz w:val="24"/>
          <w:szCs w:val="24"/>
        </w:rPr>
        <w:t>Over the medium-term, SASRIA focusses on improving its financial performance and revising its reinsurance structure, where 40 per cent of the insurance business is ceded to reinsurers with catastrophe cover of R10 billion</w:t>
      </w:r>
      <w:r w:rsidR="0077412C" w:rsidRPr="00F83FD1">
        <w:rPr>
          <w:rFonts w:ascii="Times New Roman" w:hAnsi="Times New Roman" w:cs="Times New Roman"/>
          <w:sz w:val="24"/>
          <w:szCs w:val="24"/>
        </w:rPr>
        <w:t xml:space="preserve"> in years 1 and 2</w:t>
      </w:r>
      <w:r w:rsidRPr="00F83FD1">
        <w:rPr>
          <w:rFonts w:ascii="Times New Roman" w:hAnsi="Times New Roman" w:cs="Times New Roman"/>
          <w:sz w:val="24"/>
          <w:szCs w:val="24"/>
        </w:rPr>
        <w:t>.</w:t>
      </w:r>
    </w:p>
    <w:p w:rsidR="0077412C" w:rsidRPr="00F83FD1" w:rsidRDefault="0077412C" w:rsidP="009C6C4A">
      <w:pPr>
        <w:pStyle w:val="ListParagraph"/>
        <w:numPr>
          <w:ilvl w:val="1"/>
          <w:numId w:val="1"/>
        </w:numPr>
        <w:spacing w:line="480" w:lineRule="auto"/>
        <w:jc w:val="both"/>
        <w:rPr>
          <w:rFonts w:ascii="Times New Roman" w:hAnsi="Times New Roman" w:cs="Times New Roman"/>
          <w:sz w:val="24"/>
          <w:szCs w:val="24"/>
        </w:rPr>
      </w:pPr>
      <w:r w:rsidRPr="00F83FD1">
        <w:rPr>
          <w:rFonts w:ascii="Times New Roman" w:hAnsi="Times New Roman" w:cs="Times New Roman"/>
          <w:sz w:val="24"/>
          <w:szCs w:val="24"/>
        </w:rPr>
        <w:t xml:space="preserve">The expenditure of SASRIA is expected to decrease to an average annual rate of 43.2 per cent, from R27 billion in 2021/22 to R5 billion in 2024/25. This is </w:t>
      </w:r>
      <w:proofErr w:type="spellStart"/>
      <w:r w:rsidRPr="00F83FD1">
        <w:rPr>
          <w:rFonts w:ascii="Times New Roman" w:hAnsi="Times New Roman" w:cs="Times New Roman"/>
          <w:sz w:val="24"/>
          <w:szCs w:val="24"/>
        </w:rPr>
        <w:t>manily</w:t>
      </w:r>
      <w:proofErr w:type="spellEnd"/>
      <w:r w:rsidRPr="00F83FD1">
        <w:rPr>
          <w:rFonts w:ascii="Times New Roman" w:hAnsi="Times New Roman" w:cs="Times New Roman"/>
          <w:sz w:val="24"/>
          <w:szCs w:val="24"/>
        </w:rPr>
        <w:t xml:space="preserve"> due to additional funding of R14.9 billion from government in 2021/22 to assist the association in covering the cost of claims related to the 2021 July unrest. </w:t>
      </w:r>
    </w:p>
    <w:p w:rsidR="00CE32BC" w:rsidRPr="00F83FD1" w:rsidRDefault="00071F51" w:rsidP="00CE32BC">
      <w:pPr>
        <w:pStyle w:val="ListParagraph"/>
        <w:numPr>
          <w:ilvl w:val="1"/>
          <w:numId w:val="1"/>
        </w:numPr>
        <w:spacing w:line="480" w:lineRule="auto"/>
        <w:jc w:val="both"/>
        <w:rPr>
          <w:rFonts w:ascii="Times New Roman" w:hAnsi="Times New Roman" w:cs="Times New Roman"/>
          <w:sz w:val="24"/>
          <w:szCs w:val="24"/>
        </w:rPr>
      </w:pPr>
      <w:r w:rsidRPr="00F83FD1">
        <w:rPr>
          <w:rFonts w:ascii="Times New Roman" w:hAnsi="Times New Roman" w:cs="Times New Roman"/>
          <w:sz w:val="24"/>
          <w:szCs w:val="24"/>
        </w:rPr>
        <w:t xml:space="preserve">SASRIA expects to derive 95.7 per cent (R18 billion) of its revenue over the MTEF period from client premiums, with overall </w:t>
      </w:r>
      <w:r w:rsidR="00422BD0" w:rsidRPr="00F83FD1">
        <w:rPr>
          <w:rFonts w:ascii="Times New Roman" w:hAnsi="Times New Roman" w:cs="Times New Roman"/>
          <w:sz w:val="24"/>
          <w:szCs w:val="24"/>
        </w:rPr>
        <w:t>revenue</w:t>
      </w:r>
      <w:r w:rsidRPr="00F83FD1">
        <w:rPr>
          <w:rFonts w:ascii="Times New Roman" w:hAnsi="Times New Roman" w:cs="Times New Roman"/>
          <w:sz w:val="24"/>
          <w:szCs w:val="24"/>
        </w:rPr>
        <w:t xml:space="preserve"> increasing at the average annual rate of 8.1 per cent. </w:t>
      </w:r>
    </w:p>
    <w:p w:rsidR="00F83FD1" w:rsidRPr="00F83FD1" w:rsidRDefault="00CE32BC" w:rsidP="00F83FD1">
      <w:pPr>
        <w:pStyle w:val="ListParagraph"/>
        <w:numPr>
          <w:ilvl w:val="1"/>
          <w:numId w:val="1"/>
        </w:numPr>
        <w:spacing w:line="480" w:lineRule="auto"/>
        <w:jc w:val="both"/>
        <w:rPr>
          <w:rFonts w:ascii="Times New Roman" w:hAnsi="Times New Roman" w:cs="Times New Roman"/>
          <w:sz w:val="24"/>
          <w:szCs w:val="24"/>
        </w:rPr>
      </w:pPr>
      <w:r w:rsidRPr="00F83FD1">
        <w:rPr>
          <w:rFonts w:ascii="Times New Roman" w:hAnsi="Times New Roman" w:cs="Times New Roman"/>
          <w:sz w:val="24"/>
          <w:szCs w:val="24"/>
        </w:rPr>
        <w:lastRenderedPageBreak/>
        <w:t>SASRIA incurred claims amounting to R37.14b as at 19 April 2022 as a result of the 2021 July unrests which affected KwaZulu-Natal and parts of Gauteng. R22.52b have already been settled, representing a total of 8 853 claims. R14.62b, representing a total of just over 17 000 claims, remain</w:t>
      </w:r>
      <w:r w:rsidR="00F83FD1">
        <w:rPr>
          <w:rFonts w:ascii="Times New Roman" w:hAnsi="Times New Roman" w:cs="Times New Roman"/>
          <w:sz w:val="24"/>
          <w:szCs w:val="24"/>
        </w:rPr>
        <w:t>s</w:t>
      </w:r>
      <w:r w:rsidRPr="00F83FD1">
        <w:rPr>
          <w:rFonts w:ascii="Times New Roman" w:hAnsi="Times New Roman" w:cs="Times New Roman"/>
          <w:sz w:val="24"/>
          <w:szCs w:val="24"/>
        </w:rPr>
        <w:t xml:space="preserve"> outstanding.</w:t>
      </w:r>
    </w:p>
    <w:p w:rsidR="00F83FD1" w:rsidRPr="00F83FD1" w:rsidRDefault="00CE32BC" w:rsidP="00F83FD1">
      <w:pPr>
        <w:pStyle w:val="ListParagraph"/>
        <w:numPr>
          <w:ilvl w:val="1"/>
          <w:numId w:val="1"/>
        </w:numPr>
        <w:spacing w:line="480" w:lineRule="auto"/>
        <w:jc w:val="both"/>
        <w:rPr>
          <w:rFonts w:ascii="Times New Roman" w:hAnsi="Times New Roman" w:cs="Times New Roman"/>
          <w:sz w:val="24"/>
          <w:szCs w:val="24"/>
        </w:rPr>
      </w:pPr>
      <w:r w:rsidRPr="00F83FD1">
        <w:rPr>
          <w:rFonts w:ascii="Times New Roman" w:hAnsi="Times New Roman" w:cs="Times New Roman"/>
          <w:sz w:val="24"/>
          <w:szCs w:val="24"/>
        </w:rPr>
        <w:t>In terms of liquidity, the cash injection from National Treasury in January and increase in premium flows ensured that there is no immediate liquidity challenge. The financial sustainability projections indicate that the business will be profitable by the 2022/23 financial year.</w:t>
      </w:r>
    </w:p>
    <w:p w:rsidR="00F83FD1" w:rsidRPr="00F83FD1" w:rsidRDefault="00CE32BC" w:rsidP="00F83FD1">
      <w:pPr>
        <w:pStyle w:val="ListParagraph"/>
        <w:numPr>
          <w:ilvl w:val="1"/>
          <w:numId w:val="1"/>
        </w:numPr>
        <w:spacing w:line="480" w:lineRule="auto"/>
        <w:jc w:val="both"/>
        <w:rPr>
          <w:rFonts w:ascii="Times New Roman" w:hAnsi="Times New Roman" w:cs="Times New Roman"/>
          <w:sz w:val="24"/>
          <w:szCs w:val="24"/>
        </w:rPr>
      </w:pPr>
      <w:r w:rsidRPr="00F83FD1">
        <w:rPr>
          <w:rFonts w:ascii="Times New Roman" w:hAnsi="Times New Roman" w:cs="Times New Roman"/>
          <w:sz w:val="24"/>
          <w:szCs w:val="24"/>
        </w:rPr>
        <w:t>Sustainability concerns remain, and if any event the magnitude of the July unrest was to happen; SASRIA cautioned that it would not survive as a business. The stakeholder management component developed a media strategy that is yielding positive results. SASRIA maintains it has good relationships with all its stakeholders which include clients, brokers, National Treasury and the regulators.</w:t>
      </w:r>
    </w:p>
    <w:p w:rsidR="00CE32BC" w:rsidRPr="00F83FD1" w:rsidRDefault="00CE32BC" w:rsidP="00F83FD1">
      <w:pPr>
        <w:pStyle w:val="ListParagraph"/>
        <w:numPr>
          <w:ilvl w:val="1"/>
          <w:numId w:val="1"/>
        </w:numPr>
        <w:spacing w:line="480" w:lineRule="auto"/>
        <w:jc w:val="both"/>
        <w:rPr>
          <w:rFonts w:ascii="Times New Roman" w:hAnsi="Times New Roman" w:cs="Times New Roman"/>
          <w:sz w:val="24"/>
          <w:szCs w:val="24"/>
        </w:rPr>
      </w:pPr>
      <w:r w:rsidRPr="00F83FD1">
        <w:rPr>
          <w:rFonts w:ascii="Times New Roman" w:hAnsi="Times New Roman" w:cs="Times New Roman"/>
          <w:sz w:val="24"/>
          <w:szCs w:val="24"/>
        </w:rPr>
        <w:t>SASRIA will seek to implement risk mitigation initiatives as well as new underwriting initiatives. A new re-insurance structure was implemented in August 2021, new rates implemented in February 2022, and a new MOI was approved by the Minister of Finance and awaiting Prudential Authority approval.</w:t>
      </w:r>
    </w:p>
    <w:p w:rsidR="00CE32BC" w:rsidRDefault="00CE32BC" w:rsidP="00F83FD1">
      <w:pPr>
        <w:pStyle w:val="ListParagraph"/>
        <w:spacing w:line="480" w:lineRule="auto"/>
        <w:ind w:left="360"/>
        <w:jc w:val="both"/>
        <w:rPr>
          <w:rFonts w:ascii="Times New Roman" w:hAnsi="Times New Roman" w:cs="Times New Roman"/>
          <w:sz w:val="24"/>
          <w:szCs w:val="24"/>
        </w:rPr>
      </w:pPr>
    </w:p>
    <w:p w:rsidR="00422BD0" w:rsidRPr="00C408C8" w:rsidRDefault="00422BD0" w:rsidP="00422BD0">
      <w:pPr>
        <w:spacing w:line="480" w:lineRule="auto"/>
        <w:jc w:val="both"/>
        <w:rPr>
          <w:rFonts w:ascii="Times New Roman" w:hAnsi="Times New Roman"/>
          <w:b/>
        </w:rPr>
      </w:pPr>
      <w:r w:rsidRPr="00C408C8">
        <w:rPr>
          <w:rFonts w:ascii="Times New Roman" w:hAnsi="Times New Roman"/>
          <w:b/>
        </w:rPr>
        <w:t>LAND AND AGRICULTURAL DEVELOPMENT BANK OF SOUTH AFRICA (LAND BANK)</w:t>
      </w:r>
    </w:p>
    <w:p w:rsidR="00422BD0" w:rsidRDefault="00422BD0" w:rsidP="00422BD0">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The Land Bank is a development finance institution mandated to address agricultural and rural development in South Africa. It receives its mandate from the Land and Agricultural Development Bank Act of 2002</w:t>
      </w:r>
      <w:r w:rsidR="00111C88">
        <w:rPr>
          <w:rFonts w:ascii="Times New Roman" w:hAnsi="Times New Roman" w:cs="Times New Roman"/>
          <w:sz w:val="24"/>
          <w:szCs w:val="24"/>
        </w:rPr>
        <w:t xml:space="preserve"> and is regulated by the Public Finance Management Act</w:t>
      </w:r>
      <w:r>
        <w:rPr>
          <w:rFonts w:ascii="Times New Roman" w:hAnsi="Times New Roman" w:cs="Times New Roman"/>
          <w:sz w:val="24"/>
          <w:szCs w:val="24"/>
        </w:rPr>
        <w:t xml:space="preserve">. It is expected to play a pivotal role in advancing agriculture and rural development. </w:t>
      </w:r>
    </w:p>
    <w:p w:rsidR="00F83FD1" w:rsidRDefault="00F83FD1" w:rsidP="00422BD0">
      <w:pPr>
        <w:pStyle w:val="ListParagraph"/>
        <w:numPr>
          <w:ilvl w:val="1"/>
          <w:numId w:val="1"/>
        </w:numPr>
        <w:spacing w:line="480" w:lineRule="auto"/>
        <w:jc w:val="both"/>
        <w:rPr>
          <w:rFonts w:ascii="Times New Roman" w:hAnsi="Times New Roman" w:cs="Times New Roman"/>
          <w:sz w:val="24"/>
          <w:szCs w:val="24"/>
        </w:rPr>
      </w:pPr>
      <w:r w:rsidRPr="00F83FD1">
        <w:rPr>
          <w:rFonts w:ascii="Times New Roman" w:hAnsi="Times New Roman" w:cs="Times New Roman"/>
          <w:sz w:val="24"/>
          <w:szCs w:val="24"/>
        </w:rPr>
        <w:lastRenderedPageBreak/>
        <w:t>The Land Bank has been experiencing liquidity and funding challenges, which resulted in a default on its debt. It has not yet finalised the liability solution to address the liquidity challenges and this posed significant uncertainty regarding its going concern status. The Auditor-General recommended that oversight and monitoring be strengthened to ensure that the turnaround strategies of the Land Bank are implemented and the liability solution is finalised in order to mitigate the related financial and economic risks associated with the Land Bank.</w:t>
      </w:r>
    </w:p>
    <w:p w:rsidR="00111C88" w:rsidRDefault="00111C88" w:rsidP="00225098">
      <w:pPr>
        <w:pStyle w:val="ListParagraph"/>
        <w:numPr>
          <w:ilvl w:val="1"/>
          <w:numId w:val="1"/>
        </w:numPr>
        <w:spacing w:line="480" w:lineRule="auto"/>
        <w:jc w:val="both"/>
        <w:rPr>
          <w:rFonts w:ascii="Times New Roman" w:hAnsi="Times New Roman" w:cs="Times New Roman"/>
          <w:sz w:val="24"/>
          <w:szCs w:val="24"/>
        </w:rPr>
      </w:pPr>
      <w:r w:rsidRPr="00111C88">
        <w:rPr>
          <w:rFonts w:ascii="Times New Roman" w:hAnsi="Times New Roman" w:cs="Times New Roman"/>
          <w:sz w:val="24"/>
          <w:szCs w:val="24"/>
        </w:rPr>
        <w:t xml:space="preserve">Land Bank’s expenditure is expected to decrease at an average annual rate of 22.3 per cent, from R3 billion in 2021/22 to R1.4 billion in 2024/25, due to average annual decreases in spending of 17.5 per cent on goods and services as part of the bank’s efforts to ensure greater cost efficiency, and 27.7 per cent on interest expenses. The decrease in interest is mainly driven by writing off some outstanding loans and </w:t>
      </w:r>
      <w:r>
        <w:rPr>
          <w:rFonts w:ascii="Times New Roman" w:hAnsi="Times New Roman" w:cs="Times New Roman"/>
          <w:sz w:val="24"/>
          <w:szCs w:val="24"/>
        </w:rPr>
        <w:t>the early settlement of others.</w:t>
      </w:r>
    </w:p>
    <w:p w:rsidR="009C6C4A" w:rsidRDefault="00111C88" w:rsidP="00225098">
      <w:pPr>
        <w:pStyle w:val="ListParagraph"/>
        <w:numPr>
          <w:ilvl w:val="1"/>
          <w:numId w:val="1"/>
        </w:numPr>
        <w:spacing w:line="480" w:lineRule="auto"/>
        <w:jc w:val="both"/>
        <w:rPr>
          <w:rFonts w:ascii="Times New Roman" w:hAnsi="Times New Roman" w:cs="Times New Roman"/>
          <w:sz w:val="24"/>
          <w:szCs w:val="24"/>
        </w:rPr>
      </w:pPr>
      <w:r w:rsidRPr="00111C88">
        <w:rPr>
          <w:rFonts w:ascii="Times New Roman" w:hAnsi="Times New Roman" w:cs="Times New Roman"/>
          <w:sz w:val="24"/>
          <w:szCs w:val="24"/>
        </w:rPr>
        <w:t>Land Bank’s spending on compensation of employees is expected to decrease at an average annual rate of 7.6 per cent, from R389.3 million in 2021/22 to R307.4 million in 2024/25, due to natural attrition. The bank is set to derive an estimated 96.4 per cent (R5.8 billion) of its revenue over the period ahead through interest income, decreasing at an average annual rate of 15.6 per cent, from R2.6 billion in 2021/22 to R1.5 billion in 2024/25, in line with the projected reduction in the loan book</w:t>
      </w:r>
      <w:r>
        <w:rPr>
          <w:rFonts w:ascii="Times New Roman" w:hAnsi="Times New Roman" w:cs="Times New Roman"/>
          <w:sz w:val="24"/>
          <w:szCs w:val="24"/>
        </w:rPr>
        <w:t>.</w:t>
      </w:r>
    </w:p>
    <w:p w:rsidR="004C0E5F" w:rsidRPr="004C0E5F" w:rsidRDefault="004C0E5F" w:rsidP="004C0E5F">
      <w:pPr>
        <w:pStyle w:val="ListParagraph"/>
        <w:numPr>
          <w:ilvl w:val="1"/>
          <w:numId w:val="1"/>
        </w:numPr>
        <w:spacing w:line="480" w:lineRule="auto"/>
        <w:jc w:val="both"/>
        <w:rPr>
          <w:rFonts w:ascii="Times New Roman" w:hAnsi="Times New Roman" w:cs="Times New Roman"/>
          <w:sz w:val="24"/>
          <w:szCs w:val="24"/>
          <w:lang w:val="en-US"/>
        </w:rPr>
      </w:pPr>
      <w:r w:rsidRPr="004C0E5F">
        <w:rPr>
          <w:rFonts w:ascii="Times New Roman" w:hAnsi="Times New Roman" w:cs="Times New Roman"/>
          <w:sz w:val="24"/>
          <w:szCs w:val="24"/>
          <w:lang w:val="en-US"/>
        </w:rPr>
        <w:t xml:space="preserve">In </w:t>
      </w:r>
      <w:r w:rsidRPr="004C0E5F">
        <w:rPr>
          <w:rFonts w:ascii="Times New Roman" w:hAnsi="Times New Roman" w:cs="Times New Roman"/>
          <w:sz w:val="24"/>
          <w:szCs w:val="24"/>
        </w:rPr>
        <w:t>April</w:t>
      </w:r>
      <w:r w:rsidRPr="004C0E5F">
        <w:rPr>
          <w:rFonts w:ascii="Times New Roman" w:hAnsi="Times New Roman" w:cs="Times New Roman"/>
          <w:sz w:val="24"/>
          <w:szCs w:val="24"/>
          <w:lang w:val="en-US"/>
        </w:rPr>
        <w:t xml:space="preserve"> 2020, the Land Bank defaulted on certain payment obligations and this triggered a cross default on substantially all of the Bank’s borrowings. The Bank suspended the payment of interest and capital across all of its facilities. Since the default the Bank has been in a </w:t>
      </w:r>
      <w:r w:rsidRPr="004C0E5F">
        <w:rPr>
          <w:rFonts w:ascii="Times New Roman" w:hAnsi="Times New Roman" w:cs="Times New Roman"/>
          <w:bCs/>
          <w:i/>
          <w:iCs/>
          <w:sz w:val="24"/>
          <w:szCs w:val="24"/>
          <w:lang w:val="en-US"/>
        </w:rPr>
        <w:t xml:space="preserve">de facto </w:t>
      </w:r>
      <w:r w:rsidRPr="004C0E5F">
        <w:rPr>
          <w:rFonts w:ascii="Times New Roman" w:hAnsi="Times New Roman" w:cs="Times New Roman"/>
          <w:bCs/>
          <w:sz w:val="24"/>
          <w:szCs w:val="24"/>
          <w:lang w:val="en-US"/>
        </w:rPr>
        <w:t xml:space="preserve">standstill </w:t>
      </w:r>
      <w:r w:rsidRPr="004C0E5F">
        <w:rPr>
          <w:rFonts w:ascii="Times New Roman" w:hAnsi="Times New Roman" w:cs="Times New Roman"/>
          <w:sz w:val="24"/>
          <w:szCs w:val="24"/>
          <w:lang w:val="en-US"/>
        </w:rPr>
        <w:t xml:space="preserve">with all its lenders (except for one lender who has since been settled). All lenders have not called on the Bank to settle its debts and have thus far ensured that the Bank does not have to liquidate its assets to settle them. The Bank has continued to service interest payments and has been able to reduce debt by 28% since default. In May </w:t>
      </w:r>
      <w:r w:rsidRPr="004C0E5F">
        <w:rPr>
          <w:rFonts w:ascii="Times New Roman" w:hAnsi="Times New Roman" w:cs="Times New Roman"/>
          <w:sz w:val="24"/>
          <w:szCs w:val="24"/>
          <w:lang w:val="en-US"/>
        </w:rPr>
        <w:lastRenderedPageBreak/>
        <w:t>2020, the Bank appointed a Corporate Finance Advisor to design and implement a Liability Solution and cure the event of default. Three versions of the Liability Solution have been considered since then.</w:t>
      </w:r>
    </w:p>
    <w:p w:rsidR="004C0E5F" w:rsidRPr="004C0E5F" w:rsidRDefault="004C0E5F" w:rsidP="004C0E5F">
      <w:pPr>
        <w:pStyle w:val="ListParagraph"/>
        <w:numPr>
          <w:ilvl w:val="1"/>
          <w:numId w:val="1"/>
        </w:numPr>
        <w:spacing w:line="480" w:lineRule="auto"/>
        <w:jc w:val="both"/>
        <w:rPr>
          <w:rFonts w:ascii="Times New Roman" w:hAnsi="Times New Roman" w:cs="Times New Roman"/>
          <w:sz w:val="24"/>
          <w:szCs w:val="24"/>
          <w:lang w:val="en-US"/>
        </w:rPr>
      </w:pPr>
      <w:r w:rsidRPr="004C0E5F">
        <w:rPr>
          <w:rFonts w:ascii="Times New Roman" w:hAnsi="Times New Roman" w:cs="Times New Roman"/>
          <w:sz w:val="24"/>
          <w:szCs w:val="24"/>
          <w:lang w:val="en-US"/>
        </w:rPr>
        <w:t xml:space="preserve">In June 2020, R3b equity injection by the State was announced and received in September 2020. This was intended to provide a degree of financial stability to the Land Bank in order to be able to sustain its disbursements to existing customers and resume the payment of interest to Lenders. In August 2020 the Bank paid arrear interest and resumed normal interest payments. A request for </w:t>
      </w:r>
      <w:proofErr w:type="spellStart"/>
      <w:r w:rsidRPr="004C0E5F">
        <w:rPr>
          <w:rFonts w:ascii="Times New Roman" w:hAnsi="Times New Roman" w:cs="Times New Roman"/>
          <w:sz w:val="24"/>
          <w:szCs w:val="24"/>
          <w:lang w:val="en-US"/>
        </w:rPr>
        <w:t>recapitalisation</w:t>
      </w:r>
      <w:proofErr w:type="spellEnd"/>
      <w:r w:rsidRPr="004C0E5F">
        <w:rPr>
          <w:rFonts w:ascii="Times New Roman" w:hAnsi="Times New Roman" w:cs="Times New Roman"/>
          <w:sz w:val="24"/>
          <w:szCs w:val="24"/>
          <w:lang w:val="en-US"/>
        </w:rPr>
        <w:t xml:space="preserve"> of the Land Bank was submitted into the Medium Term Budget process, and a R7b recapitalization was subsequently announced. </w:t>
      </w:r>
    </w:p>
    <w:p w:rsidR="004C0E5F" w:rsidRPr="004C0E5F" w:rsidRDefault="004C0E5F" w:rsidP="004C0E5F">
      <w:pPr>
        <w:pStyle w:val="ListParagraph"/>
        <w:numPr>
          <w:ilvl w:val="1"/>
          <w:numId w:val="1"/>
        </w:numPr>
        <w:spacing w:line="480" w:lineRule="auto"/>
        <w:jc w:val="both"/>
        <w:rPr>
          <w:rFonts w:ascii="Times New Roman" w:hAnsi="Times New Roman" w:cs="Times New Roman"/>
          <w:sz w:val="24"/>
          <w:szCs w:val="24"/>
          <w:lang w:val="en-US"/>
        </w:rPr>
      </w:pPr>
      <w:r w:rsidRPr="004C0E5F">
        <w:rPr>
          <w:rFonts w:ascii="Times New Roman" w:hAnsi="Times New Roman" w:cs="Times New Roman"/>
          <w:sz w:val="24"/>
          <w:szCs w:val="24"/>
          <w:lang w:val="en-US"/>
        </w:rPr>
        <w:t xml:space="preserve">Since the inception of the event of default situation in April 2020, the Land Bank has worked to restore and catch up all interest due on all funding and in addition has made the following three capital reduction payments to the South African lenders: February 2021:  12% (R4.9 billion) of capital outstanding; June 2021:  10% (R3.4 billion) of the then capital outstanding, and October 2021:  10% (R3.1 billion) of the then capital outstanding. Although this adds up to 32% it represents a 28.7% (R11.4 billion) reduction of the original amount outstanding to South African lenders. </w:t>
      </w:r>
    </w:p>
    <w:p w:rsidR="004C0E5F" w:rsidRPr="004C0E5F" w:rsidRDefault="004C0E5F" w:rsidP="004C0E5F">
      <w:pPr>
        <w:pStyle w:val="ListParagraph"/>
        <w:numPr>
          <w:ilvl w:val="1"/>
          <w:numId w:val="1"/>
        </w:numPr>
        <w:spacing w:line="480" w:lineRule="auto"/>
        <w:jc w:val="both"/>
        <w:rPr>
          <w:rFonts w:ascii="Times New Roman" w:hAnsi="Times New Roman" w:cs="Times New Roman"/>
          <w:sz w:val="24"/>
          <w:szCs w:val="24"/>
          <w:lang w:val="en-US"/>
        </w:rPr>
      </w:pPr>
      <w:r w:rsidRPr="004C0E5F">
        <w:rPr>
          <w:rFonts w:ascii="Times New Roman" w:hAnsi="Times New Roman" w:cs="Times New Roman"/>
          <w:sz w:val="24"/>
          <w:szCs w:val="24"/>
          <w:lang w:val="en-GB"/>
        </w:rPr>
        <w:t xml:space="preserve">The newly appointed Land Bank Board convened a workshop with all the local lenders, on 09 February 2022, to consider all the burning issues raised by the lenders about the proposed Liability Solution. </w:t>
      </w:r>
      <w:r w:rsidRPr="004C0E5F">
        <w:rPr>
          <w:rFonts w:ascii="Times New Roman" w:hAnsi="Times New Roman" w:cs="Times New Roman"/>
          <w:sz w:val="24"/>
          <w:szCs w:val="24"/>
          <w:lang w:val="en-US"/>
        </w:rPr>
        <w:t xml:space="preserve">The Lenders have requested </w:t>
      </w:r>
      <w:r w:rsidRPr="004C0E5F">
        <w:rPr>
          <w:rFonts w:ascii="Times New Roman" w:hAnsi="Times New Roman" w:cs="Times New Roman"/>
          <w:sz w:val="24"/>
          <w:szCs w:val="24"/>
          <w:lang w:val="en-GB"/>
        </w:rPr>
        <w:t xml:space="preserve">for reasonable time to work through the proposals, and have provided an indicative date of 30 September 2022 as a realistic time to finalise an acceptable Liability Solution. </w:t>
      </w:r>
      <w:r w:rsidRPr="004C0E5F">
        <w:rPr>
          <w:rFonts w:ascii="Times New Roman" w:hAnsi="Times New Roman" w:cs="Times New Roman"/>
          <w:sz w:val="24"/>
          <w:szCs w:val="24"/>
          <w:lang w:val="en-US"/>
        </w:rPr>
        <w:t xml:space="preserve">In the meantime, the Board has obtained the in principle support of the lenders to resume lending activities by setting aside R500m of its cash resources to originate a new portfolio of development clients, whilst </w:t>
      </w:r>
      <w:r w:rsidRPr="004C0E5F">
        <w:rPr>
          <w:rFonts w:ascii="Times New Roman" w:hAnsi="Times New Roman" w:cs="Times New Roman"/>
          <w:sz w:val="24"/>
          <w:szCs w:val="24"/>
          <w:lang w:val="en-US"/>
        </w:rPr>
        <w:lastRenderedPageBreak/>
        <w:t xml:space="preserve">continuing to support existing clients with their production and seasonal loan financing requirements. </w:t>
      </w:r>
    </w:p>
    <w:p w:rsidR="004C0E5F" w:rsidRPr="004C0E5F" w:rsidRDefault="004C0E5F" w:rsidP="004C0E5F">
      <w:pPr>
        <w:pStyle w:val="ListParagraph"/>
        <w:numPr>
          <w:ilvl w:val="1"/>
          <w:numId w:val="1"/>
        </w:numPr>
        <w:spacing w:line="480" w:lineRule="auto"/>
        <w:jc w:val="both"/>
        <w:rPr>
          <w:rFonts w:ascii="Times New Roman" w:hAnsi="Times New Roman" w:cs="Times New Roman"/>
          <w:sz w:val="24"/>
          <w:szCs w:val="24"/>
          <w:lang w:val="en-US"/>
        </w:rPr>
      </w:pPr>
      <w:r w:rsidRPr="004C0E5F">
        <w:rPr>
          <w:rFonts w:ascii="Times New Roman" w:hAnsi="Times New Roman" w:cs="Times New Roman"/>
          <w:sz w:val="24"/>
          <w:szCs w:val="24"/>
        </w:rPr>
        <w:t>Liquidity challenges at the Land Bank continues to hamper its support for the sector. The default status has disabled the Land Bank from sourcing new funding, thus restricting it from fully supporting the loan requirements of its clients. Since the default, the Bank has been reliant on collections of instalments / repayments it receives from its clients to service interest and partial capital redemption of its debts, as well as to cover its operating cost commitments.</w:t>
      </w:r>
    </w:p>
    <w:p w:rsidR="004C0E5F" w:rsidRDefault="004C0E5F" w:rsidP="004C0E5F">
      <w:pPr>
        <w:pStyle w:val="ListParagraph"/>
        <w:numPr>
          <w:ilvl w:val="1"/>
          <w:numId w:val="1"/>
        </w:numPr>
        <w:spacing w:line="480" w:lineRule="auto"/>
        <w:jc w:val="both"/>
        <w:rPr>
          <w:rFonts w:ascii="Times New Roman" w:hAnsi="Times New Roman" w:cs="Times New Roman"/>
          <w:sz w:val="24"/>
          <w:szCs w:val="24"/>
        </w:rPr>
      </w:pPr>
      <w:r w:rsidRPr="004C0E5F">
        <w:rPr>
          <w:rFonts w:ascii="Times New Roman" w:hAnsi="Times New Roman" w:cs="Times New Roman"/>
          <w:sz w:val="24"/>
          <w:szCs w:val="24"/>
          <w:lang w:val="en-GB"/>
        </w:rPr>
        <w:t>The Land Bank cannot fully commence with its developmental and transformation initiatives if it is not cured from the default, and get its funding structure resolved for a financially sustainable business model. Work is in progress between the Land Bank, lenders and the shareholder to develop a liability solution that will be acceptable to all stakeholders in order to cure the Bank’s default. The solution will take cognisance of the c</w:t>
      </w:r>
      <w:proofErr w:type="spellStart"/>
      <w:r w:rsidRPr="004C0E5F">
        <w:rPr>
          <w:rFonts w:ascii="Times New Roman" w:hAnsi="Times New Roman" w:cs="Times New Roman"/>
          <w:sz w:val="24"/>
          <w:szCs w:val="24"/>
        </w:rPr>
        <w:t>onditions</w:t>
      </w:r>
      <w:proofErr w:type="spellEnd"/>
      <w:r w:rsidRPr="004C0E5F">
        <w:rPr>
          <w:rFonts w:ascii="Times New Roman" w:hAnsi="Times New Roman" w:cs="Times New Roman"/>
          <w:sz w:val="24"/>
          <w:szCs w:val="24"/>
        </w:rPr>
        <w:t xml:space="preserve"> of the capital injection that were outlined by the Minister of Finance following the appropriation of </w:t>
      </w:r>
      <w:r w:rsidRPr="004C0E5F">
        <w:rPr>
          <w:rFonts w:ascii="Times New Roman" w:hAnsi="Times New Roman" w:cs="Times New Roman"/>
          <w:sz w:val="24"/>
          <w:szCs w:val="24"/>
          <w:lang w:val="en-GB"/>
        </w:rPr>
        <w:t>R7bn of equity injection by Parliament</w:t>
      </w:r>
      <w:r w:rsidRPr="004C0E5F">
        <w:rPr>
          <w:rFonts w:ascii="Times New Roman" w:hAnsi="Times New Roman" w:cs="Times New Roman"/>
          <w:sz w:val="24"/>
          <w:szCs w:val="24"/>
        </w:rPr>
        <w:t>.</w:t>
      </w:r>
    </w:p>
    <w:p w:rsidR="004C0E5F" w:rsidRDefault="004C0E5F" w:rsidP="004C0E5F">
      <w:pPr>
        <w:pStyle w:val="ListParagraph"/>
        <w:spacing w:line="480" w:lineRule="auto"/>
        <w:ind w:left="360"/>
        <w:jc w:val="both"/>
        <w:rPr>
          <w:rFonts w:ascii="Times New Roman" w:hAnsi="Times New Roman" w:cs="Times New Roman"/>
          <w:sz w:val="24"/>
          <w:szCs w:val="24"/>
        </w:rPr>
      </w:pPr>
    </w:p>
    <w:p w:rsidR="004C0E5F" w:rsidRPr="00C408C8" w:rsidRDefault="004C0E5F" w:rsidP="004C0E5F">
      <w:pPr>
        <w:spacing w:line="480" w:lineRule="auto"/>
        <w:jc w:val="both"/>
        <w:rPr>
          <w:rFonts w:ascii="Times New Roman" w:hAnsi="Times New Roman"/>
          <w:b/>
        </w:rPr>
      </w:pPr>
      <w:r w:rsidRPr="00C408C8">
        <w:rPr>
          <w:rFonts w:ascii="Times New Roman" w:hAnsi="Times New Roman"/>
          <w:b/>
        </w:rPr>
        <w:t>FINANCIAL AND FISCAL COMMISSION</w:t>
      </w:r>
    </w:p>
    <w:p w:rsidR="009C6C4A" w:rsidRPr="009520CC" w:rsidRDefault="009520CC" w:rsidP="009520CC">
      <w:pPr>
        <w:pStyle w:val="ListParagraph"/>
        <w:numPr>
          <w:ilvl w:val="1"/>
          <w:numId w:val="1"/>
        </w:numPr>
        <w:spacing w:line="480" w:lineRule="auto"/>
        <w:jc w:val="both"/>
        <w:rPr>
          <w:rFonts w:ascii="Times New Roman" w:hAnsi="Times New Roman" w:cs="Times New Roman"/>
          <w:sz w:val="24"/>
          <w:szCs w:val="24"/>
        </w:rPr>
      </w:pPr>
      <w:r w:rsidRPr="009520CC">
        <w:rPr>
          <w:rFonts w:ascii="Times New Roman" w:hAnsi="Times New Roman"/>
        </w:rPr>
        <w:t>FFC derives its mandate from the Financial and Fiscal Commission Act (1997),</w:t>
      </w:r>
      <w:r>
        <w:rPr>
          <w:rFonts w:ascii="Times New Roman" w:hAnsi="Times New Roman"/>
        </w:rPr>
        <w:t xml:space="preserve"> </w:t>
      </w:r>
      <w:r w:rsidRPr="009520CC">
        <w:rPr>
          <w:rFonts w:ascii="Times New Roman" w:hAnsi="Times New Roman"/>
        </w:rPr>
        <w:t>which requires the commission to advise relevant authorities on financial and fiscal requirements for national,</w:t>
      </w:r>
      <w:r>
        <w:rPr>
          <w:rFonts w:ascii="Times New Roman" w:hAnsi="Times New Roman"/>
        </w:rPr>
        <w:t xml:space="preserve"> </w:t>
      </w:r>
      <w:r w:rsidRPr="009520CC">
        <w:rPr>
          <w:rFonts w:ascii="Times New Roman" w:hAnsi="Times New Roman"/>
        </w:rPr>
        <w:t xml:space="preserve">provincial and local spheres of government in terms of section 220 of the Constitution. </w:t>
      </w:r>
      <w:r>
        <w:rPr>
          <w:rFonts w:ascii="Times New Roman" w:hAnsi="Times New Roman"/>
        </w:rPr>
        <w:t>It also derives its mandate from the following</w:t>
      </w:r>
      <w:r w:rsidRPr="009520CC">
        <w:rPr>
          <w:rFonts w:ascii="Times New Roman" w:hAnsi="Times New Roman"/>
        </w:rPr>
        <w:t xml:space="preserve">: </w:t>
      </w:r>
      <w:proofErr w:type="gramStart"/>
      <w:r w:rsidRPr="009520CC">
        <w:rPr>
          <w:rFonts w:ascii="Times New Roman" w:hAnsi="Times New Roman"/>
        </w:rPr>
        <w:t>the</w:t>
      </w:r>
      <w:proofErr w:type="gramEnd"/>
      <w:r w:rsidRPr="009520CC">
        <w:rPr>
          <w:rFonts w:ascii="Times New Roman" w:hAnsi="Times New Roman"/>
        </w:rPr>
        <w:t xml:space="preserve"> Borrowing Powers of Provincial Governments Act (1996), the</w:t>
      </w:r>
      <w:r>
        <w:rPr>
          <w:rFonts w:ascii="Times New Roman" w:hAnsi="Times New Roman"/>
        </w:rPr>
        <w:t xml:space="preserve"> </w:t>
      </w:r>
      <w:r w:rsidRPr="009520CC">
        <w:rPr>
          <w:rFonts w:ascii="Times New Roman" w:hAnsi="Times New Roman"/>
        </w:rPr>
        <w:t>Intergovernmental Fiscal Relations Act (1997), the Provincial Tax Regulation Process Act (2001), the Municipal</w:t>
      </w:r>
      <w:r>
        <w:rPr>
          <w:rFonts w:ascii="Times New Roman" w:hAnsi="Times New Roman"/>
        </w:rPr>
        <w:t xml:space="preserve"> </w:t>
      </w:r>
      <w:r w:rsidRPr="009520CC">
        <w:rPr>
          <w:rFonts w:ascii="Times New Roman" w:hAnsi="Times New Roman"/>
        </w:rPr>
        <w:t>Finance Management Act (2003), the Municipal Systems Amendment Act (2003), the Municipal Fiscal Powers</w:t>
      </w:r>
      <w:r>
        <w:rPr>
          <w:rFonts w:ascii="Times New Roman" w:hAnsi="Times New Roman"/>
        </w:rPr>
        <w:t xml:space="preserve"> </w:t>
      </w:r>
      <w:r w:rsidRPr="009520CC">
        <w:rPr>
          <w:rFonts w:ascii="Times New Roman" w:hAnsi="Times New Roman"/>
        </w:rPr>
        <w:t>and Functions Act (2007), and the Money Bills Amendment Procedure and Related Matters Act (2009).</w:t>
      </w:r>
    </w:p>
    <w:p w:rsidR="009915EA" w:rsidRDefault="00007316" w:rsidP="009915EA">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FFC receives a transfer, from NT’s </w:t>
      </w:r>
      <w:r w:rsidR="009915EA">
        <w:rPr>
          <w:rFonts w:ascii="Times New Roman" w:hAnsi="Times New Roman" w:cs="Times New Roman"/>
          <w:sz w:val="24"/>
          <w:szCs w:val="24"/>
        </w:rPr>
        <w:t>b</w:t>
      </w:r>
      <w:r>
        <w:rPr>
          <w:rFonts w:ascii="Times New Roman" w:hAnsi="Times New Roman" w:cs="Times New Roman"/>
          <w:sz w:val="24"/>
          <w:szCs w:val="24"/>
        </w:rPr>
        <w:t xml:space="preserve">udget </w:t>
      </w:r>
      <w:r w:rsidR="009915EA">
        <w:rPr>
          <w:rFonts w:ascii="Times New Roman" w:hAnsi="Times New Roman" w:cs="Times New Roman"/>
          <w:sz w:val="24"/>
          <w:szCs w:val="24"/>
        </w:rPr>
        <w:t>v</w:t>
      </w:r>
      <w:r>
        <w:rPr>
          <w:rFonts w:ascii="Times New Roman" w:hAnsi="Times New Roman" w:cs="Times New Roman"/>
          <w:sz w:val="24"/>
          <w:szCs w:val="24"/>
        </w:rPr>
        <w:t xml:space="preserve">ote. </w:t>
      </w:r>
      <w:r w:rsidR="00086D41" w:rsidRPr="00086D41">
        <w:rPr>
          <w:rFonts w:ascii="Times New Roman" w:hAnsi="Times New Roman" w:cs="Times New Roman"/>
          <w:sz w:val="24"/>
          <w:szCs w:val="24"/>
        </w:rPr>
        <w:t xml:space="preserve">FFC’s expenditure </w:t>
      </w:r>
      <w:r w:rsidR="009520CC" w:rsidRPr="00086D41">
        <w:rPr>
          <w:rFonts w:ascii="Times New Roman" w:hAnsi="Times New Roman" w:cs="Times New Roman"/>
          <w:sz w:val="24"/>
          <w:szCs w:val="24"/>
        </w:rPr>
        <w:t>is expected to increase at an average annual rate of 0.9 per cent, from R63.6 million in 2021/22 to</w:t>
      </w:r>
      <w:r w:rsidR="00086D41" w:rsidRPr="00086D41">
        <w:rPr>
          <w:rFonts w:ascii="Times New Roman" w:hAnsi="Times New Roman" w:cs="Times New Roman"/>
          <w:sz w:val="24"/>
          <w:szCs w:val="24"/>
        </w:rPr>
        <w:t xml:space="preserve"> </w:t>
      </w:r>
      <w:r w:rsidR="009520CC" w:rsidRPr="00086D41">
        <w:rPr>
          <w:rFonts w:ascii="Times New Roman" w:hAnsi="Times New Roman" w:cs="Times New Roman"/>
          <w:sz w:val="24"/>
          <w:szCs w:val="24"/>
        </w:rPr>
        <w:t xml:space="preserve">R65.4 million in 2024/25. </w:t>
      </w:r>
      <w:r>
        <w:rPr>
          <w:rFonts w:ascii="Times New Roman" w:hAnsi="Times New Roman" w:cs="Times New Roman"/>
          <w:sz w:val="24"/>
          <w:szCs w:val="24"/>
        </w:rPr>
        <w:t>The allocation is</w:t>
      </w:r>
      <w:r w:rsidR="00885381">
        <w:rPr>
          <w:rFonts w:ascii="Times New Roman" w:hAnsi="Times New Roman" w:cs="Times New Roman"/>
          <w:sz w:val="24"/>
          <w:szCs w:val="24"/>
        </w:rPr>
        <w:t xml:space="preserve"> </w:t>
      </w:r>
      <w:r w:rsidR="00AF422B">
        <w:rPr>
          <w:rFonts w:ascii="Times New Roman" w:hAnsi="Times New Roman" w:cs="Times New Roman"/>
          <w:sz w:val="24"/>
          <w:szCs w:val="24"/>
        </w:rPr>
        <w:t>R63.9</w:t>
      </w:r>
      <w:r w:rsidR="0041383E">
        <w:rPr>
          <w:rFonts w:ascii="Times New Roman" w:hAnsi="Times New Roman" w:cs="Times New Roman"/>
          <w:sz w:val="24"/>
          <w:szCs w:val="24"/>
        </w:rPr>
        <w:t xml:space="preserve"> million </w:t>
      </w:r>
      <w:r w:rsidR="009915EA">
        <w:rPr>
          <w:rFonts w:ascii="Times New Roman" w:hAnsi="Times New Roman" w:cs="Times New Roman"/>
          <w:sz w:val="24"/>
          <w:szCs w:val="24"/>
        </w:rPr>
        <w:t>for</w:t>
      </w:r>
      <w:r w:rsidR="0041383E">
        <w:rPr>
          <w:rFonts w:ascii="Times New Roman" w:hAnsi="Times New Roman" w:cs="Times New Roman"/>
          <w:sz w:val="24"/>
          <w:szCs w:val="24"/>
        </w:rPr>
        <w:t xml:space="preserve"> 2022/23.</w:t>
      </w:r>
      <w:r w:rsidR="00885381">
        <w:rPr>
          <w:rFonts w:ascii="Times New Roman" w:hAnsi="Times New Roman" w:cs="Times New Roman"/>
          <w:sz w:val="24"/>
          <w:szCs w:val="24"/>
        </w:rPr>
        <w:t xml:space="preserve"> </w:t>
      </w:r>
      <w:r>
        <w:rPr>
          <w:rFonts w:ascii="Times New Roman" w:hAnsi="Times New Roman" w:cs="Times New Roman"/>
          <w:sz w:val="24"/>
          <w:szCs w:val="24"/>
        </w:rPr>
        <w:t>FFC’s s</w:t>
      </w:r>
      <w:r w:rsidR="009520CC" w:rsidRPr="00086D41">
        <w:rPr>
          <w:rFonts w:ascii="Times New Roman" w:hAnsi="Times New Roman" w:cs="Times New Roman"/>
          <w:sz w:val="24"/>
          <w:szCs w:val="24"/>
        </w:rPr>
        <w:t xml:space="preserve">pending on compensation of employees is </w:t>
      </w:r>
      <w:r>
        <w:rPr>
          <w:rFonts w:ascii="Times New Roman" w:hAnsi="Times New Roman" w:cs="Times New Roman"/>
          <w:sz w:val="24"/>
          <w:szCs w:val="24"/>
        </w:rPr>
        <w:t>its</w:t>
      </w:r>
      <w:r w:rsidR="009520CC" w:rsidRPr="00086D41">
        <w:rPr>
          <w:rFonts w:ascii="Times New Roman" w:hAnsi="Times New Roman" w:cs="Times New Roman"/>
          <w:sz w:val="24"/>
          <w:szCs w:val="24"/>
        </w:rPr>
        <w:t xml:space="preserve"> main cost driver,</w:t>
      </w:r>
      <w:r w:rsidR="00086D41" w:rsidRPr="00086D41">
        <w:rPr>
          <w:rFonts w:ascii="Times New Roman" w:hAnsi="Times New Roman" w:cs="Times New Roman"/>
          <w:sz w:val="24"/>
          <w:szCs w:val="24"/>
        </w:rPr>
        <w:t xml:space="preserve"> </w:t>
      </w:r>
      <w:r w:rsidR="009520CC" w:rsidRPr="00086D41">
        <w:rPr>
          <w:rFonts w:ascii="Times New Roman" w:hAnsi="Times New Roman" w:cs="Times New Roman"/>
          <w:sz w:val="24"/>
          <w:szCs w:val="24"/>
        </w:rPr>
        <w:t>increasing at an average annual rate of 8.4 per cent, from R30 million in 2021/22 to R38.3 million in 2024/25,</w:t>
      </w:r>
      <w:r w:rsidR="00086D41" w:rsidRPr="00086D41">
        <w:rPr>
          <w:rFonts w:ascii="Times New Roman" w:hAnsi="Times New Roman" w:cs="Times New Roman"/>
          <w:sz w:val="24"/>
          <w:szCs w:val="24"/>
        </w:rPr>
        <w:t xml:space="preserve"> </w:t>
      </w:r>
      <w:r w:rsidR="009520CC" w:rsidRPr="00086D41">
        <w:rPr>
          <w:rFonts w:ascii="Times New Roman" w:hAnsi="Times New Roman" w:cs="Times New Roman"/>
          <w:sz w:val="24"/>
          <w:szCs w:val="24"/>
        </w:rPr>
        <w:t xml:space="preserve">due to a projected increase in personnel from 43 in 2021/22 to 48 over the medium term. </w:t>
      </w:r>
    </w:p>
    <w:p w:rsidR="001D74D0" w:rsidRDefault="009915EA" w:rsidP="001D74D0">
      <w:pPr>
        <w:pStyle w:val="ListParagraph"/>
        <w:numPr>
          <w:ilvl w:val="1"/>
          <w:numId w:val="1"/>
        </w:numPr>
        <w:spacing w:line="480" w:lineRule="auto"/>
        <w:jc w:val="both"/>
        <w:rPr>
          <w:rFonts w:ascii="Times New Roman" w:hAnsi="Times New Roman" w:cs="Times New Roman"/>
          <w:sz w:val="24"/>
          <w:szCs w:val="24"/>
        </w:rPr>
      </w:pPr>
      <w:r w:rsidRPr="009915EA">
        <w:rPr>
          <w:rFonts w:ascii="Times New Roman" w:hAnsi="Times New Roman" w:cs="Times New Roman"/>
          <w:sz w:val="24"/>
          <w:szCs w:val="24"/>
        </w:rPr>
        <w:t>FFC’s s</w:t>
      </w:r>
      <w:r w:rsidR="009520CC" w:rsidRPr="009915EA">
        <w:rPr>
          <w:rFonts w:ascii="Times New Roman" w:hAnsi="Times New Roman" w:cs="Times New Roman"/>
          <w:sz w:val="24"/>
          <w:szCs w:val="24"/>
        </w:rPr>
        <w:t>pending on goods</w:t>
      </w:r>
      <w:r w:rsidRPr="009915EA">
        <w:rPr>
          <w:rFonts w:ascii="Times New Roman" w:hAnsi="Times New Roman" w:cs="Times New Roman"/>
          <w:sz w:val="24"/>
          <w:szCs w:val="24"/>
        </w:rPr>
        <w:t xml:space="preserve"> </w:t>
      </w:r>
      <w:r w:rsidR="009520CC" w:rsidRPr="009915EA">
        <w:rPr>
          <w:rFonts w:ascii="Times New Roman" w:hAnsi="Times New Roman" w:cs="Times New Roman"/>
          <w:sz w:val="24"/>
          <w:szCs w:val="24"/>
        </w:rPr>
        <w:t>and services, the commission’s second‐largest cost driver, is set to decrease at an average annual rate of</w:t>
      </w:r>
      <w:r w:rsidR="00007316" w:rsidRPr="009915EA">
        <w:rPr>
          <w:rFonts w:ascii="Times New Roman" w:hAnsi="Times New Roman"/>
        </w:rPr>
        <w:t xml:space="preserve"> </w:t>
      </w:r>
      <w:r w:rsidR="009520CC" w:rsidRPr="009915EA">
        <w:rPr>
          <w:rFonts w:ascii="Times New Roman" w:hAnsi="Times New Roman" w:cs="Times New Roman"/>
          <w:sz w:val="24"/>
          <w:szCs w:val="24"/>
        </w:rPr>
        <w:t>7 per cent, from R33.2 million in 2021/22 to R26.7 million in 2024/25, due to cost‐cut</w:t>
      </w:r>
      <w:r w:rsidR="00007316" w:rsidRPr="009915EA">
        <w:rPr>
          <w:rFonts w:ascii="Times New Roman" w:hAnsi="Times New Roman"/>
        </w:rPr>
        <w:t xml:space="preserve">ting measures </w:t>
      </w:r>
      <w:r w:rsidR="009520CC" w:rsidRPr="009915EA">
        <w:rPr>
          <w:rFonts w:ascii="Times New Roman" w:hAnsi="Times New Roman" w:cs="Times New Roman"/>
          <w:sz w:val="24"/>
          <w:szCs w:val="24"/>
        </w:rPr>
        <w:t>implemented on administration and a reduction in t</w:t>
      </w:r>
      <w:r w:rsidR="00007316" w:rsidRPr="009915EA">
        <w:rPr>
          <w:rFonts w:ascii="Times New Roman" w:hAnsi="Times New Roman"/>
        </w:rPr>
        <w:t xml:space="preserve">he use of external researchers. </w:t>
      </w:r>
    </w:p>
    <w:p w:rsidR="001D74D0" w:rsidRPr="001D74D0" w:rsidRDefault="009520CC" w:rsidP="001D74D0">
      <w:pPr>
        <w:pStyle w:val="ListParagraph"/>
        <w:numPr>
          <w:ilvl w:val="1"/>
          <w:numId w:val="1"/>
        </w:numPr>
        <w:spacing w:line="480" w:lineRule="auto"/>
        <w:jc w:val="both"/>
        <w:rPr>
          <w:rFonts w:ascii="Times New Roman" w:hAnsi="Times New Roman" w:cs="Times New Roman"/>
          <w:sz w:val="24"/>
          <w:szCs w:val="24"/>
        </w:rPr>
      </w:pPr>
      <w:r w:rsidRPr="001D74D0">
        <w:rPr>
          <w:rFonts w:ascii="Times New Roman" w:hAnsi="Times New Roman" w:cs="Times New Roman"/>
          <w:sz w:val="24"/>
          <w:szCs w:val="24"/>
        </w:rPr>
        <w:t>The FFC is comprised of two programmes, namely the administration programme and the research programme</w:t>
      </w:r>
      <w:r w:rsidRPr="001D74D0">
        <w:rPr>
          <w:rFonts w:ascii="Times New Roman" w:hAnsi="Times New Roman" w:cs="Times New Roman"/>
          <w:sz w:val="24"/>
          <w:szCs w:val="24"/>
          <w:lang w:val="en-GB"/>
        </w:rPr>
        <w:t xml:space="preserve">. The proportion of the FFC’s total budget taken up by the Research Programme has decreased from 36.7% in 2018/19 to 16.2% in 2020/21 in the audited outcomes. Over the medium term, on average, 67.5% of the total expenditure is concentrated on Administration, which consists of Office of the Chairperson, Commissioners, CEO’s office, Finance and Corporate Services. Of the total staff complement of 37, there are 7 full-time researchers including the Head of Research, and 11 research interns. </w:t>
      </w:r>
    </w:p>
    <w:p w:rsidR="009520CC" w:rsidRPr="001D74D0" w:rsidRDefault="009520CC" w:rsidP="001D74D0">
      <w:pPr>
        <w:pStyle w:val="ListParagraph"/>
        <w:numPr>
          <w:ilvl w:val="1"/>
          <w:numId w:val="1"/>
        </w:numPr>
        <w:spacing w:line="480" w:lineRule="auto"/>
        <w:jc w:val="both"/>
        <w:rPr>
          <w:rFonts w:ascii="Times New Roman" w:hAnsi="Times New Roman" w:cs="Times New Roman"/>
          <w:sz w:val="24"/>
          <w:szCs w:val="24"/>
        </w:rPr>
      </w:pPr>
      <w:r w:rsidRPr="001D74D0">
        <w:rPr>
          <w:rFonts w:ascii="Times New Roman" w:hAnsi="Times New Roman" w:cs="Times New Roman"/>
          <w:sz w:val="24"/>
          <w:szCs w:val="24"/>
          <w:lang w:val="en-GB"/>
        </w:rPr>
        <w:t xml:space="preserve">Slower spending during the financial year has accumulated to an underspending of R11.5 million in the budget or accumulated surplus of R12.4 million for the financial year. The </w:t>
      </w:r>
      <w:r w:rsidR="001D74D0">
        <w:rPr>
          <w:rFonts w:ascii="Times New Roman" w:hAnsi="Times New Roman" w:cs="Times New Roman"/>
          <w:sz w:val="24"/>
          <w:szCs w:val="24"/>
          <w:lang w:val="en-GB"/>
        </w:rPr>
        <w:t>c</w:t>
      </w:r>
      <w:r w:rsidRPr="001D74D0">
        <w:rPr>
          <w:rFonts w:ascii="Times New Roman" w:hAnsi="Times New Roman" w:cs="Times New Roman"/>
          <w:sz w:val="24"/>
          <w:szCs w:val="24"/>
          <w:lang w:val="en-GB"/>
        </w:rPr>
        <w:t xml:space="preserve">ash balance at the end of the year amounts to R16.2 million. This is in spite of the return of prior year surplus to the </w:t>
      </w:r>
      <w:proofErr w:type="spellStart"/>
      <w:r w:rsidRPr="001D74D0">
        <w:rPr>
          <w:rFonts w:ascii="Times New Roman" w:hAnsi="Times New Roman" w:cs="Times New Roman"/>
          <w:sz w:val="24"/>
          <w:szCs w:val="24"/>
          <w:lang w:val="en-GB"/>
        </w:rPr>
        <w:t>fiscus</w:t>
      </w:r>
      <w:proofErr w:type="spellEnd"/>
      <w:r w:rsidRPr="001D74D0">
        <w:rPr>
          <w:rFonts w:ascii="Times New Roman" w:hAnsi="Times New Roman" w:cs="Times New Roman"/>
          <w:sz w:val="24"/>
          <w:szCs w:val="24"/>
          <w:lang w:val="en-GB"/>
        </w:rPr>
        <w:t xml:space="preserve"> of R19.7 million made during the year. </w:t>
      </w:r>
    </w:p>
    <w:p w:rsidR="009C6C4A" w:rsidRDefault="009C6C4A" w:rsidP="009C6C4A">
      <w:pPr>
        <w:pStyle w:val="ListParagraph"/>
        <w:spacing w:line="480" w:lineRule="auto"/>
        <w:ind w:left="360"/>
        <w:jc w:val="both"/>
        <w:rPr>
          <w:rFonts w:ascii="Times New Roman" w:hAnsi="Times New Roman" w:cs="Times New Roman"/>
          <w:b/>
          <w:sz w:val="24"/>
          <w:szCs w:val="24"/>
        </w:rPr>
      </w:pPr>
    </w:p>
    <w:p w:rsidR="0022288C" w:rsidRDefault="0022288C" w:rsidP="009C6C4A">
      <w:pPr>
        <w:pStyle w:val="ListParagraph"/>
        <w:spacing w:line="480" w:lineRule="auto"/>
        <w:ind w:left="360"/>
        <w:jc w:val="both"/>
        <w:rPr>
          <w:rFonts w:ascii="Times New Roman" w:hAnsi="Times New Roman" w:cs="Times New Roman"/>
          <w:b/>
          <w:sz w:val="24"/>
          <w:szCs w:val="24"/>
        </w:rPr>
      </w:pPr>
    </w:p>
    <w:p w:rsidR="0022288C" w:rsidRDefault="0022288C" w:rsidP="009C6C4A">
      <w:pPr>
        <w:pStyle w:val="ListParagraph"/>
        <w:spacing w:line="480" w:lineRule="auto"/>
        <w:ind w:left="360"/>
        <w:jc w:val="both"/>
        <w:rPr>
          <w:rFonts w:ascii="Times New Roman" w:hAnsi="Times New Roman" w:cs="Times New Roman"/>
          <w:b/>
          <w:sz w:val="24"/>
          <w:szCs w:val="24"/>
        </w:rPr>
      </w:pPr>
    </w:p>
    <w:p w:rsidR="009E67BD" w:rsidRPr="00E15450" w:rsidRDefault="009E67BD" w:rsidP="009E67BD">
      <w:pPr>
        <w:pStyle w:val="ListParagraph"/>
        <w:numPr>
          <w:ilvl w:val="0"/>
          <w:numId w:val="1"/>
        </w:numPr>
        <w:spacing w:line="480" w:lineRule="auto"/>
        <w:jc w:val="both"/>
        <w:rPr>
          <w:rFonts w:ascii="Times New Roman" w:hAnsi="Times New Roman" w:cs="Times New Roman"/>
          <w:b/>
          <w:sz w:val="24"/>
          <w:szCs w:val="24"/>
        </w:rPr>
      </w:pPr>
      <w:r w:rsidRPr="00E15450">
        <w:rPr>
          <w:rFonts w:ascii="Times New Roman" w:hAnsi="Times New Roman" w:cs="Times New Roman"/>
          <w:b/>
          <w:sz w:val="24"/>
          <w:szCs w:val="24"/>
        </w:rPr>
        <w:lastRenderedPageBreak/>
        <w:t>OBSERVATIONS AND RECOMMENDATIONS</w:t>
      </w:r>
    </w:p>
    <w:p w:rsidR="000036F3" w:rsidRPr="00627A99" w:rsidRDefault="009E67BD" w:rsidP="000036F3">
      <w:pPr>
        <w:pStyle w:val="ListParagraph"/>
        <w:numPr>
          <w:ilvl w:val="1"/>
          <w:numId w:val="1"/>
        </w:numPr>
        <w:spacing w:line="480" w:lineRule="auto"/>
        <w:jc w:val="both"/>
        <w:rPr>
          <w:rFonts w:ascii="Times New Roman" w:hAnsi="Times New Roman"/>
          <w:color w:val="000000" w:themeColor="text1"/>
        </w:rPr>
      </w:pPr>
      <w:r w:rsidRPr="005F1B9C">
        <w:rPr>
          <w:rFonts w:ascii="Times New Roman" w:hAnsi="Times New Roman" w:cs="Times New Roman"/>
          <w:sz w:val="24"/>
          <w:szCs w:val="24"/>
        </w:rPr>
        <w:t xml:space="preserve"> The Committee notes the annual performance plans of the NT and SARS and their key priorities </w:t>
      </w:r>
      <w:r w:rsidR="005F1B9C" w:rsidRPr="005F1B9C">
        <w:rPr>
          <w:rFonts w:ascii="Times New Roman" w:hAnsi="Times New Roman" w:cs="Times New Roman"/>
          <w:sz w:val="24"/>
          <w:szCs w:val="24"/>
        </w:rPr>
        <w:t>and performance targets as presented to it</w:t>
      </w:r>
      <w:r w:rsidR="001D74D0" w:rsidRPr="005F1B9C">
        <w:rPr>
          <w:rFonts w:ascii="Times New Roman" w:hAnsi="Times New Roman" w:cs="Times New Roman"/>
          <w:sz w:val="24"/>
          <w:szCs w:val="24"/>
        </w:rPr>
        <w:t>.</w:t>
      </w:r>
      <w:r w:rsidR="005F1B9C" w:rsidRPr="005F1B9C">
        <w:rPr>
          <w:rFonts w:ascii="Times New Roman" w:hAnsi="Times New Roman" w:cs="Times New Roman"/>
          <w:sz w:val="24"/>
          <w:szCs w:val="24"/>
        </w:rPr>
        <w:t xml:space="preserve"> It also notes the plans of the FFC and updates given by SASRIA and the Land Bank.</w:t>
      </w:r>
      <w:r w:rsidRPr="005F1B9C">
        <w:rPr>
          <w:rFonts w:ascii="Times New Roman" w:hAnsi="Times New Roman"/>
        </w:rPr>
        <w:t xml:space="preserve"> </w:t>
      </w:r>
      <w:r w:rsidR="00C408C8">
        <w:rPr>
          <w:rFonts w:ascii="Times New Roman" w:hAnsi="Times New Roman"/>
        </w:rPr>
        <w:t>Specific observation</w:t>
      </w:r>
      <w:r w:rsidR="0022288C">
        <w:rPr>
          <w:rFonts w:ascii="Times New Roman" w:hAnsi="Times New Roman"/>
        </w:rPr>
        <w:t>s</w:t>
      </w:r>
      <w:r w:rsidR="00C408C8">
        <w:rPr>
          <w:rFonts w:ascii="Times New Roman" w:hAnsi="Times New Roman"/>
        </w:rPr>
        <w:t xml:space="preserve"> and recommendations on the FFC, SASRIA and the Land Bank will be included in the Committee’s Oversight Visit Report. </w:t>
      </w:r>
    </w:p>
    <w:p w:rsidR="00BB52A3" w:rsidRDefault="00BB52A3" w:rsidP="00627A99">
      <w:pPr>
        <w:spacing w:line="480" w:lineRule="auto"/>
        <w:jc w:val="both"/>
        <w:rPr>
          <w:rFonts w:ascii="Times New Roman" w:hAnsi="Times New Roman"/>
          <w:color w:val="000000" w:themeColor="text1"/>
        </w:rPr>
      </w:pPr>
    </w:p>
    <w:p w:rsidR="00627A99" w:rsidRPr="00627A99" w:rsidRDefault="00627A99" w:rsidP="00627A99">
      <w:pPr>
        <w:spacing w:line="480" w:lineRule="auto"/>
        <w:jc w:val="both"/>
        <w:rPr>
          <w:rFonts w:ascii="Times New Roman" w:hAnsi="Times New Roman"/>
          <w:color w:val="000000" w:themeColor="text1"/>
        </w:rPr>
      </w:pPr>
      <w:r w:rsidRPr="00627A99">
        <w:rPr>
          <w:rFonts w:ascii="Times New Roman" w:hAnsi="Times New Roman"/>
          <w:color w:val="000000" w:themeColor="text1"/>
        </w:rPr>
        <w:t>IMPLEMENTATION OF AUDIT ACTION PLANS</w:t>
      </w:r>
    </w:p>
    <w:p w:rsidR="00627A99" w:rsidRPr="00BB52A3" w:rsidRDefault="005F1B9C" w:rsidP="00225098">
      <w:pPr>
        <w:pStyle w:val="ListParagraph"/>
        <w:numPr>
          <w:ilvl w:val="1"/>
          <w:numId w:val="1"/>
        </w:numPr>
        <w:spacing w:line="480" w:lineRule="auto"/>
        <w:jc w:val="both"/>
        <w:rPr>
          <w:rFonts w:ascii="Times New Roman" w:hAnsi="Times New Roman"/>
          <w:color w:val="000000" w:themeColor="text1"/>
        </w:rPr>
      </w:pPr>
      <w:r>
        <w:rPr>
          <w:rFonts w:ascii="Times New Roman" w:hAnsi="Times New Roman"/>
        </w:rPr>
        <w:t>The C</w:t>
      </w:r>
      <w:r w:rsidR="00ED386F">
        <w:rPr>
          <w:rFonts w:ascii="Times New Roman" w:hAnsi="Times New Roman"/>
        </w:rPr>
        <w:t>ommittee notes the updates it received on 8 February 2022 on</w:t>
      </w:r>
      <w:r>
        <w:rPr>
          <w:rFonts w:ascii="Times New Roman" w:hAnsi="Times New Roman"/>
        </w:rPr>
        <w:t xml:space="preserve"> the </w:t>
      </w:r>
      <w:r w:rsidR="00ED386F">
        <w:rPr>
          <w:rFonts w:ascii="Times New Roman" w:hAnsi="Times New Roman"/>
        </w:rPr>
        <w:t xml:space="preserve">implementation of the </w:t>
      </w:r>
      <w:r>
        <w:rPr>
          <w:rFonts w:ascii="Times New Roman" w:hAnsi="Times New Roman"/>
        </w:rPr>
        <w:t>audi</w:t>
      </w:r>
      <w:r w:rsidR="00300F4D">
        <w:rPr>
          <w:rFonts w:ascii="Times New Roman" w:hAnsi="Times New Roman"/>
        </w:rPr>
        <w:t xml:space="preserve">t action plans </w:t>
      </w:r>
      <w:r w:rsidR="00ED386F">
        <w:rPr>
          <w:rFonts w:ascii="Times New Roman" w:hAnsi="Times New Roman"/>
        </w:rPr>
        <w:t>developed to re</w:t>
      </w:r>
      <w:r w:rsidR="000036F3">
        <w:rPr>
          <w:rFonts w:ascii="Times New Roman" w:hAnsi="Times New Roman"/>
        </w:rPr>
        <w:t>mediate the</w:t>
      </w:r>
      <w:r w:rsidR="00300F4D">
        <w:rPr>
          <w:rFonts w:ascii="Times New Roman" w:hAnsi="Times New Roman"/>
        </w:rPr>
        <w:t xml:space="preserve"> adverse audit findings </w:t>
      </w:r>
      <w:r w:rsidR="00ED386F">
        <w:rPr>
          <w:rFonts w:ascii="Times New Roman" w:hAnsi="Times New Roman"/>
        </w:rPr>
        <w:t>raised by the Auditor-General of South Africa (AGSA)</w:t>
      </w:r>
      <w:r w:rsidR="000036F3">
        <w:rPr>
          <w:rFonts w:ascii="Times New Roman" w:hAnsi="Times New Roman"/>
        </w:rPr>
        <w:t xml:space="preserve"> in the previous year’s financial statements</w:t>
      </w:r>
      <w:r w:rsidR="00ED386F">
        <w:rPr>
          <w:rFonts w:ascii="Times New Roman" w:hAnsi="Times New Roman"/>
        </w:rPr>
        <w:t xml:space="preserve">. </w:t>
      </w:r>
      <w:r w:rsidR="0084060F">
        <w:rPr>
          <w:rFonts w:ascii="Times New Roman" w:hAnsi="Times New Roman"/>
        </w:rPr>
        <w:t xml:space="preserve">This followed from the Committee’s recommendation in the Budgetary Review and Recommendation Report of 2021. </w:t>
      </w:r>
      <w:r w:rsidR="00ED386F">
        <w:rPr>
          <w:rFonts w:ascii="Times New Roman" w:hAnsi="Times New Roman"/>
        </w:rPr>
        <w:t xml:space="preserve">The updates were given by NT, Land Bank, government Pensions Administration Authority (GPAA), Government </w:t>
      </w:r>
      <w:r w:rsidR="000036F3">
        <w:rPr>
          <w:rFonts w:ascii="Times New Roman" w:hAnsi="Times New Roman"/>
        </w:rPr>
        <w:t xml:space="preserve">Technical Advisory Centre (GTAC), Independent Regulatory Board of Auditors (IRBA), the Public Investment Corporation (PIC), and the Cooperative Banks Development Agency.  </w:t>
      </w:r>
      <w:r w:rsidR="00D55FA4">
        <w:rPr>
          <w:rFonts w:ascii="Times New Roman" w:hAnsi="Times New Roman"/>
        </w:rPr>
        <w:t>The Committee will continue to heighten its oversight over the implementation of the audit action plans as it wants to see improved governance outcomes within the finance portfolio, which is the custodian of public finances for the rest of government.</w:t>
      </w:r>
    </w:p>
    <w:p w:rsidR="00BB52A3" w:rsidRDefault="00BB52A3" w:rsidP="00627A99">
      <w:pPr>
        <w:pStyle w:val="ListParagraph"/>
        <w:numPr>
          <w:ilvl w:val="1"/>
          <w:numId w:val="1"/>
        </w:numPr>
        <w:spacing w:line="480" w:lineRule="auto"/>
        <w:jc w:val="both"/>
        <w:rPr>
          <w:rFonts w:ascii="Times New Roman" w:hAnsi="Times New Roman"/>
          <w:color w:val="000000" w:themeColor="text1"/>
        </w:rPr>
      </w:pPr>
      <w:r>
        <w:rPr>
          <w:rFonts w:ascii="Times New Roman" w:hAnsi="Times New Roman"/>
          <w:color w:val="000000" w:themeColor="text1"/>
        </w:rPr>
        <w:t>The Committee believes that</w:t>
      </w:r>
      <w:r w:rsidRPr="00BB52A3">
        <w:rPr>
          <w:rFonts w:ascii="Times New Roman" w:hAnsi="Times New Roman"/>
          <w:color w:val="000000" w:themeColor="text1"/>
        </w:rPr>
        <w:t xml:space="preserve"> </w:t>
      </w:r>
      <w:r>
        <w:rPr>
          <w:rFonts w:ascii="Times New Roman" w:hAnsi="Times New Roman"/>
          <w:color w:val="000000" w:themeColor="text1"/>
        </w:rPr>
        <w:t xml:space="preserve">the implementation of </w:t>
      </w:r>
      <w:r w:rsidRPr="00BB52A3">
        <w:rPr>
          <w:rFonts w:ascii="Times New Roman" w:hAnsi="Times New Roman"/>
          <w:color w:val="000000" w:themeColor="text1"/>
        </w:rPr>
        <w:t>audit action plan</w:t>
      </w:r>
      <w:r>
        <w:rPr>
          <w:rFonts w:ascii="Times New Roman" w:hAnsi="Times New Roman"/>
          <w:color w:val="000000" w:themeColor="text1"/>
        </w:rPr>
        <w:t>s</w:t>
      </w:r>
      <w:r w:rsidRPr="00BB52A3">
        <w:rPr>
          <w:rFonts w:ascii="Times New Roman" w:hAnsi="Times New Roman"/>
          <w:color w:val="000000" w:themeColor="text1"/>
        </w:rPr>
        <w:t xml:space="preserve"> should form part of the annual performance plan</w:t>
      </w:r>
      <w:r>
        <w:rPr>
          <w:rFonts w:ascii="Times New Roman" w:hAnsi="Times New Roman"/>
          <w:color w:val="000000" w:themeColor="text1"/>
        </w:rPr>
        <w:t>s of NT and entities in the portfolio</w:t>
      </w:r>
      <w:r w:rsidRPr="00BB52A3">
        <w:rPr>
          <w:rFonts w:ascii="Times New Roman" w:hAnsi="Times New Roman"/>
          <w:color w:val="000000" w:themeColor="text1"/>
        </w:rPr>
        <w:t xml:space="preserve">, with measurable targets and outcomes, and urges the </w:t>
      </w:r>
      <w:r>
        <w:rPr>
          <w:rFonts w:ascii="Times New Roman" w:hAnsi="Times New Roman"/>
          <w:color w:val="000000" w:themeColor="text1"/>
        </w:rPr>
        <w:t>Minister</w:t>
      </w:r>
      <w:r w:rsidRPr="00BB52A3">
        <w:rPr>
          <w:rFonts w:ascii="Times New Roman" w:hAnsi="Times New Roman"/>
          <w:color w:val="000000" w:themeColor="text1"/>
        </w:rPr>
        <w:t xml:space="preserve"> to consider this.</w:t>
      </w:r>
    </w:p>
    <w:p w:rsidR="007B0606" w:rsidRPr="002546D8" w:rsidRDefault="008E7CD3" w:rsidP="007B0606">
      <w:pPr>
        <w:pStyle w:val="ListParagraph"/>
        <w:numPr>
          <w:ilvl w:val="1"/>
          <w:numId w:val="1"/>
        </w:numPr>
        <w:spacing w:line="480" w:lineRule="auto"/>
        <w:jc w:val="both"/>
        <w:rPr>
          <w:rFonts w:ascii="Times New Roman" w:eastAsia="Times New Roman" w:hAnsi="Times New Roman" w:cs="Times New Roman"/>
          <w:sz w:val="24"/>
          <w:szCs w:val="24"/>
        </w:rPr>
      </w:pPr>
      <w:r>
        <w:rPr>
          <w:rFonts w:ascii="Times New Roman" w:hAnsi="Times New Roman"/>
          <w:color w:val="000000" w:themeColor="text1"/>
        </w:rPr>
        <w:t>The Committee believes that improving audit outcomes of the finance por</w:t>
      </w:r>
      <w:r w:rsidR="00C408C8">
        <w:rPr>
          <w:rFonts w:ascii="Times New Roman" w:hAnsi="Times New Roman"/>
          <w:color w:val="000000" w:themeColor="text1"/>
        </w:rPr>
        <w:t>tfolio is a combined effort of</w:t>
      </w:r>
      <w:r>
        <w:rPr>
          <w:rFonts w:ascii="Times New Roman" w:hAnsi="Times New Roman"/>
          <w:color w:val="000000" w:themeColor="text1"/>
        </w:rPr>
        <w:t xml:space="preserve"> management, audit committees, internal audit divisions and the AGSA. It believes that management p</w:t>
      </w:r>
      <w:r w:rsidR="00C408C8">
        <w:rPr>
          <w:rFonts w:ascii="Times New Roman" w:hAnsi="Times New Roman"/>
          <w:color w:val="000000" w:themeColor="text1"/>
        </w:rPr>
        <w:t>l</w:t>
      </w:r>
      <w:r>
        <w:rPr>
          <w:rFonts w:ascii="Times New Roman" w:hAnsi="Times New Roman"/>
          <w:color w:val="000000" w:themeColor="text1"/>
        </w:rPr>
        <w:t>ays a critical role in ensuring tha</w:t>
      </w:r>
      <w:r w:rsidR="00C408C8">
        <w:rPr>
          <w:rFonts w:ascii="Times New Roman" w:hAnsi="Times New Roman"/>
          <w:color w:val="000000" w:themeColor="text1"/>
        </w:rPr>
        <w:t>t the audit action plans tackle</w:t>
      </w:r>
      <w:r>
        <w:rPr>
          <w:rFonts w:ascii="Times New Roman" w:hAnsi="Times New Roman"/>
          <w:color w:val="000000" w:themeColor="text1"/>
        </w:rPr>
        <w:t xml:space="preserve"> the root causes that le</w:t>
      </w:r>
      <w:r w:rsidR="00C408C8">
        <w:rPr>
          <w:rFonts w:ascii="Times New Roman" w:hAnsi="Times New Roman"/>
          <w:color w:val="000000" w:themeColor="text1"/>
        </w:rPr>
        <w:t>a</w:t>
      </w:r>
      <w:r>
        <w:rPr>
          <w:rFonts w:ascii="Times New Roman" w:hAnsi="Times New Roman"/>
          <w:color w:val="000000" w:themeColor="text1"/>
        </w:rPr>
        <w:t>d to the AGSA</w:t>
      </w:r>
      <w:r w:rsidR="00C408C8">
        <w:rPr>
          <w:rFonts w:ascii="Times New Roman" w:hAnsi="Times New Roman"/>
          <w:color w:val="000000" w:themeColor="text1"/>
        </w:rPr>
        <w:t>’s</w:t>
      </w:r>
      <w:r>
        <w:rPr>
          <w:rFonts w:ascii="Times New Roman" w:hAnsi="Times New Roman"/>
          <w:color w:val="000000" w:themeColor="text1"/>
        </w:rPr>
        <w:t xml:space="preserve"> findings</w:t>
      </w:r>
      <w:r w:rsidR="00C408C8">
        <w:rPr>
          <w:rFonts w:ascii="Times New Roman" w:hAnsi="Times New Roman"/>
          <w:color w:val="000000" w:themeColor="text1"/>
        </w:rPr>
        <w:t xml:space="preserve"> and that actions are tailor-</w:t>
      </w:r>
      <w:r>
        <w:rPr>
          <w:rFonts w:ascii="Times New Roman" w:hAnsi="Times New Roman"/>
          <w:color w:val="000000" w:themeColor="text1"/>
        </w:rPr>
        <w:t xml:space="preserve">made to address such challenges. The internal audit function should </w:t>
      </w:r>
      <w:r w:rsidR="00C408C8">
        <w:rPr>
          <w:rFonts w:ascii="Times New Roman" w:hAnsi="Times New Roman"/>
          <w:color w:val="000000" w:themeColor="text1"/>
        </w:rPr>
        <w:t xml:space="preserve">also </w:t>
      </w:r>
      <w:r>
        <w:rPr>
          <w:rFonts w:ascii="Times New Roman" w:hAnsi="Times New Roman"/>
          <w:color w:val="000000" w:themeColor="text1"/>
        </w:rPr>
        <w:t xml:space="preserve">play </w:t>
      </w:r>
      <w:r w:rsidR="007B0606">
        <w:rPr>
          <w:rFonts w:ascii="Times New Roman" w:hAnsi="Times New Roman"/>
          <w:color w:val="000000" w:themeColor="text1"/>
        </w:rPr>
        <w:t xml:space="preserve">a crucial role in ensuring that action plans are implemented more effectively. The </w:t>
      </w:r>
      <w:r w:rsidRPr="003D35EF">
        <w:rPr>
          <w:rFonts w:ascii="Times New Roman" w:eastAsia="Times New Roman" w:hAnsi="Times New Roman" w:cs="Times New Roman"/>
          <w:sz w:val="24"/>
          <w:szCs w:val="24"/>
        </w:rPr>
        <w:t>audit committee</w:t>
      </w:r>
      <w:r w:rsidR="007B0606">
        <w:rPr>
          <w:rFonts w:ascii="Times New Roman" w:eastAsia="Times New Roman" w:hAnsi="Times New Roman" w:cs="Times New Roman"/>
          <w:sz w:val="24"/>
          <w:szCs w:val="24"/>
        </w:rPr>
        <w:t>s</w:t>
      </w:r>
      <w:r w:rsidRPr="003D35EF">
        <w:rPr>
          <w:rFonts w:ascii="Times New Roman" w:eastAsia="Times New Roman" w:hAnsi="Times New Roman" w:cs="Times New Roman"/>
          <w:sz w:val="24"/>
          <w:szCs w:val="24"/>
        </w:rPr>
        <w:t xml:space="preserve"> </w:t>
      </w:r>
      <w:r w:rsidR="007B0606">
        <w:rPr>
          <w:rFonts w:ascii="Times New Roman" w:eastAsia="Times New Roman" w:hAnsi="Times New Roman" w:cs="Times New Roman"/>
          <w:sz w:val="24"/>
          <w:szCs w:val="24"/>
        </w:rPr>
        <w:t xml:space="preserve">should also play their </w:t>
      </w:r>
      <w:r w:rsidRPr="003D35EF">
        <w:rPr>
          <w:rFonts w:ascii="Times New Roman" w:eastAsia="Times New Roman" w:hAnsi="Times New Roman" w:cs="Times New Roman"/>
          <w:sz w:val="24"/>
          <w:szCs w:val="24"/>
        </w:rPr>
        <w:t>oversight</w:t>
      </w:r>
      <w:r w:rsidR="007B0606">
        <w:rPr>
          <w:rFonts w:ascii="Times New Roman" w:eastAsia="Times New Roman" w:hAnsi="Times New Roman" w:cs="Times New Roman"/>
          <w:sz w:val="24"/>
          <w:szCs w:val="24"/>
        </w:rPr>
        <w:t xml:space="preserve"> role in ensuring that quarterly reports show sustainable improvement</w:t>
      </w:r>
      <w:r w:rsidR="00C408C8">
        <w:rPr>
          <w:rFonts w:ascii="Times New Roman" w:eastAsia="Times New Roman" w:hAnsi="Times New Roman" w:cs="Times New Roman"/>
          <w:sz w:val="24"/>
          <w:szCs w:val="24"/>
        </w:rPr>
        <w:t>s</w:t>
      </w:r>
      <w:r w:rsidR="007B0606">
        <w:rPr>
          <w:rFonts w:ascii="Times New Roman" w:eastAsia="Times New Roman" w:hAnsi="Times New Roman" w:cs="Times New Roman"/>
          <w:sz w:val="24"/>
          <w:szCs w:val="24"/>
        </w:rPr>
        <w:t xml:space="preserve"> in audit outcomes. </w:t>
      </w:r>
      <w:r w:rsidR="007B0606" w:rsidRPr="007B0606">
        <w:rPr>
          <w:rFonts w:ascii="Times New Roman" w:hAnsi="Times New Roman"/>
          <w:color w:val="000000" w:themeColor="text1"/>
        </w:rPr>
        <w:t xml:space="preserve">The Committee </w:t>
      </w:r>
      <w:r w:rsidR="00C408C8">
        <w:rPr>
          <w:rFonts w:ascii="Times New Roman" w:hAnsi="Times New Roman"/>
          <w:color w:val="000000" w:themeColor="text1"/>
        </w:rPr>
        <w:t xml:space="preserve">also </w:t>
      </w:r>
      <w:r w:rsidR="007B0606" w:rsidRPr="007B0606">
        <w:rPr>
          <w:rFonts w:ascii="Times New Roman" w:hAnsi="Times New Roman"/>
          <w:color w:val="000000" w:themeColor="text1"/>
        </w:rPr>
        <w:lastRenderedPageBreak/>
        <w:t>urges</w:t>
      </w:r>
      <w:r w:rsidR="00C408C8">
        <w:rPr>
          <w:rFonts w:ascii="Times New Roman" w:hAnsi="Times New Roman"/>
          <w:color w:val="000000" w:themeColor="text1"/>
        </w:rPr>
        <w:t xml:space="preserve"> </w:t>
      </w:r>
      <w:r w:rsidR="007B0606" w:rsidRPr="007B0606">
        <w:rPr>
          <w:rFonts w:ascii="Times New Roman" w:hAnsi="Times New Roman"/>
          <w:color w:val="000000" w:themeColor="text1"/>
        </w:rPr>
        <w:t xml:space="preserve">for the improvement in the prevention of internal control deficiencies from happening in the first place. </w:t>
      </w:r>
    </w:p>
    <w:p w:rsidR="002546D8" w:rsidRPr="007B0606" w:rsidRDefault="002546D8" w:rsidP="007B0606">
      <w:pPr>
        <w:pStyle w:val="ListParagraph"/>
        <w:numPr>
          <w:ilvl w:val="1"/>
          <w:numId w:val="1"/>
        </w:numPr>
        <w:spacing w:line="480" w:lineRule="auto"/>
        <w:jc w:val="both"/>
        <w:rPr>
          <w:rFonts w:ascii="Times New Roman" w:eastAsia="Times New Roman" w:hAnsi="Times New Roman" w:cs="Times New Roman"/>
          <w:sz w:val="24"/>
          <w:szCs w:val="24"/>
        </w:rPr>
      </w:pPr>
      <w:r>
        <w:rPr>
          <w:rFonts w:ascii="Times New Roman" w:hAnsi="Times New Roman"/>
          <w:color w:val="000000" w:themeColor="text1"/>
        </w:rPr>
        <w:t>The Committee expects to see improved audit outcomes from all the entities that the AGSA raised findings on in the previous financial year.</w:t>
      </w:r>
    </w:p>
    <w:p w:rsidR="008E7CD3" w:rsidRDefault="008E7CD3" w:rsidP="00627A99">
      <w:pPr>
        <w:spacing w:line="480" w:lineRule="auto"/>
        <w:jc w:val="both"/>
        <w:rPr>
          <w:rFonts w:ascii="Times New Roman" w:hAnsi="Times New Roman"/>
        </w:rPr>
      </w:pPr>
    </w:p>
    <w:p w:rsidR="00D55FA4" w:rsidRPr="00627A99" w:rsidRDefault="00627A99" w:rsidP="00627A99">
      <w:pPr>
        <w:spacing w:line="480" w:lineRule="auto"/>
        <w:jc w:val="both"/>
        <w:rPr>
          <w:rFonts w:ascii="Times New Roman" w:hAnsi="Times New Roman"/>
          <w:color w:val="000000" w:themeColor="text1"/>
        </w:rPr>
      </w:pPr>
      <w:r w:rsidRPr="00627A99">
        <w:rPr>
          <w:rFonts w:ascii="Times New Roman" w:hAnsi="Times New Roman"/>
        </w:rPr>
        <w:t xml:space="preserve">FILLING OF LEADERSHIP AND SENIOR MANAGEMENT VACANCIES </w:t>
      </w:r>
    </w:p>
    <w:p w:rsidR="00C408C8" w:rsidRPr="009609ED" w:rsidRDefault="00D55FA4" w:rsidP="009609ED">
      <w:pPr>
        <w:pStyle w:val="ListParagraph"/>
        <w:numPr>
          <w:ilvl w:val="1"/>
          <w:numId w:val="1"/>
        </w:numPr>
        <w:spacing w:line="480" w:lineRule="auto"/>
        <w:jc w:val="both"/>
        <w:rPr>
          <w:rFonts w:ascii="Times New Roman" w:hAnsi="Times New Roman"/>
          <w:color w:val="000000" w:themeColor="text1"/>
        </w:rPr>
      </w:pPr>
      <w:r>
        <w:rPr>
          <w:rFonts w:ascii="Times New Roman" w:hAnsi="Times New Roman"/>
        </w:rPr>
        <w:t>The Committee notes that there remain</w:t>
      </w:r>
      <w:r w:rsidR="009C27A4">
        <w:rPr>
          <w:rFonts w:ascii="Times New Roman" w:hAnsi="Times New Roman"/>
        </w:rPr>
        <w:t>s</w:t>
      </w:r>
      <w:r>
        <w:rPr>
          <w:rFonts w:ascii="Times New Roman" w:hAnsi="Times New Roman"/>
        </w:rPr>
        <w:t xml:space="preserve"> a number of </w:t>
      </w:r>
      <w:r w:rsidR="0078078F">
        <w:rPr>
          <w:rFonts w:ascii="Times New Roman" w:hAnsi="Times New Roman"/>
        </w:rPr>
        <w:t xml:space="preserve">vacant </w:t>
      </w:r>
      <w:r>
        <w:rPr>
          <w:rFonts w:ascii="Times New Roman" w:hAnsi="Times New Roman"/>
        </w:rPr>
        <w:t xml:space="preserve">strategic positions </w:t>
      </w:r>
      <w:r w:rsidR="0078078F">
        <w:rPr>
          <w:rFonts w:ascii="Times New Roman" w:hAnsi="Times New Roman"/>
        </w:rPr>
        <w:t>across the finance portfolio</w:t>
      </w:r>
      <w:r>
        <w:rPr>
          <w:rFonts w:ascii="Times New Roman" w:hAnsi="Times New Roman"/>
        </w:rPr>
        <w:t xml:space="preserve">. </w:t>
      </w:r>
      <w:r w:rsidR="0078078F">
        <w:rPr>
          <w:rFonts w:ascii="Times New Roman" w:hAnsi="Times New Roman"/>
        </w:rPr>
        <w:t>The</w:t>
      </w:r>
      <w:r w:rsidR="009C27A4">
        <w:rPr>
          <w:rFonts w:ascii="Times New Roman" w:hAnsi="Times New Roman"/>
        </w:rPr>
        <w:t xml:space="preserve"> importance of filling such position</w:t>
      </w:r>
      <w:r w:rsidR="0078078F">
        <w:rPr>
          <w:rFonts w:ascii="Times New Roman" w:hAnsi="Times New Roman"/>
        </w:rPr>
        <w:t>s</w:t>
      </w:r>
      <w:r w:rsidR="00C10877">
        <w:rPr>
          <w:rFonts w:ascii="Times New Roman" w:hAnsi="Times New Roman"/>
        </w:rPr>
        <w:t xml:space="preserve"> cannot be gainsaid</w:t>
      </w:r>
      <w:r w:rsidR="009C27A4">
        <w:rPr>
          <w:rFonts w:ascii="Times New Roman" w:hAnsi="Times New Roman"/>
        </w:rPr>
        <w:t xml:space="preserve"> </w:t>
      </w:r>
      <w:r w:rsidR="00C10877">
        <w:rPr>
          <w:rFonts w:ascii="Times New Roman" w:hAnsi="Times New Roman"/>
        </w:rPr>
        <w:t>a</w:t>
      </w:r>
      <w:r w:rsidR="009C27A4">
        <w:rPr>
          <w:rFonts w:ascii="Times New Roman" w:hAnsi="Times New Roman"/>
        </w:rPr>
        <w:t>s</w:t>
      </w:r>
      <w:r w:rsidR="00C10877">
        <w:rPr>
          <w:rFonts w:ascii="Times New Roman" w:hAnsi="Times New Roman"/>
        </w:rPr>
        <w:t>,</w:t>
      </w:r>
      <w:r w:rsidR="009C27A4">
        <w:rPr>
          <w:rFonts w:ascii="Times New Roman" w:hAnsi="Times New Roman"/>
        </w:rPr>
        <w:t xml:space="preserve"> according to the AGSA, leadership </w:t>
      </w:r>
      <w:r w:rsidR="00C10877">
        <w:rPr>
          <w:rFonts w:ascii="Times New Roman" w:hAnsi="Times New Roman"/>
        </w:rPr>
        <w:t>and senior management instability contributes</w:t>
      </w:r>
      <w:r w:rsidR="009C27A4">
        <w:rPr>
          <w:rFonts w:ascii="Times New Roman" w:hAnsi="Times New Roman"/>
        </w:rPr>
        <w:t xml:space="preserve"> to </w:t>
      </w:r>
      <w:r w:rsidR="00C10877">
        <w:rPr>
          <w:rFonts w:ascii="Times New Roman" w:hAnsi="Times New Roman"/>
        </w:rPr>
        <w:t>governance challenges which the</w:t>
      </w:r>
      <w:r w:rsidR="00C408C8">
        <w:rPr>
          <w:rFonts w:ascii="Times New Roman" w:hAnsi="Times New Roman"/>
        </w:rPr>
        <w:t>n lead to adverse audit outcomes</w:t>
      </w:r>
      <w:r w:rsidR="00C10877">
        <w:rPr>
          <w:rFonts w:ascii="Times New Roman" w:hAnsi="Times New Roman"/>
        </w:rPr>
        <w:t xml:space="preserve">. </w:t>
      </w:r>
      <w:r w:rsidR="009609ED">
        <w:rPr>
          <w:rFonts w:ascii="Times New Roman" w:hAnsi="Times New Roman"/>
          <w:color w:val="000000" w:themeColor="text1"/>
        </w:rPr>
        <w:t>A</w:t>
      </w:r>
      <w:r w:rsidR="009609ED" w:rsidRPr="005E3417">
        <w:rPr>
          <w:rFonts w:ascii="Times New Roman" w:hAnsi="Times New Roman"/>
          <w:color w:val="000000" w:themeColor="text1"/>
        </w:rPr>
        <w:t xml:space="preserve"> contributing root cause </w:t>
      </w:r>
      <w:r w:rsidR="009609ED">
        <w:rPr>
          <w:rFonts w:ascii="Times New Roman" w:hAnsi="Times New Roman"/>
          <w:color w:val="000000" w:themeColor="text1"/>
        </w:rPr>
        <w:t xml:space="preserve">to poor audit outcomes, according to </w:t>
      </w:r>
      <w:r w:rsidR="009609ED" w:rsidRPr="005E3417">
        <w:rPr>
          <w:rFonts w:ascii="Times New Roman" w:hAnsi="Times New Roman"/>
          <w:color w:val="000000" w:themeColor="text1"/>
        </w:rPr>
        <w:t>AGSA</w:t>
      </w:r>
      <w:r w:rsidR="009609ED">
        <w:rPr>
          <w:rFonts w:ascii="Times New Roman" w:hAnsi="Times New Roman"/>
          <w:color w:val="000000" w:themeColor="text1"/>
        </w:rPr>
        <w:t>,</w:t>
      </w:r>
      <w:r w:rsidR="009609ED" w:rsidRPr="005E3417">
        <w:rPr>
          <w:rFonts w:ascii="Times New Roman" w:hAnsi="Times New Roman"/>
          <w:color w:val="000000" w:themeColor="text1"/>
        </w:rPr>
        <w:t xml:space="preserve"> is the instability caused by prolonged vacancies </w:t>
      </w:r>
      <w:r w:rsidR="009609ED">
        <w:rPr>
          <w:rFonts w:ascii="Times New Roman" w:hAnsi="Times New Roman"/>
          <w:color w:val="000000" w:themeColor="text1"/>
        </w:rPr>
        <w:t xml:space="preserve">or acting appointments </w:t>
      </w:r>
      <w:r w:rsidR="009609ED" w:rsidRPr="005E3417">
        <w:rPr>
          <w:rFonts w:ascii="Times New Roman" w:hAnsi="Times New Roman"/>
          <w:color w:val="000000" w:themeColor="text1"/>
        </w:rPr>
        <w:t xml:space="preserve">in key positions. In this regard, the Committee urges the Minister of Finance to prioritise the filling of vacancies at </w:t>
      </w:r>
      <w:r w:rsidR="009609ED">
        <w:rPr>
          <w:rFonts w:ascii="Times New Roman" w:hAnsi="Times New Roman"/>
          <w:color w:val="000000" w:themeColor="text1"/>
        </w:rPr>
        <w:t xml:space="preserve">executive and </w:t>
      </w:r>
      <w:r w:rsidR="009609ED" w:rsidRPr="005E3417">
        <w:rPr>
          <w:rFonts w:ascii="Times New Roman" w:hAnsi="Times New Roman"/>
          <w:color w:val="000000" w:themeColor="text1"/>
        </w:rPr>
        <w:t>senior management level</w:t>
      </w:r>
      <w:r w:rsidR="009609ED">
        <w:rPr>
          <w:rFonts w:ascii="Times New Roman" w:hAnsi="Times New Roman"/>
          <w:color w:val="000000" w:themeColor="text1"/>
        </w:rPr>
        <w:t>s</w:t>
      </w:r>
      <w:r w:rsidR="009609ED" w:rsidRPr="005E3417">
        <w:rPr>
          <w:rFonts w:ascii="Times New Roman" w:hAnsi="Times New Roman"/>
          <w:color w:val="000000" w:themeColor="text1"/>
        </w:rPr>
        <w:t xml:space="preserve"> in the National Treasury and in the entities across the finance portfolio.  </w:t>
      </w:r>
    </w:p>
    <w:p w:rsidR="002F1A5D" w:rsidRPr="002F1A5D" w:rsidRDefault="00C10877" w:rsidP="00225098">
      <w:pPr>
        <w:pStyle w:val="ListParagraph"/>
        <w:numPr>
          <w:ilvl w:val="1"/>
          <w:numId w:val="1"/>
        </w:numPr>
        <w:spacing w:line="480" w:lineRule="auto"/>
        <w:jc w:val="both"/>
        <w:rPr>
          <w:rFonts w:ascii="Times New Roman" w:hAnsi="Times New Roman"/>
          <w:color w:val="000000" w:themeColor="text1"/>
        </w:rPr>
      </w:pPr>
      <w:r>
        <w:rPr>
          <w:rFonts w:ascii="Times New Roman" w:hAnsi="Times New Roman"/>
        </w:rPr>
        <w:t>The Committee remains concerned about delays in filling up the positions of Chief Procurement Officer and the Accountant-General and many acting positions in many entities such as GTAC and GPAA.</w:t>
      </w:r>
      <w:r w:rsidR="00D55FA4">
        <w:rPr>
          <w:rFonts w:ascii="Times New Roman" w:hAnsi="Times New Roman"/>
        </w:rPr>
        <w:t xml:space="preserve"> </w:t>
      </w:r>
      <w:r w:rsidR="00225098">
        <w:rPr>
          <w:rFonts w:ascii="Times New Roman" w:hAnsi="Times New Roman"/>
        </w:rPr>
        <w:t xml:space="preserve">The Committee however welcomes the update from the Deputy Minister that interviews have been conducted on the positions of Chief Procurement Officer and Accountant-General, with the memos having been submitted to Cabinet for approval. </w:t>
      </w:r>
    </w:p>
    <w:p w:rsidR="005112B8" w:rsidRPr="0022288C" w:rsidRDefault="00225098" w:rsidP="005112B8">
      <w:pPr>
        <w:pStyle w:val="ListParagraph"/>
        <w:numPr>
          <w:ilvl w:val="1"/>
          <w:numId w:val="1"/>
        </w:numPr>
        <w:spacing w:line="480" w:lineRule="auto"/>
        <w:jc w:val="both"/>
        <w:rPr>
          <w:rFonts w:ascii="Times New Roman" w:hAnsi="Times New Roman"/>
          <w:color w:val="000000" w:themeColor="text1"/>
        </w:rPr>
      </w:pPr>
      <w:r>
        <w:rPr>
          <w:rFonts w:ascii="Times New Roman" w:hAnsi="Times New Roman"/>
        </w:rPr>
        <w:t xml:space="preserve"> </w:t>
      </w:r>
      <w:r w:rsidR="002F1A5D">
        <w:rPr>
          <w:rFonts w:ascii="Times New Roman" w:hAnsi="Times New Roman"/>
        </w:rPr>
        <w:t xml:space="preserve">In its BRRR report of 2021, the Committee noted the increasing complaints regarding </w:t>
      </w:r>
      <w:r w:rsidR="005112B8">
        <w:rPr>
          <w:rFonts w:ascii="Times New Roman" w:hAnsi="Times New Roman"/>
        </w:rPr>
        <w:t xml:space="preserve">service at GPAA. In response to questions from the Committee, Mr </w:t>
      </w:r>
      <w:proofErr w:type="spellStart"/>
      <w:r w:rsidR="005112B8">
        <w:rPr>
          <w:rFonts w:ascii="Times New Roman" w:hAnsi="Times New Roman"/>
        </w:rPr>
        <w:t>Mogajane</w:t>
      </w:r>
      <w:proofErr w:type="spellEnd"/>
      <w:r w:rsidR="005112B8">
        <w:rPr>
          <w:rFonts w:ascii="Times New Roman" w:hAnsi="Times New Roman"/>
        </w:rPr>
        <w:t xml:space="preserve"> admitted to administrative challenges at GPAA caused by, among others, leadership instability as there was no Head of GPAA. The Committee urges the Minister to prioritise the appointment of the Head of GPAA</w:t>
      </w:r>
      <w:r w:rsidR="0022288C">
        <w:rPr>
          <w:rFonts w:ascii="Times New Roman" w:hAnsi="Times New Roman"/>
        </w:rPr>
        <w:t>, and to take immediate action to finalise cases,</w:t>
      </w:r>
      <w:r w:rsidR="005112B8">
        <w:rPr>
          <w:rFonts w:ascii="Times New Roman" w:hAnsi="Times New Roman"/>
        </w:rPr>
        <w:t xml:space="preserve"> so as to resolve the service delivery challenges.  </w:t>
      </w:r>
    </w:p>
    <w:p w:rsidR="009609ED" w:rsidRPr="005112B8" w:rsidRDefault="0022288C" w:rsidP="005112B8">
      <w:pPr>
        <w:pStyle w:val="ListParagraph"/>
        <w:numPr>
          <w:ilvl w:val="1"/>
          <w:numId w:val="1"/>
        </w:numPr>
        <w:spacing w:line="480" w:lineRule="auto"/>
        <w:jc w:val="both"/>
        <w:rPr>
          <w:rFonts w:ascii="Times New Roman" w:hAnsi="Times New Roman"/>
          <w:color w:val="000000" w:themeColor="text1"/>
        </w:rPr>
      </w:pPr>
      <w:r>
        <w:rPr>
          <w:rFonts w:ascii="Times New Roman" w:hAnsi="Times New Roman"/>
        </w:rPr>
        <w:t>T</w:t>
      </w:r>
      <w:r w:rsidR="009609ED">
        <w:rPr>
          <w:rFonts w:ascii="Times New Roman" w:hAnsi="Times New Roman"/>
        </w:rPr>
        <w:t xml:space="preserve">he Committee commends the Minister for the appointment of the new board of directors at the Land Bank. The Committee urges the Minister to prioritise the appointment of a new CEO, as Mr Ayanda </w:t>
      </w:r>
      <w:proofErr w:type="spellStart"/>
      <w:r w:rsidR="009609ED">
        <w:rPr>
          <w:rFonts w:ascii="Times New Roman" w:hAnsi="Times New Roman"/>
        </w:rPr>
        <w:t>Kanana</w:t>
      </w:r>
      <w:proofErr w:type="spellEnd"/>
      <w:r w:rsidR="009609ED">
        <w:rPr>
          <w:rFonts w:ascii="Times New Roman" w:hAnsi="Times New Roman"/>
        </w:rPr>
        <w:t xml:space="preserve"> has resigned. The Committee wishes Mr </w:t>
      </w:r>
      <w:proofErr w:type="spellStart"/>
      <w:r w:rsidR="009609ED">
        <w:rPr>
          <w:rFonts w:ascii="Times New Roman" w:hAnsi="Times New Roman"/>
        </w:rPr>
        <w:t>Kanana</w:t>
      </w:r>
      <w:proofErr w:type="spellEnd"/>
      <w:r w:rsidR="009609ED">
        <w:rPr>
          <w:rFonts w:ascii="Times New Roman" w:hAnsi="Times New Roman"/>
        </w:rPr>
        <w:t xml:space="preserve"> well in his new journey.  </w:t>
      </w:r>
    </w:p>
    <w:p w:rsidR="009609ED" w:rsidRPr="00F010FE" w:rsidRDefault="009609ED" w:rsidP="009609ED">
      <w:pPr>
        <w:pStyle w:val="ListParagraph"/>
        <w:numPr>
          <w:ilvl w:val="1"/>
          <w:numId w:val="1"/>
        </w:numPr>
        <w:spacing w:line="480" w:lineRule="auto"/>
        <w:jc w:val="both"/>
        <w:rPr>
          <w:rFonts w:ascii="Times New Roman" w:hAnsi="Times New Roman"/>
          <w:color w:val="000000" w:themeColor="text1"/>
        </w:rPr>
      </w:pPr>
      <w:r>
        <w:rPr>
          <w:rFonts w:ascii="Times New Roman" w:hAnsi="Times New Roman"/>
        </w:rPr>
        <w:lastRenderedPageBreak/>
        <w:t xml:space="preserve">The Committee notes announcements by the Minister that Mr </w:t>
      </w:r>
      <w:proofErr w:type="spellStart"/>
      <w:r>
        <w:rPr>
          <w:rFonts w:ascii="Times New Roman" w:hAnsi="Times New Roman"/>
        </w:rPr>
        <w:t>Mogajane</w:t>
      </w:r>
      <w:proofErr w:type="spellEnd"/>
      <w:r>
        <w:rPr>
          <w:rFonts w:ascii="Times New Roman" w:hAnsi="Times New Roman"/>
        </w:rPr>
        <w:t xml:space="preserve"> will be vacating his position at the end of his contract in June. The Committee thanks and wishes Mr </w:t>
      </w:r>
      <w:proofErr w:type="spellStart"/>
      <w:r>
        <w:rPr>
          <w:rFonts w:ascii="Times New Roman" w:hAnsi="Times New Roman"/>
        </w:rPr>
        <w:t>Mogajane</w:t>
      </w:r>
      <w:proofErr w:type="spellEnd"/>
      <w:r>
        <w:rPr>
          <w:rFonts w:ascii="Times New Roman" w:hAnsi="Times New Roman"/>
        </w:rPr>
        <w:t xml:space="preserve"> well. It also urges the Minister to prioritise the filling of this position. </w:t>
      </w:r>
    </w:p>
    <w:p w:rsidR="00F010FE" w:rsidRPr="009609ED" w:rsidRDefault="005E2B87" w:rsidP="00F010FE">
      <w:pPr>
        <w:pStyle w:val="ListParagraph"/>
        <w:numPr>
          <w:ilvl w:val="1"/>
          <w:numId w:val="1"/>
        </w:numPr>
        <w:spacing w:line="480" w:lineRule="auto"/>
        <w:jc w:val="both"/>
        <w:rPr>
          <w:rFonts w:ascii="Times New Roman" w:hAnsi="Times New Roman"/>
          <w:color w:val="000000" w:themeColor="text1"/>
        </w:rPr>
      </w:pPr>
      <w:r>
        <w:rPr>
          <w:rFonts w:ascii="Times New Roman" w:hAnsi="Times New Roman"/>
        </w:rPr>
        <w:t>The C</w:t>
      </w:r>
      <w:r w:rsidR="00F010FE">
        <w:rPr>
          <w:rFonts w:ascii="Times New Roman" w:hAnsi="Times New Roman"/>
        </w:rPr>
        <w:t>ommittee was very</w:t>
      </w:r>
      <w:r>
        <w:rPr>
          <w:rFonts w:ascii="Times New Roman" w:hAnsi="Times New Roman"/>
        </w:rPr>
        <w:t xml:space="preserve"> impressed </w:t>
      </w:r>
      <w:r w:rsidR="00F010FE">
        <w:rPr>
          <w:rFonts w:ascii="Times New Roman" w:hAnsi="Times New Roman"/>
        </w:rPr>
        <w:t xml:space="preserve">by </w:t>
      </w:r>
      <w:r>
        <w:rPr>
          <w:rFonts w:ascii="Times New Roman" w:hAnsi="Times New Roman"/>
        </w:rPr>
        <w:t>the succession planning at SASRIA</w:t>
      </w:r>
      <w:r w:rsidR="00F010FE">
        <w:rPr>
          <w:rFonts w:ascii="Times New Roman" w:hAnsi="Times New Roman"/>
        </w:rPr>
        <w:t xml:space="preserve"> where the incoming </w:t>
      </w:r>
      <w:r w:rsidR="00627A99">
        <w:rPr>
          <w:rFonts w:ascii="Times New Roman" w:hAnsi="Times New Roman"/>
        </w:rPr>
        <w:t xml:space="preserve">CEO has been shadowing the </w:t>
      </w:r>
      <w:r w:rsidR="00F010FE">
        <w:rPr>
          <w:rFonts w:ascii="Times New Roman" w:hAnsi="Times New Roman"/>
        </w:rPr>
        <w:t xml:space="preserve">outgoing CEO. </w:t>
      </w:r>
      <w:r w:rsidR="00627A99">
        <w:rPr>
          <w:rFonts w:ascii="Times New Roman" w:hAnsi="Times New Roman"/>
        </w:rPr>
        <w:t>The Committee</w:t>
      </w:r>
      <w:r w:rsidR="00F010FE">
        <w:rPr>
          <w:rFonts w:ascii="Times New Roman" w:hAnsi="Times New Roman"/>
        </w:rPr>
        <w:t xml:space="preserve"> believe</w:t>
      </w:r>
      <w:r w:rsidR="00627A99">
        <w:rPr>
          <w:rFonts w:ascii="Times New Roman" w:hAnsi="Times New Roman"/>
        </w:rPr>
        <w:t>s</w:t>
      </w:r>
      <w:r w:rsidR="00F010FE">
        <w:rPr>
          <w:rFonts w:ascii="Times New Roman" w:hAnsi="Times New Roman"/>
        </w:rPr>
        <w:t xml:space="preserve"> that this assists in ensuring a smooth </w:t>
      </w:r>
      <w:r w:rsidR="00627A99">
        <w:rPr>
          <w:rFonts w:ascii="Times New Roman" w:hAnsi="Times New Roman"/>
        </w:rPr>
        <w:t xml:space="preserve">leadership </w:t>
      </w:r>
      <w:r w:rsidR="00F010FE">
        <w:rPr>
          <w:rFonts w:ascii="Times New Roman" w:hAnsi="Times New Roman"/>
        </w:rPr>
        <w:t xml:space="preserve">handover and stability. The Committee believes that it is possible to achieve this in other entities as vacancies are normally known in advance. </w:t>
      </w:r>
    </w:p>
    <w:p w:rsidR="009609ED" w:rsidRPr="009609ED" w:rsidRDefault="009609ED" w:rsidP="009609ED">
      <w:pPr>
        <w:pStyle w:val="ListParagraph"/>
        <w:numPr>
          <w:ilvl w:val="1"/>
          <w:numId w:val="1"/>
        </w:numPr>
        <w:spacing w:line="480" w:lineRule="auto"/>
        <w:jc w:val="both"/>
        <w:rPr>
          <w:rFonts w:ascii="Times New Roman" w:hAnsi="Times New Roman"/>
          <w:color w:val="000000" w:themeColor="text1"/>
        </w:rPr>
      </w:pPr>
      <w:r>
        <w:rPr>
          <w:rFonts w:ascii="Times New Roman" w:hAnsi="Times New Roman"/>
        </w:rPr>
        <w:t>After the adoption of this report, and within 30 days, the Committee requires the Minister of Finance to submit to it a list of all vacant and acting leadership and senior management positions across the finance portfolio. This list should highlight how long such positions have been vacant or filled in an acting capacity, the reasons for the delays in filling them, and steps being taken to fill them.</w:t>
      </w:r>
    </w:p>
    <w:p w:rsidR="009609ED" w:rsidRPr="00FD7005" w:rsidRDefault="009609ED" w:rsidP="009609ED">
      <w:pPr>
        <w:pStyle w:val="ListParagraph"/>
        <w:spacing w:line="480" w:lineRule="auto"/>
        <w:ind w:left="360"/>
        <w:jc w:val="both"/>
        <w:rPr>
          <w:rFonts w:ascii="Times New Roman" w:hAnsi="Times New Roman"/>
          <w:color w:val="000000" w:themeColor="text1"/>
        </w:rPr>
      </w:pPr>
    </w:p>
    <w:p w:rsidR="005F1B9C" w:rsidRPr="00627A99" w:rsidRDefault="00627A99" w:rsidP="00627A99">
      <w:pPr>
        <w:spacing w:line="480" w:lineRule="auto"/>
        <w:jc w:val="both"/>
        <w:rPr>
          <w:rFonts w:ascii="Times New Roman" w:hAnsi="Times New Roman"/>
          <w:color w:val="000000" w:themeColor="text1"/>
        </w:rPr>
      </w:pPr>
      <w:r>
        <w:rPr>
          <w:rFonts w:ascii="Times New Roman" w:hAnsi="Times New Roman"/>
          <w:color w:val="000000" w:themeColor="text1"/>
        </w:rPr>
        <w:t>PUBLIC PROCUREMENT BILL</w:t>
      </w:r>
    </w:p>
    <w:p w:rsidR="00627A99" w:rsidRDefault="009E67BD" w:rsidP="00627A99">
      <w:pPr>
        <w:pStyle w:val="ListParagraph"/>
        <w:numPr>
          <w:ilvl w:val="1"/>
          <w:numId w:val="1"/>
        </w:numPr>
        <w:spacing w:line="480" w:lineRule="auto"/>
        <w:jc w:val="both"/>
        <w:rPr>
          <w:rFonts w:ascii="Times New Roman" w:hAnsi="Times New Roman"/>
          <w:color w:val="000000" w:themeColor="text1"/>
        </w:rPr>
      </w:pPr>
      <w:r w:rsidRPr="005F1B9C">
        <w:rPr>
          <w:rFonts w:ascii="Times New Roman" w:hAnsi="Times New Roman"/>
          <w:color w:val="000000" w:themeColor="text1"/>
        </w:rPr>
        <w:t xml:space="preserve">The Committee notes </w:t>
      </w:r>
      <w:r w:rsidR="000036F3">
        <w:rPr>
          <w:rFonts w:ascii="Times New Roman" w:hAnsi="Times New Roman"/>
          <w:color w:val="000000" w:themeColor="text1"/>
        </w:rPr>
        <w:t xml:space="preserve">further delays in the tabling of the </w:t>
      </w:r>
      <w:r w:rsidRPr="005F1B9C">
        <w:rPr>
          <w:rFonts w:ascii="Times New Roman" w:hAnsi="Times New Roman"/>
          <w:color w:val="000000" w:themeColor="text1"/>
        </w:rPr>
        <w:t>Public Procurement Bill</w:t>
      </w:r>
      <w:r w:rsidR="000036F3">
        <w:rPr>
          <w:rFonts w:ascii="Times New Roman" w:hAnsi="Times New Roman"/>
          <w:color w:val="000000" w:themeColor="text1"/>
        </w:rPr>
        <w:t>.</w:t>
      </w:r>
      <w:r w:rsidRPr="005F1B9C">
        <w:rPr>
          <w:rFonts w:ascii="Times New Roman" w:hAnsi="Times New Roman"/>
          <w:color w:val="000000" w:themeColor="text1"/>
        </w:rPr>
        <w:t xml:space="preserve"> In all its reports over the past few years, the Committee has been urging </w:t>
      </w:r>
      <w:r w:rsidR="001D74D0" w:rsidRPr="005F1B9C">
        <w:rPr>
          <w:rFonts w:ascii="Times New Roman" w:hAnsi="Times New Roman"/>
          <w:color w:val="000000" w:themeColor="text1"/>
        </w:rPr>
        <w:t>NT</w:t>
      </w:r>
      <w:r w:rsidRPr="005F1B9C">
        <w:rPr>
          <w:rFonts w:ascii="Times New Roman" w:hAnsi="Times New Roman"/>
          <w:color w:val="000000" w:themeColor="text1"/>
        </w:rPr>
        <w:t xml:space="preserve"> to expedite the introduction of this Bill for processing by Parliament. The Committee believes that this Bill will assist in consolidating the fragmented procurement regime in the country, and help to root out corruption within the procurement system, among others. The Committee again urges NT to prioritise this Bill</w:t>
      </w:r>
    </w:p>
    <w:p w:rsidR="00545CCD" w:rsidRDefault="00545CCD" w:rsidP="00545CCD">
      <w:pPr>
        <w:pStyle w:val="ListParagraph"/>
        <w:spacing w:line="480" w:lineRule="auto"/>
        <w:ind w:left="360"/>
        <w:jc w:val="both"/>
        <w:rPr>
          <w:rFonts w:ascii="Times New Roman" w:hAnsi="Times New Roman"/>
          <w:color w:val="000000" w:themeColor="text1"/>
        </w:rPr>
      </w:pPr>
    </w:p>
    <w:p w:rsidR="00545CCD" w:rsidRPr="00545CCD" w:rsidRDefault="00545CCD" w:rsidP="00545CCD">
      <w:pPr>
        <w:spacing w:line="480" w:lineRule="auto"/>
        <w:jc w:val="both"/>
        <w:rPr>
          <w:rFonts w:ascii="Times New Roman" w:hAnsi="Times New Roman"/>
          <w:color w:val="000000" w:themeColor="text1"/>
        </w:rPr>
      </w:pPr>
      <w:r>
        <w:rPr>
          <w:rFonts w:ascii="Times New Roman" w:hAnsi="Times New Roman"/>
          <w:color w:val="000000" w:themeColor="text1"/>
        </w:rPr>
        <w:t>IFMS 2 PROJECT AND MATERIAL IRREGULATIRY</w:t>
      </w:r>
    </w:p>
    <w:p w:rsidR="00545CCD" w:rsidRPr="00545CCD" w:rsidRDefault="009E67BD" w:rsidP="009E67BD">
      <w:pPr>
        <w:numPr>
          <w:ilvl w:val="1"/>
          <w:numId w:val="1"/>
        </w:numPr>
        <w:spacing w:line="480" w:lineRule="auto"/>
        <w:contextualSpacing/>
        <w:jc w:val="both"/>
        <w:rPr>
          <w:rFonts w:ascii="Times New Roman" w:hAnsi="Times New Roman"/>
        </w:rPr>
      </w:pPr>
      <w:r w:rsidRPr="00545115">
        <w:rPr>
          <w:rFonts w:ascii="Times New Roman" w:hAnsi="Times New Roman"/>
          <w:color w:val="000000" w:themeColor="text1"/>
        </w:rPr>
        <w:t>T</w:t>
      </w:r>
      <w:r w:rsidR="00B60FED">
        <w:rPr>
          <w:rFonts w:ascii="Times New Roman" w:hAnsi="Times New Roman"/>
          <w:color w:val="000000" w:themeColor="text1"/>
        </w:rPr>
        <w:t xml:space="preserve">he Committee notes that </w:t>
      </w:r>
      <w:r w:rsidRPr="00545115">
        <w:rPr>
          <w:rFonts w:ascii="Times New Roman" w:hAnsi="Times New Roman"/>
          <w:color w:val="000000" w:themeColor="text1"/>
        </w:rPr>
        <w:t xml:space="preserve">NT </w:t>
      </w:r>
      <w:r w:rsidR="00B60FED">
        <w:rPr>
          <w:rFonts w:ascii="Times New Roman" w:hAnsi="Times New Roman"/>
          <w:color w:val="000000" w:themeColor="text1"/>
        </w:rPr>
        <w:t xml:space="preserve">has incurred fruitless and wasteful expenditure of about R300 million on the </w:t>
      </w:r>
      <w:r w:rsidR="00BB52A3" w:rsidRPr="00545115">
        <w:rPr>
          <w:rFonts w:ascii="Times New Roman" w:hAnsi="Times New Roman"/>
          <w:color w:val="000000" w:themeColor="text1"/>
        </w:rPr>
        <w:t>I</w:t>
      </w:r>
      <w:r w:rsidR="00BB52A3">
        <w:rPr>
          <w:rFonts w:ascii="Times New Roman" w:hAnsi="Times New Roman"/>
          <w:color w:val="000000" w:themeColor="text1"/>
        </w:rPr>
        <w:t>ntegrated</w:t>
      </w:r>
      <w:r w:rsidR="00B60FED">
        <w:rPr>
          <w:rFonts w:ascii="Times New Roman" w:hAnsi="Times New Roman"/>
          <w:color w:val="000000" w:themeColor="text1"/>
        </w:rPr>
        <w:t xml:space="preserve"> </w:t>
      </w:r>
      <w:r w:rsidRPr="00545115">
        <w:rPr>
          <w:rFonts w:ascii="Times New Roman" w:hAnsi="Times New Roman"/>
          <w:color w:val="000000" w:themeColor="text1"/>
        </w:rPr>
        <w:t>F</w:t>
      </w:r>
      <w:r w:rsidR="00B60FED">
        <w:rPr>
          <w:rFonts w:ascii="Times New Roman" w:hAnsi="Times New Roman"/>
          <w:color w:val="000000" w:themeColor="text1"/>
        </w:rPr>
        <w:t xml:space="preserve">inancial </w:t>
      </w:r>
      <w:r w:rsidRPr="00545115">
        <w:rPr>
          <w:rFonts w:ascii="Times New Roman" w:hAnsi="Times New Roman"/>
          <w:color w:val="000000" w:themeColor="text1"/>
        </w:rPr>
        <w:t>M</w:t>
      </w:r>
      <w:r w:rsidR="00B60FED">
        <w:rPr>
          <w:rFonts w:ascii="Times New Roman" w:hAnsi="Times New Roman"/>
          <w:color w:val="000000" w:themeColor="text1"/>
        </w:rPr>
        <w:t xml:space="preserve">anagement </w:t>
      </w:r>
      <w:r w:rsidRPr="00545115">
        <w:rPr>
          <w:rFonts w:ascii="Times New Roman" w:hAnsi="Times New Roman"/>
          <w:color w:val="000000" w:themeColor="text1"/>
        </w:rPr>
        <w:t>S</w:t>
      </w:r>
      <w:r w:rsidR="00B60FED">
        <w:rPr>
          <w:rFonts w:ascii="Times New Roman" w:hAnsi="Times New Roman"/>
          <w:color w:val="000000" w:themeColor="text1"/>
        </w:rPr>
        <w:t>ystem</w:t>
      </w:r>
      <w:r w:rsidRPr="00545115">
        <w:rPr>
          <w:rFonts w:ascii="Times New Roman" w:hAnsi="Times New Roman"/>
          <w:color w:val="000000" w:themeColor="text1"/>
        </w:rPr>
        <w:t xml:space="preserve"> </w:t>
      </w:r>
      <w:r w:rsidR="00B60FED">
        <w:rPr>
          <w:rFonts w:ascii="Times New Roman" w:hAnsi="Times New Roman"/>
          <w:color w:val="000000" w:themeColor="text1"/>
        </w:rPr>
        <w:t xml:space="preserve">(IFMS) </w:t>
      </w:r>
      <w:r w:rsidRPr="00545115">
        <w:rPr>
          <w:rFonts w:ascii="Times New Roman" w:hAnsi="Times New Roman"/>
          <w:color w:val="000000" w:themeColor="text1"/>
        </w:rPr>
        <w:t>project</w:t>
      </w:r>
      <w:r w:rsidR="00B60FED">
        <w:rPr>
          <w:rFonts w:ascii="Times New Roman" w:hAnsi="Times New Roman"/>
          <w:color w:val="000000" w:themeColor="text1"/>
        </w:rPr>
        <w:t xml:space="preserve"> since 2016, as NT made payments for which no services were received on technical support and maintenance for the IFMS</w:t>
      </w:r>
      <w:r w:rsidRPr="00545115">
        <w:rPr>
          <w:rFonts w:ascii="Times New Roman" w:hAnsi="Times New Roman"/>
          <w:color w:val="000000" w:themeColor="text1"/>
        </w:rPr>
        <w:t xml:space="preserve">. </w:t>
      </w:r>
      <w:r w:rsidR="00B60FED">
        <w:rPr>
          <w:rFonts w:ascii="Times New Roman" w:hAnsi="Times New Roman"/>
          <w:color w:val="000000" w:themeColor="text1"/>
        </w:rPr>
        <w:t xml:space="preserve">While the Committee had </w:t>
      </w:r>
      <w:r w:rsidRPr="00545115">
        <w:rPr>
          <w:rFonts w:ascii="Times New Roman" w:hAnsi="Times New Roman"/>
          <w:color w:val="000000" w:themeColor="text1"/>
        </w:rPr>
        <w:t>schedule</w:t>
      </w:r>
      <w:r w:rsidR="00B60FED">
        <w:rPr>
          <w:rFonts w:ascii="Times New Roman" w:hAnsi="Times New Roman"/>
          <w:color w:val="000000" w:themeColor="text1"/>
        </w:rPr>
        <w:t>d</w:t>
      </w:r>
      <w:r w:rsidRPr="00545115">
        <w:rPr>
          <w:rFonts w:ascii="Times New Roman" w:hAnsi="Times New Roman"/>
          <w:color w:val="000000" w:themeColor="text1"/>
        </w:rPr>
        <w:t xml:space="preserve"> </w:t>
      </w:r>
      <w:r w:rsidR="00B60FED">
        <w:rPr>
          <w:rFonts w:ascii="Times New Roman" w:hAnsi="Times New Roman"/>
          <w:color w:val="000000" w:themeColor="text1"/>
        </w:rPr>
        <w:t xml:space="preserve">an oversight visit on this </w:t>
      </w:r>
      <w:r w:rsidR="00B60FED">
        <w:rPr>
          <w:rFonts w:ascii="Times New Roman" w:hAnsi="Times New Roman"/>
          <w:color w:val="000000" w:themeColor="text1"/>
        </w:rPr>
        <w:lastRenderedPageBreak/>
        <w:t xml:space="preserve">project, there was a clash in its schedule as the Minister and DG </w:t>
      </w:r>
      <w:proofErr w:type="spellStart"/>
      <w:r w:rsidR="00B60FED">
        <w:rPr>
          <w:rFonts w:ascii="Times New Roman" w:hAnsi="Times New Roman"/>
          <w:color w:val="000000" w:themeColor="text1"/>
        </w:rPr>
        <w:t>Mogajane</w:t>
      </w:r>
      <w:proofErr w:type="spellEnd"/>
      <w:r w:rsidR="00B60FED">
        <w:rPr>
          <w:rFonts w:ascii="Times New Roman" w:hAnsi="Times New Roman"/>
          <w:color w:val="000000" w:themeColor="text1"/>
        </w:rPr>
        <w:t xml:space="preserve"> had to attend the IMF/World Bank Spring Meetings in Washington DC. </w:t>
      </w:r>
    </w:p>
    <w:p w:rsidR="00545CCD" w:rsidRDefault="00B60FED" w:rsidP="00545CCD">
      <w:pPr>
        <w:numPr>
          <w:ilvl w:val="1"/>
          <w:numId w:val="1"/>
        </w:numPr>
        <w:spacing w:line="480" w:lineRule="auto"/>
        <w:contextualSpacing/>
        <w:jc w:val="both"/>
        <w:rPr>
          <w:rFonts w:ascii="Times New Roman" w:hAnsi="Times New Roman"/>
        </w:rPr>
      </w:pPr>
      <w:r>
        <w:rPr>
          <w:rFonts w:ascii="Times New Roman" w:hAnsi="Times New Roman"/>
          <w:color w:val="000000" w:themeColor="text1"/>
        </w:rPr>
        <w:t xml:space="preserve">The Committee remains concerned </w:t>
      </w:r>
      <w:r w:rsidR="00545CCD">
        <w:rPr>
          <w:rFonts w:ascii="Times New Roman" w:hAnsi="Times New Roman"/>
          <w:color w:val="000000" w:themeColor="text1"/>
        </w:rPr>
        <w:t xml:space="preserve">about the IFMS project </w:t>
      </w:r>
      <w:r>
        <w:rPr>
          <w:rFonts w:ascii="Times New Roman" w:hAnsi="Times New Roman"/>
          <w:color w:val="000000" w:themeColor="text1"/>
        </w:rPr>
        <w:t>since the IFMS contract was renewed for a further 5 years</w:t>
      </w:r>
      <w:r w:rsidR="009609ED">
        <w:rPr>
          <w:rFonts w:ascii="Times New Roman" w:hAnsi="Times New Roman"/>
          <w:color w:val="000000" w:themeColor="text1"/>
        </w:rPr>
        <w:t xml:space="preserve"> last year</w:t>
      </w:r>
      <w:r>
        <w:rPr>
          <w:rFonts w:ascii="Times New Roman" w:hAnsi="Times New Roman"/>
          <w:color w:val="000000" w:themeColor="text1"/>
        </w:rPr>
        <w:t xml:space="preserve">, despite the fruitless and wasteful expenditure raised by AGSA for successive years since 2016 and the issuing of the material irregularity against the DG of National Treasury. </w:t>
      </w:r>
    </w:p>
    <w:p w:rsidR="00225098" w:rsidRPr="00225098" w:rsidRDefault="00BB52A3" w:rsidP="00545CCD">
      <w:pPr>
        <w:numPr>
          <w:ilvl w:val="1"/>
          <w:numId w:val="1"/>
        </w:numPr>
        <w:spacing w:line="480" w:lineRule="auto"/>
        <w:contextualSpacing/>
        <w:jc w:val="both"/>
        <w:rPr>
          <w:rFonts w:ascii="Times New Roman" w:hAnsi="Times New Roman"/>
        </w:rPr>
      </w:pPr>
      <w:r w:rsidRPr="00545CCD">
        <w:rPr>
          <w:rFonts w:ascii="Times New Roman" w:hAnsi="Times New Roman"/>
          <w:color w:val="000000" w:themeColor="text1"/>
        </w:rPr>
        <w:t>The Committee expects to b</w:t>
      </w:r>
      <w:r w:rsidR="009609ED">
        <w:rPr>
          <w:rFonts w:ascii="Times New Roman" w:hAnsi="Times New Roman"/>
          <w:color w:val="000000" w:themeColor="text1"/>
        </w:rPr>
        <w:t>e updated on the developments on</w:t>
      </w:r>
      <w:r w:rsidRPr="00545CCD">
        <w:rPr>
          <w:rFonts w:ascii="Times New Roman" w:hAnsi="Times New Roman"/>
          <w:color w:val="000000" w:themeColor="text1"/>
        </w:rPr>
        <w:t xml:space="preserve"> this material irregularity issue in the next quarterly briefing by NT. It also expects to be briefed on whether the investigations on the IFMS by the Special Investigations Unit, the Hawks, and the Public Protector have been finalized or not. The Committee will also invite the Office of the AGSA to the next quarterly meeting as the IFMS project issues need to be resolved</w:t>
      </w:r>
      <w:r w:rsidR="00545CCD">
        <w:rPr>
          <w:rFonts w:ascii="Times New Roman" w:hAnsi="Times New Roman"/>
          <w:color w:val="000000" w:themeColor="text1"/>
        </w:rPr>
        <w:t>, once and for all,</w:t>
      </w:r>
      <w:r w:rsidRPr="00545CCD">
        <w:rPr>
          <w:rFonts w:ascii="Times New Roman" w:hAnsi="Times New Roman"/>
          <w:color w:val="000000" w:themeColor="text1"/>
        </w:rPr>
        <w:t xml:space="preserve"> as they have dragged on for too long.</w:t>
      </w:r>
    </w:p>
    <w:p w:rsidR="00225098" w:rsidRDefault="00225098" w:rsidP="00225098">
      <w:pPr>
        <w:spacing w:line="480" w:lineRule="auto"/>
        <w:contextualSpacing/>
        <w:jc w:val="both"/>
        <w:rPr>
          <w:rFonts w:ascii="Times New Roman" w:hAnsi="Times New Roman"/>
          <w:color w:val="000000" w:themeColor="text1"/>
        </w:rPr>
      </w:pPr>
    </w:p>
    <w:p w:rsidR="009E67BD" w:rsidRPr="00545CCD" w:rsidRDefault="00225098" w:rsidP="00225098">
      <w:pPr>
        <w:spacing w:line="480" w:lineRule="auto"/>
        <w:contextualSpacing/>
        <w:jc w:val="both"/>
        <w:rPr>
          <w:rFonts w:ascii="Times New Roman" w:hAnsi="Times New Roman"/>
        </w:rPr>
      </w:pPr>
      <w:r>
        <w:rPr>
          <w:rFonts w:ascii="Times New Roman" w:hAnsi="Times New Roman"/>
          <w:color w:val="000000" w:themeColor="text1"/>
        </w:rPr>
        <w:t>NT PROGRAMMES</w:t>
      </w:r>
      <w:r w:rsidRPr="00545CCD">
        <w:rPr>
          <w:rFonts w:ascii="Times New Roman" w:hAnsi="Times New Roman"/>
          <w:color w:val="000000" w:themeColor="text1"/>
        </w:rPr>
        <w:t xml:space="preserve"> </w:t>
      </w:r>
    </w:p>
    <w:p w:rsidR="00225098" w:rsidRPr="00FD7005" w:rsidRDefault="00225098" w:rsidP="00FD7005">
      <w:pPr>
        <w:numPr>
          <w:ilvl w:val="1"/>
          <w:numId w:val="1"/>
        </w:numPr>
        <w:spacing w:line="480" w:lineRule="auto"/>
        <w:contextualSpacing/>
        <w:jc w:val="both"/>
        <w:rPr>
          <w:rFonts w:ascii="Times New Roman" w:hAnsi="Times New Roman"/>
        </w:rPr>
      </w:pPr>
      <w:r>
        <w:rPr>
          <w:rFonts w:ascii="Times New Roman" w:hAnsi="Times New Roman"/>
        </w:rPr>
        <w:t>The Committee notes that NT is reviewing go</w:t>
      </w:r>
      <w:r w:rsidR="009609ED">
        <w:rPr>
          <w:rFonts w:ascii="Times New Roman" w:hAnsi="Times New Roman"/>
        </w:rPr>
        <w:t>vernment’s macro-economic policies</w:t>
      </w:r>
      <w:r>
        <w:rPr>
          <w:rFonts w:ascii="Times New Roman" w:hAnsi="Times New Roman"/>
        </w:rPr>
        <w:t xml:space="preserve"> since the global financial crisis of 2008 to the present. This macro-economic policy review will examine how key indicators such as economic growth and employment have evolved since then</w:t>
      </w:r>
      <w:r w:rsidR="00FD7005">
        <w:rPr>
          <w:rFonts w:ascii="Times New Roman" w:hAnsi="Times New Roman"/>
        </w:rPr>
        <w:t xml:space="preserve">. It will also assess the </w:t>
      </w:r>
      <w:r w:rsidRPr="006052A6">
        <w:rPr>
          <w:rFonts w:ascii="Times New Roman" w:eastAsia="Times New Roman" w:hAnsi="Times New Roman"/>
        </w:rPr>
        <w:t>government’s fiscal, monetary and macro</w:t>
      </w:r>
      <w:r w:rsidR="00FD7005">
        <w:rPr>
          <w:rFonts w:ascii="Times New Roman" w:eastAsia="Times New Roman" w:hAnsi="Times New Roman"/>
        </w:rPr>
        <w:t>-</w:t>
      </w:r>
      <w:r w:rsidRPr="006052A6">
        <w:rPr>
          <w:rFonts w:ascii="Times New Roman" w:eastAsia="Times New Roman" w:hAnsi="Times New Roman"/>
        </w:rPr>
        <w:t xml:space="preserve">prudential policy choices; and propose appropriate reforms to policy targets and institutional frameworks. </w:t>
      </w:r>
      <w:r w:rsidR="00FD7005">
        <w:rPr>
          <w:rFonts w:ascii="Times New Roman" w:eastAsia="Times New Roman" w:hAnsi="Times New Roman"/>
        </w:rPr>
        <w:t>The Committee expects to be briefed on this review once it is finalized.</w:t>
      </w:r>
    </w:p>
    <w:p w:rsidR="00FD7005" w:rsidRDefault="00FD7005" w:rsidP="00FD7005">
      <w:pPr>
        <w:numPr>
          <w:ilvl w:val="1"/>
          <w:numId w:val="1"/>
        </w:numPr>
        <w:spacing w:line="480" w:lineRule="auto"/>
        <w:contextualSpacing/>
        <w:jc w:val="both"/>
        <w:rPr>
          <w:rFonts w:ascii="Times New Roman" w:hAnsi="Times New Roman"/>
        </w:rPr>
      </w:pPr>
      <w:r>
        <w:rPr>
          <w:rFonts w:ascii="Times New Roman" w:hAnsi="Times New Roman"/>
        </w:rPr>
        <w:t xml:space="preserve">The Committee </w:t>
      </w:r>
      <w:r w:rsidR="005C6642">
        <w:rPr>
          <w:rFonts w:ascii="Times New Roman" w:hAnsi="Times New Roman"/>
        </w:rPr>
        <w:t>was</w:t>
      </w:r>
      <w:r w:rsidR="00EB6EB3">
        <w:rPr>
          <w:rFonts w:ascii="Times New Roman" w:hAnsi="Times New Roman"/>
        </w:rPr>
        <w:t xml:space="preserve"> </w:t>
      </w:r>
      <w:r>
        <w:rPr>
          <w:rFonts w:ascii="Times New Roman" w:hAnsi="Times New Roman"/>
        </w:rPr>
        <w:t>concern</w:t>
      </w:r>
      <w:r w:rsidR="00EB6EB3">
        <w:rPr>
          <w:rFonts w:ascii="Times New Roman" w:hAnsi="Times New Roman"/>
        </w:rPr>
        <w:t>ed</w:t>
      </w:r>
      <w:r>
        <w:rPr>
          <w:rFonts w:ascii="Times New Roman" w:hAnsi="Times New Roman"/>
        </w:rPr>
        <w:t xml:space="preserve"> </w:t>
      </w:r>
      <w:r w:rsidR="005C6642">
        <w:rPr>
          <w:rFonts w:ascii="Times New Roman" w:hAnsi="Times New Roman"/>
        </w:rPr>
        <w:t>by media reports which purported t</w:t>
      </w:r>
      <w:r>
        <w:rPr>
          <w:rFonts w:ascii="Times New Roman" w:hAnsi="Times New Roman"/>
        </w:rPr>
        <w:t>hat</w:t>
      </w:r>
      <w:r w:rsidR="005C6642">
        <w:rPr>
          <w:rFonts w:ascii="Times New Roman" w:hAnsi="Times New Roman"/>
        </w:rPr>
        <w:t>,</w:t>
      </w:r>
      <w:r>
        <w:rPr>
          <w:rFonts w:ascii="Times New Roman" w:hAnsi="Times New Roman"/>
        </w:rPr>
        <w:t xml:space="preserve"> as the custodian of national assets of the country, NT was </w:t>
      </w:r>
      <w:r w:rsidR="005C6642">
        <w:rPr>
          <w:rFonts w:ascii="Times New Roman" w:hAnsi="Times New Roman"/>
        </w:rPr>
        <w:t xml:space="preserve">not </w:t>
      </w:r>
      <w:r>
        <w:rPr>
          <w:rFonts w:ascii="Times New Roman" w:hAnsi="Times New Roman"/>
        </w:rPr>
        <w:t xml:space="preserve">involved in the </w:t>
      </w:r>
      <w:r w:rsidR="005C6642">
        <w:rPr>
          <w:rFonts w:ascii="Times New Roman" w:hAnsi="Times New Roman"/>
        </w:rPr>
        <w:t xml:space="preserve">disposal </w:t>
      </w:r>
      <w:r>
        <w:rPr>
          <w:rFonts w:ascii="Times New Roman" w:hAnsi="Times New Roman"/>
        </w:rPr>
        <w:t xml:space="preserve">of </w:t>
      </w:r>
      <w:r w:rsidR="005C6642">
        <w:rPr>
          <w:rFonts w:ascii="Times New Roman" w:hAnsi="Times New Roman"/>
        </w:rPr>
        <w:t xml:space="preserve">51 percent of </w:t>
      </w:r>
      <w:r>
        <w:rPr>
          <w:rFonts w:ascii="Times New Roman" w:hAnsi="Times New Roman"/>
        </w:rPr>
        <w:t>SAA shares</w:t>
      </w:r>
      <w:r w:rsidR="005C6642">
        <w:rPr>
          <w:rFonts w:ascii="Times New Roman" w:hAnsi="Times New Roman"/>
        </w:rPr>
        <w:t xml:space="preserve"> to a private equity partner</w:t>
      </w:r>
      <w:r>
        <w:rPr>
          <w:rFonts w:ascii="Times New Roman" w:hAnsi="Times New Roman"/>
        </w:rPr>
        <w:t xml:space="preserve">. The Committee </w:t>
      </w:r>
      <w:r w:rsidR="00EB6EB3">
        <w:rPr>
          <w:rFonts w:ascii="Times New Roman" w:hAnsi="Times New Roman"/>
        </w:rPr>
        <w:t xml:space="preserve">would like to </w:t>
      </w:r>
      <w:proofErr w:type="spellStart"/>
      <w:r w:rsidR="00EB6EB3">
        <w:rPr>
          <w:rFonts w:ascii="Times New Roman" w:hAnsi="Times New Roman"/>
        </w:rPr>
        <w:t>emphasise</w:t>
      </w:r>
      <w:proofErr w:type="spellEnd"/>
      <w:r w:rsidR="00EB6EB3">
        <w:rPr>
          <w:rFonts w:ascii="Times New Roman" w:hAnsi="Times New Roman"/>
        </w:rPr>
        <w:t xml:space="preserve"> that NT needs to play its role as provided for in </w:t>
      </w:r>
      <w:r w:rsidR="005D453F">
        <w:rPr>
          <w:rFonts w:ascii="Times New Roman" w:hAnsi="Times New Roman"/>
        </w:rPr>
        <w:t xml:space="preserve">section 54 of </w:t>
      </w:r>
      <w:r w:rsidR="00EB6EB3">
        <w:rPr>
          <w:rFonts w:ascii="Times New Roman" w:hAnsi="Times New Roman"/>
        </w:rPr>
        <w:t xml:space="preserve">the Public Finance Management Act, 1999, when significant shareholding is disposed of in State-Owned Companies. </w:t>
      </w:r>
      <w:r>
        <w:rPr>
          <w:rFonts w:ascii="Times New Roman" w:hAnsi="Times New Roman"/>
        </w:rPr>
        <w:t xml:space="preserve"> </w:t>
      </w:r>
    </w:p>
    <w:p w:rsidR="005C6642" w:rsidRDefault="0074640E" w:rsidP="00FD7005">
      <w:pPr>
        <w:numPr>
          <w:ilvl w:val="1"/>
          <w:numId w:val="1"/>
        </w:numPr>
        <w:spacing w:line="480" w:lineRule="auto"/>
        <w:contextualSpacing/>
        <w:jc w:val="both"/>
        <w:rPr>
          <w:rFonts w:ascii="Times New Roman" w:hAnsi="Times New Roman"/>
        </w:rPr>
      </w:pPr>
      <w:r>
        <w:rPr>
          <w:rFonts w:ascii="Times New Roman" w:hAnsi="Times New Roman"/>
        </w:rPr>
        <w:lastRenderedPageBreak/>
        <w:t>Considering the dire situation of financial management in municipalities, t</w:t>
      </w:r>
      <w:r w:rsidR="005C6642">
        <w:rPr>
          <w:rFonts w:ascii="Times New Roman" w:hAnsi="Times New Roman"/>
        </w:rPr>
        <w:t>he C</w:t>
      </w:r>
      <w:r>
        <w:rPr>
          <w:rFonts w:ascii="Times New Roman" w:hAnsi="Times New Roman"/>
        </w:rPr>
        <w:t>ommittee is doubtful of</w:t>
      </w:r>
      <w:r w:rsidR="005C6642">
        <w:rPr>
          <w:rFonts w:ascii="Times New Roman" w:hAnsi="Times New Roman"/>
        </w:rPr>
        <w:t xml:space="preserve"> the </w:t>
      </w:r>
      <w:r>
        <w:rPr>
          <w:rFonts w:ascii="Times New Roman" w:hAnsi="Times New Roman"/>
        </w:rPr>
        <w:t xml:space="preserve">effectiveness </w:t>
      </w:r>
      <w:r w:rsidR="005C6642">
        <w:rPr>
          <w:rFonts w:ascii="Times New Roman" w:hAnsi="Times New Roman"/>
        </w:rPr>
        <w:t xml:space="preserve">of the Municipal Finance Improvement </w:t>
      </w:r>
      <w:proofErr w:type="spellStart"/>
      <w:r w:rsidR="005C6642">
        <w:rPr>
          <w:rFonts w:ascii="Times New Roman" w:hAnsi="Times New Roman"/>
        </w:rPr>
        <w:t>Programme</w:t>
      </w:r>
      <w:proofErr w:type="spellEnd"/>
      <w:r w:rsidR="00EF3397">
        <w:rPr>
          <w:rFonts w:ascii="Times New Roman" w:hAnsi="Times New Roman"/>
        </w:rPr>
        <w:t xml:space="preserve"> (MFIP)</w:t>
      </w:r>
      <w:r>
        <w:rPr>
          <w:rFonts w:ascii="Times New Roman" w:hAnsi="Times New Roman"/>
        </w:rPr>
        <w:t xml:space="preserve">. The Committee will schedule a briefing on the details of this </w:t>
      </w:r>
      <w:proofErr w:type="spellStart"/>
      <w:r>
        <w:rPr>
          <w:rFonts w:ascii="Times New Roman" w:hAnsi="Times New Roman"/>
        </w:rPr>
        <w:t>programme</w:t>
      </w:r>
      <w:proofErr w:type="spellEnd"/>
      <w:r>
        <w:rPr>
          <w:rFonts w:ascii="Times New Roman" w:hAnsi="Times New Roman"/>
        </w:rPr>
        <w:t xml:space="preserve"> and its achievements and challenges over the past financial years</w:t>
      </w:r>
      <w:r w:rsidR="00EF3397">
        <w:rPr>
          <w:rFonts w:ascii="Times New Roman" w:hAnsi="Times New Roman"/>
        </w:rPr>
        <w:t xml:space="preserve"> given that the MFIP five-year </w:t>
      </w:r>
      <w:proofErr w:type="spellStart"/>
      <w:r w:rsidR="00EF3397">
        <w:rPr>
          <w:rFonts w:ascii="Times New Roman" w:hAnsi="Times New Roman"/>
        </w:rPr>
        <w:t>programme</w:t>
      </w:r>
      <w:proofErr w:type="spellEnd"/>
      <w:r w:rsidR="00EF3397">
        <w:rPr>
          <w:rFonts w:ascii="Times New Roman" w:hAnsi="Times New Roman"/>
        </w:rPr>
        <w:t xml:space="preserve"> cycle</w:t>
      </w:r>
      <w:r w:rsidR="009609ED">
        <w:rPr>
          <w:rFonts w:ascii="Times New Roman" w:hAnsi="Times New Roman"/>
        </w:rPr>
        <w:t xml:space="preserve"> i</w:t>
      </w:r>
      <w:r w:rsidR="00EF3397">
        <w:rPr>
          <w:rFonts w:ascii="Times New Roman" w:hAnsi="Times New Roman"/>
        </w:rPr>
        <w:t>s coming to an end</w:t>
      </w:r>
      <w:r>
        <w:rPr>
          <w:rFonts w:ascii="Times New Roman" w:hAnsi="Times New Roman"/>
        </w:rPr>
        <w:t xml:space="preserve">. </w:t>
      </w:r>
      <w:r w:rsidR="00EF3397">
        <w:rPr>
          <w:rFonts w:ascii="Times New Roman" w:hAnsi="Times New Roman"/>
        </w:rPr>
        <w:t>It will be important to t</w:t>
      </w:r>
      <w:r w:rsidR="009609ED">
        <w:rPr>
          <w:rFonts w:ascii="Times New Roman" w:hAnsi="Times New Roman"/>
        </w:rPr>
        <w:t>ake stock of the lessons learned</w:t>
      </w:r>
      <w:r w:rsidR="00EF3397">
        <w:rPr>
          <w:rFonts w:ascii="Times New Roman" w:hAnsi="Times New Roman"/>
        </w:rPr>
        <w:t xml:space="preserve"> and challenges encountered. </w:t>
      </w:r>
      <w:r>
        <w:rPr>
          <w:rFonts w:ascii="Times New Roman" w:hAnsi="Times New Roman"/>
        </w:rPr>
        <w:t xml:space="preserve">The Committee will liaise with the Department and </w:t>
      </w:r>
      <w:r w:rsidR="00EF3397">
        <w:rPr>
          <w:rFonts w:ascii="Times New Roman" w:hAnsi="Times New Roman"/>
        </w:rPr>
        <w:t xml:space="preserve">the </w:t>
      </w:r>
      <w:r>
        <w:rPr>
          <w:rFonts w:ascii="Times New Roman" w:hAnsi="Times New Roman"/>
        </w:rPr>
        <w:t>Portfolio Committee on C</w:t>
      </w:r>
      <w:r w:rsidR="00EF3397">
        <w:rPr>
          <w:rFonts w:ascii="Times New Roman" w:hAnsi="Times New Roman"/>
        </w:rPr>
        <w:t xml:space="preserve">ooperative </w:t>
      </w:r>
      <w:r>
        <w:rPr>
          <w:rFonts w:ascii="Times New Roman" w:hAnsi="Times New Roman"/>
        </w:rPr>
        <w:t>G</w:t>
      </w:r>
      <w:r w:rsidR="00EF3397">
        <w:rPr>
          <w:rFonts w:ascii="Times New Roman" w:hAnsi="Times New Roman"/>
        </w:rPr>
        <w:t xml:space="preserve">overnment and </w:t>
      </w:r>
      <w:r>
        <w:rPr>
          <w:rFonts w:ascii="Times New Roman" w:hAnsi="Times New Roman"/>
        </w:rPr>
        <w:t>T</w:t>
      </w:r>
      <w:r w:rsidR="00EF3397">
        <w:rPr>
          <w:rFonts w:ascii="Times New Roman" w:hAnsi="Times New Roman"/>
        </w:rPr>
        <w:t xml:space="preserve">raditional </w:t>
      </w:r>
      <w:r>
        <w:rPr>
          <w:rFonts w:ascii="Times New Roman" w:hAnsi="Times New Roman"/>
        </w:rPr>
        <w:t>A</w:t>
      </w:r>
      <w:r w:rsidR="00EF3397">
        <w:rPr>
          <w:rFonts w:ascii="Times New Roman" w:hAnsi="Times New Roman"/>
        </w:rPr>
        <w:t>ffairs (COGTA)</w:t>
      </w:r>
      <w:r>
        <w:rPr>
          <w:rFonts w:ascii="Times New Roman" w:hAnsi="Times New Roman"/>
        </w:rPr>
        <w:t xml:space="preserve"> in order arrange a joint briefing</w:t>
      </w:r>
      <w:r w:rsidR="009609ED">
        <w:rPr>
          <w:rFonts w:ascii="Times New Roman" w:hAnsi="Times New Roman"/>
        </w:rPr>
        <w:t xml:space="preserve"> on this sub-</w:t>
      </w:r>
      <w:proofErr w:type="spellStart"/>
      <w:r w:rsidR="009609ED">
        <w:rPr>
          <w:rFonts w:ascii="Times New Roman" w:hAnsi="Times New Roman"/>
        </w:rPr>
        <w:t>programme</w:t>
      </w:r>
      <w:proofErr w:type="spellEnd"/>
      <w:r>
        <w:rPr>
          <w:rFonts w:ascii="Times New Roman" w:hAnsi="Times New Roman"/>
        </w:rPr>
        <w:t xml:space="preserve">.  </w:t>
      </w:r>
      <w:r w:rsidR="005C6642">
        <w:rPr>
          <w:rFonts w:ascii="Times New Roman" w:hAnsi="Times New Roman"/>
        </w:rPr>
        <w:t xml:space="preserve"> </w:t>
      </w:r>
    </w:p>
    <w:p w:rsidR="00EF3397" w:rsidRDefault="0036298E" w:rsidP="00FD7005">
      <w:pPr>
        <w:numPr>
          <w:ilvl w:val="1"/>
          <w:numId w:val="1"/>
        </w:numPr>
        <w:spacing w:line="480" w:lineRule="auto"/>
        <w:contextualSpacing/>
        <w:jc w:val="both"/>
        <w:rPr>
          <w:rFonts w:ascii="Times New Roman" w:hAnsi="Times New Roman"/>
        </w:rPr>
      </w:pPr>
      <w:r>
        <w:rPr>
          <w:rFonts w:ascii="Times New Roman" w:hAnsi="Times New Roman"/>
        </w:rPr>
        <w:t xml:space="preserve">On </w:t>
      </w:r>
      <w:proofErr w:type="spellStart"/>
      <w:r>
        <w:rPr>
          <w:rFonts w:ascii="Times New Roman" w:hAnsi="Times New Roman"/>
        </w:rPr>
        <w:t>P</w:t>
      </w:r>
      <w:r w:rsidR="009609ED">
        <w:rPr>
          <w:rFonts w:ascii="Times New Roman" w:hAnsi="Times New Roman"/>
        </w:rPr>
        <w:t>rogramme</w:t>
      </w:r>
      <w:proofErr w:type="spellEnd"/>
      <w:r w:rsidR="009609ED">
        <w:rPr>
          <w:rFonts w:ascii="Times New Roman" w:hAnsi="Times New Roman"/>
        </w:rPr>
        <w:t xml:space="preserve"> 7</w:t>
      </w:r>
      <w:r>
        <w:rPr>
          <w:rFonts w:ascii="Times New Roman" w:hAnsi="Times New Roman"/>
        </w:rPr>
        <w:t xml:space="preserve">, the Committee notes the ongoing challenges with the payment of the military veterans’ pensions. The Committee further notes that NT has discovered many irregularities, including that some veterans would not necessarily be </w:t>
      </w:r>
      <w:r w:rsidR="002A0EE3">
        <w:rPr>
          <w:rFonts w:ascii="Times New Roman" w:hAnsi="Times New Roman"/>
        </w:rPr>
        <w:t>veterans. The Committee will, in the near quarter, schedule a briefing on the details of these challenges and how they are being resolved.</w:t>
      </w:r>
      <w:r w:rsidR="009D5270">
        <w:rPr>
          <w:rFonts w:ascii="Times New Roman" w:hAnsi="Times New Roman"/>
        </w:rPr>
        <w:t xml:space="preserve"> The Committee will explore that possibility of a joint-briefing with all the affected departments and Committees of Parliament. </w:t>
      </w:r>
      <w:r w:rsidR="002A0EE3">
        <w:rPr>
          <w:rFonts w:ascii="Times New Roman" w:hAnsi="Times New Roman"/>
        </w:rPr>
        <w:t xml:space="preserve"> </w:t>
      </w:r>
    </w:p>
    <w:p w:rsidR="002A0EE3" w:rsidRDefault="002A0EE3" w:rsidP="002A0EE3">
      <w:pPr>
        <w:numPr>
          <w:ilvl w:val="1"/>
          <w:numId w:val="1"/>
        </w:numPr>
        <w:spacing w:line="480" w:lineRule="auto"/>
        <w:contextualSpacing/>
        <w:jc w:val="both"/>
        <w:rPr>
          <w:rFonts w:ascii="Times New Roman" w:hAnsi="Times New Roman"/>
        </w:rPr>
      </w:pPr>
      <w:r>
        <w:rPr>
          <w:rFonts w:ascii="Times New Roman" w:hAnsi="Times New Roman"/>
        </w:rPr>
        <w:t>As stated in the Committee’s previous report, t</w:t>
      </w:r>
      <w:r w:rsidRPr="00545115">
        <w:rPr>
          <w:rFonts w:ascii="Times New Roman" w:hAnsi="Times New Roman"/>
        </w:rPr>
        <w:t>he Committee notes that although ongoing, the pensi</w:t>
      </w:r>
      <w:r w:rsidR="00A36A18">
        <w:rPr>
          <w:rFonts w:ascii="Times New Roman" w:hAnsi="Times New Roman"/>
        </w:rPr>
        <w:t xml:space="preserve">on fund reforms have been very </w:t>
      </w:r>
      <w:r w:rsidRPr="00545115">
        <w:rPr>
          <w:rFonts w:ascii="Times New Roman" w:hAnsi="Times New Roman"/>
        </w:rPr>
        <w:t xml:space="preserve">slow. The Committee also notes that </w:t>
      </w:r>
      <w:r>
        <w:rPr>
          <w:rFonts w:ascii="Times New Roman" w:hAnsi="Times New Roman"/>
        </w:rPr>
        <w:t xml:space="preserve">one of </w:t>
      </w:r>
      <w:r w:rsidRPr="00545115">
        <w:rPr>
          <w:rFonts w:ascii="Times New Roman" w:hAnsi="Times New Roman"/>
        </w:rPr>
        <w:t xml:space="preserve">the </w:t>
      </w:r>
      <w:r>
        <w:rPr>
          <w:rFonts w:ascii="Times New Roman" w:hAnsi="Times New Roman"/>
        </w:rPr>
        <w:t xml:space="preserve">main </w:t>
      </w:r>
      <w:r w:rsidRPr="00545115">
        <w:rPr>
          <w:rFonts w:ascii="Times New Roman" w:hAnsi="Times New Roman"/>
        </w:rPr>
        <w:t>reason</w:t>
      </w:r>
      <w:r>
        <w:rPr>
          <w:rFonts w:ascii="Times New Roman" w:hAnsi="Times New Roman"/>
        </w:rPr>
        <w:t>s</w:t>
      </w:r>
      <w:r w:rsidRPr="00545115">
        <w:rPr>
          <w:rFonts w:ascii="Times New Roman" w:hAnsi="Times New Roman"/>
        </w:rPr>
        <w:t xml:space="preserve"> for the slow progress </w:t>
      </w:r>
      <w:r>
        <w:rPr>
          <w:rFonts w:ascii="Times New Roman" w:hAnsi="Times New Roman"/>
        </w:rPr>
        <w:t xml:space="preserve">is the </w:t>
      </w:r>
      <w:r w:rsidRPr="00545115">
        <w:rPr>
          <w:rFonts w:ascii="Times New Roman" w:hAnsi="Times New Roman"/>
        </w:rPr>
        <w:t>complex</w:t>
      </w:r>
      <w:r>
        <w:rPr>
          <w:rFonts w:ascii="Times New Roman" w:hAnsi="Times New Roman"/>
        </w:rPr>
        <w:t>ity of</w:t>
      </w:r>
      <w:r w:rsidRPr="00545115">
        <w:rPr>
          <w:rFonts w:ascii="Times New Roman" w:hAnsi="Times New Roman"/>
        </w:rPr>
        <w:t xml:space="preserve"> discussions at </w:t>
      </w:r>
      <w:proofErr w:type="spellStart"/>
      <w:r w:rsidRPr="00545115">
        <w:rPr>
          <w:rFonts w:ascii="Times New Roman" w:hAnsi="Times New Roman"/>
        </w:rPr>
        <w:t>Nedlac</w:t>
      </w:r>
      <w:proofErr w:type="spellEnd"/>
      <w:r w:rsidRPr="00545115">
        <w:rPr>
          <w:rFonts w:ascii="Times New Roman" w:hAnsi="Times New Roman"/>
        </w:rPr>
        <w:t xml:space="preserve">. </w:t>
      </w:r>
      <w:r>
        <w:rPr>
          <w:rFonts w:ascii="Times New Roman" w:hAnsi="Times New Roman"/>
        </w:rPr>
        <w:t>The Committee requires NT to brief it on the progress being made on these reforms</w:t>
      </w:r>
      <w:r w:rsidR="00A36A18">
        <w:rPr>
          <w:rFonts w:ascii="Times New Roman" w:hAnsi="Times New Roman"/>
        </w:rPr>
        <w:t>, including specific action with deadlines to be taken.</w:t>
      </w:r>
    </w:p>
    <w:p w:rsidR="009E67BD" w:rsidRDefault="009E67BD" w:rsidP="009E67BD">
      <w:pPr>
        <w:numPr>
          <w:ilvl w:val="1"/>
          <w:numId w:val="1"/>
        </w:numPr>
        <w:spacing w:line="480" w:lineRule="auto"/>
        <w:contextualSpacing/>
        <w:jc w:val="both"/>
        <w:rPr>
          <w:rFonts w:ascii="Times New Roman" w:hAnsi="Times New Roman"/>
        </w:rPr>
      </w:pPr>
      <w:r w:rsidRPr="00545115">
        <w:rPr>
          <w:rFonts w:ascii="Times New Roman" w:hAnsi="Times New Roman"/>
        </w:rPr>
        <w:t>The</w:t>
      </w:r>
      <w:r w:rsidR="005C6642">
        <w:rPr>
          <w:rFonts w:ascii="Times New Roman" w:hAnsi="Times New Roman"/>
        </w:rPr>
        <w:t xml:space="preserve"> Committee notes the work of</w:t>
      </w:r>
      <w:r w:rsidRPr="00545115">
        <w:rPr>
          <w:rFonts w:ascii="Times New Roman" w:hAnsi="Times New Roman"/>
        </w:rPr>
        <w:t xml:space="preserve"> NT on the funding of anti-gender-based violence efforts under </w:t>
      </w:r>
      <w:proofErr w:type="spellStart"/>
      <w:r w:rsidRPr="00545115">
        <w:rPr>
          <w:rFonts w:ascii="Times New Roman" w:hAnsi="Times New Roman"/>
        </w:rPr>
        <w:t>Programme</w:t>
      </w:r>
      <w:proofErr w:type="spellEnd"/>
      <w:r w:rsidRPr="00545115">
        <w:rPr>
          <w:rFonts w:ascii="Times New Roman" w:hAnsi="Times New Roman"/>
        </w:rPr>
        <w:t xml:space="preserve"> O</w:t>
      </w:r>
      <w:r w:rsidR="005E3417">
        <w:rPr>
          <w:rFonts w:ascii="Times New Roman" w:hAnsi="Times New Roman"/>
        </w:rPr>
        <w:t>ne. In view of the escalation of</w:t>
      </w:r>
      <w:r w:rsidRPr="00545115">
        <w:rPr>
          <w:rFonts w:ascii="Times New Roman" w:hAnsi="Times New Roman"/>
        </w:rPr>
        <w:t xml:space="preserve"> gender-based violence, the Committee would like to be briefed in more detail</w:t>
      </w:r>
      <w:r w:rsidR="00DC0DBA">
        <w:rPr>
          <w:rFonts w:ascii="Times New Roman" w:hAnsi="Times New Roman"/>
        </w:rPr>
        <w:t>s</w:t>
      </w:r>
      <w:r w:rsidRPr="00545115">
        <w:rPr>
          <w:rFonts w:ascii="Times New Roman" w:hAnsi="Times New Roman"/>
        </w:rPr>
        <w:t xml:space="preserve"> on this in the next quarterly briefing. </w:t>
      </w:r>
    </w:p>
    <w:p w:rsidR="002A0EE3" w:rsidRDefault="002A0EE3" w:rsidP="002A0EE3">
      <w:pPr>
        <w:spacing w:line="480" w:lineRule="auto"/>
        <w:contextualSpacing/>
        <w:jc w:val="both"/>
        <w:rPr>
          <w:rFonts w:ascii="Times New Roman" w:hAnsi="Times New Roman"/>
        </w:rPr>
      </w:pPr>
    </w:p>
    <w:p w:rsidR="00A36A18" w:rsidRDefault="00A36A18" w:rsidP="002A0EE3">
      <w:pPr>
        <w:spacing w:line="480" w:lineRule="auto"/>
        <w:contextualSpacing/>
        <w:jc w:val="both"/>
        <w:rPr>
          <w:rFonts w:ascii="Times New Roman" w:hAnsi="Times New Roman"/>
        </w:rPr>
      </w:pPr>
    </w:p>
    <w:p w:rsidR="00A36A18" w:rsidRDefault="00A36A18" w:rsidP="002A0EE3">
      <w:pPr>
        <w:spacing w:line="480" w:lineRule="auto"/>
        <w:contextualSpacing/>
        <w:jc w:val="both"/>
        <w:rPr>
          <w:rFonts w:ascii="Times New Roman" w:hAnsi="Times New Roman"/>
        </w:rPr>
      </w:pPr>
    </w:p>
    <w:p w:rsidR="002A0EE3" w:rsidRPr="00545115" w:rsidRDefault="002A0EE3" w:rsidP="002A0EE3">
      <w:pPr>
        <w:spacing w:line="480" w:lineRule="auto"/>
        <w:contextualSpacing/>
        <w:jc w:val="both"/>
        <w:rPr>
          <w:rFonts w:ascii="Times New Roman" w:hAnsi="Times New Roman"/>
        </w:rPr>
      </w:pPr>
      <w:r>
        <w:rPr>
          <w:rFonts w:ascii="Times New Roman" w:hAnsi="Times New Roman"/>
        </w:rPr>
        <w:lastRenderedPageBreak/>
        <w:t>SARS PROGRAMMES</w:t>
      </w:r>
    </w:p>
    <w:p w:rsidR="009D5270" w:rsidRDefault="003D1BE0" w:rsidP="00906E81">
      <w:pPr>
        <w:pStyle w:val="ListParagraph"/>
        <w:numPr>
          <w:ilvl w:val="1"/>
          <w:numId w:val="1"/>
        </w:numPr>
        <w:spacing w:after="0" w:line="480" w:lineRule="auto"/>
        <w:jc w:val="both"/>
        <w:rPr>
          <w:rFonts w:ascii="Times New Roman" w:hAnsi="Times New Roman" w:cs="Times New Roman"/>
          <w:sz w:val="24"/>
          <w:szCs w:val="24"/>
        </w:rPr>
      </w:pPr>
      <w:r>
        <w:rPr>
          <w:rFonts w:ascii="Times New Roman" w:hAnsi="Times New Roman"/>
        </w:rPr>
        <w:t xml:space="preserve">The Committee notes that since its formation in 1997, </w:t>
      </w:r>
      <w:r>
        <w:rPr>
          <w:rFonts w:ascii="Times New Roman" w:hAnsi="Times New Roman" w:cs="Times New Roman"/>
          <w:sz w:val="24"/>
          <w:szCs w:val="24"/>
        </w:rPr>
        <w:t>SARS has collected almost R18 trillion to date, from a humble R147 billion in its first year. In the previous financial year, SARS’s revenue collection has increased by 10 fold</w:t>
      </w:r>
      <w:r w:rsidR="00906E81">
        <w:rPr>
          <w:rFonts w:ascii="Times New Roman" w:hAnsi="Times New Roman" w:cs="Times New Roman"/>
          <w:sz w:val="24"/>
          <w:szCs w:val="24"/>
        </w:rPr>
        <w:t xml:space="preserve"> since 1997</w:t>
      </w:r>
      <w:r>
        <w:rPr>
          <w:rFonts w:ascii="Times New Roman" w:hAnsi="Times New Roman" w:cs="Times New Roman"/>
          <w:sz w:val="24"/>
          <w:szCs w:val="24"/>
        </w:rPr>
        <w:t>, with net revenues of over R1,5 trillion.</w:t>
      </w:r>
      <w:r w:rsidR="00906E81">
        <w:rPr>
          <w:rFonts w:ascii="Times New Roman" w:hAnsi="Times New Roman" w:cs="Times New Roman"/>
          <w:sz w:val="24"/>
          <w:szCs w:val="24"/>
        </w:rPr>
        <w:t xml:space="preserve"> The Committee commends SARS on these milestones.  </w:t>
      </w:r>
    </w:p>
    <w:p w:rsidR="00906E81" w:rsidRPr="00906E81" w:rsidRDefault="00906E81" w:rsidP="00906E81">
      <w:pPr>
        <w:pStyle w:val="ListParagraph"/>
        <w:numPr>
          <w:ilvl w:val="1"/>
          <w:numId w:val="1"/>
        </w:numPr>
        <w:spacing w:after="0" w:line="480" w:lineRule="auto"/>
        <w:jc w:val="both"/>
        <w:rPr>
          <w:rFonts w:ascii="Times New Roman" w:hAnsi="Times New Roman" w:cs="Times New Roman"/>
          <w:sz w:val="24"/>
          <w:szCs w:val="24"/>
        </w:rPr>
      </w:pPr>
      <w:r w:rsidRPr="00906E81">
        <w:rPr>
          <w:rFonts w:ascii="Times New Roman" w:hAnsi="Times New Roman" w:cs="Times New Roman"/>
          <w:sz w:val="24"/>
          <w:szCs w:val="24"/>
        </w:rPr>
        <w:t xml:space="preserve">The Committee </w:t>
      </w:r>
      <w:r>
        <w:rPr>
          <w:rFonts w:ascii="Times New Roman" w:hAnsi="Times New Roman" w:cs="Times New Roman"/>
          <w:sz w:val="24"/>
          <w:szCs w:val="24"/>
        </w:rPr>
        <w:t xml:space="preserve">also </w:t>
      </w:r>
      <w:r w:rsidRPr="00906E81">
        <w:rPr>
          <w:rFonts w:ascii="Times New Roman" w:hAnsi="Times New Roman" w:cs="Times New Roman"/>
          <w:sz w:val="24"/>
          <w:szCs w:val="24"/>
        </w:rPr>
        <w:t xml:space="preserve">agrees with the Deputy Minister that a well-functioning revenue service </w:t>
      </w:r>
      <w:r w:rsidR="009D5270">
        <w:rPr>
          <w:rFonts w:ascii="Times New Roman" w:hAnsi="Times New Roman" w:cs="Times New Roman"/>
          <w:sz w:val="24"/>
          <w:szCs w:val="24"/>
        </w:rPr>
        <w:t>i</w:t>
      </w:r>
      <w:r w:rsidRPr="00906E81">
        <w:rPr>
          <w:rFonts w:ascii="Times New Roman" w:hAnsi="Times New Roman" w:cs="Times New Roman"/>
          <w:sz w:val="24"/>
          <w:szCs w:val="24"/>
        </w:rPr>
        <w:t xml:space="preserve">s key to the country’s developmental ambitions. </w:t>
      </w:r>
      <w:r>
        <w:rPr>
          <w:rFonts w:ascii="Times New Roman" w:hAnsi="Times New Roman" w:cs="Times New Roman"/>
          <w:sz w:val="24"/>
          <w:szCs w:val="24"/>
        </w:rPr>
        <w:t xml:space="preserve">The Committee also acknowledges the </w:t>
      </w:r>
      <w:r w:rsidRPr="00906E81">
        <w:rPr>
          <w:rFonts w:ascii="Times New Roman" w:hAnsi="Times New Roman" w:cs="Times New Roman"/>
          <w:sz w:val="24"/>
          <w:szCs w:val="24"/>
        </w:rPr>
        <w:t>contribut</w:t>
      </w:r>
      <w:r>
        <w:rPr>
          <w:rFonts w:ascii="Times New Roman" w:hAnsi="Times New Roman" w:cs="Times New Roman"/>
          <w:sz w:val="24"/>
          <w:szCs w:val="24"/>
        </w:rPr>
        <w:t xml:space="preserve">ion of SARS </w:t>
      </w:r>
      <w:r w:rsidRPr="00906E81">
        <w:rPr>
          <w:rFonts w:ascii="Times New Roman" w:hAnsi="Times New Roman" w:cs="Times New Roman"/>
          <w:sz w:val="24"/>
          <w:szCs w:val="24"/>
        </w:rPr>
        <w:t xml:space="preserve">to the improvement of </w:t>
      </w:r>
      <w:r w:rsidR="009D5270">
        <w:rPr>
          <w:rFonts w:ascii="Times New Roman" w:hAnsi="Times New Roman" w:cs="Times New Roman"/>
          <w:sz w:val="24"/>
          <w:szCs w:val="24"/>
        </w:rPr>
        <w:t xml:space="preserve">the lives of South Africans and residents </w:t>
      </w:r>
      <w:r w:rsidRPr="00906E81">
        <w:rPr>
          <w:rFonts w:ascii="Times New Roman" w:hAnsi="Times New Roman" w:cs="Times New Roman"/>
          <w:sz w:val="24"/>
          <w:szCs w:val="24"/>
        </w:rPr>
        <w:t xml:space="preserve">through </w:t>
      </w:r>
      <w:r w:rsidR="009D5270">
        <w:rPr>
          <w:rFonts w:ascii="Times New Roman" w:hAnsi="Times New Roman" w:cs="Times New Roman"/>
          <w:sz w:val="24"/>
          <w:szCs w:val="24"/>
        </w:rPr>
        <w:t xml:space="preserve">the </w:t>
      </w:r>
      <w:r w:rsidRPr="00906E81">
        <w:rPr>
          <w:rFonts w:ascii="Times New Roman" w:hAnsi="Times New Roman" w:cs="Times New Roman"/>
          <w:sz w:val="24"/>
          <w:szCs w:val="24"/>
        </w:rPr>
        <w:t xml:space="preserve">raising </w:t>
      </w:r>
      <w:r w:rsidR="009D5270">
        <w:rPr>
          <w:rFonts w:ascii="Times New Roman" w:hAnsi="Times New Roman" w:cs="Times New Roman"/>
          <w:sz w:val="24"/>
          <w:szCs w:val="24"/>
        </w:rPr>
        <w:t xml:space="preserve">of </w:t>
      </w:r>
      <w:r w:rsidRPr="00906E81">
        <w:rPr>
          <w:rFonts w:ascii="Times New Roman" w:hAnsi="Times New Roman" w:cs="Times New Roman"/>
          <w:sz w:val="24"/>
          <w:szCs w:val="24"/>
        </w:rPr>
        <w:t>revenue which enables the country to provide, among others, healthcare, education, social security and support for the economy.</w:t>
      </w:r>
    </w:p>
    <w:p w:rsidR="00231071" w:rsidRPr="003D1BE0" w:rsidRDefault="002546D8" w:rsidP="00231071">
      <w:pPr>
        <w:numPr>
          <w:ilvl w:val="1"/>
          <w:numId w:val="1"/>
        </w:numPr>
        <w:spacing w:line="480" w:lineRule="auto"/>
        <w:contextualSpacing/>
        <w:jc w:val="both"/>
        <w:rPr>
          <w:rFonts w:ascii="Times New Roman" w:eastAsia="Times New Roman" w:hAnsi="Times New Roman"/>
        </w:rPr>
      </w:pPr>
      <w:r>
        <w:rPr>
          <w:rFonts w:ascii="Times New Roman" w:hAnsi="Times New Roman"/>
        </w:rPr>
        <w:t>The Committee believes that for the tax base to broaden and voluntary compliance to improve, the economy needed to grow.</w:t>
      </w:r>
      <w:r w:rsidR="00231071">
        <w:rPr>
          <w:rFonts w:ascii="Times New Roman" w:hAnsi="Times New Roman"/>
        </w:rPr>
        <w:t xml:space="preserve"> It is also important to ensure that the manner in which government spent is responsible. The Committee is of the view that while taxpayers have an obligation to comply with the law, there is also a mutual obligation on the state to deliver services, spend wisely and ensure consequence management for those who misuse or misappropriate state resources. </w:t>
      </w:r>
    </w:p>
    <w:p w:rsidR="003D1BE0" w:rsidRPr="003D1BE0" w:rsidRDefault="00231071" w:rsidP="000254AF">
      <w:pPr>
        <w:numPr>
          <w:ilvl w:val="1"/>
          <w:numId w:val="1"/>
        </w:numPr>
        <w:spacing w:line="480" w:lineRule="auto"/>
        <w:contextualSpacing/>
        <w:jc w:val="both"/>
        <w:rPr>
          <w:rFonts w:ascii="Times New Roman" w:eastAsia="Times New Roman" w:hAnsi="Times New Roman"/>
        </w:rPr>
      </w:pPr>
      <w:r w:rsidRPr="003D1BE0">
        <w:rPr>
          <w:rFonts w:ascii="Times New Roman" w:hAnsi="Times New Roman"/>
        </w:rPr>
        <w:t xml:space="preserve">The Committee further believes that tackling tax avoidance and illicit financial flows </w:t>
      </w:r>
      <w:r w:rsidR="00231413" w:rsidRPr="003D1BE0">
        <w:rPr>
          <w:rFonts w:ascii="Times New Roman" w:hAnsi="Times New Roman"/>
        </w:rPr>
        <w:t>are</w:t>
      </w:r>
      <w:r w:rsidRPr="003D1BE0">
        <w:rPr>
          <w:rFonts w:ascii="Times New Roman" w:hAnsi="Times New Roman"/>
        </w:rPr>
        <w:t xml:space="preserve"> crucial in improving the position of the country’s </w:t>
      </w:r>
      <w:proofErr w:type="spellStart"/>
      <w:r w:rsidRPr="003D1BE0">
        <w:rPr>
          <w:rFonts w:ascii="Times New Roman" w:hAnsi="Times New Roman"/>
        </w:rPr>
        <w:t>fiscus</w:t>
      </w:r>
      <w:proofErr w:type="spellEnd"/>
      <w:r w:rsidRPr="003D1BE0">
        <w:rPr>
          <w:rFonts w:ascii="Times New Roman" w:hAnsi="Times New Roman"/>
        </w:rPr>
        <w:t xml:space="preserve">. </w:t>
      </w:r>
      <w:r w:rsidR="00231413" w:rsidRPr="003D1BE0">
        <w:rPr>
          <w:rFonts w:ascii="Times New Roman" w:hAnsi="Times New Roman"/>
        </w:rPr>
        <w:t>The Committee therefore welcome</w:t>
      </w:r>
      <w:r w:rsidR="009D5270">
        <w:rPr>
          <w:rFonts w:ascii="Times New Roman" w:hAnsi="Times New Roman"/>
        </w:rPr>
        <w:t>s</w:t>
      </w:r>
      <w:r w:rsidR="00231413" w:rsidRPr="003D1BE0">
        <w:rPr>
          <w:rFonts w:ascii="Times New Roman" w:hAnsi="Times New Roman"/>
        </w:rPr>
        <w:t xml:space="preserve"> the re-establishment of the Tax Committee led by Judge Dennis Davis to examine areas that posed the highest risk</w:t>
      </w:r>
      <w:r w:rsidR="009D5270">
        <w:rPr>
          <w:rFonts w:ascii="Times New Roman" w:hAnsi="Times New Roman"/>
        </w:rPr>
        <w:t>s</w:t>
      </w:r>
      <w:r w:rsidR="00231413" w:rsidRPr="003D1BE0">
        <w:rPr>
          <w:rFonts w:ascii="Times New Roman" w:hAnsi="Times New Roman"/>
        </w:rPr>
        <w:t xml:space="preserve"> of aggressive tax avoidance and tran</w:t>
      </w:r>
      <w:r w:rsidR="009D5270">
        <w:rPr>
          <w:rFonts w:ascii="Times New Roman" w:hAnsi="Times New Roman"/>
        </w:rPr>
        <w:t>sfer pricing</w:t>
      </w:r>
      <w:r w:rsidR="00231413" w:rsidRPr="003D1BE0">
        <w:rPr>
          <w:rFonts w:ascii="Times New Roman" w:hAnsi="Times New Roman"/>
        </w:rPr>
        <w:t>. The C</w:t>
      </w:r>
      <w:r w:rsidR="009D5270">
        <w:rPr>
          <w:rFonts w:ascii="Times New Roman" w:hAnsi="Times New Roman"/>
        </w:rPr>
        <w:t>ommittee will invite J</w:t>
      </w:r>
      <w:r w:rsidR="00231413" w:rsidRPr="003D1BE0">
        <w:rPr>
          <w:rFonts w:ascii="Times New Roman" w:hAnsi="Times New Roman"/>
        </w:rPr>
        <w:t>udge Dennis Davis and SARS to make presen</w:t>
      </w:r>
      <w:r w:rsidR="009D5270">
        <w:rPr>
          <w:rFonts w:ascii="Times New Roman" w:hAnsi="Times New Roman"/>
        </w:rPr>
        <w:t>tations on the findings of the Tax Committee’s</w:t>
      </w:r>
      <w:r w:rsidR="00231413" w:rsidRPr="003D1BE0">
        <w:rPr>
          <w:rFonts w:ascii="Times New Roman" w:hAnsi="Times New Roman"/>
        </w:rPr>
        <w:t xml:space="preserve"> enquiries in the near future.</w:t>
      </w:r>
      <w:r w:rsidR="003D1BE0" w:rsidRPr="003D1BE0">
        <w:rPr>
          <w:rFonts w:ascii="Times New Roman" w:hAnsi="Times New Roman"/>
        </w:rPr>
        <w:t xml:space="preserve"> </w:t>
      </w:r>
    </w:p>
    <w:p w:rsidR="00E92FB1" w:rsidRPr="003D1BE0" w:rsidRDefault="003D1BE0" w:rsidP="000254AF">
      <w:pPr>
        <w:numPr>
          <w:ilvl w:val="1"/>
          <w:numId w:val="1"/>
        </w:numPr>
        <w:spacing w:line="480" w:lineRule="auto"/>
        <w:contextualSpacing/>
        <w:jc w:val="both"/>
        <w:rPr>
          <w:rFonts w:ascii="Times New Roman" w:eastAsia="Times New Roman" w:hAnsi="Times New Roman"/>
        </w:rPr>
      </w:pPr>
      <w:r w:rsidRPr="003D1BE0">
        <w:rPr>
          <w:rFonts w:ascii="Times New Roman" w:hAnsi="Times New Roman"/>
        </w:rPr>
        <w:t xml:space="preserve">The Committee </w:t>
      </w:r>
      <w:r w:rsidR="009D5270">
        <w:rPr>
          <w:rFonts w:ascii="Times New Roman" w:hAnsi="Times New Roman"/>
        </w:rPr>
        <w:t>will</w:t>
      </w:r>
      <w:r w:rsidRPr="003D1BE0">
        <w:rPr>
          <w:rFonts w:ascii="Times New Roman" w:hAnsi="Times New Roman"/>
        </w:rPr>
        <w:t xml:space="preserve"> also request a briefing on the country-by-country reporting and automatic exchange of information projects and t</w:t>
      </w:r>
      <w:r>
        <w:rPr>
          <w:rFonts w:ascii="Times New Roman" w:hAnsi="Times New Roman"/>
        </w:rPr>
        <w:t>heir impact in raising revenue since they became effective a few years ago</w:t>
      </w:r>
      <w:r w:rsidRPr="003D1BE0">
        <w:rPr>
          <w:rFonts w:ascii="Times New Roman" w:hAnsi="Times New Roman"/>
        </w:rPr>
        <w:t xml:space="preserve">. </w:t>
      </w:r>
    </w:p>
    <w:p w:rsidR="00906E81" w:rsidRPr="00906E81" w:rsidRDefault="00E92FB1" w:rsidP="00906E81">
      <w:pPr>
        <w:numPr>
          <w:ilvl w:val="1"/>
          <w:numId w:val="1"/>
        </w:numPr>
        <w:spacing w:line="480" w:lineRule="auto"/>
        <w:contextualSpacing/>
        <w:jc w:val="both"/>
        <w:rPr>
          <w:rFonts w:ascii="Times New Roman" w:eastAsia="Times New Roman" w:hAnsi="Times New Roman"/>
        </w:rPr>
      </w:pPr>
      <w:r w:rsidRPr="00E92FB1">
        <w:rPr>
          <w:rFonts w:ascii="Times New Roman" w:hAnsi="Times New Roman"/>
        </w:rPr>
        <w:lastRenderedPageBreak/>
        <w:t xml:space="preserve">The Committee </w:t>
      </w:r>
      <w:proofErr w:type="spellStart"/>
      <w:r>
        <w:rPr>
          <w:rFonts w:ascii="Times New Roman" w:hAnsi="Times New Roman"/>
        </w:rPr>
        <w:t>re-</w:t>
      </w:r>
      <w:r w:rsidRPr="00E92FB1">
        <w:rPr>
          <w:rFonts w:ascii="Times New Roman" w:hAnsi="Times New Roman"/>
        </w:rPr>
        <w:t>emphasise</w:t>
      </w:r>
      <w:r>
        <w:rPr>
          <w:rFonts w:ascii="Times New Roman" w:hAnsi="Times New Roman"/>
        </w:rPr>
        <w:t>s</w:t>
      </w:r>
      <w:proofErr w:type="spellEnd"/>
      <w:r w:rsidRPr="00E92FB1">
        <w:rPr>
          <w:rFonts w:ascii="Times New Roman" w:hAnsi="Times New Roman"/>
        </w:rPr>
        <w:t xml:space="preserve"> the need </w:t>
      </w:r>
      <w:r>
        <w:rPr>
          <w:rFonts w:ascii="Times New Roman" w:hAnsi="Times New Roman"/>
        </w:rPr>
        <w:t>for the finalization of</w:t>
      </w:r>
      <w:r w:rsidRPr="00E92FB1">
        <w:rPr>
          <w:rFonts w:ascii="Times New Roman" w:hAnsi="Times New Roman"/>
        </w:rPr>
        <w:t xml:space="preserve"> the global framework on the taxation of e-commerce and online businesses</w:t>
      </w:r>
      <w:r>
        <w:rPr>
          <w:rFonts w:ascii="Times New Roman" w:hAnsi="Times New Roman"/>
        </w:rPr>
        <w:t>, especially when it comes to income tax</w:t>
      </w:r>
      <w:r w:rsidRPr="00E92FB1">
        <w:rPr>
          <w:rFonts w:ascii="Times New Roman" w:hAnsi="Times New Roman"/>
        </w:rPr>
        <w:t>.</w:t>
      </w:r>
      <w:r>
        <w:rPr>
          <w:rFonts w:ascii="Times New Roman" w:hAnsi="Times New Roman"/>
        </w:rPr>
        <w:t xml:space="preserve"> The Committee however notes that SARS already collects VAT from e-commerce transactions, with VAT on e-services yielding R1 billion in the last financial year</w:t>
      </w:r>
      <w:r w:rsidR="00906E81">
        <w:rPr>
          <w:rFonts w:ascii="Times New Roman" w:hAnsi="Times New Roman"/>
        </w:rPr>
        <w:t xml:space="preserve">. </w:t>
      </w:r>
    </w:p>
    <w:p w:rsidR="005535B7" w:rsidRPr="005535B7" w:rsidRDefault="00906E81" w:rsidP="00906E81">
      <w:pPr>
        <w:numPr>
          <w:ilvl w:val="1"/>
          <w:numId w:val="1"/>
        </w:numPr>
        <w:spacing w:line="480" w:lineRule="auto"/>
        <w:contextualSpacing/>
        <w:jc w:val="both"/>
        <w:rPr>
          <w:rFonts w:ascii="Times New Roman" w:eastAsia="Times New Roman" w:hAnsi="Times New Roman"/>
        </w:rPr>
      </w:pPr>
      <w:r>
        <w:rPr>
          <w:rFonts w:ascii="Times New Roman" w:hAnsi="Times New Roman"/>
        </w:rPr>
        <w:t xml:space="preserve">The Committee notes that the Public Protector </w:t>
      </w:r>
      <w:r w:rsidR="009D5270">
        <w:rPr>
          <w:rFonts w:ascii="Times New Roman" w:hAnsi="Times New Roman"/>
        </w:rPr>
        <w:t xml:space="preserve">recently </w:t>
      </w:r>
      <w:r>
        <w:rPr>
          <w:rFonts w:ascii="Times New Roman" w:hAnsi="Times New Roman"/>
        </w:rPr>
        <w:t>released a report that found some violation of procurement policies at SARS over a number of year</w:t>
      </w:r>
      <w:r w:rsidR="009D5270">
        <w:rPr>
          <w:rFonts w:ascii="Times New Roman" w:hAnsi="Times New Roman"/>
        </w:rPr>
        <w:t>s</w:t>
      </w:r>
      <w:r>
        <w:rPr>
          <w:rFonts w:ascii="Times New Roman" w:hAnsi="Times New Roman"/>
        </w:rPr>
        <w:t xml:space="preserve"> with respect to the </w:t>
      </w:r>
      <w:r w:rsidR="009D5270">
        <w:rPr>
          <w:rFonts w:ascii="Times New Roman" w:hAnsi="Times New Roman"/>
        </w:rPr>
        <w:t xml:space="preserve">appointment and </w:t>
      </w:r>
      <w:r>
        <w:rPr>
          <w:rFonts w:ascii="Times New Roman" w:hAnsi="Times New Roman"/>
        </w:rPr>
        <w:t xml:space="preserve">extension of some </w:t>
      </w:r>
      <w:r w:rsidR="005535B7">
        <w:rPr>
          <w:rFonts w:ascii="Times New Roman" w:hAnsi="Times New Roman"/>
        </w:rPr>
        <w:t>IT</w:t>
      </w:r>
      <w:r>
        <w:rPr>
          <w:rFonts w:ascii="Times New Roman" w:hAnsi="Times New Roman"/>
        </w:rPr>
        <w:t xml:space="preserve"> contracts. </w:t>
      </w:r>
      <w:r w:rsidR="005535B7">
        <w:rPr>
          <w:rFonts w:ascii="Times New Roman" w:hAnsi="Times New Roman"/>
        </w:rPr>
        <w:t>The Committee expects to be fully briefed on this report and steps being taken to remedy the situation</w:t>
      </w:r>
      <w:r w:rsidR="009D5270">
        <w:rPr>
          <w:rFonts w:ascii="Times New Roman" w:hAnsi="Times New Roman"/>
        </w:rPr>
        <w:t xml:space="preserve"> and will schedule a briefing in this regard</w:t>
      </w:r>
      <w:r w:rsidR="005535B7">
        <w:rPr>
          <w:rFonts w:ascii="Times New Roman" w:hAnsi="Times New Roman"/>
        </w:rPr>
        <w:t xml:space="preserve">. </w:t>
      </w:r>
    </w:p>
    <w:p w:rsidR="005535B7" w:rsidRPr="005535B7" w:rsidRDefault="005535B7" w:rsidP="002F1C5C">
      <w:pPr>
        <w:numPr>
          <w:ilvl w:val="1"/>
          <w:numId w:val="1"/>
        </w:numPr>
        <w:spacing w:line="480" w:lineRule="auto"/>
        <w:contextualSpacing/>
        <w:jc w:val="both"/>
        <w:rPr>
          <w:rFonts w:ascii="Times New Roman" w:hAnsi="Times New Roman"/>
        </w:rPr>
      </w:pPr>
      <w:r>
        <w:rPr>
          <w:rFonts w:ascii="Times New Roman" w:eastAsia="Times New Roman" w:hAnsi="Times New Roman"/>
        </w:rPr>
        <w:t xml:space="preserve">The Committee notes </w:t>
      </w:r>
      <w:r w:rsidR="009D5270">
        <w:rPr>
          <w:rFonts w:ascii="Times New Roman" w:eastAsia="Times New Roman" w:hAnsi="Times New Roman"/>
        </w:rPr>
        <w:t xml:space="preserve">that </w:t>
      </w:r>
      <w:r>
        <w:rPr>
          <w:rFonts w:ascii="Times New Roman" w:eastAsia="Times New Roman" w:hAnsi="Times New Roman"/>
        </w:rPr>
        <w:t xml:space="preserve">women represented in leadership positions at SARS now stands at 49.91 per cent. The Committee would like to see more being done on the inclusion of persons with disabilities. </w:t>
      </w:r>
    </w:p>
    <w:p w:rsidR="00F71A5C" w:rsidRDefault="00F71A5C" w:rsidP="005535B7">
      <w:pPr>
        <w:spacing w:line="480" w:lineRule="auto"/>
        <w:ind w:left="360"/>
        <w:contextualSpacing/>
        <w:jc w:val="both"/>
        <w:rPr>
          <w:rFonts w:ascii="Times New Roman" w:eastAsia="Times New Roman" w:hAnsi="Times New Roman"/>
        </w:rPr>
      </w:pPr>
    </w:p>
    <w:p w:rsidR="00F71A5C" w:rsidRDefault="00F71A5C" w:rsidP="00F71A5C">
      <w:pPr>
        <w:spacing w:line="480" w:lineRule="auto"/>
        <w:contextualSpacing/>
        <w:jc w:val="both"/>
        <w:rPr>
          <w:rFonts w:ascii="Times New Roman" w:hAnsi="Times New Roman"/>
          <w:color w:val="000000" w:themeColor="text1"/>
        </w:rPr>
      </w:pPr>
      <w:r>
        <w:rPr>
          <w:rFonts w:ascii="Times New Roman" w:hAnsi="Times New Roman"/>
          <w:color w:val="000000" w:themeColor="text1"/>
        </w:rPr>
        <w:t>H</w:t>
      </w:r>
      <w:r w:rsidRPr="000B08C0">
        <w:rPr>
          <w:rFonts w:ascii="Times New Roman" w:hAnsi="Times New Roman"/>
          <w:color w:val="000000" w:themeColor="text1"/>
        </w:rPr>
        <w:t xml:space="preserve">aving considered the </w:t>
      </w:r>
      <w:r>
        <w:rPr>
          <w:rFonts w:ascii="Times New Roman" w:hAnsi="Times New Roman"/>
          <w:color w:val="000000" w:themeColor="text1"/>
        </w:rPr>
        <w:t>annual performance plans and the proposed budget vote for</w:t>
      </w:r>
      <w:r w:rsidRPr="000B08C0">
        <w:rPr>
          <w:rFonts w:ascii="Times New Roman" w:hAnsi="Times New Roman"/>
          <w:color w:val="000000" w:themeColor="text1"/>
        </w:rPr>
        <w:t xml:space="preserve"> the National Treasury</w:t>
      </w:r>
      <w:r>
        <w:rPr>
          <w:rFonts w:ascii="Times New Roman" w:hAnsi="Times New Roman"/>
          <w:color w:val="000000" w:themeColor="text1"/>
        </w:rPr>
        <w:t xml:space="preserve">, the Committee asks the National Assembly to adopt the Budget Vote 8 Report. </w:t>
      </w:r>
    </w:p>
    <w:p w:rsidR="00F71A5C" w:rsidRDefault="00F71A5C" w:rsidP="00F71A5C">
      <w:pPr>
        <w:spacing w:line="480" w:lineRule="auto"/>
        <w:contextualSpacing/>
        <w:rPr>
          <w:rFonts w:ascii="Times New Roman" w:hAnsi="Times New Roman"/>
          <w:color w:val="000000" w:themeColor="text1"/>
        </w:rPr>
      </w:pPr>
    </w:p>
    <w:p w:rsidR="00F71A5C" w:rsidRDefault="00F71A5C" w:rsidP="00F71A5C">
      <w:pPr>
        <w:spacing w:line="480" w:lineRule="auto"/>
        <w:contextualSpacing/>
        <w:rPr>
          <w:rFonts w:ascii="Times New Roman" w:hAnsi="Times New Roman"/>
          <w:color w:val="000000" w:themeColor="text1"/>
        </w:rPr>
      </w:pPr>
      <w:r>
        <w:rPr>
          <w:rFonts w:ascii="Times New Roman" w:hAnsi="Times New Roman"/>
          <w:color w:val="000000" w:themeColor="text1"/>
        </w:rPr>
        <w:t xml:space="preserve"> The Democratic Alliance (DA) reserves its position.</w:t>
      </w:r>
    </w:p>
    <w:p w:rsidR="00F71A5C" w:rsidRDefault="00F71A5C" w:rsidP="00F71A5C">
      <w:pPr>
        <w:spacing w:line="480" w:lineRule="auto"/>
        <w:contextualSpacing/>
        <w:rPr>
          <w:rFonts w:ascii="Times New Roman" w:hAnsi="Times New Roman"/>
          <w:color w:val="000000" w:themeColor="text1"/>
        </w:rPr>
      </w:pPr>
      <w:r>
        <w:rPr>
          <w:rFonts w:ascii="Times New Roman" w:hAnsi="Times New Roman"/>
          <w:color w:val="000000" w:themeColor="text1"/>
        </w:rPr>
        <w:t>The F</w:t>
      </w:r>
      <w:r w:rsidR="00EF1F85">
        <w:rPr>
          <w:rFonts w:ascii="Times New Roman" w:hAnsi="Times New Roman"/>
          <w:color w:val="000000" w:themeColor="text1"/>
        </w:rPr>
        <w:t xml:space="preserve">reedom </w:t>
      </w:r>
      <w:r>
        <w:rPr>
          <w:rFonts w:ascii="Times New Roman" w:hAnsi="Times New Roman"/>
          <w:color w:val="000000" w:themeColor="text1"/>
        </w:rPr>
        <w:t>F</w:t>
      </w:r>
      <w:r w:rsidR="00EF1F85">
        <w:rPr>
          <w:rFonts w:ascii="Times New Roman" w:hAnsi="Times New Roman"/>
          <w:color w:val="000000" w:themeColor="text1"/>
        </w:rPr>
        <w:t>ront</w:t>
      </w:r>
      <w:r>
        <w:rPr>
          <w:rFonts w:ascii="Times New Roman" w:hAnsi="Times New Roman"/>
          <w:color w:val="000000" w:themeColor="text1"/>
        </w:rPr>
        <w:t xml:space="preserve"> Plus rejects the report.</w:t>
      </w:r>
    </w:p>
    <w:p w:rsidR="00F71A5C" w:rsidRDefault="00F71A5C" w:rsidP="00F71A5C">
      <w:pPr>
        <w:spacing w:line="480" w:lineRule="auto"/>
        <w:contextualSpacing/>
        <w:rPr>
          <w:rFonts w:ascii="Times New Roman" w:hAnsi="Times New Roman"/>
          <w:color w:val="000000" w:themeColor="text1"/>
        </w:rPr>
      </w:pPr>
    </w:p>
    <w:p w:rsidR="00F71A5C" w:rsidRPr="00050D6F" w:rsidRDefault="00F71A5C" w:rsidP="00F71A5C">
      <w:pPr>
        <w:spacing w:line="480" w:lineRule="auto"/>
        <w:contextualSpacing/>
        <w:rPr>
          <w:rFonts w:ascii="Times New Roman" w:hAnsi="Times New Roman"/>
          <w:b/>
          <w:color w:val="000000" w:themeColor="text1"/>
        </w:rPr>
      </w:pPr>
      <w:r w:rsidRPr="00050D6F">
        <w:rPr>
          <w:rFonts w:ascii="Times New Roman" w:hAnsi="Times New Roman"/>
          <w:b/>
          <w:color w:val="000000" w:themeColor="text1"/>
        </w:rPr>
        <w:t>Report to be considered.</w:t>
      </w:r>
    </w:p>
    <w:p w:rsidR="009E67BD" w:rsidRPr="005535B7" w:rsidRDefault="008E7CD3" w:rsidP="005535B7">
      <w:pPr>
        <w:spacing w:line="480" w:lineRule="auto"/>
        <w:ind w:left="360"/>
        <w:contextualSpacing/>
        <w:jc w:val="both"/>
        <w:rPr>
          <w:rFonts w:ascii="Times New Roman" w:hAnsi="Times New Roman"/>
        </w:rPr>
      </w:pPr>
      <w:r w:rsidRPr="005535B7">
        <w:rPr>
          <w:rFonts w:ascii="Times New Roman" w:eastAsia="Times New Roman" w:hAnsi="Times New Roman"/>
        </w:rPr>
        <w:br/>
      </w:r>
    </w:p>
    <w:p w:rsidR="00EF7E81" w:rsidRDefault="00EF7E81"/>
    <w:sectPr w:rsidR="00EF7E8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AE1" w:rsidRDefault="007D7AE1">
      <w:r>
        <w:separator/>
      </w:r>
    </w:p>
  </w:endnote>
  <w:endnote w:type="continuationSeparator" w:id="0">
    <w:p w:rsidR="007D7AE1" w:rsidRDefault="007D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015596"/>
      <w:docPartObj>
        <w:docPartGallery w:val="Page Numbers (Bottom of Page)"/>
        <w:docPartUnique/>
      </w:docPartObj>
    </w:sdtPr>
    <w:sdtEndPr>
      <w:rPr>
        <w:noProof/>
      </w:rPr>
    </w:sdtEndPr>
    <w:sdtContent>
      <w:p w:rsidR="00225098" w:rsidRDefault="00225098">
        <w:pPr>
          <w:pStyle w:val="Footer"/>
          <w:jc w:val="center"/>
        </w:pPr>
        <w:r>
          <w:fldChar w:fldCharType="begin"/>
        </w:r>
        <w:r>
          <w:instrText xml:space="preserve"> PAGE   \* MERGEFORMAT </w:instrText>
        </w:r>
        <w:r>
          <w:fldChar w:fldCharType="separate"/>
        </w:r>
        <w:r w:rsidR="00F664DA">
          <w:rPr>
            <w:noProof/>
          </w:rPr>
          <w:t>1</w:t>
        </w:r>
        <w:r>
          <w:rPr>
            <w:noProof/>
          </w:rPr>
          <w:fldChar w:fldCharType="end"/>
        </w:r>
      </w:p>
    </w:sdtContent>
  </w:sdt>
  <w:p w:rsidR="00225098" w:rsidRDefault="00225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AE1" w:rsidRDefault="007D7AE1">
      <w:r>
        <w:separator/>
      </w:r>
    </w:p>
  </w:footnote>
  <w:footnote w:type="continuationSeparator" w:id="0">
    <w:p w:rsidR="007D7AE1" w:rsidRDefault="007D7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D06A2"/>
    <w:multiLevelType w:val="multilevel"/>
    <w:tmpl w:val="AB7E8B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7187E5E"/>
    <w:multiLevelType w:val="hybridMultilevel"/>
    <w:tmpl w:val="E1C4D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4314579"/>
    <w:multiLevelType w:val="hybridMultilevel"/>
    <w:tmpl w:val="DBCCABA6"/>
    <w:lvl w:ilvl="0" w:tplc="9A183704">
      <w:start w:val="1"/>
      <w:numFmt w:val="bullet"/>
      <w:lvlText w:val="•"/>
      <w:lvlJc w:val="left"/>
      <w:pPr>
        <w:tabs>
          <w:tab w:val="num" w:pos="720"/>
        </w:tabs>
        <w:ind w:left="720" w:hanging="360"/>
      </w:pPr>
      <w:rPr>
        <w:rFonts w:ascii="Arial" w:hAnsi="Arial" w:hint="default"/>
      </w:rPr>
    </w:lvl>
    <w:lvl w:ilvl="1" w:tplc="F6C23920" w:tentative="1">
      <w:start w:val="1"/>
      <w:numFmt w:val="bullet"/>
      <w:lvlText w:val="•"/>
      <w:lvlJc w:val="left"/>
      <w:pPr>
        <w:tabs>
          <w:tab w:val="num" w:pos="1440"/>
        </w:tabs>
        <w:ind w:left="1440" w:hanging="360"/>
      </w:pPr>
      <w:rPr>
        <w:rFonts w:ascii="Arial" w:hAnsi="Arial" w:hint="default"/>
      </w:rPr>
    </w:lvl>
    <w:lvl w:ilvl="2" w:tplc="E76A4A6A" w:tentative="1">
      <w:start w:val="1"/>
      <w:numFmt w:val="bullet"/>
      <w:lvlText w:val="•"/>
      <w:lvlJc w:val="left"/>
      <w:pPr>
        <w:tabs>
          <w:tab w:val="num" w:pos="2160"/>
        </w:tabs>
        <w:ind w:left="2160" w:hanging="360"/>
      </w:pPr>
      <w:rPr>
        <w:rFonts w:ascii="Arial" w:hAnsi="Arial" w:hint="default"/>
      </w:rPr>
    </w:lvl>
    <w:lvl w:ilvl="3" w:tplc="505098B0" w:tentative="1">
      <w:start w:val="1"/>
      <w:numFmt w:val="bullet"/>
      <w:lvlText w:val="•"/>
      <w:lvlJc w:val="left"/>
      <w:pPr>
        <w:tabs>
          <w:tab w:val="num" w:pos="2880"/>
        </w:tabs>
        <w:ind w:left="2880" w:hanging="360"/>
      </w:pPr>
      <w:rPr>
        <w:rFonts w:ascii="Arial" w:hAnsi="Arial" w:hint="default"/>
      </w:rPr>
    </w:lvl>
    <w:lvl w:ilvl="4" w:tplc="42AA0196" w:tentative="1">
      <w:start w:val="1"/>
      <w:numFmt w:val="bullet"/>
      <w:lvlText w:val="•"/>
      <w:lvlJc w:val="left"/>
      <w:pPr>
        <w:tabs>
          <w:tab w:val="num" w:pos="3600"/>
        </w:tabs>
        <w:ind w:left="3600" w:hanging="360"/>
      </w:pPr>
      <w:rPr>
        <w:rFonts w:ascii="Arial" w:hAnsi="Arial" w:hint="default"/>
      </w:rPr>
    </w:lvl>
    <w:lvl w:ilvl="5" w:tplc="45B21BFE" w:tentative="1">
      <w:start w:val="1"/>
      <w:numFmt w:val="bullet"/>
      <w:lvlText w:val="•"/>
      <w:lvlJc w:val="left"/>
      <w:pPr>
        <w:tabs>
          <w:tab w:val="num" w:pos="4320"/>
        </w:tabs>
        <w:ind w:left="4320" w:hanging="360"/>
      </w:pPr>
      <w:rPr>
        <w:rFonts w:ascii="Arial" w:hAnsi="Arial" w:hint="default"/>
      </w:rPr>
    </w:lvl>
    <w:lvl w:ilvl="6" w:tplc="55786E10" w:tentative="1">
      <w:start w:val="1"/>
      <w:numFmt w:val="bullet"/>
      <w:lvlText w:val="•"/>
      <w:lvlJc w:val="left"/>
      <w:pPr>
        <w:tabs>
          <w:tab w:val="num" w:pos="5040"/>
        </w:tabs>
        <w:ind w:left="5040" w:hanging="360"/>
      </w:pPr>
      <w:rPr>
        <w:rFonts w:ascii="Arial" w:hAnsi="Arial" w:hint="default"/>
      </w:rPr>
    </w:lvl>
    <w:lvl w:ilvl="7" w:tplc="E2CC3F76" w:tentative="1">
      <w:start w:val="1"/>
      <w:numFmt w:val="bullet"/>
      <w:lvlText w:val="•"/>
      <w:lvlJc w:val="left"/>
      <w:pPr>
        <w:tabs>
          <w:tab w:val="num" w:pos="5760"/>
        </w:tabs>
        <w:ind w:left="5760" w:hanging="360"/>
      </w:pPr>
      <w:rPr>
        <w:rFonts w:ascii="Arial" w:hAnsi="Arial" w:hint="default"/>
      </w:rPr>
    </w:lvl>
    <w:lvl w:ilvl="8" w:tplc="1C3808A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BD"/>
    <w:rsid w:val="000036F3"/>
    <w:rsid w:val="00007316"/>
    <w:rsid w:val="00014540"/>
    <w:rsid w:val="00050D6F"/>
    <w:rsid w:val="0006059F"/>
    <w:rsid w:val="00064375"/>
    <w:rsid w:val="00071F51"/>
    <w:rsid w:val="0007527F"/>
    <w:rsid w:val="00086D41"/>
    <w:rsid w:val="000B6B2A"/>
    <w:rsid w:val="000C2298"/>
    <w:rsid w:val="000C52C3"/>
    <w:rsid w:val="000E5D58"/>
    <w:rsid w:val="000F489D"/>
    <w:rsid w:val="001015F4"/>
    <w:rsid w:val="00111C88"/>
    <w:rsid w:val="00147E62"/>
    <w:rsid w:val="001D74D0"/>
    <w:rsid w:val="0022288C"/>
    <w:rsid w:val="00225098"/>
    <w:rsid w:val="00231071"/>
    <w:rsid w:val="00231413"/>
    <w:rsid w:val="00233F8A"/>
    <w:rsid w:val="002546D8"/>
    <w:rsid w:val="00270DFD"/>
    <w:rsid w:val="00276DF3"/>
    <w:rsid w:val="002A0EE3"/>
    <w:rsid w:val="002D26F5"/>
    <w:rsid w:val="002E03E0"/>
    <w:rsid w:val="002E27BA"/>
    <w:rsid w:val="002E6883"/>
    <w:rsid w:val="002F1A5D"/>
    <w:rsid w:val="00300F4D"/>
    <w:rsid w:val="00350906"/>
    <w:rsid w:val="0036298E"/>
    <w:rsid w:val="003672AD"/>
    <w:rsid w:val="003920B2"/>
    <w:rsid w:val="003D1BE0"/>
    <w:rsid w:val="003E561B"/>
    <w:rsid w:val="0041383E"/>
    <w:rsid w:val="00422BD0"/>
    <w:rsid w:val="00452C25"/>
    <w:rsid w:val="00471C11"/>
    <w:rsid w:val="004971D5"/>
    <w:rsid w:val="004C0E5F"/>
    <w:rsid w:val="004E700B"/>
    <w:rsid w:val="005112B8"/>
    <w:rsid w:val="00520427"/>
    <w:rsid w:val="00535E2F"/>
    <w:rsid w:val="00545CCD"/>
    <w:rsid w:val="005535B7"/>
    <w:rsid w:val="00563C6A"/>
    <w:rsid w:val="005665E3"/>
    <w:rsid w:val="005C6642"/>
    <w:rsid w:val="005D453F"/>
    <w:rsid w:val="005E2B87"/>
    <w:rsid w:val="005E3417"/>
    <w:rsid w:val="005F1B9C"/>
    <w:rsid w:val="005F49D4"/>
    <w:rsid w:val="00627A99"/>
    <w:rsid w:val="00654001"/>
    <w:rsid w:val="006F0A99"/>
    <w:rsid w:val="00745277"/>
    <w:rsid w:val="0074640E"/>
    <w:rsid w:val="00750411"/>
    <w:rsid w:val="00757862"/>
    <w:rsid w:val="00770C6E"/>
    <w:rsid w:val="00771B8A"/>
    <w:rsid w:val="0077412C"/>
    <w:rsid w:val="0078078F"/>
    <w:rsid w:val="00796B3E"/>
    <w:rsid w:val="007B0606"/>
    <w:rsid w:val="007D7AE1"/>
    <w:rsid w:val="007E3E52"/>
    <w:rsid w:val="00826C64"/>
    <w:rsid w:val="0084060F"/>
    <w:rsid w:val="00843DDF"/>
    <w:rsid w:val="008641B9"/>
    <w:rsid w:val="00870840"/>
    <w:rsid w:val="00885381"/>
    <w:rsid w:val="008B57EB"/>
    <w:rsid w:val="008E4272"/>
    <w:rsid w:val="008E7CD3"/>
    <w:rsid w:val="00902A09"/>
    <w:rsid w:val="00906E81"/>
    <w:rsid w:val="0091524C"/>
    <w:rsid w:val="00941AD2"/>
    <w:rsid w:val="009520CC"/>
    <w:rsid w:val="009609ED"/>
    <w:rsid w:val="009915EA"/>
    <w:rsid w:val="009A0E52"/>
    <w:rsid w:val="009C27A4"/>
    <w:rsid w:val="009C6C4A"/>
    <w:rsid w:val="009D0655"/>
    <w:rsid w:val="009D5270"/>
    <w:rsid w:val="009E67BD"/>
    <w:rsid w:val="00A17486"/>
    <w:rsid w:val="00A3313D"/>
    <w:rsid w:val="00A36A18"/>
    <w:rsid w:val="00A45B20"/>
    <w:rsid w:val="00A65929"/>
    <w:rsid w:val="00A90B1B"/>
    <w:rsid w:val="00AF21E0"/>
    <w:rsid w:val="00AF422B"/>
    <w:rsid w:val="00B305ED"/>
    <w:rsid w:val="00B359B2"/>
    <w:rsid w:val="00B60FED"/>
    <w:rsid w:val="00B9155D"/>
    <w:rsid w:val="00BA7AE4"/>
    <w:rsid w:val="00BB3FAB"/>
    <w:rsid w:val="00BB52A3"/>
    <w:rsid w:val="00C10877"/>
    <w:rsid w:val="00C134E6"/>
    <w:rsid w:val="00C13F1C"/>
    <w:rsid w:val="00C16F65"/>
    <w:rsid w:val="00C34BB7"/>
    <w:rsid w:val="00C34E36"/>
    <w:rsid w:val="00C408C8"/>
    <w:rsid w:val="00C60DA1"/>
    <w:rsid w:val="00C702E6"/>
    <w:rsid w:val="00C857FB"/>
    <w:rsid w:val="00CE32BC"/>
    <w:rsid w:val="00CF1A55"/>
    <w:rsid w:val="00CF20EC"/>
    <w:rsid w:val="00CF5634"/>
    <w:rsid w:val="00D01195"/>
    <w:rsid w:val="00D041FB"/>
    <w:rsid w:val="00D210DB"/>
    <w:rsid w:val="00D351D6"/>
    <w:rsid w:val="00D479F6"/>
    <w:rsid w:val="00D55FA4"/>
    <w:rsid w:val="00D5691E"/>
    <w:rsid w:val="00DC0DBA"/>
    <w:rsid w:val="00DC63F2"/>
    <w:rsid w:val="00E068A3"/>
    <w:rsid w:val="00E10437"/>
    <w:rsid w:val="00E2049D"/>
    <w:rsid w:val="00E50933"/>
    <w:rsid w:val="00E7488D"/>
    <w:rsid w:val="00E90FF0"/>
    <w:rsid w:val="00E92FB1"/>
    <w:rsid w:val="00EB2772"/>
    <w:rsid w:val="00EB6EB3"/>
    <w:rsid w:val="00ED386F"/>
    <w:rsid w:val="00EF1F85"/>
    <w:rsid w:val="00EF3397"/>
    <w:rsid w:val="00EF5EF7"/>
    <w:rsid w:val="00EF7E81"/>
    <w:rsid w:val="00F010FE"/>
    <w:rsid w:val="00F406CB"/>
    <w:rsid w:val="00F664DA"/>
    <w:rsid w:val="00F71A5C"/>
    <w:rsid w:val="00F83FD1"/>
    <w:rsid w:val="00F856D0"/>
    <w:rsid w:val="00FC47A6"/>
    <w:rsid w:val="00FC79BB"/>
    <w:rsid w:val="00FD23AB"/>
    <w:rsid w:val="00FD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4F49"/>
  <w15:chartTrackingRefBased/>
  <w15:docId w15:val="{7EEAE1EF-E479-4A95-B4BC-3A2D9273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7BD"/>
    <w:pPr>
      <w:spacing w:after="0" w:line="240" w:lineRule="auto"/>
    </w:pPr>
    <w:rPr>
      <w:rFonts w:ascii="Tahoma" w:eastAsia="MS Mincho" w:hAnsi="Tahoma" w:cs="Times New Roman"/>
      <w:sz w:val="24"/>
      <w:szCs w:val="24"/>
    </w:rPr>
  </w:style>
  <w:style w:type="paragraph" w:styleId="Heading1">
    <w:name w:val="heading 1"/>
    <w:basedOn w:val="Normal"/>
    <w:next w:val="Normal"/>
    <w:link w:val="Heading1Char"/>
    <w:uiPriority w:val="9"/>
    <w:qFormat/>
    <w:rsid w:val="004C0E5F"/>
    <w:pPr>
      <w:keepNext/>
      <w:keepLines/>
      <w:spacing w:before="240" w:line="280" w:lineRule="exact"/>
      <w:jc w:val="both"/>
      <w:outlineLvl w:val="0"/>
    </w:pPr>
    <w:rPr>
      <w:rFonts w:ascii="Arial" w:eastAsia="Times New Roman" w:hAnsi="Arial"/>
      <w:b/>
      <w:caps/>
      <w:color w:val="538135"/>
      <w:sz w:val="22"/>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7BD"/>
    <w:pPr>
      <w:spacing w:after="160" w:line="259" w:lineRule="auto"/>
      <w:ind w:left="720"/>
      <w:contextualSpacing/>
    </w:pPr>
    <w:rPr>
      <w:rFonts w:asciiTheme="minorHAnsi" w:eastAsiaTheme="minorHAnsi" w:hAnsiTheme="minorHAnsi" w:cstheme="minorBidi"/>
      <w:sz w:val="22"/>
      <w:szCs w:val="22"/>
      <w:lang w:val="en-ZA"/>
    </w:rPr>
  </w:style>
  <w:style w:type="paragraph" w:styleId="Footer">
    <w:name w:val="footer"/>
    <w:basedOn w:val="Normal"/>
    <w:link w:val="FooterChar"/>
    <w:uiPriority w:val="99"/>
    <w:unhideWhenUsed/>
    <w:rsid w:val="009E67BD"/>
    <w:pPr>
      <w:tabs>
        <w:tab w:val="center" w:pos="4680"/>
        <w:tab w:val="right" w:pos="9360"/>
      </w:tabs>
    </w:pPr>
  </w:style>
  <w:style w:type="character" w:customStyle="1" w:styleId="FooterChar">
    <w:name w:val="Footer Char"/>
    <w:basedOn w:val="DefaultParagraphFont"/>
    <w:link w:val="Footer"/>
    <w:uiPriority w:val="99"/>
    <w:rsid w:val="009E67BD"/>
    <w:rPr>
      <w:rFonts w:ascii="Tahoma" w:eastAsia="MS Mincho" w:hAnsi="Tahoma" w:cs="Times New Roman"/>
      <w:sz w:val="24"/>
      <w:szCs w:val="24"/>
    </w:rPr>
  </w:style>
  <w:style w:type="character" w:styleId="Emphasis">
    <w:name w:val="Emphasis"/>
    <w:uiPriority w:val="20"/>
    <w:qFormat/>
    <w:rsid w:val="009C6C4A"/>
    <w:rPr>
      <w:i/>
      <w:iCs/>
    </w:rPr>
  </w:style>
  <w:style w:type="character" w:customStyle="1" w:styleId="Heading1Char">
    <w:name w:val="Heading 1 Char"/>
    <w:basedOn w:val="DefaultParagraphFont"/>
    <w:link w:val="Heading1"/>
    <w:uiPriority w:val="9"/>
    <w:rsid w:val="004C0E5F"/>
    <w:rPr>
      <w:rFonts w:ascii="Arial" w:eastAsia="Times New Roman" w:hAnsi="Arial" w:cs="Times New Roman"/>
      <w:b/>
      <w:caps/>
      <w:color w:val="538135"/>
      <w:szCs w:val="32"/>
      <w:lang w:val="en-ZA"/>
    </w:rPr>
  </w:style>
  <w:style w:type="paragraph" w:styleId="NormalWeb">
    <w:name w:val="Normal (Web)"/>
    <w:basedOn w:val="Normal"/>
    <w:uiPriority w:val="99"/>
    <w:semiHidden/>
    <w:unhideWhenUsed/>
    <w:rsid w:val="00B60FED"/>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050D6F"/>
    <w:pPr>
      <w:tabs>
        <w:tab w:val="center" w:pos="4680"/>
        <w:tab w:val="right" w:pos="9360"/>
      </w:tabs>
    </w:pPr>
  </w:style>
  <w:style w:type="character" w:customStyle="1" w:styleId="HeaderChar">
    <w:name w:val="Header Char"/>
    <w:basedOn w:val="DefaultParagraphFont"/>
    <w:link w:val="Header"/>
    <w:uiPriority w:val="99"/>
    <w:rsid w:val="00050D6F"/>
    <w:rPr>
      <w:rFonts w:ascii="Tahoma" w:eastAsia="MS Mincho"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19180">
      <w:bodyDiv w:val="1"/>
      <w:marLeft w:val="0"/>
      <w:marRight w:val="0"/>
      <w:marTop w:val="0"/>
      <w:marBottom w:val="0"/>
      <w:divBdr>
        <w:top w:val="none" w:sz="0" w:space="0" w:color="auto"/>
        <w:left w:val="none" w:sz="0" w:space="0" w:color="auto"/>
        <w:bottom w:val="none" w:sz="0" w:space="0" w:color="auto"/>
        <w:right w:val="none" w:sz="0" w:space="0" w:color="auto"/>
      </w:divBdr>
    </w:div>
    <w:div w:id="553471673">
      <w:bodyDiv w:val="1"/>
      <w:marLeft w:val="0"/>
      <w:marRight w:val="0"/>
      <w:marTop w:val="0"/>
      <w:marBottom w:val="0"/>
      <w:divBdr>
        <w:top w:val="none" w:sz="0" w:space="0" w:color="auto"/>
        <w:left w:val="none" w:sz="0" w:space="0" w:color="auto"/>
        <w:bottom w:val="none" w:sz="0" w:space="0" w:color="auto"/>
        <w:right w:val="none" w:sz="0" w:space="0" w:color="auto"/>
      </w:divBdr>
    </w:div>
    <w:div w:id="605190446">
      <w:bodyDiv w:val="1"/>
      <w:marLeft w:val="0"/>
      <w:marRight w:val="0"/>
      <w:marTop w:val="0"/>
      <w:marBottom w:val="0"/>
      <w:divBdr>
        <w:top w:val="none" w:sz="0" w:space="0" w:color="auto"/>
        <w:left w:val="none" w:sz="0" w:space="0" w:color="auto"/>
        <w:bottom w:val="none" w:sz="0" w:space="0" w:color="auto"/>
        <w:right w:val="none" w:sz="0" w:space="0" w:color="auto"/>
      </w:divBdr>
    </w:div>
    <w:div w:id="713307077">
      <w:bodyDiv w:val="1"/>
      <w:marLeft w:val="0"/>
      <w:marRight w:val="0"/>
      <w:marTop w:val="0"/>
      <w:marBottom w:val="0"/>
      <w:divBdr>
        <w:top w:val="none" w:sz="0" w:space="0" w:color="auto"/>
        <w:left w:val="none" w:sz="0" w:space="0" w:color="auto"/>
        <w:bottom w:val="none" w:sz="0" w:space="0" w:color="auto"/>
        <w:right w:val="none" w:sz="0" w:space="0" w:color="auto"/>
      </w:divBdr>
    </w:div>
    <w:div w:id="1067798285">
      <w:bodyDiv w:val="1"/>
      <w:marLeft w:val="0"/>
      <w:marRight w:val="0"/>
      <w:marTop w:val="0"/>
      <w:marBottom w:val="0"/>
      <w:divBdr>
        <w:top w:val="none" w:sz="0" w:space="0" w:color="auto"/>
        <w:left w:val="none" w:sz="0" w:space="0" w:color="auto"/>
        <w:bottom w:val="none" w:sz="0" w:space="0" w:color="auto"/>
        <w:right w:val="none" w:sz="0" w:space="0" w:color="auto"/>
      </w:divBdr>
    </w:div>
    <w:div w:id="1095320882">
      <w:bodyDiv w:val="1"/>
      <w:marLeft w:val="0"/>
      <w:marRight w:val="0"/>
      <w:marTop w:val="0"/>
      <w:marBottom w:val="0"/>
      <w:divBdr>
        <w:top w:val="none" w:sz="0" w:space="0" w:color="auto"/>
        <w:left w:val="none" w:sz="0" w:space="0" w:color="auto"/>
        <w:bottom w:val="none" w:sz="0" w:space="0" w:color="auto"/>
        <w:right w:val="none" w:sz="0" w:space="0" w:color="auto"/>
      </w:divBdr>
    </w:div>
    <w:div w:id="1706131023">
      <w:bodyDiv w:val="1"/>
      <w:marLeft w:val="0"/>
      <w:marRight w:val="0"/>
      <w:marTop w:val="0"/>
      <w:marBottom w:val="0"/>
      <w:divBdr>
        <w:top w:val="none" w:sz="0" w:space="0" w:color="auto"/>
        <w:left w:val="none" w:sz="0" w:space="0" w:color="auto"/>
        <w:bottom w:val="none" w:sz="0" w:space="0" w:color="auto"/>
        <w:right w:val="none" w:sz="0" w:space="0" w:color="auto"/>
      </w:divBdr>
    </w:div>
    <w:div w:id="171889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AF387-E4C9-4F31-8560-FF5A7B7C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7752</Words>
  <Characters>44191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Zakhele Hlophe</dc:creator>
  <cp:keywords/>
  <dc:description/>
  <cp:lastModifiedBy>Bradley Viljoen</cp:lastModifiedBy>
  <cp:revision>3</cp:revision>
  <dcterms:created xsi:type="dcterms:W3CDTF">2022-05-10T12:23:00Z</dcterms:created>
  <dcterms:modified xsi:type="dcterms:W3CDTF">2022-05-10T12:23:00Z</dcterms:modified>
</cp:coreProperties>
</file>