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5" w:rsidRPr="00445555" w:rsidRDefault="00445555" w:rsidP="00445555">
      <w:pPr>
        <w:ind w:right="0"/>
        <w:rPr>
          <w:rFonts w:ascii="Arial" w:eastAsia="Times New Roman" w:hAnsi="Arial" w:cs="Arial"/>
          <w:sz w:val="20"/>
          <w:szCs w:val="20"/>
        </w:rPr>
      </w:pPr>
      <w:r w:rsidRPr="00445555">
        <w:rPr>
          <w:rFonts w:ascii="Arial" w:eastAsia="Times New Roman" w:hAnsi="Arial" w:cs="Arial"/>
          <w:sz w:val="20"/>
          <w:szCs w:val="20"/>
        </w:rPr>
        <w:fldChar w:fldCharType="begin"/>
      </w:r>
      <w:r w:rsidRPr="00445555">
        <w:rPr>
          <w:rFonts w:ascii="Arial" w:eastAsia="Times New Roman" w:hAnsi="Arial" w:cs="Arial"/>
          <w:sz w:val="20"/>
          <w:szCs w:val="20"/>
        </w:rPr>
        <w:instrText xml:space="preserve"> HYPERLINK "http://www.sars.gov.za/Media/MediaReleases/Pages/default.aspx" </w:instrText>
      </w:r>
      <w:r w:rsidRPr="00445555">
        <w:rPr>
          <w:rFonts w:ascii="Arial" w:eastAsia="Times New Roman" w:hAnsi="Arial" w:cs="Arial"/>
          <w:sz w:val="20"/>
          <w:szCs w:val="20"/>
        </w:rPr>
        <w:fldChar w:fldCharType="separate"/>
      </w:r>
      <w:proofErr w:type="spellStart"/>
      <w:r w:rsidR="00112F93" w:rsidRPr="00112F93">
        <w:rPr>
          <w:rFonts w:ascii="Arial" w:eastAsia="Times New Roman" w:hAnsi="Arial" w:cs="Arial"/>
          <w:color w:val="0000FF"/>
          <w:sz w:val="20"/>
          <w:szCs w:val="20"/>
          <w:u w:val="single"/>
        </w:rPr>
        <w:t>SARS</w:t>
      </w:r>
      <w:proofErr w:type="spellEnd"/>
      <w:r w:rsidR="00112F93" w:rsidRPr="00112F93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 M</w:t>
      </w:r>
      <w:r w:rsidRPr="00112F93">
        <w:rPr>
          <w:rFonts w:ascii="Arial" w:eastAsia="Times New Roman" w:hAnsi="Arial" w:cs="Arial"/>
          <w:color w:val="0000FF"/>
          <w:sz w:val="20"/>
          <w:szCs w:val="20"/>
          <w:u w:val="single"/>
        </w:rPr>
        <w:t>edia Release</w:t>
      </w:r>
      <w:r w:rsidRPr="00445555">
        <w:rPr>
          <w:rFonts w:ascii="Arial" w:eastAsia="Times New Roman" w:hAnsi="Arial" w:cs="Arial"/>
          <w:sz w:val="20"/>
          <w:szCs w:val="20"/>
        </w:rPr>
        <w:fldChar w:fldCharType="end"/>
      </w:r>
      <w:r w:rsidRPr="00445555">
        <w:rPr>
          <w:rFonts w:ascii="Arial" w:eastAsia="Times New Roman" w:hAnsi="Arial" w:cs="Arial"/>
          <w:sz w:val="20"/>
          <w:szCs w:val="20"/>
        </w:rPr>
        <w:t xml:space="preserve"> &gt; </w:t>
      </w:r>
      <w:r w:rsidRPr="00112F93">
        <w:rPr>
          <w:rFonts w:ascii="Arial" w:eastAsia="Times New Roman" w:hAnsi="Arial" w:cs="Arial"/>
          <w:sz w:val="20"/>
          <w:szCs w:val="20"/>
        </w:rPr>
        <w:t xml:space="preserve">27 November 2017 - </w:t>
      </w:r>
      <w:proofErr w:type="spellStart"/>
      <w:r w:rsidRPr="00112F93">
        <w:rPr>
          <w:rFonts w:ascii="Arial" w:eastAsia="Times New Roman" w:hAnsi="Arial" w:cs="Arial"/>
          <w:sz w:val="20"/>
          <w:szCs w:val="20"/>
        </w:rPr>
        <w:t>Moyane</w:t>
      </w:r>
      <w:proofErr w:type="spellEnd"/>
      <w:r w:rsidRPr="00112F93">
        <w:rPr>
          <w:rFonts w:ascii="Arial" w:eastAsia="Times New Roman" w:hAnsi="Arial" w:cs="Arial"/>
          <w:sz w:val="20"/>
          <w:szCs w:val="20"/>
        </w:rPr>
        <w:t xml:space="preserve"> breaks silence on </w:t>
      </w:r>
      <w:proofErr w:type="spellStart"/>
      <w:r w:rsidRPr="00112F93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</w:p>
    <w:p w:rsidR="000E3CD4" w:rsidRPr="00445555" w:rsidRDefault="00445555">
      <w:pPr>
        <w:rPr>
          <w:rFonts w:ascii="Arial" w:hAnsi="Arial" w:cs="Arial"/>
          <w:sz w:val="20"/>
          <w:szCs w:val="20"/>
        </w:rPr>
      </w:pPr>
      <w:r w:rsidRPr="00445555">
        <w:rPr>
          <w:rFonts w:ascii="Arial" w:eastAsia="Times New Roman" w:hAnsi="Arial" w:cs="Arial"/>
          <w:b/>
          <w:bCs/>
          <w:kern w:val="36"/>
          <w:sz w:val="20"/>
          <w:szCs w:val="20"/>
        </w:rPr>
        <w:br/>
      </w:r>
      <w:r w:rsidRPr="00445555">
        <w:rPr>
          <w:rFonts w:ascii="Arial" w:eastAsia="Times New Roman" w:hAnsi="Arial" w:cs="Arial"/>
          <w:b/>
          <w:bCs/>
          <w:sz w:val="20"/>
          <w:szCs w:val="20"/>
        </w:rPr>
        <w:t xml:space="preserve">PRETORIA, MONDAY 27 NOVEMBER 2017 </w:t>
      </w:r>
      <w:r w:rsidRPr="00445555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notes with deep concern media reports spreading the allegation that there has been impropriety on the part of Commissioner Tom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Moyane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in dealing with the disciplinary investigation into Chief Officer: Business &amp; Individual Taxes,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Jonas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>.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finds it necessary to address the unsubstantiated tone and the blatant misrepresentation of facts. In fact, this is a predictable and monotonous media narrative that is aimed at casting aspersions on the integrity of the organization.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It will be appreciated for reportage and analysis to be balanced, fair and accurate. While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supports media freedom, we cannot allow such low standards of journalism to go unchallenged and wish to set the record straight.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Firstly, it is not true that Hogan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Lovells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did not investigate the Financial Intelligence Centre (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FIC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) suspicious transactions. Neither is it true that Hogan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Lovells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issued a media statement to that effect.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All transactions as per the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FIC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suspicious report were put to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to respond and he did. It was those responses which lead to Hogan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Lovells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concluding that an act of misconduct could not be found from the transactions and their sources.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wishes to assist with a factual and chronological account of events.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Moyane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received the Financial Intelligence Centre (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FIC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) Report in May 2016.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After seeking advice, he placed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on precautionary suspension on 15 September 2016 so as to investigate whether or not any possible misconduct may have been committed by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relating to the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FIC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report.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The firm Hogan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Lovells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, an international and renowned law firm, was appointed to conduct this investigation.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In essence, their mandate which clearly reflects in their terms of reference was to determine whether any misconduct had been committed by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and/or Ms Kelly-Anne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Elskie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in their capacity as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employees.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Whilst on suspension,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committed what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believed to be a breach of his suspension conditions. This arose from a telephone call he made on 13 January 2017 to a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employee regarding an active tax matter.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On 20 January 2017, whilst the main investigation was still ongoing and whilst on suspension, disciplinary charges were served on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relating solely to this breach of his suspension conditions.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Hogan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Lovells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concluded its investigation based on the mandate stated above and delivered an investigation report to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Moyane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in June 2017. The Hogan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Lovells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report concluded that there was no </w:t>
      </w:r>
      <w:r w:rsidRPr="00445555">
        <w:rPr>
          <w:rFonts w:ascii="Arial" w:eastAsia="Times New Roman" w:hAnsi="Arial" w:cs="Arial"/>
          <w:i/>
          <w:iCs/>
          <w:sz w:val="20"/>
          <w:szCs w:val="20"/>
        </w:rPr>
        <w:t>prima facie</w:t>
      </w:r>
      <w:r w:rsidRPr="00445555">
        <w:rPr>
          <w:rFonts w:ascii="Arial" w:eastAsia="Times New Roman" w:hAnsi="Arial" w:cs="Arial"/>
          <w:sz w:val="20"/>
          <w:szCs w:val="20"/>
        </w:rPr>
        <w:t xml:space="preserve"> evidence that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had committed any misconduct in relation to the financial transactions emanating from the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FIC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report.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However, the recommendation was that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be charged for violating the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Conflict of Interest disclosure provisions as well as the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Code of Conduct.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A decision was then taken to expand the existing charges already served on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in January 2017 to include charges relating to the allegation of non-disclosure.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Moyane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appointed Advocate Terry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Motau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, SC, a senior counsel from the Johannesburg Bar, to chair the disciplinary enquiry with the guidance and assistance of Hogan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Lovells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The expanded enquiry concluded on 15 August 2017 and the outcome was received from the chairperson on 13 October 2017. 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Accordingly,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was found not guilty of all charges. Contrary to media reports spreading the allegation that the processes were tainted and that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Moyane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had a hand in allegedly tainting the processes, the above clearly demonstrates a patently fair, unbiased and independent process.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is concerned that wide spread media reports seem to suggest that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erred by allowing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r w:rsidRPr="00445555">
        <w:rPr>
          <w:rFonts w:ascii="Arial" w:eastAsia="Times New Roman" w:hAnsi="Arial" w:cs="Arial"/>
          <w:sz w:val="20"/>
          <w:szCs w:val="20"/>
        </w:rPr>
        <w:lastRenderedPageBreak/>
        <w:t>back into his employ given that there is a criminal matter pending. This assertion displays a lack of understanding of the difference between a misconduct investigation by an employer and a criminal investigation.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It is common knowledge that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FIC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– not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– referred the matter to the South African Police Service for an investigation on possible criminal acts.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Thus in September 2016, upon enquiry,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Moyane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was advised by the Directorate for Priority Crime Investigation (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DPCI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) that an enquiry into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and Ms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Elskie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, arising from the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FIC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report, was on-going under enquiry number 03/06/2016.  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In law, disciplinary proceedings and criminal proceedings are distinct and are governed by different legislation.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As an employer,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Moyane’s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jurisdiction only goes as far as determining whether or not there is any misconduct related to the employment relationship. The responsibility to pursue criminal charges in a court of law lies with the National Prosecuting Authority based on investigations by the SAPS or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DPCI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>.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Given the outcome of the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disciplinary process and the fact that no decision had been taken by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DPCI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on whether or not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should be criminally prosecuted at that time,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Moyane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was advised that there was no legal justification for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not to lift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Makwakwa's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suspension.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As a result, he was allowed to resume his duties with effect from 1 November 2017. Any other action would have amounted to a violation of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Makwakwa’s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legal rights as an employee.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It is important to be aware that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SARS’s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rights have been reserved to initiate possible new internal disciplinary proceedings should the outcome of the criminal process dictate so. 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notes that the media reports seem to insinuate incorrectly that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has refused to release the report by Hogan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Lovells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Moyane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has sought legal guidance regarding the release of the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FIC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and Hogan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Lovells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investigation reports. The advice he has received suggests that a crime would be committed should these reports be made public.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>Similar observations were made by the chairperson of Standing Committee of Finance (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SCOF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Yunus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Carrim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in his letter addressed to the Commissioner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Moyane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dated 6 November 2017, in which he noted the possibility that legal reasons may exist for the non-release of the reports.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To reach consensus and ensure closure on this matter,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Moyane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has written to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SCOF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chairman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Mr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Carrim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, making the following proposal: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* That a team consisting of legal representatives from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, the National Assembly, Treasury and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FIC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meet urgently to collectively engage and agree on a seasoned Senior Counsel to deliver an opinion on the legal permissibility of disclosing the reports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* That the National Assembly facilitate the process bearing in mind the urgency to get clarity on this matter.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The above detailed background and the process we are requesting of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SCOF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demonstrate our willing to always be transparent to the public so that we are forever beyond reproach.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  <w:t xml:space="preserve">As stated before, </w:t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has no objection to making these reports public, but as an organ of state would not want to violate the rights of an employee in doing so.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is deeply concerned about apparent bias, irresponsible and mischievous attitude to cast aspersions on the character of the organization to perpetuate a negative narrative of an organization that is undermining the rule of law. </w:t>
      </w:r>
      <w:r w:rsidRPr="00445555">
        <w:rPr>
          <w:rFonts w:ascii="Arial" w:eastAsia="Times New Roman" w:hAnsi="Arial" w:cs="Arial"/>
          <w:sz w:val="20"/>
          <w:szCs w:val="20"/>
        </w:rPr>
        <w:br/>
        <w:t> </w:t>
      </w:r>
      <w:r w:rsidRPr="00445555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45555">
        <w:rPr>
          <w:rFonts w:ascii="Arial" w:eastAsia="Times New Roman" w:hAnsi="Arial" w:cs="Arial"/>
          <w:sz w:val="20"/>
          <w:szCs w:val="20"/>
        </w:rPr>
        <w:t>SARS</w:t>
      </w:r>
      <w:proofErr w:type="spellEnd"/>
      <w:r w:rsidRPr="00445555">
        <w:rPr>
          <w:rFonts w:ascii="Arial" w:eastAsia="Times New Roman" w:hAnsi="Arial" w:cs="Arial"/>
          <w:sz w:val="20"/>
          <w:szCs w:val="20"/>
        </w:rPr>
        <w:t xml:space="preserve"> finds it regrettable that some media reportage and analysis continues to promote the perception that an outstanding revenue collection agency is falling apart.</w:t>
      </w:r>
      <w:r w:rsidRPr="00445555">
        <w:rPr>
          <w:rFonts w:ascii="Arial" w:eastAsia="Times New Roman" w:hAnsi="Arial" w:cs="Arial"/>
          <w:sz w:val="20"/>
          <w:szCs w:val="20"/>
        </w:rPr>
        <w:br/>
      </w:r>
    </w:p>
    <w:sectPr w:rsidR="000E3CD4" w:rsidRPr="00445555" w:rsidSect="0044555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5555"/>
    <w:rsid w:val="000657D9"/>
    <w:rsid w:val="000E3CD4"/>
    <w:rsid w:val="00112F93"/>
    <w:rsid w:val="00231047"/>
    <w:rsid w:val="002E0BC0"/>
    <w:rsid w:val="003F7B15"/>
    <w:rsid w:val="00445555"/>
    <w:rsid w:val="005B3F8B"/>
    <w:rsid w:val="006F592F"/>
    <w:rsid w:val="008F0076"/>
    <w:rsid w:val="00960FAB"/>
    <w:rsid w:val="00A73B23"/>
    <w:rsid w:val="00A84E85"/>
    <w:rsid w:val="00DE6096"/>
    <w:rsid w:val="00DF0C74"/>
    <w:rsid w:val="00E85A33"/>
    <w:rsid w:val="00F1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D4"/>
  </w:style>
  <w:style w:type="paragraph" w:styleId="Heading1">
    <w:name w:val="heading 1"/>
    <w:basedOn w:val="Normal"/>
    <w:link w:val="Heading1Char"/>
    <w:uiPriority w:val="9"/>
    <w:qFormat/>
    <w:rsid w:val="00445555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45555"/>
    <w:rPr>
      <w:b/>
      <w:bCs/>
    </w:rPr>
  </w:style>
  <w:style w:type="character" w:styleId="Emphasis">
    <w:name w:val="Emphasis"/>
    <w:basedOn w:val="DefaultParagraphFont"/>
    <w:uiPriority w:val="20"/>
    <w:qFormat/>
    <w:rsid w:val="0044555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5555"/>
    <w:rPr>
      <w:color w:val="0000FF"/>
      <w:u w:val="single"/>
    </w:rPr>
  </w:style>
  <w:style w:type="character" w:customStyle="1" w:styleId="ms-sitemapdirectional">
    <w:name w:val="ms-sitemapdirectional"/>
    <w:basedOn w:val="DefaultParagraphFont"/>
    <w:rsid w:val="00445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Gaile</dc:creator>
  <cp:keywords/>
  <dc:description/>
  <cp:lastModifiedBy>Gaile</cp:lastModifiedBy>
  <cp:revision>1</cp:revision>
  <dcterms:created xsi:type="dcterms:W3CDTF">2017-11-30T20:35:00Z</dcterms:created>
  <dcterms:modified xsi:type="dcterms:W3CDTF">2017-11-30T20:38:00Z</dcterms:modified>
</cp:coreProperties>
</file>