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017AC3">
        <w:rPr>
          <w:b/>
          <w:bCs/>
          <w:sz w:val="24"/>
          <w:u w:val="single"/>
        </w:rPr>
        <w:t>9</w:t>
      </w:r>
      <w:r w:rsidR="00EC7D51">
        <w:rPr>
          <w:b/>
          <w:bCs/>
          <w:sz w:val="24"/>
          <w:u w:val="single"/>
        </w:rPr>
        <w:t>93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17AC3">
        <w:rPr>
          <w:b/>
          <w:bCs/>
          <w:sz w:val="24"/>
          <w:u w:val="single"/>
        </w:rPr>
        <w:t>2</w:t>
      </w:r>
      <w:r w:rsidR="00EC7D51">
        <w:rPr>
          <w:b/>
          <w:bCs/>
          <w:sz w:val="24"/>
          <w:u w:val="single"/>
        </w:rPr>
        <w:t>9</w:t>
      </w:r>
      <w:r w:rsidR="006E0E56">
        <w:rPr>
          <w:b/>
          <w:bCs/>
          <w:sz w:val="24"/>
          <w:u w:val="single"/>
        </w:rPr>
        <w:t xml:space="preserve"> MAY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EC7D51">
        <w:rPr>
          <w:b/>
          <w:bCs/>
          <w:sz w:val="24"/>
          <w:u w:val="single"/>
        </w:rPr>
        <w:t>8</w:t>
      </w:r>
      <w:r w:rsidRPr="00294557">
        <w:rPr>
          <w:b/>
          <w:bCs/>
          <w:sz w:val="24"/>
          <w:u w:val="single"/>
        </w:rPr>
        <w:t>)</w:t>
      </w:r>
    </w:p>
    <w:p w:rsidR="00EC7D51" w:rsidRPr="00EC7D51" w:rsidRDefault="00EC7D51" w:rsidP="00EC7D51">
      <w:pPr>
        <w:spacing w:before="100" w:beforeAutospacing="1" w:after="100" w:afterAutospacing="1"/>
        <w:jc w:val="both"/>
        <w:rPr>
          <w:b/>
          <w:bCs/>
          <w:sz w:val="24"/>
          <w:u w:val="single"/>
        </w:rPr>
      </w:pPr>
      <w:r w:rsidRPr="00EC7D51">
        <w:rPr>
          <w:b/>
          <w:bCs/>
          <w:sz w:val="24"/>
          <w:u w:val="single"/>
        </w:rPr>
        <w:t>Mr P A van Staden (FF Plus) to ask the Minister of Health</w:t>
      </w:r>
      <w:r w:rsidRPr="00EC7D51">
        <w:rPr>
          <w:b/>
          <w:bCs/>
          <w:sz w:val="24"/>
          <w:u w:val="single"/>
        </w:rPr>
        <w:fldChar w:fldCharType="begin"/>
      </w:r>
      <w:r w:rsidRPr="00EC7D51">
        <w:rPr>
          <w:b/>
          <w:bCs/>
          <w:sz w:val="24"/>
          <w:u w:val="single"/>
          <w:lang w:val="en-ZA"/>
        </w:rPr>
        <w:instrText xml:space="preserve"> XE "</w:instrText>
      </w:r>
      <w:r w:rsidRPr="00EC7D51">
        <w:rPr>
          <w:b/>
          <w:bCs/>
          <w:sz w:val="24"/>
          <w:u w:val="single"/>
        </w:rPr>
        <w:instrText>Health</w:instrText>
      </w:r>
      <w:r w:rsidRPr="00EC7D51">
        <w:rPr>
          <w:b/>
          <w:bCs/>
          <w:sz w:val="24"/>
          <w:u w:val="single"/>
          <w:lang w:val="en-ZA"/>
        </w:rPr>
        <w:instrText xml:space="preserve">" </w:instrText>
      </w:r>
      <w:r w:rsidRPr="00EC7D51">
        <w:rPr>
          <w:b/>
          <w:bCs/>
          <w:sz w:val="24"/>
          <w:u w:val="single"/>
        </w:rPr>
        <w:fldChar w:fldCharType="end"/>
      </w:r>
      <w:r w:rsidRPr="00EC7D51">
        <w:rPr>
          <w:b/>
          <w:bCs/>
          <w:sz w:val="24"/>
          <w:u w:val="single"/>
        </w:rPr>
        <w:t>:</w:t>
      </w:r>
    </w:p>
    <w:p w:rsidR="00EC7D51" w:rsidRPr="00EC7D51" w:rsidRDefault="00EC7D51" w:rsidP="00EC7D51">
      <w:pPr>
        <w:spacing w:before="100" w:beforeAutospacing="1" w:after="100" w:afterAutospacing="1"/>
        <w:ind w:left="709" w:hanging="709"/>
        <w:jc w:val="both"/>
        <w:rPr>
          <w:bCs/>
          <w:sz w:val="24"/>
        </w:rPr>
      </w:pPr>
      <w:r w:rsidRPr="00EC7D51">
        <w:rPr>
          <w:bCs/>
          <w:sz w:val="24"/>
        </w:rPr>
        <w:t>(1)</w:t>
      </w:r>
      <w:r w:rsidRPr="00EC7D51">
        <w:rPr>
          <w:bCs/>
          <w:sz w:val="24"/>
        </w:rPr>
        <w:tab/>
        <w:t>Whether, with reference to his media release on 17 May 2020, in which he reported that a total number of 21 314 tests for Covid-19 were done on citizens throughout the Republic during the 24 hour period since 16 May 2020, he can indicate (a) what total number of test results are outstanding and still need to be finalised by public and private laboratories on a daily basis for Covid-19, (b) from what dates these test results are behind in each province and (c) what are the reasons for the (i) specified delays and (ii) Republic not being able to reach the stated goal of 30 000 tests per day; if not, why not; if so, what are the relevant details in each case;</w:t>
      </w:r>
    </w:p>
    <w:p w:rsidR="00786C98" w:rsidRPr="00EC7D51" w:rsidRDefault="00EC7D51" w:rsidP="00EC7D51">
      <w:pPr>
        <w:spacing w:before="100" w:beforeAutospacing="1" w:after="100" w:afterAutospacing="1"/>
        <w:jc w:val="both"/>
        <w:rPr>
          <w:sz w:val="24"/>
        </w:rPr>
      </w:pPr>
      <w:r w:rsidRPr="00EC7D51">
        <w:rPr>
          <w:bCs/>
          <w:sz w:val="24"/>
          <w:lang w:val="en-ZA"/>
        </w:rPr>
        <w:t>(2)</w:t>
      </w:r>
      <w:r w:rsidRPr="00EC7D51">
        <w:rPr>
          <w:bCs/>
          <w:sz w:val="24"/>
          <w:lang w:val="en-ZA"/>
        </w:rPr>
        <w:tab/>
      </w:r>
      <w:r w:rsidRPr="00EC7D51">
        <w:rPr>
          <w:bCs/>
          <w:sz w:val="24"/>
          <w:lang w:val="af-ZA"/>
        </w:rPr>
        <w:t xml:space="preserve">whether </w:t>
      </w:r>
      <w:r w:rsidRPr="00EC7D51">
        <w:rPr>
          <w:bCs/>
          <w:sz w:val="24"/>
          <w:lang w:val="en-ZA"/>
        </w:rPr>
        <w:t>he</w:t>
      </w:r>
      <w:r w:rsidRPr="00EC7D51">
        <w:rPr>
          <w:bCs/>
          <w:sz w:val="24"/>
          <w:lang w:val="af-ZA"/>
        </w:rPr>
        <w:t xml:space="preserve"> will </w:t>
      </w:r>
      <w:r w:rsidRPr="00EC7D51">
        <w:rPr>
          <w:bCs/>
          <w:sz w:val="24"/>
          <w:lang w:val="en-ZA"/>
        </w:rPr>
        <w:t>make</w:t>
      </w:r>
      <w:r w:rsidRPr="00EC7D51">
        <w:rPr>
          <w:bCs/>
          <w:sz w:val="24"/>
          <w:lang w:val="af-ZA"/>
        </w:rPr>
        <w:t xml:space="preserve"> a statement on the matter</w:t>
      </w:r>
      <w:r>
        <w:rPr>
          <w:bCs/>
          <w:sz w:val="24"/>
          <w:lang w:val="en-ZA"/>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12</w:t>
      </w:r>
      <w:r w:rsidR="00EC7D51">
        <w:rPr>
          <w:color w:val="000000"/>
        </w:rPr>
        <w:t>82</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FE2804" w:rsidRPr="00BB0548" w:rsidRDefault="00FE2804" w:rsidP="00FE2804">
      <w:pPr>
        <w:rPr>
          <w:bCs/>
          <w:sz w:val="24"/>
          <w:u w:val="single"/>
          <w:lang w:val="en-US"/>
        </w:rPr>
      </w:pPr>
    </w:p>
    <w:p w:rsidR="00FE2804" w:rsidRDefault="00FE2804" w:rsidP="00FE2804">
      <w:pPr>
        <w:tabs>
          <w:tab w:val="left" w:pos="709"/>
        </w:tabs>
        <w:ind w:left="1418" w:hanging="1418"/>
        <w:jc w:val="both"/>
        <w:rPr>
          <w:sz w:val="24"/>
          <w:lang w:val="en-US"/>
        </w:rPr>
      </w:pPr>
      <w:r>
        <w:rPr>
          <w:sz w:val="24"/>
          <w:lang w:val="en-US"/>
        </w:rPr>
        <w:t xml:space="preserve">(1) </w:t>
      </w:r>
      <w:r>
        <w:rPr>
          <w:sz w:val="24"/>
          <w:lang w:val="en-US"/>
        </w:rPr>
        <w:tab/>
        <w:t xml:space="preserve">(a) </w:t>
      </w:r>
      <w:r>
        <w:rPr>
          <w:sz w:val="24"/>
          <w:lang w:val="en-US"/>
        </w:rPr>
        <w:tab/>
        <w:t xml:space="preserve">The total number of outstanding tests fluctuates on a daily basis, mainly due to the increased community screening that was undertaken in the provinces with corresponding increase in demand for testing for persons under investigation. </w:t>
      </w:r>
      <w:r w:rsidRPr="004D0E75">
        <w:rPr>
          <w:sz w:val="24"/>
          <w:lang w:val="en-US"/>
        </w:rPr>
        <w:t>The number of outstanding COVID-19 test</w:t>
      </w:r>
      <w:r>
        <w:rPr>
          <w:sz w:val="24"/>
          <w:lang w:val="en-US"/>
        </w:rPr>
        <w:t>s</w:t>
      </w:r>
      <w:r w:rsidRPr="004D0E75">
        <w:rPr>
          <w:sz w:val="24"/>
          <w:lang w:val="en-US"/>
        </w:rPr>
        <w:t xml:space="preserve"> as at </w:t>
      </w:r>
      <w:r w:rsidRPr="00FE2804">
        <w:rPr>
          <w:sz w:val="24"/>
          <w:lang w:val="en-US"/>
        </w:rPr>
        <w:t>16 June 2020</w:t>
      </w:r>
      <w:r w:rsidRPr="004D0E75">
        <w:rPr>
          <w:sz w:val="24"/>
          <w:lang w:val="en-US"/>
        </w:rPr>
        <w:t xml:space="preserve"> in the public sector </w:t>
      </w:r>
      <w:r>
        <w:rPr>
          <w:sz w:val="24"/>
          <w:lang w:val="en-US"/>
        </w:rPr>
        <w:t xml:space="preserve">is </w:t>
      </w:r>
      <w:r w:rsidRPr="00FE2804">
        <w:rPr>
          <w:sz w:val="24"/>
          <w:lang w:val="en-US"/>
        </w:rPr>
        <w:t>currently 54 901</w:t>
      </w:r>
      <w:r>
        <w:rPr>
          <w:sz w:val="24"/>
          <w:lang w:val="en-US"/>
        </w:rPr>
        <w:t>, obtaining data from the private sector is proving difficult. T</w:t>
      </w:r>
      <w:r w:rsidRPr="004D0E75">
        <w:rPr>
          <w:sz w:val="24"/>
          <w:lang w:val="en-US"/>
        </w:rPr>
        <w:t>he weekly outstanding tests are tabulated below</w:t>
      </w:r>
      <w:r>
        <w:rPr>
          <w:sz w:val="24"/>
          <w:lang w:val="en-US"/>
        </w:rPr>
        <w:t>, with backlogs being cleared</w:t>
      </w:r>
      <w:r w:rsidRPr="004D0E75">
        <w:rPr>
          <w:sz w:val="24"/>
          <w:lang w:val="en-US"/>
        </w:rPr>
        <w:t>:</w:t>
      </w:r>
    </w:p>
    <w:p w:rsidR="00FE2804" w:rsidRPr="004D0E75" w:rsidRDefault="00FE2804" w:rsidP="00FE2804">
      <w:pPr>
        <w:tabs>
          <w:tab w:val="left" w:pos="709"/>
        </w:tabs>
        <w:ind w:left="1418" w:hanging="1418"/>
        <w:jc w:val="both"/>
        <w:rPr>
          <w:sz w:val="24"/>
          <w:lang w:val="en-US"/>
        </w:rPr>
      </w:pPr>
    </w:p>
    <w:tbl>
      <w:tblPr>
        <w:tblW w:w="10905" w:type="dxa"/>
        <w:tblCellMar>
          <w:left w:w="0" w:type="dxa"/>
          <w:right w:w="0" w:type="dxa"/>
        </w:tblCellMar>
        <w:tblLook w:val="0600" w:firstRow="0" w:lastRow="0" w:firstColumn="0" w:lastColumn="0" w:noHBand="1" w:noVBand="1"/>
      </w:tblPr>
      <w:tblGrid>
        <w:gridCol w:w="810"/>
        <w:gridCol w:w="793"/>
        <w:gridCol w:w="797"/>
        <w:gridCol w:w="992"/>
        <w:gridCol w:w="1134"/>
        <w:gridCol w:w="993"/>
        <w:gridCol w:w="1134"/>
        <w:gridCol w:w="1134"/>
        <w:gridCol w:w="1134"/>
        <w:gridCol w:w="1134"/>
        <w:gridCol w:w="850"/>
      </w:tblGrid>
      <w:tr w:rsidR="00FE2804" w:rsidRPr="00EF306F" w:rsidTr="00BF1201">
        <w:trPr>
          <w:trHeight w:val="331"/>
        </w:trPr>
        <w:tc>
          <w:tcPr>
            <w:tcW w:w="810" w:type="dxa"/>
            <w:tcBorders>
              <w:top w:val="single" w:sz="8" w:space="0" w:color="000000"/>
              <w:left w:val="single" w:sz="8" w:space="0" w:color="000000"/>
              <w:bottom w:val="single" w:sz="8" w:space="0" w:color="000000"/>
              <w:right w:val="single" w:sz="8" w:space="0" w:color="000000"/>
            </w:tcBorders>
            <w:shd w:val="clear" w:color="auto" w:fill="8AB833"/>
            <w:tcMar>
              <w:top w:w="15" w:type="dxa"/>
              <w:left w:w="15" w:type="dxa"/>
              <w:bottom w:w="0" w:type="dxa"/>
              <w:right w:w="15" w:type="dxa"/>
            </w:tcMar>
            <w:vAlign w:val="center"/>
            <w:hideMark/>
          </w:tcPr>
          <w:p w:rsidR="00FE2804" w:rsidRPr="00EF306F" w:rsidRDefault="00FE2804" w:rsidP="00BF1201">
            <w:pPr>
              <w:rPr>
                <w:rFonts w:ascii="Times New Roman" w:hAnsi="Times New Roman" w:cs="Times New Roman"/>
                <w:sz w:val="20"/>
                <w:szCs w:val="20"/>
                <w:lang w:val="en-ZA" w:eastAsia="en-ZA"/>
              </w:rPr>
            </w:pPr>
          </w:p>
        </w:tc>
        <w:tc>
          <w:tcPr>
            <w:tcW w:w="793" w:type="dxa"/>
            <w:tcBorders>
              <w:top w:val="single" w:sz="8" w:space="0" w:color="000000"/>
              <w:left w:val="single" w:sz="8" w:space="0" w:color="000000"/>
              <w:bottom w:val="single" w:sz="8" w:space="0" w:color="000000"/>
              <w:right w:val="single" w:sz="8" w:space="0" w:color="000000"/>
            </w:tcBorders>
            <w:shd w:val="clear" w:color="auto" w:fill="8AB833"/>
            <w:tcMar>
              <w:top w:w="15" w:type="dxa"/>
              <w:left w:w="15" w:type="dxa"/>
              <w:bottom w:w="0" w:type="dxa"/>
              <w:right w:w="15" w:type="dxa"/>
            </w:tcMar>
            <w:vAlign w:val="center"/>
            <w:hideMark/>
          </w:tcPr>
          <w:p w:rsidR="00FE2804" w:rsidRPr="00EF306F" w:rsidRDefault="00FE2804" w:rsidP="00BF1201">
            <w:pPr>
              <w:jc w:val="center"/>
              <w:textAlignment w:val="center"/>
              <w:rPr>
                <w:sz w:val="36"/>
                <w:szCs w:val="36"/>
                <w:lang w:val="en-ZA" w:eastAsia="en-ZA"/>
              </w:rPr>
            </w:pPr>
            <w:r w:rsidRPr="00EF306F">
              <w:rPr>
                <w:rFonts w:ascii="Calibri" w:hAnsi="Calibri" w:cs="Calibri"/>
                <w:color w:val="000000"/>
                <w:kern w:val="24"/>
                <w:sz w:val="20"/>
                <w:szCs w:val="20"/>
                <w:lang w:val="en-ZA" w:eastAsia="en-ZA"/>
              </w:rPr>
              <w:t>09/05/20</w:t>
            </w:r>
          </w:p>
        </w:tc>
        <w:tc>
          <w:tcPr>
            <w:tcW w:w="797" w:type="dxa"/>
            <w:tcBorders>
              <w:top w:val="single" w:sz="8" w:space="0" w:color="000000"/>
              <w:left w:val="single" w:sz="8" w:space="0" w:color="000000"/>
              <w:bottom w:val="single" w:sz="8" w:space="0" w:color="000000"/>
              <w:right w:val="single" w:sz="8" w:space="0" w:color="000000"/>
            </w:tcBorders>
            <w:shd w:val="clear" w:color="auto" w:fill="8AB833"/>
            <w:tcMar>
              <w:top w:w="15" w:type="dxa"/>
              <w:left w:w="15" w:type="dxa"/>
              <w:bottom w:w="0" w:type="dxa"/>
              <w:right w:w="15" w:type="dxa"/>
            </w:tcMar>
            <w:vAlign w:val="center"/>
            <w:hideMark/>
          </w:tcPr>
          <w:p w:rsidR="00FE2804" w:rsidRPr="00EF306F" w:rsidRDefault="00FE2804" w:rsidP="00BF1201">
            <w:pPr>
              <w:jc w:val="center"/>
              <w:textAlignment w:val="center"/>
              <w:rPr>
                <w:sz w:val="36"/>
                <w:szCs w:val="36"/>
                <w:lang w:val="en-ZA" w:eastAsia="en-ZA"/>
              </w:rPr>
            </w:pPr>
            <w:r w:rsidRPr="00EF306F">
              <w:rPr>
                <w:rFonts w:ascii="Calibri" w:hAnsi="Calibri" w:cs="Calibri"/>
                <w:color w:val="000000"/>
                <w:kern w:val="24"/>
                <w:sz w:val="20"/>
                <w:szCs w:val="20"/>
                <w:lang w:val="en-ZA" w:eastAsia="en-ZA"/>
              </w:rPr>
              <w:t>14/05/20</w:t>
            </w:r>
          </w:p>
        </w:tc>
        <w:tc>
          <w:tcPr>
            <w:tcW w:w="992" w:type="dxa"/>
            <w:tcBorders>
              <w:top w:val="single" w:sz="8" w:space="0" w:color="000000"/>
              <w:left w:val="single" w:sz="8" w:space="0" w:color="000000"/>
              <w:bottom w:val="single" w:sz="8" w:space="0" w:color="000000"/>
              <w:right w:val="single" w:sz="8" w:space="0" w:color="000000"/>
            </w:tcBorders>
            <w:shd w:val="clear" w:color="auto" w:fill="8AB833"/>
            <w:tcMar>
              <w:top w:w="15" w:type="dxa"/>
              <w:left w:w="15" w:type="dxa"/>
              <w:bottom w:w="0" w:type="dxa"/>
              <w:right w:w="15" w:type="dxa"/>
            </w:tcMar>
            <w:vAlign w:val="center"/>
            <w:hideMark/>
          </w:tcPr>
          <w:p w:rsidR="00FE2804" w:rsidRPr="00EF306F" w:rsidRDefault="00FE2804" w:rsidP="00BF1201">
            <w:pPr>
              <w:jc w:val="center"/>
              <w:textAlignment w:val="center"/>
              <w:rPr>
                <w:sz w:val="36"/>
                <w:szCs w:val="36"/>
                <w:lang w:val="en-ZA" w:eastAsia="en-ZA"/>
              </w:rPr>
            </w:pPr>
            <w:r w:rsidRPr="00EF306F">
              <w:rPr>
                <w:rFonts w:ascii="Calibri" w:hAnsi="Calibri" w:cs="Calibri"/>
                <w:color w:val="000000"/>
                <w:kern w:val="24"/>
                <w:sz w:val="20"/>
                <w:szCs w:val="20"/>
                <w:lang w:val="en-ZA" w:eastAsia="en-ZA"/>
              </w:rPr>
              <w:t>21/05/20</w:t>
            </w:r>
          </w:p>
        </w:tc>
        <w:tc>
          <w:tcPr>
            <w:tcW w:w="1134" w:type="dxa"/>
            <w:tcBorders>
              <w:top w:val="single" w:sz="8" w:space="0" w:color="000000"/>
              <w:left w:val="single" w:sz="8" w:space="0" w:color="000000"/>
              <w:bottom w:val="single" w:sz="8" w:space="0" w:color="000000"/>
              <w:right w:val="single" w:sz="8" w:space="0" w:color="000000"/>
            </w:tcBorders>
            <w:shd w:val="clear" w:color="auto" w:fill="8AB833"/>
            <w:tcMar>
              <w:top w:w="15" w:type="dxa"/>
              <w:left w:w="15" w:type="dxa"/>
              <w:bottom w:w="0" w:type="dxa"/>
              <w:right w:w="15" w:type="dxa"/>
            </w:tcMar>
            <w:vAlign w:val="center"/>
            <w:hideMark/>
          </w:tcPr>
          <w:p w:rsidR="00FE2804" w:rsidRPr="00EF306F" w:rsidRDefault="00FE2804" w:rsidP="00BF1201">
            <w:pPr>
              <w:jc w:val="center"/>
              <w:textAlignment w:val="center"/>
              <w:rPr>
                <w:sz w:val="36"/>
                <w:szCs w:val="36"/>
                <w:lang w:val="en-ZA" w:eastAsia="en-ZA"/>
              </w:rPr>
            </w:pPr>
            <w:r w:rsidRPr="00EF306F">
              <w:rPr>
                <w:rFonts w:ascii="Calibri" w:hAnsi="Calibri" w:cs="Calibri"/>
                <w:color w:val="000000"/>
                <w:kern w:val="24"/>
                <w:sz w:val="20"/>
                <w:szCs w:val="20"/>
                <w:lang w:val="en-ZA" w:eastAsia="en-ZA"/>
              </w:rPr>
              <w:t>25/05/20</w:t>
            </w:r>
          </w:p>
        </w:tc>
        <w:tc>
          <w:tcPr>
            <w:tcW w:w="993" w:type="dxa"/>
            <w:tcBorders>
              <w:top w:val="single" w:sz="8" w:space="0" w:color="000000"/>
              <w:left w:val="single" w:sz="8" w:space="0" w:color="000000"/>
              <w:bottom w:val="single" w:sz="8" w:space="0" w:color="000000"/>
              <w:right w:val="single" w:sz="8" w:space="0" w:color="000000"/>
            </w:tcBorders>
            <w:shd w:val="clear" w:color="auto" w:fill="8AB833"/>
            <w:tcMar>
              <w:top w:w="15" w:type="dxa"/>
              <w:left w:w="15" w:type="dxa"/>
              <w:bottom w:w="0" w:type="dxa"/>
              <w:right w:w="15" w:type="dxa"/>
            </w:tcMar>
            <w:vAlign w:val="center"/>
            <w:hideMark/>
          </w:tcPr>
          <w:p w:rsidR="00FE2804" w:rsidRPr="00EF306F" w:rsidRDefault="00FE2804" w:rsidP="00BF1201">
            <w:pPr>
              <w:jc w:val="center"/>
              <w:textAlignment w:val="center"/>
              <w:rPr>
                <w:sz w:val="36"/>
                <w:szCs w:val="36"/>
                <w:lang w:val="en-ZA" w:eastAsia="en-ZA"/>
              </w:rPr>
            </w:pPr>
            <w:r w:rsidRPr="00EF306F">
              <w:rPr>
                <w:rFonts w:ascii="Calibri" w:hAnsi="Calibri" w:cs="Calibri"/>
                <w:color w:val="000000"/>
                <w:kern w:val="24"/>
                <w:sz w:val="20"/>
                <w:szCs w:val="20"/>
                <w:lang w:val="en-US" w:eastAsia="en-ZA"/>
              </w:rPr>
              <w:t>28/05/20</w:t>
            </w:r>
          </w:p>
        </w:tc>
        <w:tc>
          <w:tcPr>
            <w:tcW w:w="1134" w:type="dxa"/>
            <w:tcBorders>
              <w:top w:val="single" w:sz="8" w:space="0" w:color="000000"/>
              <w:left w:val="single" w:sz="8" w:space="0" w:color="000000"/>
              <w:bottom w:val="single" w:sz="8" w:space="0" w:color="000000"/>
              <w:right w:val="single" w:sz="8" w:space="0" w:color="000000"/>
            </w:tcBorders>
            <w:shd w:val="clear" w:color="auto" w:fill="8AB833"/>
            <w:tcMar>
              <w:top w:w="15" w:type="dxa"/>
              <w:left w:w="15" w:type="dxa"/>
              <w:bottom w:w="0" w:type="dxa"/>
              <w:right w:w="15" w:type="dxa"/>
            </w:tcMar>
            <w:vAlign w:val="center"/>
            <w:hideMark/>
          </w:tcPr>
          <w:p w:rsidR="00FE2804" w:rsidRPr="00EF306F" w:rsidRDefault="00FE2804" w:rsidP="00BF1201">
            <w:pPr>
              <w:jc w:val="center"/>
              <w:textAlignment w:val="center"/>
              <w:rPr>
                <w:sz w:val="36"/>
                <w:szCs w:val="36"/>
                <w:lang w:val="en-ZA" w:eastAsia="en-ZA"/>
              </w:rPr>
            </w:pPr>
            <w:r w:rsidRPr="00EF306F">
              <w:rPr>
                <w:rFonts w:ascii="Calibri" w:hAnsi="Calibri" w:cs="Calibri"/>
                <w:color w:val="000000"/>
                <w:kern w:val="24"/>
                <w:sz w:val="20"/>
                <w:szCs w:val="20"/>
                <w:lang w:val="en-US" w:eastAsia="en-ZA"/>
              </w:rPr>
              <w:t>04/06/20</w:t>
            </w:r>
          </w:p>
        </w:tc>
        <w:tc>
          <w:tcPr>
            <w:tcW w:w="1134" w:type="dxa"/>
            <w:tcBorders>
              <w:top w:val="single" w:sz="8" w:space="0" w:color="000000"/>
              <w:left w:val="single" w:sz="8" w:space="0" w:color="000000"/>
              <w:bottom w:val="single" w:sz="8" w:space="0" w:color="000000"/>
              <w:right w:val="single" w:sz="8" w:space="0" w:color="000000"/>
            </w:tcBorders>
            <w:shd w:val="clear" w:color="auto" w:fill="8AB833"/>
            <w:tcMar>
              <w:top w:w="15" w:type="dxa"/>
              <w:left w:w="15" w:type="dxa"/>
              <w:bottom w:w="0" w:type="dxa"/>
              <w:right w:w="15" w:type="dxa"/>
            </w:tcMar>
            <w:vAlign w:val="center"/>
            <w:hideMark/>
          </w:tcPr>
          <w:p w:rsidR="00FE2804" w:rsidRPr="00EF306F" w:rsidRDefault="00FE2804" w:rsidP="00BF1201">
            <w:pPr>
              <w:jc w:val="center"/>
              <w:textAlignment w:val="center"/>
              <w:rPr>
                <w:sz w:val="36"/>
                <w:szCs w:val="36"/>
                <w:lang w:val="en-ZA" w:eastAsia="en-ZA"/>
              </w:rPr>
            </w:pPr>
            <w:r w:rsidRPr="00EF306F">
              <w:rPr>
                <w:rFonts w:ascii="Calibri" w:hAnsi="Calibri" w:cs="Calibri"/>
                <w:color w:val="000000"/>
                <w:kern w:val="24"/>
                <w:sz w:val="20"/>
                <w:szCs w:val="20"/>
                <w:lang w:val="en-US" w:eastAsia="en-ZA"/>
              </w:rPr>
              <w:t>09/06/20</w:t>
            </w:r>
          </w:p>
        </w:tc>
        <w:tc>
          <w:tcPr>
            <w:tcW w:w="1134" w:type="dxa"/>
            <w:tcBorders>
              <w:top w:val="single" w:sz="8" w:space="0" w:color="000000"/>
              <w:left w:val="single" w:sz="8" w:space="0" w:color="000000"/>
              <w:bottom w:val="single" w:sz="8" w:space="0" w:color="000000"/>
              <w:right w:val="single" w:sz="8" w:space="0" w:color="000000"/>
            </w:tcBorders>
            <w:shd w:val="clear" w:color="auto" w:fill="8AB833"/>
            <w:tcMar>
              <w:top w:w="15" w:type="dxa"/>
              <w:left w:w="15" w:type="dxa"/>
              <w:bottom w:w="0" w:type="dxa"/>
              <w:right w:w="15" w:type="dxa"/>
            </w:tcMar>
            <w:vAlign w:val="center"/>
            <w:hideMark/>
          </w:tcPr>
          <w:p w:rsidR="00FE2804" w:rsidRPr="00EF306F" w:rsidRDefault="00FE2804" w:rsidP="00BF1201">
            <w:pPr>
              <w:jc w:val="center"/>
              <w:textAlignment w:val="center"/>
              <w:rPr>
                <w:sz w:val="36"/>
                <w:szCs w:val="36"/>
                <w:lang w:val="en-ZA" w:eastAsia="en-ZA"/>
              </w:rPr>
            </w:pPr>
            <w:r w:rsidRPr="00EF306F">
              <w:rPr>
                <w:rFonts w:ascii="Calibri" w:hAnsi="Calibri" w:cs="Calibri"/>
                <w:color w:val="000000"/>
                <w:kern w:val="24"/>
                <w:sz w:val="20"/>
                <w:szCs w:val="20"/>
                <w:lang w:val="en-US" w:eastAsia="en-ZA"/>
              </w:rPr>
              <w:t>10/06/20</w:t>
            </w:r>
          </w:p>
        </w:tc>
        <w:tc>
          <w:tcPr>
            <w:tcW w:w="1134" w:type="dxa"/>
            <w:tcBorders>
              <w:top w:val="single" w:sz="8" w:space="0" w:color="000000"/>
              <w:left w:val="single" w:sz="8" w:space="0" w:color="000000"/>
              <w:bottom w:val="single" w:sz="8" w:space="0" w:color="000000"/>
              <w:right w:val="single" w:sz="8" w:space="0" w:color="000000"/>
            </w:tcBorders>
            <w:shd w:val="clear" w:color="auto" w:fill="8AB833"/>
            <w:tcMar>
              <w:top w:w="15" w:type="dxa"/>
              <w:left w:w="15" w:type="dxa"/>
              <w:bottom w:w="0" w:type="dxa"/>
              <w:right w:w="15" w:type="dxa"/>
            </w:tcMar>
            <w:vAlign w:val="center"/>
            <w:hideMark/>
          </w:tcPr>
          <w:p w:rsidR="00FE2804" w:rsidRPr="00EF306F" w:rsidRDefault="00FE2804" w:rsidP="00BF1201">
            <w:pPr>
              <w:jc w:val="center"/>
              <w:textAlignment w:val="center"/>
              <w:rPr>
                <w:sz w:val="36"/>
                <w:szCs w:val="36"/>
                <w:lang w:val="en-ZA" w:eastAsia="en-ZA"/>
              </w:rPr>
            </w:pPr>
            <w:r w:rsidRPr="00EF306F">
              <w:rPr>
                <w:rFonts w:ascii="Calibri" w:hAnsi="Calibri" w:cs="Calibri"/>
                <w:color w:val="000000"/>
                <w:kern w:val="24"/>
                <w:sz w:val="20"/>
                <w:szCs w:val="20"/>
                <w:lang w:val="en-US" w:eastAsia="en-ZA"/>
              </w:rPr>
              <w:t>11/06/20</w:t>
            </w:r>
          </w:p>
        </w:tc>
        <w:tc>
          <w:tcPr>
            <w:tcW w:w="850" w:type="dxa"/>
            <w:tcBorders>
              <w:top w:val="single" w:sz="8" w:space="0" w:color="000000"/>
              <w:left w:val="single" w:sz="8" w:space="0" w:color="000000"/>
              <w:bottom w:val="single" w:sz="8" w:space="0" w:color="000000"/>
              <w:right w:val="single" w:sz="8" w:space="0" w:color="000000"/>
            </w:tcBorders>
            <w:shd w:val="clear" w:color="auto" w:fill="8AB833"/>
            <w:tcMar>
              <w:top w:w="15" w:type="dxa"/>
              <w:left w:w="15" w:type="dxa"/>
              <w:bottom w:w="0" w:type="dxa"/>
              <w:right w:w="15" w:type="dxa"/>
            </w:tcMar>
            <w:vAlign w:val="center"/>
            <w:hideMark/>
          </w:tcPr>
          <w:p w:rsidR="00FE2804" w:rsidRPr="00EF306F" w:rsidRDefault="00FE2804" w:rsidP="00BF1201">
            <w:pPr>
              <w:jc w:val="center"/>
              <w:textAlignment w:val="center"/>
              <w:rPr>
                <w:sz w:val="36"/>
                <w:szCs w:val="36"/>
                <w:lang w:val="en-ZA" w:eastAsia="en-ZA"/>
              </w:rPr>
            </w:pPr>
            <w:r w:rsidRPr="00EF306F">
              <w:rPr>
                <w:rFonts w:ascii="Calibri" w:hAnsi="Calibri" w:cs="Calibri"/>
                <w:color w:val="000000"/>
                <w:kern w:val="24"/>
                <w:sz w:val="20"/>
                <w:szCs w:val="20"/>
                <w:lang w:val="en-US" w:eastAsia="en-ZA"/>
              </w:rPr>
              <w:t>16/06/20</w:t>
            </w:r>
          </w:p>
        </w:tc>
      </w:tr>
      <w:tr w:rsidR="00FE2804" w:rsidRPr="00EF306F" w:rsidTr="00BF1201">
        <w:trPr>
          <w:trHeight w:val="380"/>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E2804" w:rsidRPr="00EF306F" w:rsidRDefault="00FE2804" w:rsidP="00BF1201">
            <w:pPr>
              <w:textAlignment w:val="center"/>
              <w:rPr>
                <w:sz w:val="36"/>
                <w:szCs w:val="36"/>
                <w:lang w:val="en-ZA" w:eastAsia="en-ZA"/>
              </w:rPr>
            </w:pPr>
            <w:r w:rsidRPr="00EF306F">
              <w:rPr>
                <w:rFonts w:ascii="Calibri" w:hAnsi="Calibri" w:cs="Calibri"/>
                <w:color w:val="000000"/>
                <w:kern w:val="24"/>
                <w:sz w:val="20"/>
                <w:szCs w:val="20"/>
                <w:lang w:val="en-ZA" w:eastAsia="en-ZA"/>
              </w:rPr>
              <w:t>Total</w:t>
            </w:r>
          </w:p>
        </w:tc>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E2804" w:rsidRPr="00EF306F" w:rsidRDefault="00FE2804" w:rsidP="00BF1201">
            <w:pPr>
              <w:jc w:val="center"/>
              <w:textAlignment w:val="bottom"/>
              <w:rPr>
                <w:sz w:val="36"/>
                <w:szCs w:val="36"/>
                <w:lang w:val="en-ZA" w:eastAsia="en-ZA"/>
              </w:rPr>
            </w:pPr>
            <w:r w:rsidRPr="00EF306F">
              <w:rPr>
                <w:rFonts w:ascii="Calibri" w:hAnsi="Calibri" w:cs="Calibri"/>
                <w:color w:val="000000"/>
                <w:kern w:val="24"/>
                <w:sz w:val="20"/>
                <w:szCs w:val="20"/>
                <w:lang w:val="en-ZA" w:eastAsia="en-ZA"/>
              </w:rPr>
              <w:t>49 550</w:t>
            </w:r>
          </w:p>
        </w:tc>
        <w:tc>
          <w:tcPr>
            <w:tcW w:w="79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E2804" w:rsidRPr="00EF306F" w:rsidRDefault="00FE2804" w:rsidP="00BF1201">
            <w:pPr>
              <w:jc w:val="center"/>
              <w:textAlignment w:val="bottom"/>
              <w:rPr>
                <w:sz w:val="36"/>
                <w:szCs w:val="36"/>
                <w:lang w:val="en-ZA" w:eastAsia="en-ZA"/>
              </w:rPr>
            </w:pPr>
            <w:r w:rsidRPr="00EF306F">
              <w:rPr>
                <w:rFonts w:ascii="Calibri" w:hAnsi="Calibri" w:cs="Calibri"/>
                <w:color w:val="000000"/>
                <w:kern w:val="24"/>
                <w:sz w:val="20"/>
                <w:szCs w:val="20"/>
                <w:lang w:val="en-ZA" w:eastAsia="en-ZA"/>
              </w:rPr>
              <w:t>58 930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E2804" w:rsidRPr="00EF306F" w:rsidRDefault="00FE2804" w:rsidP="00BF1201">
            <w:pPr>
              <w:jc w:val="center"/>
              <w:textAlignment w:val="bottom"/>
              <w:rPr>
                <w:sz w:val="36"/>
                <w:szCs w:val="36"/>
                <w:lang w:val="en-ZA" w:eastAsia="en-ZA"/>
              </w:rPr>
            </w:pPr>
            <w:r w:rsidRPr="00EF306F">
              <w:rPr>
                <w:rFonts w:ascii="Calibri" w:hAnsi="Calibri" w:cs="Calibri"/>
                <w:color w:val="000000"/>
                <w:kern w:val="24"/>
                <w:sz w:val="20"/>
                <w:szCs w:val="20"/>
                <w:lang w:val="en-ZA" w:eastAsia="en-ZA"/>
              </w:rPr>
              <w:t>101 000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E2804" w:rsidRPr="00EF306F" w:rsidRDefault="00FE2804" w:rsidP="00BF1201">
            <w:pPr>
              <w:jc w:val="center"/>
              <w:textAlignment w:val="bottom"/>
              <w:rPr>
                <w:sz w:val="36"/>
                <w:szCs w:val="36"/>
                <w:lang w:val="en-ZA" w:eastAsia="en-ZA"/>
              </w:rPr>
            </w:pPr>
            <w:r w:rsidRPr="00EF306F">
              <w:rPr>
                <w:rFonts w:ascii="Calibri" w:hAnsi="Calibri" w:cs="Calibri"/>
                <w:color w:val="000000"/>
                <w:kern w:val="24"/>
                <w:sz w:val="20"/>
                <w:szCs w:val="20"/>
                <w:lang w:val="en-ZA" w:eastAsia="en-ZA"/>
              </w:rPr>
              <w:t>96 480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E2804" w:rsidRPr="00EF306F" w:rsidRDefault="00FE2804" w:rsidP="00BF1201">
            <w:pPr>
              <w:jc w:val="center"/>
              <w:textAlignment w:val="bottom"/>
              <w:rPr>
                <w:sz w:val="36"/>
                <w:szCs w:val="36"/>
                <w:lang w:val="en-ZA" w:eastAsia="en-ZA"/>
              </w:rPr>
            </w:pPr>
            <w:r w:rsidRPr="00EF306F">
              <w:rPr>
                <w:rFonts w:ascii="Calibri" w:hAnsi="Calibri" w:cs="Calibri"/>
                <w:color w:val="000000"/>
                <w:kern w:val="24"/>
                <w:sz w:val="20"/>
                <w:szCs w:val="20"/>
                <w:lang w:val="en-ZA" w:eastAsia="en-ZA"/>
              </w:rPr>
              <w:t>83 767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E2804" w:rsidRPr="00EF306F" w:rsidRDefault="00FE2804" w:rsidP="00BF1201">
            <w:pPr>
              <w:jc w:val="center"/>
              <w:textAlignment w:val="bottom"/>
              <w:rPr>
                <w:sz w:val="36"/>
                <w:szCs w:val="36"/>
                <w:lang w:val="en-ZA" w:eastAsia="en-ZA"/>
              </w:rPr>
            </w:pPr>
            <w:r w:rsidRPr="00EF306F">
              <w:rPr>
                <w:rFonts w:ascii="Calibri" w:hAnsi="Calibri" w:cs="Calibri"/>
                <w:color w:val="000000"/>
                <w:kern w:val="24"/>
                <w:sz w:val="20"/>
                <w:szCs w:val="20"/>
                <w:lang w:val="en-US" w:eastAsia="en-ZA"/>
              </w:rPr>
              <w:t>81 069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E2804" w:rsidRPr="00EF306F" w:rsidRDefault="00FE2804" w:rsidP="00BF1201">
            <w:pPr>
              <w:jc w:val="center"/>
              <w:textAlignment w:val="bottom"/>
              <w:rPr>
                <w:sz w:val="36"/>
                <w:szCs w:val="36"/>
                <w:lang w:val="en-ZA" w:eastAsia="en-ZA"/>
              </w:rPr>
            </w:pPr>
            <w:r w:rsidRPr="00EF306F">
              <w:rPr>
                <w:rFonts w:ascii="Calibri" w:hAnsi="Calibri" w:cs="Calibri"/>
                <w:color w:val="000000"/>
                <w:kern w:val="24"/>
                <w:sz w:val="20"/>
                <w:szCs w:val="20"/>
                <w:lang w:val="en-US" w:eastAsia="en-ZA"/>
              </w:rPr>
              <w:t>70 219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E2804" w:rsidRPr="00EF306F" w:rsidRDefault="00FE2804" w:rsidP="00BF1201">
            <w:pPr>
              <w:jc w:val="center"/>
              <w:textAlignment w:val="bottom"/>
              <w:rPr>
                <w:sz w:val="36"/>
                <w:szCs w:val="36"/>
                <w:lang w:val="en-ZA" w:eastAsia="en-ZA"/>
              </w:rPr>
            </w:pPr>
            <w:r w:rsidRPr="00EF306F">
              <w:rPr>
                <w:rFonts w:ascii="Calibri" w:hAnsi="Calibri" w:cs="Calibri"/>
                <w:color w:val="000000"/>
                <w:kern w:val="24"/>
                <w:sz w:val="20"/>
                <w:szCs w:val="20"/>
                <w:lang w:val="en-ZA" w:eastAsia="en-ZA"/>
              </w:rPr>
              <w:t>63 244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E2804" w:rsidRPr="00EF306F" w:rsidRDefault="00FE2804" w:rsidP="00BF1201">
            <w:pPr>
              <w:jc w:val="center"/>
              <w:textAlignment w:val="bottom"/>
              <w:rPr>
                <w:sz w:val="36"/>
                <w:szCs w:val="36"/>
                <w:lang w:val="en-ZA" w:eastAsia="en-ZA"/>
              </w:rPr>
            </w:pPr>
            <w:r w:rsidRPr="00EF306F">
              <w:rPr>
                <w:rFonts w:ascii="Calibri" w:hAnsi="Calibri" w:cs="Calibri"/>
                <w:color w:val="000000"/>
                <w:kern w:val="24"/>
                <w:sz w:val="20"/>
                <w:szCs w:val="20"/>
                <w:lang w:val="en-ZA" w:eastAsia="en-ZA"/>
              </w:rPr>
              <w:t>57 034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E2804" w:rsidRPr="00EF306F" w:rsidRDefault="00FE2804" w:rsidP="00BF1201">
            <w:pPr>
              <w:jc w:val="center"/>
              <w:textAlignment w:val="bottom"/>
              <w:rPr>
                <w:sz w:val="36"/>
                <w:szCs w:val="36"/>
                <w:lang w:val="en-ZA" w:eastAsia="en-ZA"/>
              </w:rPr>
            </w:pPr>
            <w:r w:rsidRPr="00EF306F">
              <w:rPr>
                <w:rFonts w:ascii="Calibri" w:hAnsi="Calibri" w:cs="Calibri"/>
                <w:color w:val="000000"/>
                <w:kern w:val="24"/>
                <w:sz w:val="20"/>
                <w:szCs w:val="20"/>
                <w:lang w:eastAsia="en-ZA"/>
              </w:rPr>
              <w:t>54 901</w:t>
            </w:r>
          </w:p>
        </w:tc>
      </w:tr>
    </w:tbl>
    <w:p w:rsidR="00FE2804" w:rsidRPr="004D0E75" w:rsidRDefault="00FE2804" w:rsidP="00FE2804">
      <w:pPr>
        <w:jc w:val="both"/>
        <w:rPr>
          <w:sz w:val="24"/>
          <w:lang w:val="en-US"/>
        </w:rPr>
      </w:pPr>
    </w:p>
    <w:p w:rsidR="00FE2804" w:rsidRPr="00711862" w:rsidRDefault="00FE2804" w:rsidP="00FE2804">
      <w:pPr>
        <w:jc w:val="both"/>
        <w:rPr>
          <w:sz w:val="24"/>
          <w:lang w:val="en-ZA"/>
        </w:rPr>
      </w:pPr>
    </w:p>
    <w:p w:rsidR="00FE2804" w:rsidRPr="00711862" w:rsidRDefault="00FE2804" w:rsidP="00FE2804">
      <w:pPr>
        <w:ind w:left="1440" w:hanging="720"/>
        <w:jc w:val="both"/>
        <w:rPr>
          <w:sz w:val="24"/>
          <w:lang w:val="en-US"/>
        </w:rPr>
      </w:pPr>
      <w:r w:rsidRPr="00711862">
        <w:rPr>
          <w:sz w:val="24"/>
          <w:lang w:val="en-ZA"/>
        </w:rPr>
        <w:t xml:space="preserve">(b) </w:t>
      </w:r>
      <w:r>
        <w:rPr>
          <w:sz w:val="24"/>
          <w:lang w:val="en-ZA"/>
        </w:rPr>
        <w:tab/>
      </w:r>
      <w:r w:rsidRPr="00711862">
        <w:rPr>
          <w:sz w:val="24"/>
          <w:lang w:val="en-US"/>
        </w:rPr>
        <w:t xml:space="preserve">Currently the outstanding tests are about 107 hours old, this is approximately 4 and a half days. </w:t>
      </w:r>
    </w:p>
    <w:p w:rsidR="00FE2804" w:rsidRDefault="00FE2804" w:rsidP="00FE2804">
      <w:pPr>
        <w:jc w:val="both"/>
        <w:rPr>
          <w:sz w:val="24"/>
          <w:lang w:val="en-US"/>
        </w:rPr>
      </w:pPr>
    </w:p>
    <w:p w:rsidR="00FE2804" w:rsidRDefault="00FE2804" w:rsidP="00FE2804">
      <w:pPr>
        <w:tabs>
          <w:tab w:val="left" w:pos="1418"/>
        </w:tabs>
        <w:ind w:left="1985" w:hanging="1265"/>
        <w:jc w:val="both"/>
        <w:rPr>
          <w:sz w:val="24"/>
          <w:lang w:val="en-US"/>
        </w:rPr>
      </w:pPr>
      <w:r w:rsidRPr="00C10456">
        <w:rPr>
          <w:sz w:val="24"/>
          <w:lang w:val="en-US"/>
        </w:rPr>
        <w:t xml:space="preserve">(c) </w:t>
      </w:r>
      <w:r>
        <w:rPr>
          <w:sz w:val="24"/>
          <w:lang w:val="en-US"/>
        </w:rPr>
        <w:tab/>
      </w:r>
      <w:r w:rsidRPr="00C10456">
        <w:rPr>
          <w:sz w:val="24"/>
          <w:lang w:val="en-US"/>
        </w:rPr>
        <w:t xml:space="preserve">(i) </w:t>
      </w:r>
      <w:r>
        <w:rPr>
          <w:sz w:val="24"/>
          <w:lang w:val="en-US"/>
        </w:rPr>
        <w:tab/>
      </w:r>
      <w:r w:rsidRPr="00C10456">
        <w:rPr>
          <w:sz w:val="24"/>
          <w:lang w:val="en-US"/>
        </w:rPr>
        <w:t xml:space="preserve">The outstanding tests started in the first week </w:t>
      </w:r>
      <w:r>
        <w:rPr>
          <w:sz w:val="24"/>
          <w:lang w:val="en-US"/>
        </w:rPr>
        <w:t>of</w:t>
      </w:r>
      <w:r w:rsidRPr="00C10456">
        <w:rPr>
          <w:sz w:val="24"/>
          <w:lang w:val="en-US"/>
        </w:rPr>
        <w:t xml:space="preserve"> May</w:t>
      </w:r>
      <w:r>
        <w:rPr>
          <w:sz w:val="24"/>
          <w:lang w:val="en-US"/>
        </w:rPr>
        <w:t xml:space="preserve"> 2020</w:t>
      </w:r>
      <w:r w:rsidRPr="00C10456">
        <w:rPr>
          <w:sz w:val="24"/>
          <w:lang w:val="en-US"/>
        </w:rPr>
        <w:t xml:space="preserve"> when</w:t>
      </w:r>
      <w:r>
        <w:rPr>
          <w:sz w:val="24"/>
          <w:lang w:val="en-US"/>
        </w:rPr>
        <w:t xml:space="preserve"> </w:t>
      </w:r>
      <w:r w:rsidRPr="00C10456">
        <w:rPr>
          <w:sz w:val="24"/>
          <w:lang w:val="en-US"/>
        </w:rPr>
        <w:t xml:space="preserve">demand </w:t>
      </w:r>
      <w:r>
        <w:rPr>
          <w:sz w:val="24"/>
          <w:lang w:val="en-US"/>
        </w:rPr>
        <w:t>e</w:t>
      </w:r>
      <w:r w:rsidRPr="00C10456">
        <w:rPr>
          <w:sz w:val="24"/>
          <w:lang w:val="en-US"/>
        </w:rPr>
        <w:t>xceeded</w:t>
      </w:r>
      <w:r>
        <w:rPr>
          <w:sz w:val="24"/>
          <w:lang w:val="en-US"/>
        </w:rPr>
        <w:t xml:space="preserve"> </w:t>
      </w:r>
      <w:r w:rsidRPr="00C10456">
        <w:rPr>
          <w:sz w:val="24"/>
          <w:lang w:val="en-US"/>
        </w:rPr>
        <w:t>supply</w:t>
      </w:r>
      <w:r>
        <w:rPr>
          <w:sz w:val="24"/>
          <w:lang w:val="en-US"/>
        </w:rPr>
        <w:t>, t</w:t>
      </w:r>
      <w:r w:rsidRPr="00C10456">
        <w:rPr>
          <w:sz w:val="24"/>
          <w:lang w:val="en-US"/>
        </w:rPr>
        <w:t xml:space="preserve">his was due to: </w:t>
      </w:r>
    </w:p>
    <w:p w:rsidR="00FE2804" w:rsidRPr="00172341" w:rsidRDefault="00FE2804" w:rsidP="00FE2804">
      <w:pPr>
        <w:tabs>
          <w:tab w:val="left" w:pos="1418"/>
        </w:tabs>
        <w:ind w:left="1985" w:hanging="1265"/>
        <w:jc w:val="both"/>
        <w:rPr>
          <w:sz w:val="24"/>
          <w:lang w:val="en-US"/>
        </w:rPr>
      </w:pPr>
    </w:p>
    <w:p w:rsidR="00FE2804" w:rsidRPr="00172341" w:rsidRDefault="00FE2804" w:rsidP="00FE2804">
      <w:pPr>
        <w:numPr>
          <w:ilvl w:val="0"/>
          <w:numId w:val="4"/>
        </w:numPr>
        <w:spacing w:after="240"/>
        <w:ind w:left="2552" w:hanging="567"/>
        <w:jc w:val="both"/>
        <w:rPr>
          <w:sz w:val="24"/>
          <w:lang w:val="en-US"/>
        </w:rPr>
      </w:pPr>
      <w:r w:rsidRPr="00C10456">
        <w:rPr>
          <w:sz w:val="24"/>
          <w:lang w:val="en-US"/>
        </w:rPr>
        <w:t>A global shortage of extraction and high throughput kits for undertaking the tests;</w:t>
      </w:r>
    </w:p>
    <w:p w:rsidR="00FE2804" w:rsidRDefault="00FE2804" w:rsidP="00FE2804">
      <w:pPr>
        <w:numPr>
          <w:ilvl w:val="0"/>
          <w:numId w:val="4"/>
        </w:numPr>
        <w:spacing w:after="240"/>
        <w:ind w:left="2552" w:hanging="567"/>
        <w:jc w:val="both"/>
        <w:rPr>
          <w:sz w:val="24"/>
          <w:lang w:val="en-US"/>
        </w:rPr>
      </w:pPr>
      <w:r w:rsidRPr="00C10456">
        <w:rPr>
          <w:sz w:val="24"/>
          <w:lang w:val="en-US"/>
        </w:rPr>
        <w:t>Logistical issues – interruptions with production, flights cancellations, customs delays;</w:t>
      </w:r>
    </w:p>
    <w:p w:rsidR="00FE2804" w:rsidRPr="00172341" w:rsidRDefault="00FE2804" w:rsidP="00FE2804">
      <w:pPr>
        <w:numPr>
          <w:ilvl w:val="0"/>
          <w:numId w:val="4"/>
        </w:numPr>
        <w:spacing w:after="240"/>
        <w:ind w:left="2552" w:hanging="567"/>
        <w:jc w:val="both"/>
        <w:rPr>
          <w:sz w:val="24"/>
          <w:lang w:val="en-US"/>
        </w:rPr>
      </w:pPr>
      <w:r w:rsidRPr="00C10456">
        <w:rPr>
          <w:sz w:val="24"/>
          <w:lang w:val="en-US"/>
        </w:rPr>
        <w:t xml:space="preserve">The number </w:t>
      </w:r>
      <w:r>
        <w:rPr>
          <w:sz w:val="24"/>
          <w:lang w:val="en-US"/>
        </w:rPr>
        <w:t xml:space="preserve">of tests </w:t>
      </w:r>
      <w:r w:rsidRPr="00C10456">
        <w:rPr>
          <w:sz w:val="24"/>
          <w:lang w:val="en-US"/>
        </w:rPr>
        <w:t xml:space="preserve">allocated to the country is not determined by what the country ordered or </w:t>
      </w:r>
      <w:r>
        <w:rPr>
          <w:sz w:val="24"/>
          <w:lang w:val="en-US"/>
        </w:rPr>
        <w:t>needs</w:t>
      </w:r>
      <w:r w:rsidRPr="00C10456">
        <w:rPr>
          <w:sz w:val="24"/>
          <w:lang w:val="en-US"/>
        </w:rPr>
        <w:t xml:space="preserve"> but by what the supplier can </w:t>
      </w:r>
      <w:r>
        <w:rPr>
          <w:sz w:val="24"/>
          <w:lang w:val="en-US"/>
        </w:rPr>
        <w:t xml:space="preserve">provide. </w:t>
      </w:r>
    </w:p>
    <w:p w:rsidR="00FE2804" w:rsidRDefault="00FE2804" w:rsidP="00FE2804">
      <w:pPr>
        <w:jc w:val="both"/>
        <w:rPr>
          <w:sz w:val="24"/>
          <w:lang w:val="en-US"/>
        </w:rPr>
      </w:pPr>
    </w:p>
    <w:p w:rsidR="00FE2804" w:rsidRDefault="00FE2804" w:rsidP="00FE2804">
      <w:pPr>
        <w:jc w:val="both"/>
        <w:rPr>
          <w:sz w:val="24"/>
          <w:lang w:val="en-US"/>
        </w:rPr>
      </w:pPr>
    </w:p>
    <w:p w:rsidR="00FE2804" w:rsidRDefault="00FE2804" w:rsidP="00FE2804">
      <w:pPr>
        <w:jc w:val="both"/>
        <w:rPr>
          <w:sz w:val="24"/>
          <w:lang w:val="en-US"/>
        </w:rPr>
      </w:pPr>
    </w:p>
    <w:p w:rsidR="00FE2804" w:rsidRPr="002E22A8" w:rsidRDefault="00FE2804" w:rsidP="00FE2804">
      <w:pPr>
        <w:ind w:left="1985" w:hanging="567"/>
        <w:jc w:val="both"/>
        <w:rPr>
          <w:sz w:val="24"/>
          <w:lang w:val="en-US"/>
        </w:rPr>
      </w:pPr>
      <w:r w:rsidRPr="00C10456">
        <w:rPr>
          <w:sz w:val="24"/>
          <w:lang w:val="en-US"/>
        </w:rPr>
        <w:t xml:space="preserve">(ii) </w:t>
      </w:r>
      <w:r>
        <w:rPr>
          <w:sz w:val="24"/>
          <w:lang w:val="en-US"/>
        </w:rPr>
        <w:tab/>
      </w:r>
      <w:r w:rsidRPr="00C10456">
        <w:rPr>
          <w:sz w:val="24"/>
          <w:lang w:val="en-US"/>
        </w:rPr>
        <w:t>The Republic has the capacity to undertake 30 000 tests per day, the key challenge being faced is the supply of chemical</w:t>
      </w:r>
      <w:r>
        <w:rPr>
          <w:sz w:val="24"/>
          <w:lang w:val="en-US"/>
        </w:rPr>
        <w:t>s</w:t>
      </w:r>
      <w:r w:rsidRPr="00C10456">
        <w:rPr>
          <w:sz w:val="24"/>
          <w:lang w:val="en-US"/>
        </w:rPr>
        <w:t xml:space="preserve"> and reagents to undertake the</w:t>
      </w:r>
      <w:r>
        <w:rPr>
          <w:sz w:val="24"/>
          <w:lang w:val="en-US"/>
        </w:rPr>
        <w:t xml:space="preserve"> </w:t>
      </w:r>
      <w:r w:rsidRPr="00C10456">
        <w:rPr>
          <w:sz w:val="24"/>
          <w:lang w:val="en-US"/>
        </w:rPr>
        <w:t>testing. Testing will be prioritised in the hotspot areas</w:t>
      </w:r>
      <w:r>
        <w:rPr>
          <w:sz w:val="24"/>
          <w:lang w:val="en-US"/>
        </w:rPr>
        <w:t xml:space="preserve"> especially</w:t>
      </w:r>
      <w:r w:rsidRPr="00C10456">
        <w:rPr>
          <w:sz w:val="24"/>
          <w:lang w:val="en-US"/>
        </w:rPr>
        <w:t xml:space="preserve"> among the vulnerable</w:t>
      </w:r>
      <w:r>
        <w:rPr>
          <w:sz w:val="24"/>
          <w:lang w:val="en-US"/>
        </w:rPr>
        <w:t xml:space="preserve"> persons (greater than 60 years of age and those with underlying medical conditions).</w:t>
      </w:r>
    </w:p>
    <w:p w:rsidR="00FE2804" w:rsidRPr="001F3F82" w:rsidRDefault="00FE2804" w:rsidP="00FE2804">
      <w:pPr>
        <w:pStyle w:val="BodyText"/>
        <w:ind w:left="720" w:hanging="720"/>
        <w:rPr>
          <w:sz w:val="24"/>
          <w:lang w:val="en-ZA"/>
        </w:rPr>
      </w:pPr>
    </w:p>
    <w:p w:rsidR="00FE2804" w:rsidRDefault="00FE2804"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5AA" w:rsidRDefault="00BF75AA">
      <w:r>
        <w:separator/>
      </w:r>
    </w:p>
  </w:endnote>
  <w:endnote w:type="continuationSeparator" w:id="0">
    <w:p w:rsidR="00BF75AA" w:rsidRDefault="00BF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3F308E">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5AA" w:rsidRDefault="00BF75AA">
      <w:r>
        <w:separator/>
      </w:r>
    </w:p>
  </w:footnote>
  <w:footnote w:type="continuationSeparator" w:id="0">
    <w:p w:rsidR="00BF75AA" w:rsidRDefault="00BF7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2" w15:restartNumberingAfterBreak="0">
    <w:nsid w:val="65617C33"/>
    <w:multiLevelType w:val="hybridMultilevel"/>
    <w:tmpl w:val="283AA8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5D7D"/>
    <w:rsid w:val="003B0C88"/>
    <w:rsid w:val="003C29BB"/>
    <w:rsid w:val="003C29E4"/>
    <w:rsid w:val="003C3FF7"/>
    <w:rsid w:val="003C68AC"/>
    <w:rsid w:val="003D5634"/>
    <w:rsid w:val="003D6B80"/>
    <w:rsid w:val="003E0AC8"/>
    <w:rsid w:val="003E15DE"/>
    <w:rsid w:val="003E5508"/>
    <w:rsid w:val="003F308E"/>
    <w:rsid w:val="003F3650"/>
    <w:rsid w:val="003F3EB8"/>
    <w:rsid w:val="003F693D"/>
    <w:rsid w:val="003F6F06"/>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2E7E"/>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B1A27"/>
    <w:rsid w:val="006B5E48"/>
    <w:rsid w:val="006B750D"/>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C7270"/>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30914"/>
    <w:rsid w:val="0084076E"/>
    <w:rsid w:val="00846CD4"/>
    <w:rsid w:val="00852234"/>
    <w:rsid w:val="008603CC"/>
    <w:rsid w:val="00860B56"/>
    <w:rsid w:val="0086637B"/>
    <w:rsid w:val="00866D7D"/>
    <w:rsid w:val="008909CC"/>
    <w:rsid w:val="00891B7A"/>
    <w:rsid w:val="00893EA4"/>
    <w:rsid w:val="0089783C"/>
    <w:rsid w:val="008A2BAB"/>
    <w:rsid w:val="008A34C5"/>
    <w:rsid w:val="008A73D2"/>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72C6"/>
    <w:rsid w:val="009D2E42"/>
    <w:rsid w:val="009D3DA5"/>
    <w:rsid w:val="009D62A1"/>
    <w:rsid w:val="009D7850"/>
    <w:rsid w:val="009E05A5"/>
    <w:rsid w:val="009E6D1C"/>
    <w:rsid w:val="009F075E"/>
    <w:rsid w:val="009F0BA7"/>
    <w:rsid w:val="009F54A8"/>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0CE7"/>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5AA"/>
    <w:rsid w:val="00BF7ACB"/>
    <w:rsid w:val="00BF7F80"/>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71939"/>
    <w:rsid w:val="00C723FE"/>
    <w:rsid w:val="00C733EE"/>
    <w:rsid w:val="00C82762"/>
    <w:rsid w:val="00C86428"/>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573C0"/>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6212"/>
    <w:rsid w:val="00DF64E2"/>
    <w:rsid w:val="00E040FD"/>
    <w:rsid w:val="00E066C4"/>
    <w:rsid w:val="00E11BD3"/>
    <w:rsid w:val="00E15B45"/>
    <w:rsid w:val="00E161FB"/>
    <w:rsid w:val="00E20597"/>
    <w:rsid w:val="00E22D07"/>
    <w:rsid w:val="00E238C2"/>
    <w:rsid w:val="00E256E5"/>
    <w:rsid w:val="00E371B8"/>
    <w:rsid w:val="00E37A82"/>
    <w:rsid w:val="00E42417"/>
    <w:rsid w:val="00E43571"/>
    <w:rsid w:val="00E61438"/>
    <w:rsid w:val="00E61656"/>
    <w:rsid w:val="00E6419C"/>
    <w:rsid w:val="00E65A7A"/>
    <w:rsid w:val="00E70BD1"/>
    <w:rsid w:val="00E741E3"/>
    <w:rsid w:val="00E82ED2"/>
    <w:rsid w:val="00E85240"/>
    <w:rsid w:val="00EA464E"/>
    <w:rsid w:val="00EB211A"/>
    <w:rsid w:val="00EB241F"/>
    <w:rsid w:val="00EC7D51"/>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442D"/>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E2804"/>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2020-06-18T15:50:00Z</dcterms:created>
  <dcterms:modified xsi:type="dcterms:W3CDTF">2020-06-18T15:50:00Z</dcterms:modified>
</cp:coreProperties>
</file>