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EA" w:rsidRPr="001B0917" w:rsidRDefault="00C312EA" w:rsidP="001B0917">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NATIONAL ASSEMBLY</w:t>
      </w:r>
    </w:p>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AD00CE" w:rsidRPr="00BC4AC3" w:rsidRDefault="00647EF2"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NUMBER</w:t>
      </w:r>
      <w:r w:rsidR="001B0917" w:rsidRPr="001B0917">
        <w:rPr>
          <w:rFonts w:ascii="Arial" w:hAnsi="Arial" w:cs="Arial"/>
          <w:b/>
          <w:sz w:val="22"/>
          <w:szCs w:val="22"/>
        </w:rPr>
        <w:t>:</w:t>
      </w:r>
      <w:r w:rsidRPr="001B0917">
        <w:rPr>
          <w:rFonts w:ascii="Arial" w:hAnsi="Arial" w:cs="Arial"/>
          <w:b/>
          <w:sz w:val="22"/>
          <w:szCs w:val="22"/>
        </w:rPr>
        <w:t xml:space="preserve"> </w:t>
      </w:r>
      <w:r w:rsidR="00BC4AC3" w:rsidRPr="00BC4AC3">
        <w:rPr>
          <w:rFonts w:ascii="Arial" w:hAnsi="Arial" w:cs="Arial"/>
          <w:b/>
          <w:sz w:val="22"/>
          <w:szCs w:val="22"/>
        </w:rPr>
        <w:t>990</w:t>
      </w:r>
      <w:r w:rsidR="00AD00CE" w:rsidRPr="00BC4AC3">
        <w:rPr>
          <w:rFonts w:ascii="Arial" w:hAnsi="Arial" w:cs="Arial"/>
          <w:b/>
          <w:sz w:val="22"/>
          <w:szCs w:val="22"/>
        </w:rPr>
        <w:t xml:space="preserve"> [NW</w:t>
      </w:r>
      <w:r w:rsidR="00BC4AC3" w:rsidRPr="00BC4AC3">
        <w:rPr>
          <w:rFonts w:ascii="Arial" w:hAnsi="Arial" w:cs="Arial"/>
          <w:b/>
          <w:sz w:val="22"/>
          <w:szCs w:val="22"/>
        </w:rPr>
        <w:t>1120</w:t>
      </w:r>
      <w:r w:rsidR="00AD00CE" w:rsidRPr="00BC4AC3">
        <w:rPr>
          <w:rFonts w:ascii="Arial" w:hAnsi="Arial" w:cs="Arial"/>
          <w:b/>
          <w:sz w:val="22"/>
          <w:szCs w:val="22"/>
        </w:rPr>
        <w:t>E]</w:t>
      </w:r>
    </w:p>
    <w:p w:rsidR="00C312EA" w:rsidRPr="00BC4AC3" w:rsidRDefault="00BD31C6" w:rsidP="001B0917">
      <w:pPr>
        <w:tabs>
          <w:tab w:val="left" w:pos="432"/>
          <w:tab w:val="left" w:pos="864"/>
        </w:tabs>
        <w:spacing w:line="276" w:lineRule="auto"/>
        <w:jc w:val="center"/>
        <w:rPr>
          <w:rFonts w:ascii="Arial" w:hAnsi="Arial" w:cs="Arial"/>
          <w:b/>
          <w:sz w:val="22"/>
          <w:szCs w:val="22"/>
        </w:rPr>
      </w:pPr>
      <w:r w:rsidRPr="00BC4AC3">
        <w:rPr>
          <w:rFonts w:ascii="Arial" w:hAnsi="Arial" w:cs="Arial"/>
          <w:b/>
          <w:sz w:val="22"/>
          <w:szCs w:val="22"/>
        </w:rPr>
        <w:t xml:space="preserve">DATE OF PUBLICATION: </w:t>
      </w:r>
      <w:r w:rsidR="00BC4AC3" w:rsidRPr="00BC4AC3">
        <w:rPr>
          <w:rFonts w:ascii="Arial" w:hAnsi="Arial" w:cs="Arial"/>
          <w:b/>
          <w:sz w:val="22"/>
          <w:szCs w:val="22"/>
        </w:rPr>
        <w:t>11 APRIL 2016</w:t>
      </w:r>
    </w:p>
    <w:p w:rsidR="00BC4AC3" w:rsidRPr="00BC4AC3" w:rsidRDefault="00BC4AC3" w:rsidP="00BC4AC3">
      <w:pPr>
        <w:spacing w:before="100" w:beforeAutospacing="1" w:after="100" w:afterAutospacing="1" w:line="276" w:lineRule="auto"/>
        <w:ind w:left="851" w:hanging="851"/>
        <w:jc w:val="both"/>
        <w:outlineLvl w:val="0"/>
        <w:rPr>
          <w:rFonts w:ascii="Arial" w:eastAsia="Calibri" w:hAnsi="Arial" w:cs="Arial"/>
          <w:b/>
          <w:sz w:val="22"/>
          <w:szCs w:val="22"/>
          <w:lang w:val="af-ZA"/>
        </w:rPr>
      </w:pPr>
      <w:r w:rsidRPr="00BC4AC3">
        <w:rPr>
          <w:rFonts w:ascii="Arial" w:eastAsia="Calibri" w:hAnsi="Arial" w:cs="Arial"/>
          <w:b/>
          <w:sz w:val="22"/>
          <w:szCs w:val="22"/>
          <w:lang w:val="af-ZA"/>
        </w:rPr>
        <w:t>990.</w:t>
      </w:r>
      <w:r w:rsidRPr="00BC4AC3">
        <w:rPr>
          <w:rFonts w:ascii="Arial" w:eastAsia="Calibri" w:hAnsi="Arial" w:cs="Arial"/>
          <w:b/>
          <w:sz w:val="22"/>
          <w:szCs w:val="22"/>
          <w:lang w:val="af-ZA"/>
        </w:rPr>
        <w:tab/>
        <w:t>Mr D J Maynier (DA) to ask the Minister of Finance:</w:t>
      </w:r>
    </w:p>
    <w:p w:rsidR="00BC4AC3" w:rsidRDefault="00BC4AC3" w:rsidP="00BC4AC3">
      <w:pPr>
        <w:spacing w:before="100" w:beforeAutospacing="1" w:after="100" w:afterAutospacing="1" w:line="276" w:lineRule="auto"/>
        <w:ind w:left="851"/>
        <w:jc w:val="both"/>
        <w:rPr>
          <w:rFonts w:ascii="Arial" w:eastAsia="Calibri" w:hAnsi="Arial" w:cs="Arial"/>
          <w:sz w:val="22"/>
          <w:szCs w:val="22"/>
          <w:lang w:val="af-ZA"/>
        </w:rPr>
      </w:pPr>
      <w:r w:rsidRPr="00BC4AC3">
        <w:rPr>
          <w:rFonts w:ascii="Arial" w:eastAsia="Calibri" w:hAnsi="Arial" w:cs="Arial"/>
          <w:sz w:val="22"/>
          <w:szCs w:val="22"/>
          <w:lang w:val="af-ZA"/>
        </w:rPr>
        <w:t>What are the full details of the reprioritisation of funds for the 2016 Medium-Term Expenditure Framework, as highlighted on pages 57 and 58 of the 2016 Budget Review, in terms of (a) what amount of funds in Rands has been reprioritised from each (i) national department, (ii) province and (iii) municipality and (b) what percentage do the specified amounts in each case represent of funds reprioritised (i) at each level and (ii) of the total amount of funds reprioritised?</w:t>
      </w:r>
      <w:r w:rsidRPr="00BC4AC3">
        <w:rPr>
          <w:rFonts w:ascii="Arial" w:eastAsia="Calibri" w:hAnsi="Arial" w:cs="Arial"/>
          <w:sz w:val="22"/>
          <w:szCs w:val="22"/>
          <w:lang w:val="af-ZA"/>
        </w:rPr>
        <w:tab/>
      </w:r>
    </w:p>
    <w:p w:rsidR="00BC4AC3" w:rsidRPr="00BC4AC3" w:rsidRDefault="00BC4AC3" w:rsidP="00BC4AC3">
      <w:pPr>
        <w:spacing w:before="100" w:beforeAutospacing="1" w:after="100" w:afterAutospacing="1" w:line="276" w:lineRule="auto"/>
        <w:ind w:left="851"/>
        <w:jc w:val="both"/>
        <w:rPr>
          <w:rFonts w:ascii="Arial" w:eastAsia="Calibri" w:hAnsi="Arial" w:cs="Arial"/>
          <w:sz w:val="22"/>
          <w:szCs w:val="22"/>
          <w:lang w:val="af-ZA"/>
        </w:rPr>
      </w:pP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sidRPr="00BC4AC3">
        <w:rPr>
          <w:rFonts w:ascii="Arial" w:eastAsia="Calibri" w:hAnsi="Arial" w:cs="Arial"/>
          <w:sz w:val="22"/>
          <w:szCs w:val="22"/>
          <w:lang w:val="af-ZA"/>
        </w:rPr>
        <w:tab/>
        <w:t>NW1120E</w:t>
      </w:r>
    </w:p>
    <w:p w:rsidR="005E6EDE" w:rsidRDefault="005E6EDE">
      <w:pPr>
        <w:rPr>
          <w:rFonts w:ascii="Arial" w:hAnsi="Arial" w:cs="Arial"/>
          <w:b/>
          <w:sz w:val="22"/>
          <w:szCs w:val="22"/>
        </w:rPr>
      </w:pPr>
      <w:r>
        <w:rPr>
          <w:rFonts w:ascii="Arial" w:hAnsi="Arial" w:cs="Arial"/>
          <w:b/>
          <w:sz w:val="22"/>
          <w:szCs w:val="22"/>
        </w:rPr>
        <w:br w:type="page"/>
      </w:r>
    </w:p>
    <w:p w:rsidR="00E64993" w:rsidRDefault="00E64993" w:rsidP="001B0917">
      <w:pPr>
        <w:pStyle w:val="BodyTextIndent"/>
        <w:spacing w:line="276" w:lineRule="auto"/>
        <w:ind w:left="0" w:firstLine="0"/>
        <w:rPr>
          <w:rFonts w:ascii="Arial" w:hAnsi="Arial" w:cs="Arial"/>
          <w:b/>
          <w:sz w:val="22"/>
          <w:szCs w:val="22"/>
        </w:rPr>
      </w:pPr>
    </w:p>
    <w:p w:rsidR="001433AE" w:rsidRPr="001B0917" w:rsidRDefault="001433AE"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1E6902" w:rsidRDefault="001E6902" w:rsidP="001B0917">
      <w:pPr>
        <w:tabs>
          <w:tab w:val="left" w:pos="432"/>
          <w:tab w:val="left" w:pos="864"/>
        </w:tabs>
        <w:spacing w:line="276" w:lineRule="auto"/>
        <w:jc w:val="center"/>
        <w:rPr>
          <w:rFonts w:ascii="Arial" w:hAnsi="Arial" w:cs="Arial"/>
          <w:b/>
          <w:sz w:val="22"/>
          <w:szCs w:val="22"/>
        </w:rPr>
      </w:pPr>
    </w:p>
    <w:p w:rsidR="00F03F24" w:rsidRPr="00E27EDF" w:rsidRDefault="00F03F24" w:rsidP="005E6EDE">
      <w:pPr>
        <w:tabs>
          <w:tab w:val="left" w:pos="432"/>
          <w:tab w:val="left" w:pos="864"/>
        </w:tabs>
        <w:spacing w:line="276" w:lineRule="auto"/>
        <w:ind w:left="810"/>
        <w:jc w:val="both"/>
        <w:rPr>
          <w:rFonts w:ascii="Arial" w:hAnsi="Arial" w:cs="Arial"/>
          <w:sz w:val="22"/>
          <w:szCs w:val="22"/>
        </w:rPr>
      </w:pPr>
      <w:r>
        <w:rPr>
          <w:rFonts w:ascii="Arial" w:hAnsi="Arial" w:cs="Arial"/>
          <w:sz w:val="22"/>
          <w:szCs w:val="22"/>
        </w:rPr>
        <w:t xml:space="preserve">The details of the reprioritisation of funds in the 2016 Medium-Term Expenditure Framework, subsequent to the aggregates tabled </w:t>
      </w:r>
      <w:r w:rsidR="002E4A47">
        <w:rPr>
          <w:rFonts w:ascii="Arial" w:hAnsi="Arial" w:cs="Arial"/>
          <w:sz w:val="22"/>
          <w:szCs w:val="22"/>
        </w:rPr>
        <w:t>in the 2015 Medium-Term Budget P</w:t>
      </w:r>
      <w:r>
        <w:rPr>
          <w:rFonts w:ascii="Arial" w:hAnsi="Arial" w:cs="Arial"/>
          <w:sz w:val="22"/>
          <w:szCs w:val="22"/>
        </w:rPr>
        <w:t xml:space="preserve">olicy </w:t>
      </w:r>
      <w:r w:rsidR="002E4A47">
        <w:rPr>
          <w:rFonts w:ascii="Arial" w:hAnsi="Arial" w:cs="Arial"/>
          <w:sz w:val="22"/>
          <w:szCs w:val="22"/>
        </w:rPr>
        <w:t>S</w:t>
      </w:r>
      <w:r>
        <w:rPr>
          <w:rFonts w:ascii="Arial" w:hAnsi="Arial" w:cs="Arial"/>
          <w:sz w:val="22"/>
          <w:szCs w:val="22"/>
        </w:rPr>
        <w:t>tatement are set out below.</w:t>
      </w:r>
    </w:p>
    <w:p w:rsidR="00F03F24" w:rsidRPr="001B0917" w:rsidRDefault="00F03F24" w:rsidP="00F4302C">
      <w:pPr>
        <w:tabs>
          <w:tab w:val="left" w:pos="432"/>
          <w:tab w:val="left" w:pos="864"/>
        </w:tabs>
        <w:spacing w:line="276" w:lineRule="auto"/>
        <w:jc w:val="both"/>
        <w:rPr>
          <w:rFonts w:ascii="Arial" w:hAnsi="Arial" w:cs="Arial"/>
          <w:b/>
          <w:sz w:val="22"/>
          <w:szCs w:val="22"/>
        </w:rPr>
      </w:pPr>
    </w:p>
    <w:p w:rsidR="001E6902" w:rsidRDefault="00EF0202" w:rsidP="005E6EDE">
      <w:pPr>
        <w:tabs>
          <w:tab w:val="left" w:pos="432"/>
          <w:tab w:val="left" w:pos="810"/>
          <w:tab w:val="left" w:pos="864"/>
        </w:tabs>
        <w:spacing w:line="276" w:lineRule="auto"/>
        <w:rPr>
          <w:rFonts w:ascii="Arial" w:hAnsi="Arial" w:cs="Arial"/>
          <w:b/>
          <w:sz w:val="22"/>
          <w:szCs w:val="22"/>
        </w:rPr>
      </w:pPr>
      <w:r>
        <w:rPr>
          <w:rFonts w:ascii="Arial" w:hAnsi="Arial" w:cs="Arial"/>
          <w:b/>
          <w:sz w:val="22"/>
          <w:szCs w:val="22"/>
        </w:rPr>
        <w:t>(a)(i)</w:t>
      </w:r>
      <w:r w:rsidR="00DE49F9">
        <w:rPr>
          <w:rFonts w:ascii="Arial" w:hAnsi="Arial" w:cs="Arial"/>
          <w:b/>
          <w:sz w:val="22"/>
          <w:szCs w:val="22"/>
        </w:rPr>
        <w:tab/>
      </w:r>
      <w:r>
        <w:rPr>
          <w:rFonts w:ascii="Arial" w:hAnsi="Arial" w:cs="Arial"/>
          <w:b/>
          <w:sz w:val="22"/>
          <w:szCs w:val="22"/>
        </w:rPr>
        <w:t xml:space="preserve">Amounts </w:t>
      </w:r>
      <w:proofErr w:type="spellStart"/>
      <w:r>
        <w:rPr>
          <w:rFonts w:ascii="Arial" w:hAnsi="Arial" w:cs="Arial"/>
          <w:b/>
          <w:sz w:val="22"/>
          <w:szCs w:val="22"/>
        </w:rPr>
        <w:t>reprioritised</w:t>
      </w:r>
      <w:proofErr w:type="spellEnd"/>
      <w:r>
        <w:rPr>
          <w:rFonts w:ascii="Arial" w:hAnsi="Arial" w:cs="Arial"/>
          <w:b/>
          <w:sz w:val="22"/>
          <w:szCs w:val="22"/>
        </w:rPr>
        <w:t xml:space="preserve"> from national departments:</w:t>
      </w:r>
    </w:p>
    <w:p w:rsidR="00BA5E1D" w:rsidRDefault="00BA5E1D" w:rsidP="00EF0202">
      <w:pPr>
        <w:tabs>
          <w:tab w:val="left" w:pos="432"/>
          <w:tab w:val="left" w:pos="864"/>
        </w:tabs>
        <w:spacing w:line="276" w:lineRule="auto"/>
        <w:rPr>
          <w:rFonts w:ascii="Arial" w:hAnsi="Arial" w:cs="Arial"/>
          <w:b/>
          <w:sz w:val="22"/>
          <w:szCs w:val="22"/>
        </w:rPr>
      </w:pPr>
    </w:p>
    <w:p w:rsidR="00BA5E1D" w:rsidRDefault="00711D74" w:rsidP="00681AF2">
      <w:pPr>
        <w:tabs>
          <w:tab w:val="left" w:pos="432"/>
          <w:tab w:val="left" w:pos="864"/>
        </w:tabs>
        <w:spacing w:line="276" w:lineRule="auto"/>
        <w:ind w:firstLine="851"/>
        <w:rPr>
          <w:rFonts w:ascii="Arial" w:hAnsi="Arial" w:cs="Arial"/>
          <w:b/>
          <w:sz w:val="22"/>
          <w:szCs w:val="22"/>
        </w:rPr>
      </w:pPr>
      <w:r w:rsidRPr="00711D74">
        <w:rPr>
          <w:noProof/>
          <w:lang w:val="en-ZA" w:eastAsia="en-ZA"/>
        </w:rPr>
        <w:drawing>
          <wp:inline distT="0" distB="0" distL="0" distR="0" wp14:anchorId="288112C8" wp14:editId="7ABA5BAB">
            <wp:extent cx="5391150" cy="5924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14" cy="5924510"/>
                    </a:xfrm>
                    <a:prstGeom prst="rect">
                      <a:avLst/>
                    </a:prstGeom>
                    <a:noFill/>
                    <a:ln>
                      <a:noFill/>
                    </a:ln>
                  </pic:spPr>
                </pic:pic>
              </a:graphicData>
            </a:graphic>
          </wp:inline>
        </w:drawing>
      </w:r>
    </w:p>
    <w:p w:rsidR="00711D74" w:rsidRDefault="00711D74" w:rsidP="00711D74">
      <w:pPr>
        <w:pStyle w:val="ListParagraph"/>
        <w:numPr>
          <w:ilvl w:val="0"/>
          <w:numId w:val="3"/>
        </w:numPr>
        <w:tabs>
          <w:tab w:val="left" w:pos="432"/>
          <w:tab w:val="left" w:pos="864"/>
        </w:tabs>
        <w:spacing w:line="276" w:lineRule="auto"/>
        <w:rPr>
          <w:rFonts w:ascii="Arial" w:hAnsi="Arial" w:cs="Arial"/>
          <w:i/>
          <w:sz w:val="14"/>
          <w:szCs w:val="14"/>
        </w:rPr>
      </w:pPr>
      <w:r w:rsidRPr="00ED29DA">
        <w:rPr>
          <w:rFonts w:ascii="Arial" w:hAnsi="Arial" w:cs="Arial"/>
          <w:i/>
          <w:sz w:val="14"/>
          <w:szCs w:val="14"/>
        </w:rPr>
        <w:t>As part of the reprioritisation exercise, th</w:t>
      </w:r>
      <w:r w:rsidR="009529B1">
        <w:rPr>
          <w:rFonts w:ascii="Arial" w:hAnsi="Arial" w:cs="Arial"/>
          <w:i/>
          <w:sz w:val="14"/>
          <w:szCs w:val="14"/>
        </w:rPr>
        <w:t>e Department of Energy receives</w:t>
      </w:r>
      <w:r w:rsidR="00ED29DA" w:rsidRPr="00ED29DA">
        <w:rPr>
          <w:rFonts w:ascii="Arial" w:hAnsi="Arial" w:cs="Arial"/>
          <w:i/>
          <w:sz w:val="14"/>
          <w:szCs w:val="14"/>
        </w:rPr>
        <w:t xml:space="preserve"> additional funding taken from the local government level: Integrated National Electrification Programme. This results in a net</w:t>
      </w:r>
      <w:r w:rsidRPr="00ED29DA">
        <w:rPr>
          <w:rFonts w:ascii="Arial" w:hAnsi="Arial" w:cs="Arial"/>
          <w:i/>
          <w:sz w:val="14"/>
          <w:szCs w:val="14"/>
        </w:rPr>
        <w:t xml:space="preserve"> positive reprioritisation </w:t>
      </w:r>
      <w:r w:rsidR="00ED29DA" w:rsidRPr="00ED29DA">
        <w:rPr>
          <w:rFonts w:ascii="Arial" w:hAnsi="Arial" w:cs="Arial"/>
          <w:i/>
          <w:sz w:val="14"/>
          <w:szCs w:val="14"/>
        </w:rPr>
        <w:t>of</w:t>
      </w:r>
      <w:r w:rsidRPr="00ED29DA">
        <w:rPr>
          <w:rFonts w:ascii="Arial" w:hAnsi="Arial" w:cs="Arial"/>
          <w:i/>
          <w:sz w:val="14"/>
          <w:szCs w:val="14"/>
        </w:rPr>
        <w:t xml:space="preserve"> R87.2 million in 2016/17. </w:t>
      </w:r>
    </w:p>
    <w:p w:rsidR="00ED29DA" w:rsidRDefault="00ED29DA" w:rsidP="00ED29DA">
      <w:pPr>
        <w:pStyle w:val="ListParagraph"/>
        <w:tabs>
          <w:tab w:val="left" w:pos="432"/>
          <w:tab w:val="left" w:pos="864"/>
        </w:tabs>
        <w:spacing w:line="276" w:lineRule="auto"/>
        <w:ind w:left="1211"/>
        <w:rPr>
          <w:rFonts w:ascii="Arial" w:hAnsi="Arial" w:cs="Arial"/>
          <w:i/>
          <w:sz w:val="14"/>
          <w:szCs w:val="14"/>
        </w:rPr>
      </w:pPr>
    </w:p>
    <w:p w:rsidR="00ED29DA" w:rsidRPr="00ED29DA" w:rsidRDefault="00ED29DA" w:rsidP="00ED29DA">
      <w:pPr>
        <w:pStyle w:val="ListParagraph"/>
        <w:tabs>
          <w:tab w:val="left" w:pos="432"/>
          <w:tab w:val="left" w:pos="864"/>
        </w:tabs>
        <w:spacing w:line="276" w:lineRule="auto"/>
        <w:ind w:left="1211"/>
        <w:rPr>
          <w:rFonts w:ascii="Arial" w:hAnsi="Arial" w:cs="Arial"/>
          <w:i/>
          <w:sz w:val="14"/>
          <w:szCs w:val="14"/>
        </w:rPr>
      </w:pPr>
    </w:p>
    <w:p w:rsidR="00711D74" w:rsidRPr="00711D74" w:rsidRDefault="00711D74" w:rsidP="00711D74">
      <w:pPr>
        <w:pStyle w:val="ListParagraph"/>
        <w:tabs>
          <w:tab w:val="left" w:pos="432"/>
          <w:tab w:val="left" w:pos="864"/>
        </w:tabs>
        <w:spacing w:line="276" w:lineRule="auto"/>
        <w:ind w:left="1211"/>
        <w:rPr>
          <w:rFonts w:ascii="Arial" w:hAnsi="Arial" w:cs="Arial"/>
          <w:i/>
          <w:sz w:val="14"/>
          <w:szCs w:val="14"/>
        </w:rPr>
      </w:pPr>
      <w:r w:rsidRPr="00711D74">
        <w:rPr>
          <w:rFonts w:ascii="Arial" w:hAnsi="Arial" w:cs="Arial"/>
          <w:i/>
          <w:sz w:val="14"/>
          <w:szCs w:val="14"/>
        </w:rPr>
        <w:tab/>
      </w:r>
      <w:r w:rsidRPr="00711D74">
        <w:rPr>
          <w:rFonts w:ascii="Arial" w:hAnsi="Arial" w:cs="Arial"/>
          <w:i/>
          <w:sz w:val="14"/>
          <w:szCs w:val="14"/>
        </w:rPr>
        <w:tab/>
      </w:r>
      <w:r w:rsidRPr="00711D74">
        <w:rPr>
          <w:rFonts w:ascii="Arial" w:hAnsi="Arial" w:cs="Arial"/>
          <w:i/>
          <w:sz w:val="14"/>
          <w:szCs w:val="14"/>
        </w:rPr>
        <w:tab/>
      </w:r>
      <w:r w:rsidRPr="00711D74">
        <w:rPr>
          <w:rFonts w:ascii="Arial" w:hAnsi="Arial" w:cs="Arial"/>
          <w:i/>
          <w:sz w:val="14"/>
          <w:szCs w:val="14"/>
        </w:rPr>
        <w:tab/>
      </w:r>
      <w:r w:rsidRPr="00711D74">
        <w:rPr>
          <w:rFonts w:ascii="Arial" w:hAnsi="Arial" w:cs="Arial"/>
          <w:i/>
          <w:sz w:val="14"/>
          <w:szCs w:val="14"/>
        </w:rPr>
        <w:tab/>
      </w:r>
      <w:r w:rsidRPr="00711D74">
        <w:rPr>
          <w:rFonts w:ascii="Arial" w:hAnsi="Arial" w:cs="Arial"/>
          <w:i/>
          <w:sz w:val="14"/>
          <w:szCs w:val="14"/>
        </w:rPr>
        <w:tab/>
      </w:r>
      <w:r w:rsidRPr="00711D74">
        <w:rPr>
          <w:rFonts w:ascii="Arial" w:hAnsi="Arial" w:cs="Arial"/>
          <w:i/>
          <w:sz w:val="14"/>
          <w:szCs w:val="14"/>
        </w:rPr>
        <w:tab/>
      </w:r>
    </w:p>
    <w:p w:rsidR="00EF0202" w:rsidRDefault="005E6EDE" w:rsidP="00EF0202">
      <w:pPr>
        <w:tabs>
          <w:tab w:val="left" w:pos="432"/>
          <w:tab w:val="left" w:pos="864"/>
        </w:tabs>
        <w:spacing w:line="276" w:lineRule="auto"/>
        <w:rPr>
          <w:rFonts w:ascii="Arial" w:hAnsi="Arial" w:cs="Arial"/>
          <w:b/>
          <w:sz w:val="22"/>
          <w:szCs w:val="22"/>
        </w:rPr>
      </w:pPr>
      <w:r>
        <w:rPr>
          <w:rFonts w:ascii="Arial" w:hAnsi="Arial" w:cs="Arial"/>
          <w:b/>
          <w:sz w:val="22"/>
          <w:szCs w:val="22"/>
        </w:rPr>
        <w:lastRenderedPageBreak/>
        <w:t xml:space="preserve"> </w:t>
      </w:r>
      <w:r w:rsidR="00EF0202">
        <w:rPr>
          <w:rFonts w:ascii="Arial" w:hAnsi="Arial" w:cs="Arial"/>
          <w:b/>
          <w:sz w:val="22"/>
          <w:szCs w:val="22"/>
        </w:rPr>
        <w:t>(a)(ii)</w:t>
      </w:r>
      <w:r w:rsidR="00681AF2">
        <w:rPr>
          <w:rFonts w:ascii="Arial" w:hAnsi="Arial" w:cs="Arial"/>
          <w:b/>
          <w:sz w:val="22"/>
          <w:szCs w:val="22"/>
        </w:rPr>
        <w:tab/>
      </w:r>
      <w:r w:rsidR="00EF0202">
        <w:rPr>
          <w:rFonts w:ascii="Arial" w:hAnsi="Arial" w:cs="Arial"/>
          <w:b/>
          <w:sz w:val="22"/>
          <w:szCs w:val="22"/>
        </w:rPr>
        <w:t>Amounts reprioritised from provinces:</w:t>
      </w:r>
    </w:p>
    <w:p w:rsidR="00EF0202" w:rsidRDefault="00EF0202" w:rsidP="00EF0202">
      <w:pPr>
        <w:tabs>
          <w:tab w:val="left" w:pos="432"/>
          <w:tab w:val="left" w:pos="864"/>
        </w:tabs>
        <w:spacing w:line="276" w:lineRule="auto"/>
        <w:rPr>
          <w:rFonts w:ascii="Arial" w:hAnsi="Arial" w:cs="Arial"/>
          <w:b/>
          <w:sz w:val="22"/>
          <w:szCs w:val="22"/>
        </w:rPr>
      </w:pPr>
    </w:p>
    <w:p w:rsidR="007F3C7B" w:rsidRPr="007F3C7B" w:rsidRDefault="00681AF2" w:rsidP="00681AF2">
      <w:pPr>
        <w:ind w:left="851" w:hanging="851"/>
        <w:jc w:val="both"/>
        <w:rPr>
          <w:rFonts w:ascii="Arial" w:hAnsi="Arial" w:cs="Arial"/>
          <w:sz w:val="22"/>
          <w:szCs w:val="22"/>
        </w:rPr>
      </w:pPr>
      <w:r>
        <w:rPr>
          <w:rFonts w:ascii="Arial" w:hAnsi="Arial" w:cs="Arial"/>
          <w:b/>
          <w:sz w:val="22"/>
          <w:szCs w:val="22"/>
        </w:rPr>
        <w:tab/>
      </w:r>
      <w:r w:rsidR="007F3C7B" w:rsidRPr="007F3C7B">
        <w:rPr>
          <w:rFonts w:ascii="Arial" w:hAnsi="Arial" w:cs="Arial"/>
          <w:sz w:val="22"/>
          <w:szCs w:val="22"/>
        </w:rPr>
        <w:t>The</w:t>
      </w:r>
      <w:r w:rsidR="00EB748C">
        <w:rPr>
          <w:rFonts w:ascii="Arial" w:hAnsi="Arial" w:cs="Arial"/>
          <w:sz w:val="22"/>
          <w:szCs w:val="22"/>
        </w:rPr>
        <w:t xml:space="preserve"> provincial</w:t>
      </w:r>
      <w:r w:rsidR="0089108A">
        <w:rPr>
          <w:rFonts w:ascii="Arial" w:hAnsi="Arial" w:cs="Arial"/>
          <w:sz w:val="22"/>
          <w:szCs w:val="22"/>
        </w:rPr>
        <w:t xml:space="preserve"> department</w:t>
      </w:r>
      <w:r w:rsidR="00F03F24">
        <w:rPr>
          <w:rFonts w:ascii="Arial" w:hAnsi="Arial" w:cs="Arial"/>
          <w:sz w:val="22"/>
          <w:szCs w:val="22"/>
        </w:rPr>
        <w:t>-specific</w:t>
      </w:r>
      <w:r w:rsidR="007F3C7B" w:rsidRPr="007F3C7B">
        <w:rPr>
          <w:rFonts w:ascii="Arial" w:hAnsi="Arial" w:cs="Arial"/>
          <w:sz w:val="22"/>
          <w:szCs w:val="22"/>
        </w:rPr>
        <w:t xml:space="preserve"> impact of the provincial equitable share reprioritisation is determined through separate provincial</w:t>
      </w:r>
      <w:r w:rsidR="00F03F24">
        <w:rPr>
          <w:rFonts w:ascii="Arial" w:hAnsi="Arial" w:cs="Arial"/>
          <w:sz w:val="22"/>
          <w:szCs w:val="22"/>
        </w:rPr>
        <w:t>-own</w:t>
      </w:r>
      <w:r w:rsidR="007F3C7B" w:rsidRPr="007F3C7B">
        <w:rPr>
          <w:rFonts w:ascii="Arial" w:hAnsi="Arial" w:cs="Arial"/>
          <w:sz w:val="22"/>
          <w:szCs w:val="22"/>
        </w:rPr>
        <w:t xml:space="preserve"> budgetary process</w:t>
      </w:r>
      <w:r w:rsidR="007F3C7B">
        <w:rPr>
          <w:rFonts w:ascii="Arial" w:hAnsi="Arial" w:cs="Arial"/>
          <w:sz w:val="22"/>
          <w:szCs w:val="22"/>
        </w:rPr>
        <w:t>es</w:t>
      </w:r>
      <w:r w:rsidR="007F3C7B" w:rsidRPr="007F3C7B">
        <w:rPr>
          <w:rFonts w:ascii="Arial" w:hAnsi="Arial" w:cs="Arial"/>
          <w:sz w:val="22"/>
          <w:szCs w:val="22"/>
        </w:rPr>
        <w:t xml:space="preserve"> and legislative approval. Th</w:t>
      </w:r>
      <w:r w:rsidR="007F3C7B">
        <w:rPr>
          <w:rFonts w:ascii="Arial" w:hAnsi="Arial" w:cs="Arial"/>
          <w:sz w:val="22"/>
          <w:szCs w:val="22"/>
        </w:rPr>
        <w:t>us th</w:t>
      </w:r>
      <w:r w:rsidR="007F3C7B" w:rsidRPr="007F3C7B">
        <w:rPr>
          <w:rFonts w:ascii="Arial" w:hAnsi="Arial" w:cs="Arial"/>
          <w:sz w:val="22"/>
          <w:szCs w:val="22"/>
        </w:rPr>
        <w:t xml:space="preserve">e details </w:t>
      </w:r>
      <w:r w:rsidR="00F03F24">
        <w:rPr>
          <w:rFonts w:ascii="Arial" w:hAnsi="Arial" w:cs="Arial"/>
          <w:sz w:val="22"/>
          <w:szCs w:val="22"/>
        </w:rPr>
        <w:t>for</w:t>
      </w:r>
      <w:r w:rsidR="007F3C7B" w:rsidRPr="007F3C7B">
        <w:rPr>
          <w:rFonts w:ascii="Arial" w:hAnsi="Arial" w:cs="Arial"/>
          <w:sz w:val="22"/>
          <w:szCs w:val="22"/>
        </w:rPr>
        <w:t xml:space="preserve"> each province were not known at the time of tabling the 2016</w:t>
      </w:r>
      <w:r w:rsidR="00EB748C">
        <w:rPr>
          <w:rFonts w:ascii="Arial" w:hAnsi="Arial" w:cs="Arial"/>
          <w:sz w:val="22"/>
          <w:szCs w:val="22"/>
        </w:rPr>
        <w:t xml:space="preserve"> national</w:t>
      </w:r>
      <w:r w:rsidR="007F3C7B" w:rsidRPr="007F3C7B">
        <w:rPr>
          <w:rFonts w:ascii="Arial" w:hAnsi="Arial" w:cs="Arial"/>
          <w:sz w:val="22"/>
          <w:szCs w:val="22"/>
        </w:rPr>
        <w:t xml:space="preserve"> </w:t>
      </w:r>
      <w:r w:rsidR="0095117A" w:rsidRPr="007F3C7B">
        <w:rPr>
          <w:rFonts w:ascii="Arial" w:hAnsi="Arial" w:cs="Arial"/>
          <w:sz w:val="22"/>
          <w:szCs w:val="22"/>
        </w:rPr>
        <w:t>budget</w:t>
      </w:r>
      <w:r w:rsidR="0095117A">
        <w:rPr>
          <w:rFonts w:ascii="Arial" w:hAnsi="Arial" w:cs="Arial"/>
          <w:sz w:val="22"/>
          <w:szCs w:val="22"/>
        </w:rPr>
        <w:t>;</w:t>
      </w:r>
      <w:r w:rsidR="00A804E5">
        <w:rPr>
          <w:rFonts w:ascii="Arial" w:hAnsi="Arial" w:cs="Arial"/>
          <w:sz w:val="22"/>
          <w:szCs w:val="22"/>
        </w:rPr>
        <w:t xml:space="preserve"> however the aggregate provincial reprioritisation was</w:t>
      </w:r>
      <w:r w:rsidR="007F3C7B" w:rsidRPr="007F3C7B">
        <w:rPr>
          <w:rFonts w:ascii="Arial" w:hAnsi="Arial" w:cs="Arial"/>
          <w:sz w:val="22"/>
          <w:szCs w:val="22"/>
        </w:rPr>
        <w:t>.</w:t>
      </w:r>
      <w:r w:rsidR="00A804E5">
        <w:rPr>
          <w:rFonts w:ascii="Arial" w:hAnsi="Arial" w:cs="Arial"/>
          <w:sz w:val="22"/>
          <w:szCs w:val="22"/>
        </w:rPr>
        <w:t xml:space="preserve"> The provincial equitable share reprioritisation per province is shown in the table below.</w:t>
      </w:r>
    </w:p>
    <w:p w:rsidR="007F3C7B" w:rsidRDefault="007F3C7B" w:rsidP="00681AF2">
      <w:pPr>
        <w:ind w:left="851" w:hanging="851"/>
        <w:jc w:val="both"/>
        <w:rPr>
          <w:rFonts w:ascii="Arial" w:hAnsi="Arial" w:cs="Arial"/>
          <w:b/>
          <w:sz w:val="22"/>
          <w:szCs w:val="22"/>
        </w:rPr>
      </w:pPr>
    </w:p>
    <w:p w:rsidR="00896E21" w:rsidRPr="00896E21" w:rsidRDefault="00896E21" w:rsidP="007F3C7B">
      <w:pPr>
        <w:tabs>
          <w:tab w:val="left" w:pos="567"/>
          <w:tab w:val="left" w:pos="864"/>
        </w:tabs>
        <w:spacing w:line="276" w:lineRule="auto"/>
        <w:ind w:left="851"/>
        <w:jc w:val="both"/>
        <w:rPr>
          <w:rFonts w:ascii="Arial" w:hAnsi="Arial" w:cs="Arial"/>
          <w:b/>
          <w:sz w:val="22"/>
          <w:szCs w:val="22"/>
        </w:rPr>
      </w:pPr>
      <w:r w:rsidRPr="00896E21">
        <w:rPr>
          <w:rFonts w:ascii="Arial" w:hAnsi="Arial" w:cs="Arial"/>
          <w:b/>
          <w:sz w:val="22"/>
        </w:rPr>
        <w:t>Provincial equitable share:</w:t>
      </w:r>
    </w:p>
    <w:p w:rsidR="001E3DC4" w:rsidRDefault="001E3DC4" w:rsidP="00EF0202">
      <w:pPr>
        <w:tabs>
          <w:tab w:val="left" w:pos="432"/>
          <w:tab w:val="left" w:pos="864"/>
        </w:tabs>
        <w:spacing w:line="276" w:lineRule="auto"/>
        <w:rPr>
          <w:rFonts w:ascii="Arial" w:hAnsi="Arial" w:cs="Arial"/>
          <w:b/>
          <w:sz w:val="22"/>
          <w:szCs w:val="22"/>
        </w:rPr>
      </w:pPr>
    </w:p>
    <w:p w:rsidR="00896E21" w:rsidRDefault="001C53F2" w:rsidP="00254F57">
      <w:pPr>
        <w:tabs>
          <w:tab w:val="left" w:pos="432"/>
          <w:tab w:val="left" w:pos="864"/>
        </w:tabs>
        <w:spacing w:line="276" w:lineRule="auto"/>
        <w:ind w:left="709" w:firstLine="142"/>
        <w:rPr>
          <w:rFonts w:ascii="Arial" w:hAnsi="Arial" w:cs="Arial"/>
          <w:b/>
          <w:sz w:val="22"/>
          <w:szCs w:val="22"/>
          <w:highlight w:val="yellow"/>
        </w:rPr>
      </w:pPr>
      <w:r w:rsidRPr="001C53F2">
        <w:rPr>
          <w:noProof/>
          <w:lang w:val="en-ZA" w:eastAsia="en-ZA"/>
        </w:rPr>
        <w:drawing>
          <wp:inline distT="0" distB="0" distL="0" distR="0" wp14:anchorId="3B66D1A5" wp14:editId="728579BC">
            <wp:extent cx="5470497" cy="226612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0598" cy="2266163"/>
                    </a:xfrm>
                    <a:prstGeom prst="rect">
                      <a:avLst/>
                    </a:prstGeom>
                    <a:noFill/>
                    <a:ln>
                      <a:noFill/>
                    </a:ln>
                  </pic:spPr>
                </pic:pic>
              </a:graphicData>
            </a:graphic>
          </wp:inline>
        </w:drawing>
      </w:r>
    </w:p>
    <w:p w:rsidR="00F4302C" w:rsidRDefault="00F4302C" w:rsidP="00F4302C">
      <w:pPr>
        <w:ind w:left="851"/>
        <w:jc w:val="both"/>
        <w:rPr>
          <w:rFonts w:ascii="Arial" w:hAnsi="Arial" w:cs="Arial"/>
          <w:sz w:val="22"/>
        </w:rPr>
      </w:pPr>
    </w:p>
    <w:p w:rsidR="00F4302C" w:rsidRPr="0055440C" w:rsidRDefault="00F4302C" w:rsidP="00F4302C">
      <w:pPr>
        <w:ind w:left="851"/>
        <w:jc w:val="both"/>
        <w:rPr>
          <w:rFonts w:ascii="Arial" w:hAnsi="Arial" w:cs="Arial"/>
          <w:sz w:val="22"/>
        </w:rPr>
      </w:pPr>
      <w:r>
        <w:rPr>
          <w:rFonts w:ascii="Arial" w:hAnsi="Arial" w:cs="Arial"/>
          <w:sz w:val="22"/>
        </w:rPr>
        <w:t>The amount reduced from grant allocations to each recipient</w:t>
      </w:r>
      <w:r w:rsidRPr="0055440C">
        <w:rPr>
          <w:rFonts w:ascii="Arial" w:hAnsi="Arial" w:cs="Arial"/>
          <w:sz w:val="22"/>
        </w:rPr>
        <w:t xml:space="preserve"> province</w:t>
      </w:r>
      <w:r>
        <w:rPr>
          <w:rFonts w:ascii="Arial" w:hAnsi="Arial" w:cs="Arial"/>
          <w:sz w:val="22"/>
        </w:rPr>
        <w:t xml:space="preserve"> was determined by the department that acts as the national transferring officer. The</w:t>
      </w:r>
      <w:r w:rsidR="0089108A">
        <w:rPr>
          <w:rFonts w:ascii="Arial" w:hAnsi="Arial" w:cs="Arial"/>
          <w:sz w:val="22"/>
        </w:rPr>
        <w:t xml:space="preserve"> effect of grant reductions on provincial aggregates is shown in the table below and is</w:t>
      </w:r>
      <w:r w:rsidRPr="0055440C">
        <w:rPr>
          <w:rFonts w:ascii="Arial" w:hAnsi="Arial" w:cs="Arial"/>
          <w:sz w:val="22"/>
        </w:rPr>
        <w:t xml:space="preserve"> informed by the respective allocation criteria</w:t>
      </w:r>
      <w:r>
        <w:rPr>
          <w:rFonts w:ascii="Arial" w:hAnsi="Arial" w:cs="Arial"/>
          <w:sz w:val="22"/>
        </w:rPr>
        <w:t xml:space="preserve"> for each</w:t>
      </w:r>
      <w:r w:rsidR="0089108A">
        <w:rPr>
          <w:rFonts w:ascii="Arial" w:hAnsi="Arial" w:cs="Arial"/>
          <w:sz w:val="22"/>
        </w:rPr>
        <w:t xml:space="preserve"> individual</w:t>
      </w:r>
      <w:r>
        <w:rPr>
          <w:rFonts w:ascii="Arial" w:hAnsi="Arial" w:cs="Arial"/>
          <w:sz w:val="22"/>
        </w:rPr>
        <w:t xml:space="preserve"> grant. D</w:t>
      </w:r>
      <w:r w:rsidRPr="0055440C">
        <w:rPr>
          <w:rFonts w:ascii="Arial" w:hAnsi="Arial" w:cs="Arial"/>
          <w:sz w:val="22"/>
        </w:rPr>
        <w:t xml:space="preserve">etails of </w:t>
      </w:r>
      <w:r>
        <w:rPr>
          <w:rFonts w:ascii="Arial" w:hAnsi="Arial" w:cs="Arial"/>
          <w:sz w:val="22"/>
        </w:rPr>
        <w:t xml:space="preserve">allocation criteria </w:t>
      </w:r>
      <w:r w:rsidRPr="0055440C">
        <w:rPr>
          <w:rFonts w:ascii="Arial" w:hAnsi="Arial" w:cs="Arial"/>
          <w:sz w:val="22"/>
        </w:rPr>
        <w:t>are provided in the respective conditional grant frameworks</w:t>
      </w:r>
      <w:r>
        <w:rPr>
          <w:rFonts w:ascii="Arial" w:hAnsi="Arial" w:cs="Arial"/>
          <w:sz w:val="22"/>
        </w:rPr>
        <w:t xml:space="preserve"> for each grant</w:t>
      </w:r>
      <w:r w:rsidRPr="0055440C">
        <w:rPr>
          <w:rFonts w:ascii="Arial" w:hAnsi="Arial" w:cs="Arial"/>
          <w:sz w:val="22"/>
        </w:rPr>
        <w:t xml:space="preserve"> as contained in 2016 D</w:t>
      </w:r>
      <w:r>
        <w:rPr>
          <w:rFonts w:ascii="Arial" w:hAnsi="Arial" w:cs="Arial"/>
          <w:sz w:val="22"/>
        </w:rPr>
        <w:t>ivision of Revenue Bill</w:t>
      </w:r>
      <w:r w:rsidRPr="0055440C">
        <w:rPr>
          <w:rFonts w:ascii="Arial" w:hAnsi="Arial" w:cs="Arial"/>
          <w:sz w:val="22"/>
        </w:rPr>
        <w:t>.</w:t>
      </w:r>
    </w:p>
    <w:p w:rsidR="00896E21" w:rsidRPr="008B0DB1" w:rsidRDefault="00896E21" w:rsidP="00254F57">
      <w:pPr>
        <w:tabs>
          <w:tab w:val="left" w:pos="432"/>
          <w:tab w:val="left" w:pos="864"/>
        </w:tabs>
        <w:spacing w:line="276" w:lineRule="auto"/>
        <w:ind w:left="709" w:firstLine="142"/>
        <w:rPr>
          <w:rFonts w:ascii="Arial" w:hAnsi="Arial" w:cs="Arial"/>
          <w:b/>
          <w:sz w:val="22"/>
          <w:szCs w:val="22"/>
        </w:rPr>
      </w:pPr>
    </w:p>
    <w:p w:rsidR="00896E21" w:rsidRPr="00896E21" w:rsidRDefault="00896E21" w:rsidP="00254F57">
      <w:pPr>
        <w:tabs>
          <w:tab w:val="left" w:pos="432"/>
          <w:tab w:val="left" w:pos="864"/>
        </w:tabs>
        <w:spacing w:line="276" w:lineRule="auto"/>
        <w:ind w:left="709" w:firstLine="142"/>
        <w:rPr>
          <w:rFonts w:ascii="Arial" w:hAnsi="Arial" w:cs="Arial"/>
          <w:b/>
          <w:sz w:val="22"/>
          <w:szCs w:val="22"/>
        </w:rPr>
      </w:pPr>
      <w:r w:rsidRPr="008B0DB1">
        <w:rPr>
          <w:rFonts w:ascii="Arial" w:hAnsi="Arial" w:cs="Arial"/>
          <w:b/>
          <w:sz w:val="22"/>
          <w:szCs w:val="22"/>
        </w:rPr>
        <w:t>Provincial conditional grants:</w:t>
      </w:r>
    </w:p>
    <w:p w:rsidR="00896E21" w:rsidRDefault="00896E21" w:rsidP="00254F57">
      <w:pPr>
        <w:tabs>
          <w:tab w:val="left" w:pos="432"/>
          <w:tab w:val="left" w:pos="864"/>
        </w:tabs>
        <w:spacing w:line="276" w:lineRule="auto"/>
        <w:ind w:left="709" w:firstLine="142"/>
        <w:rPr>
          <w:rFonts w:ascii="Arial" w:hAnsi="Arial" w:cs="Arial"/>
          <w:b/>
          <w:sz w:val="22"/>
          <w:szCs w:val="22"/>
          <w:highlight w:val="yellow"/>
        </w:rPr>
      </w:pPr>
    </w:p>
    <w:p w:rsidR="00E64993" w:rsidRDefault="001C53F2" w:rsidP="00254F57">
      <w:pPr>
        <w:tabs>
          <w:tab w:val="left" w:pos="432"/>
          <w:tab w:val="left" w:pos="864"/>
        </w:tabs>
        <w:spacing w:line="276" w:lineRule="auto"/>
        <w:ind w:left="709" w:firstLine="142"/>
        <w:rPr>
          <w:rFonts w:ascii="Arial" w:hAnsi="Arial" w:cs="Arial"/>
          <w:b/>
          <w:sz w:val="22"/>
          <w:szCs w:val="22"/>
          <w:highlight w:val="yellow"/>
        </w:rPr>
      </w:pPr>
      <w:r w:rsidRPr="001C53F2">
        <w:rPr>
          <w:noProof/>
          <w:lang w:val="en-ZA" w:eastAsia="en-ZA"/>
        </w:rPr>
        <w:drawing>
          <wp:inline distT="0" distB="0" distL="0" distR="0" wp14:anchorId="0515C7AA" wp14:editId="2F997C5B">
            <wp:extent cx="5470497" cy="2162754"/>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7094" cy="2165362"/>
                    </a:xfrm>
                    <a:prstGeom prst="rect">
                      <a:avLst/>
                    </a:prstGeom>
                    <a:noFill/>
                    <a:ln>
                      <a:noFill/>
                    </a:ln>
                  </pic:spPr>
                </pic:pic>
              </a:graphicData>
            </a:graphic>
          </wp:inline>
        </w:drawing>
      </w:r>
    </w:p>
    <w:p w:rsidR="001E3DC4" w:rsidRDefault="001E3DC4" w:rsidP="00EF0202">
      <w:pPr>
        <w:tabs>
          <w:tab w:val="left" w:pos="432"/>
          <w:tab w:val="left" w:pos="864"/>
        </w:tabs>
        <w:spacing w:line="276" w:lineRule="auto"/>
        <w:rPr>
          <w:rFonts w:ascii="Arial" w:hAnsi="Arial" w:cs="Arial"/>
          <w:b/>
          <w:sz w:val="22"/>
          <w:szCs w:val="22"/>
        </w:rPr>
      </w:pPr>
    </w:p>
    <w:p w:rsidR="0095117A" w:rsidRDefault="0095117A" w:rsidP="00EF0202">
      <w:pPr>
        <w:tabs>
          <w:tab w:val="left" w:pos="432"/>
          <w:tab w:val="left" w:pos="864"/>
        </w:tabs>
        <w:spacing w:line="276" w:lineRule="auto"/>
        <w:rPr>
          <w:rFonts w:ascii="Arial" w:hAnsi="Arial" w:cs="Arial"/>
          <w:b/>
          <w:sz w:val="22"/>
          <w:szCs w:val="22"/>
        </w:rPr>
      </w:pPr>
    </w:p>
    <w:p w:rsidR="00EF0202" w:rsidRDefault="00EF0202" w:rsidP="003B0534">
      <w:pPr>
        <w:tabs>
          <w:tab w:val="left" w:pos="432"/>
          <w:tab w:val="left" w:pos="864"/>
        </w:tabs>
        <w:spacing w:line="276" w:lineRule="auto"/>
        <w:rPr>
          <w:rFonts w:ascii="Arial" w:hAnsi="Arial" w:cs="Arial"/>
          <w:b/>
          <w:sz w:val="22"/>
          <w:szCs w:val="22"/>
        </w:rPr>
      </w:pPr>
      <w:r>
        <w:rPr>
          <w:rFonts w:ascii="Arial" w:hAnsi="Arial" w:cs="Arial"/>
          <w:b/>
          <w:sz w:val="22"/>
          <w:szCs w:val="22"/>
        </w:rPr>
        <w:lastRenderedPageBreak/>
        <w:t>(a)(iii)</w:t>
      </w:r>
      <w:r w:rsidR="003B0534">
        <w:rPr>
          <w:rFonts w:ascii="Arial" w:hAnsi="Arial" w:cs="Arial"/>
          <w:b/>
          <w:sz w:val="22"/>
          <w:szCs w:val="22"/>
        </w:rPr>
        <w:tab/>
      </w:r>
      <w:r>
        <w:rPr>
          <w:rFonts w:ascii="Arial" w:hAnsi="Arial" w:cs="Arial"/>
          <w:b/>
          <w:sz w:val="22"/>
          <w:szCs w:val="22"/>
        </w:rPr>
        <w:t>Amounts reprioritised from municipalities:</w:t>
      </w:r>
    </w:p>
    <w:p w:rsidR="0095117A" w:rsidRDefault="00EB748C" w:rsidP="00EB748C">
      <w:pPr>
        <w:tabs>
          <w:tab w:val="left" w:pos="432"/>
          <w:tab w:val="left" w:pos="864"/>
        </w:tabs>
        <w:spacing w:line="276" w:lineRule="auto"/>
        <w:rPr>
          <w:rFonts w:ascii="Arial" w:hAnsi="Arial" w:cs="Arial"/>
          <w:b/>
          <w:sz w:val="22"/>
          <w:szCs w:val="22"/>
        </w:rPr>
      </w:pPr>
      <w:r>
        <w:rPr>
          <w:rFonts w:ascii="Arial" w:hAnsi="Arial" w:cs="Arial"/>
          <w:b/>
          <w:sz w:val="22"/>
          <w:szCs w:val="22"/>
        </w:rPr>
        <w:tab/>
      </w:r>
      <w:r>
        <w:rPr>
          <w:rFonts w:ascii="Arial" w:hAnsi="Arial" w:cs="Arial"/>
          <w:b/>
          <w:sz w:val="22"/>
          <w:szCs w:val="22"/>
        </w:rPr>
        <w:tab/>
      </w:r>
    </w:p>
    <w:p w:rsidR="00896E21" w:rsidRPr="00896E21" w:rsidRDefault="00896E21" w:rsidP="0095117A">
      <w:pPr>
        <w:tabs>
          <w:tab w:val="left" w:pos="432"/>
          <w:tab w:val="left" w:pos="864"/>
        </w:tabs>
        <w:spacing w:line="276" w:lineRule="auto"/>
        <w:ind w:firstLine="851"/>
        <w:rPr>
          <w:rFonts w:ascii="Arial" w:hAnsi="Arial" w:cs="Arial"/>
          <w:b/>
          <w:sz w:val="22"/>
          <w:szCs w:val="22"/>
        </w:rPr>
      </w:pPr>
      <w:r w:rsidRPr="0095117A">
        <w:rPr>
          <w:rFonts w:ascii="Arial" w:hAnsi="Arial" w:cs="Arial"/>
          <w:b/>
          <w:sz w:val="22"/>
          <w:szCs w:val="22"/>
        </w:rPr>
        <w:t>Local government equitable share:</w:t>
      </w:r>
    </w:p>
    <w:p w:rsidR="00896E21" w:rsidRDefault="00EB748C" w:rsidP="00F46F1C">
      <w:pPr>
        <w:ind w:left="851"/>
        <w:jc w:val="both"/>
        <w:rPr>
          <w:rFonts w:ascii="Arial" w:hAnsi="Arial" w:cs="Arial"/>
          <w:sz w:val="22"/>
          <w:szCs w:val="22"/>
        </w:rPr>
      </w:pPr>
      <w:r w:rsidRPr="00E64993">
        <w:rPr>
          <w:rFonts w:ascii="Arial" w:hAnsi="Arial" w:cs="Arial"/>
          <w:sz w:val="22"/>
        </w:rPr>
        <w:t>The impact on municipalities</w:t>
      </w:r>
      <w:r w:rsidRPr="00E64993" w:rsidDel="00976A7D">
        <w:rPr>
          <w:rFonts w:ascii="Arial" w:hAnsi="Arial" w:cs="Arial"/>
          <w:sz w:val="22"/>
        </w:rPr>
        <w:t xml:space="preserve"> </w:t>
      </w:r>
      <w:r w:rsidRPr="00E64993">
        <w:rPr>
          <w:rFonts w:ascii="Arial" w:hAnsi="Arial" w:cs="Arial"/>
          <w:sz w:val="22"/>
        </w:rPr>
        <w:t>of</w:t>
      </w:r>
      <w:r>
        <w:rPr>
          <w:rFonts w:ascii="Arial" w:hAnsi="Arial" w:cs="Arial"/>
          <w:sz w:val="22"/>
        </w:rPr>
        <w:t xml:space="preserve"> the</w:t>
      </w:r>
      <w:r w:rsidR="0095117A">
        <w:rPr>
          <w:rFonts w:ascii="Arial" w:hAnsi="Arial" w:cs="Arial"/>
          <w:sz w:val="22"/>
        </w:rPr>
        <w:t xml:space="preserve"> R1.8 billion </w:t>
      </w:r>
      <w:r w:rsidR="00270826">
        <w:rPr>
          <w:rFonts w:ascii="Arial" w:hAnsi="Arial" w:cs="Arial"/>
          <w:sz w:val="22"/>
        </w:rPr>
        <w:t>in</w:t>
      </w:r>
      <w:r w:rsidRPr="00E64993">
        <w:rPr>
          <w:rFonts w:ascii="Arial" w:hAnsi="Arial" w:cs="Arial"/>
          <w:sz w:val="22"/>
        </w:rPr>
        <w:t xml:space="preserve"> reprioritisation of the local government equitable share </w:t>
      </w:r>
      <w:r w:rsidR="00CF1219">
        <w:rPr>
          <w:rFonts w:ascii="Arial" w:hAnsi="Arial" w:cs="Arial"/>
          <w:sz w:val="22"/>
        </w:rPr>
        <w:t xml:space="preserve">over the MTEF </w:t>
      </w:r>
      <w:r w:rsidRPr="00E64993">
        <w:rPr>
          <w:rFonts w:ascii="Arial" w:hAnsi="Arial" w:cs="Arial"/>
          <w:sz w:val="22"/>
        </w:rPr>
        <w:t>is</w:t>
      </w:r>
      <w:r>
        <w:rPr>
          <w:rFonts w:ascii="Arial" w:hAnsi="Arial" w:cs="Arial"/>
          <w:sz w:val="22"/>
        </w:rPr>
        <w:t xml:space="preserve"> not </w:t>
      </w:r>
      <w:r w:rsidRPr="00E64993">
        <w:rPr>
          <w:rFonts w:ascii="Arial" w:hAnsi="Arial" w:cs="Arial"/>
          <w:sz w:val="22"/>
        </w:rPr>
        <w:t>shown</w:t>
      </w:r>
      <w:r>
        <w:rPr>
          <w:rFonts w:ascii="Arial" w:hAnsi="Arial" w:cs="Arial"/>
          <w:sz w:val="22"/>
        </w:rPr>
        <w:t xml:space="preserve"> separately</w:t>
      </w:r>
      <w:r w:rsidR="00A64155">
        <w:rPr>
          <w:rFonts w:ascii="Arial" w:hAnsi="Arial" w:cs="Arial"/>
          <w:sz w:val="22"/>
        </w:rPr>
        <w:t xml:space="preserve"> per municipality</w:t>
      </w:r>
      <w:r w:rsidR="00F46F1C">
        <w:rPr>
          <w:rFonts w:ascii="Arial" w:hAnsi="Arial" w:cs="Arial"/>
          <w:sz w:val="22"/>
        </w:rPr>
        <w:t>, as many factors influenced these allocations.</w:t>
      </w:r>
      <w:r w:rsidR="00560A32" w:rsidRPr="00560A32">
        <w:rPr>
          <w:rFonts w:ascii="Arial" w:hAnsi="Arial" w:cs="Arial"/>
          <w:sz w:val="22"/>
        </w:rPr>
        <w:t xml:space="preserve"> </w:t>
      </w:r>
      <w:r w:rsidR="00F46F1C">
        <w:rPr>
          <w:rFonts w:ascii="Arial" w:hAnsi="Arial" w:cs="Arial"/>
          <w:sz w:val="22"/>
        </w:rPr>
        <w:t xml:space="preserve">These are </w:t>
      </w:r>
      <w:r>
        <w:rPr>
          <w:rFonts w:ascii="Arial" w:hAnsi="Arial" w:cs="Arial"/>
          <w:sz w:val="22"/>
          <w:szCs w:val="22"/>
        </w:rPr>
        <w:t xml:space="preserve">set out in the Explanatory Memorandum to the Division of Revenue (Annexure W1 to the Division of Revenue Bill and the Budget Review). </w:t>
      </w:r>
      <w:r w:rsidR="001A77A4">
        <w:rPr>
          <w:rFonts w:ascii="Arial" w:hAnsi="Arial" w:cs="Arial"/>
          <w:sz w:val="22"/>
        </w:rPr>
        <w:t xml:space="preserve">The allocations amount to 26.4 per cent of the local government level reprioritisation and </w:t>
      </w:r>
      <w:r w:rsidR="001A77A4" w:rsidRPr="0095117A">
        <w:rPr>
          <w:rFonts w:ascii="Arial" w:hAnsi="Arial" w:cs="Arial"/>
          <w:sz w:val="22"/>
        </w:rPr>
        <w:t>5.5 per cent of the total reprioritisation over the MTEF</w:t>
      </w:r>
      <w:r w:rsidR="001A77A4">
        <w:rPr>
          <w:rFonts w:ascii="Arial" w:hAnsi="Arial" w:cs="Arial"/>
          <w:sz w:val="22"/>
        </w:rPr>
        <w:t>.</w:t>
      </w:r>
    </w:p>
    <w:p w:rsidR="005323E7" w:rsidRDefault="005323E7" w:rsidP="00F46F1C">
      <w:pPr>
        <w:ind w:left="851"/>
        <w:jc w:val="both"/>
        <w:rPr>
          <w:rFonts w:ascii="Arial" w:hAnsi="Arial" w:cs="Arial"/>
          <w:sz w:val="22"/>
          <w:szCs w:val="22"/>
        </w:rPr>
      </w:pPr>
    </w:p>
    <w:p w:rsidR="005323E7" w:rsidRPr="00896E21" w:rsidRDefault="005323E7" w:rsidP="00F46F1C">
      <w:pPr>
        <w:ind w:left="851"/>
        <w:jc w:val="both"/>
        <w:rPr>
          <w:rFonts w:ascii="Arial" w:hAnsi="Arial" w:cs="Arial"/>
          <w:b/>
          <w:sz w:val="22"/>
          <w:szCs w:val="22"/>
        </w:rPr>
      </w:pPr>
      <w:r>
        <w:rPr>
          <w:rFonts w:ascii="Arial" w:hAnsi="Arial" w:cs="Arial"/>
          <w:sz w:val="22"/>
          <w:szCs w:val="22"/>
        </w:rPr>
        <w:t>The changes</w:t>
      </w:r>
      <w:r w:rsidR="008118EB">
        <w:rPr>
          <w:rFonts w:ascii="Arial" w:hAnsi="Arial" w:cs="Arial"/>
          <w:sz w:val="22"/>
          <w:szCs w:val="22"/>
        </w:rPr>
        <w:t xml:space="preserve"> affecting municipal allocations</w:t>
      </w:r>
      <w:r>
        <w:rPr>
          <w:rFonts w:ascii="Arial" w:hAnsi="Arial" w:cs="Arial"/>
          <w:sz w:val="22"/>
          <w:szCs w:val="22"/>
        </w:rPr>
        <w:t xml:space="preserve"> include data updates to variables in the </w:t>
      </w:r>
      <w:r w:rsidR="008118EB">
        <w:rPr>
          <w:rFonts w:ascii="Arial" w:hAnsi="Arial" w:cs="Arial"/>
          <w:sz w:val="22"/>
          <w:szCs w:val="22"/>
        </w:rPr>
        <w:t xml:space="preserve">local government equitable share </w:t>
      </w:r>
      <w:r>
        <w:rPr>
          <w:rFonts w:ascii="Arial" w:hAnsi="Arial" w:cs="Arial"/>
          <w:sz w:val="22"/>
          <w:szCs w:val="22"/>
        </w:rPr>
        <w:t>formula</w:t>
      </w:r>
      <w:r w:rsidR="008118EB">
        <w:rPr>
          <w:rFonts w:ascii="Arial" w:hAnsi="Arial" w:cs="Arial"/>
          <w:sz w:val="22"/>
          <w:szCs w:val="22"/>
        </w:rPr>
        <w:t>;</w:t>
      </w:r>
      <w:r>
        <w:rPr>
          <w:rFonts w:ascii="Arial" w:hAnsi="Arial" w:cs="Arial"/>
          <w:sz w:val="22"/>
          <w:szCs w:val="22"/>
        </w:rPr>
        <w:t xml:space="preserve"> to account for changes in projected inflation, electricity and water bulk costs and household growth rates. Significant changes also resulted from the decision by the Municipal Demarcation Board to re-determine multiple municipal boundaries, including the merging of several municipalities. All new demarcations are reflected in the 2016 Division of Revenue Bill and </w:t>
      </w:r>
      <w:r w:rsidR="008118EB">
        <w:rPr>
          <w:rFonts w:ascii="Arial" w:hAnsi="Arial" w:cs="Arial"/>
          <w:sz w:val="22"/>
          <w:szCs w:val="22"/>
        </w:rPr>
        <w:t>therefore</w:t>
      </w:r>
      <w:r>
        <w:rPr>
          <w:rFonts w:ascii="Arial" w:hAnsi="Arial" w:cs="Arial"/>
          <w:sz w:val="22"/>
          <w:szCs w:val="22"/>
        </w:rPr>
        <w:t xml:space="preserve"> allocations for individual municipalities in the 2015 and 2016 Division of Revenue Bills are not </w:t>
      </w:r>
      <w:r w:rsidR="008118EB">
        <w:rPr>
          <w:rFonts w:ascii="Arial" w:hAnsi="Arial" w:cs="Arial"/>
          <w:sz w:val="22"/>
          <w:szCs w:val="22"/>
        </w:rPr>
        <w:t xml:space="preserve">directly </w:t>
      </w:r>
      <w:r>
        <w:rPr>
          <w:rFonts w:ascii="Arial" w:hAnsi="Arial" w:cs="Arial"/>
          <w:sz w:val="22"/>
          <w:szCs w:val="22"/>
        </w:rPr>
        <w:t>comparable where demarcations have been changed. The allocations for Special Support for Councilor Remuneration and Ward Committees also changed as a result of the merging of some municipalities.</w:t>
      </w:r>
    </w:p>
    <w:p w:rsidR="000B1DF6" w:rsidRDefault="000B1DF6" w:rsidP="00B61EBC">
      <w:pPr>
        <w:tabs>
          <w:tab w:val="left" w:pos="432"/>
          <w:tab w:val="left" w:pos="864"/>
        </w:tabs>
        <w:spacing w:line="276" w:lineRule="auto"/>
        <w:ind w:left="709" w:firstLine="142"/>
        <w:rPr>
          <w:rFonts w:ascii="Arial" w:hAnsi="Arial" w:cs="Arial"/>
          <w:b/>
          <w:sz w:val="22"/>
          <w:szCs w:val="22"/>
          <w:highlight w:val="yellow"/>
        </w:rPr>
      </w:pPr>
    </w:p>
    <w:p w:rsidR="00F4302C" w:rsidRPr="0055440C" w:rsidRDefault="00F4302C" w:rsidP="00F4302C">
      <w:pPr>
        <w:ind w:left="851"/>
        <w:jc w:val="both"/>
        <w:rPr>
          <w:rFonts w:ascii="Arial" w:hAnsi="Arial" w:cs="Arial"/>
          <w:sz w:val="22"/>
        </w:rPr>
      </w:pPr>
      <w:r>
        <w:rPr>
          <w:rFonts w:ascii="Arial" w:hAnsi="Arial" w:cs="Arial"/>
          <w:sz w:val="22"/>
        </w:rPr>
        <w:t>The amount reduced from grant allocations to each recipient</w:t>
      </w:r>
      <w:r w:rsidRPr="0055440C">
        <w:rPr>
          <w:rFonts w:ascii="Arial" w:hAnsi="Arial" w:cs="Arial"/>
          <w:sz w:val="22"/>
        </w:rPr>
        <w:t xml:space="preserve"> </w:t>
      </w:r>
      <w:r>
        <w:rPr>
          <w:rFonts w:ascii="Arial" w:hAnsi="Arial" w:cs="Arial"/>
          <w:sz w:val="22"/>
        </w:rPr>
        <w:t xml:space="preserve">municipality was determined by the department that acts as the </w:t>
      </w:r>
      <w:r w:rsidR="00F46F1C">
        <w:rPr>
          <w:rFonts w:ascii="Arial" w:hAnsi="Arial" w:cs="Arial"/>
          <w:sz w:val="22"/>
        </w:rPr>
        <w:t>t</w:t>
      </w:r>
      <w:r>
        <w:rPr>
          <w:rFonts w:ascii="Arial" w:hAnsi="Arial" w:cs="Arial"/>
          <w:sz w:val="22"/>
        </w:rPr>
        <w:t xml:space="preserve">ransferring officer. </w:t>
      </w:r>
      <w:r w:rsidR="00AD3313">
        <w:rPr>
          <w:rFonts w:ascii="Arial" w:hAnsi="Arial" w:cs="Arial"/>
          <w:sz w:val="22"/>
        </w:rPr>
        <w:t xml:space="preserve">The </w:t>
      </w:r>
      <w:r w:rsidR="00F46F1C">
        <w:rPr>
          <w:rFonts w:ascii="Arial" w:hAnsi="Arial" w:cs="Arial"/>
          <w:sz w:val="22"/>
        </w:rPr>
        <w:t xml:space="preserve">aggregate </w:t>
      </w:r>
      <w:r w:rsidR="00AD3313">
        <w:rPr>
          <w:rFonts w:ascii="Arial" w:hAnsi="Arial" w:cs="Arial"/>
          <w:sz w:val="22"/>
        </w:rPr>
        <w:t>grant reductions</w:t>
      </w:r>
      <w:r w:rsidR="00F46F1C">
        <w:rPr>
          <w:rFonts w:ascii="Arial" w:hAnsi="Arial" w:cs="Arial"/>
          <w:sz w:val="22"/>
        </w:rPr>
        <w:t xml:space="preserve"> for individual grants</w:t>
      </w:r>
      <w:r w:rsidR="00AD3313">
        <w:rPr>
          <w:rFonts w:ascii="Arial" w:hAnsi="Arial" w:cs="Arial"/>
          <w:sz w:val="22"/>
        </w:rPr>
        <w:t xml:space="preserve"> </w:t>
      </w:r>
      <w:r w:rsidR="00F46F1C">
        <w:rPr>
          <w:rFonts w:ascii="Arial" w:hAnsi="Arial" w:cs="Arial"/>
          <w:sz w:val="22"/>
        </w:rPr>
        <w:t>are</w:t>
      </w:r>
      <w:r w:rsidR="00AD3313">
        <w:rPr>
          <w:rFonts w:ascii="Arial" w:hAnsi="Arial" w:cs="Arial"/>
          <w:sz w:val="22"/>
        </w:rPr>
        <w:t xml:space="preserve"> shown in the table below and </w:t>
      </w:r>
      <w:r w:rsidR="00F46F1C">
        <w:rPr>
          <w:rFonts w:ascii="Arial" w:hAnsi="Arial" w:cs="Arial"/>
          <w:sz w:val="22"/>
        </w:rPr>
        <w:t>are</w:t>
      </w:r>
      <w:r w:rsidR="00AD3313" w:rsidRPr="0055440C">
        <w:rPr>
          <w:rFonts w:ascii="Arial" w:hAnsi="Arial" w:cs="Arial"/>
          <w:sz w:val="22"/>
        </w:rPr>
        <w:t xml:space="preserve"> </w:t>
      </w:r>
      <w:r w:rsidRPr="0055440C">
        <w:rPr>
          <w:rFonts w:ascii="Arial" w:hAnsi="Arial" w:cs="Arial"/>
          <w:sz w:val="22"/>
        </w:rPr>
        <w:t>informed by the respective allocation criteria</w:t>
      </w:r>
      <w:r>
        <w:rPr>
          <w:rFonts w:ascii="Arial" w:hAnsi="Arial" w:cs="Arial"/>
          <w:sz w:val="22"/>
        </w:rPr>
        <w:t xml:space="preserve"> for each</w:t>
      </w:r>
      <w:r w:rsidR="00AD3313">
        <w:rPr>
          <w:rFonts w:ascii="Arial" w:hAnsi="Arial" w:cs="Arial"/>
          <w:sz w:val="22"/>
        </w:rPr>
        <w:t xml:space="preserve"> individual</w:t>
      </w:r>
      <w:r>
        <w:rPr>
          <w:rFonts w:ascii="Arial" w:hAnsi="Arial" w:cs="Arial"/>
          <w:sz w:val="22"/>
        </w:rPr>
        <w:t xml:space="preserve"> grant. D</w:t>
      </w:r>
      <w:r w:rsidRPr="0055440C">
        <w:rPr>
          <w:rFonts w:ascii="Arial" w:hAnsi="Arial" w:cs="Arial"/>
          <w:sz w:val="22"/>
        </w:rPr>
        <w:t xml:space="preserve">etails of </w:t>
      </w:r>
      <w:r>
        <w:rPr>
          <w:rFonts w:ascii="Arial" w:hAnsi="Arial" w:cs="Arial"/>
          <w:sz w:val="22"/>
        </w:rPr>
        <w:t xml:space="preserve">allocation criteria </w:t>
      </w:r>
      <w:r w:rsidRPr="0055440C">
        <w:rPr>
          <w:rFonts w:ascii="Arial" w:hAnsi="Arial" w:cs="Arial"/>
          <w:sz w:val="22"/>
        </w:rPr>
        <w:t>are provided in the respective conditional grant frameworks</w:t>
      </w:r>
      <w:r>
        <w:rPr>
          <w:rFonts w:ascii="Arial" w:hAnsi="Arial" w:cs="Arial"/>
          <w:sz w:val="22"/>
        </w:rPr>
        <w:t xml:space="preserve"> for each grant</w:t>
      </w:r>
      <w:r w:rsidRPr="0055440C">
        <w:rPr>
          <w:rFonts w:ascii="Arial" w:hAnsi="Arial" w:cs="Arial"/>
          <w:sz w:val="22"/>
        </w:rPr>
        <w:t xml:space="preserve"> as contained in 2016 D</w:t>
      </w:r>
      <w:r>
        <w:rPr>
          <w:rFonts w:ascii="Arial" w:hAnsi="Arial" w:cs="Arial"/>
          <w:sz w:val="22"/>
        </w:rPr>
        <w:t>ivision of Revenue Bill</w:t>
      </w:r>
      <w:r w:rsidRPr="0055440C">
        <w:rPr>
          <w:rFonts w:ascii="Arial" w:hAnsi="Arial" w:cs="Arial"/>
          <w:sz w:val="22"/>
        </w:rPr>
        <w:t>.</w:t>
      </w:r>
    </w:p>
    <w:p w:rsidR="00896E21" w:rsidRDefault="00896E21" w:rsidP="00B61EBC">
      <w:pPr>
        <w:tabs>
          <w:tab w:val="left" w:pos="432"/>
          <w:tab w:val="left" w:pos="864"/>
        </w:tabs>
        <w:spacing w:line="276" w:lineRule="auto"/>
        <w:ind w:left="709" w:firstLine="142"/>
        <w:rPr>
          <w:rFonts w:ascii="Arial" w:hAnsi="Arial" w:cs="Arial"/>
          <w:b/>
          <w:sz w:val="22"/>
          <w:szCs w:val="22"/>
          <w:highlight w:val="yellow"/>
        </w:rPr>
      </w:pPr>
    </w:p>
    <w:p w:rsidR="00896E21" w:rsidRDefault="00896E21" w:rsidP="00B61EBC">
      <w:pPr>
        <w:tabs>
          <w:tab w:val="left" w:pos="432"/>
          <w:tab w:val="left" w:pos="864"/>
        </w:tabs>
        <w:spacing w:line="276" w:lineRule="auto"/>
        <w:ind w:left="709" w:firstLine="142"/>
        <w:rPr>
          <w:rFonts w:ascii="Arial" w:hAnsi="Arial" w:cs="Arial"/>
          <w:b/>
          <w:sz w:val="22"/>
          <w:szCs w:val="22"/>
        </w:rPr>
      </w:pPr>
      <w:r w:rsidRPr="00270826">
        <w:rPr>
          <w:rFonts w:ascii="Arial" w:hAnsi="Arial" w:cs="Arial"/>
          <w:b/>
          <w:sz w:val="22"/>
          <w:szCs w:val="22"/>
        </w:rPr>
        <w:t>Local government conditional grants:</w:t>
      </w:r>
    </w:p>
    <w:p w:rsidR="00F46E0D" w:rsidRPr="00270826" w:rsidRDefault="00F46E0D" w:rsidP="00B61EBC">
      <w:pPr>
        <w:tabs>
          <w:tab w:val="left" w:pos="432"/>
          <w:tab w:val="left" w:pos="864"/>
        </w:tabs>
        <w:spacing w:line="276" w:lineRule="auto"/>
        <w:ind w:left="709" w:firstLine="142"/>
        <w:rPr>
          <w:rFonts w:ascii="Arial" w:hAnsi="Arial" w:cs="Arial"/>
          <w:b/>
          <w:sz w:val="22"/>
          <w:szCs w:val="22"/>
        </w:rPr>
      </w:pPr>
    </w:p>
    <w:p w:rsidR="00896E21" w:rsidRDefault="00F46E0D" w:rsidP="00B61EBC">
      <w:pPr>
        <w:tabs>
          <w:tab w:val="left" w:pos="432"/>
          <w:tab w:val="left" w:pos="864"/>
        </w:tabs>
        <w:spacing w:line="276" w:lineRule="auto"/>
        <w:ind w:left="709" w:firstLine="142"/>
        <w:rPr>
          <w:noProof/>
          <w:lang w:val="en-ZA" w:eastAsia="en-ZA"/>
        </w:rPr>
      </w:pPr>
      <w:r w:rsidRPr="00F46E0D">
        <w:rPr>
          <w:noProof/>
          <w:lang w:val="en-ZA" w:eastAsia="en-ZA"/>
        </w:rPr>
        <w:drawing>
          <wp:inline distT="0" distB="0" distL="0" distR="0" wp14:anchorId="5593A99D" wp14:editId="1CDEDA08">
            <wp:extent cx="5454595" cy="18128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6108" cy="1813400"/>
                    </a:xfrm>
                    <a:prstGeom prst="rect">
                      <a:avLst/>
                    </a:prstGeom>
                    <a:noFill/>
                    <a:ln>
                      <a:noFill/>
                    </a:ln>
                  </pic:spPr>
                </pic:pic>
              </a:graphicData>
            </a:graphic>
          </wp:inline>
        </w:drawing>
      </w:r>
    </w:p>
    <w:p w:rsidR="00F734EE" w:rsidRDefault="00F734EE" w:rsidP="00B61EBC">
      <w:pPr>
        <w:tabs>
          <w:tab w:val="left" w:pos="432"/>
          <w:tab w:val="left" w:pos="864"/>
        </w:tabs>
        <w:spacing w:line="276" w:lineRule="auto"/>
        <w:ind w:left="709" w:firstLine="142"/>
        <w:rPr>
          <w:rFonts w:ascii="Arial" w:hAnsi="Arial" w:cs="Arial"/>
          <w:b/>
          <w:sz w:val="22"/>
          <w:szCs w:val="22"/>
          <w:highlight w:val="yellow"/>
        </w:rPr>
      </w:pPr>
    </w:p>
    <w:p w:rsidR="00704101" w:rsidRDefault="00704101" w:rsidP="00B61EBC">
      <w:pPr>
        <w:tabs>
          <w:tab w:val="left" w:pos="432"/>
          <w:tab w:val="left" w:pos="864"/>
        </w:tabs>
        <w:spacing w:line="276" w:lineRule="auto"/>
        <w:ind w:left="709" w:firstLine="142"/>
        <w:rPr>
          <w:rFonts w:ascii="Arial" w:hAnsi="Arial" w:cs="Arial"/>
          <w:b/>
          <w:sz w:val="22"/>
          <w:szCs w:val="22"/>
          <w:highlight w:val="yellow"/>
        </w:rPr>
      </w:pPr>
    </w:p>
    <w:p w:rsidR="00704101" w:rsidRDefault="00704101" w:rsidP="00B61EBC">
      <w:pPr>
        <w:tabs>
          <w:tab w:val="left" w:pos="432"/>
          <w:tab w:val="left" w:pos="864"/>
        </w:tabs>
        <w:spacing w:line="276" w:lineRule="auto"/>
        <w:ind w:left="709" w:firstLine="142"/>
        <w:rPr>
          <w:rFonts w:ascii="Arial" w:hAnsi="Arial" w:cs="Arial"/>
          <w:b/>
          <w:sz w:val="22"/>
          <w:szCs w:val="22"/>
          <w:highlight w:val="yellow"/>
        </w:rPr>
      </w:pPr>
    </w:p>
    <w:p w:rsidR="00835BAC" w:rsidRDefault="00835BAC" w:rsidP="00B61EBC">
      <w:pPr>
        <w:tabs>
          <w:tab w:val="left" w:pos="432"/>
          <w:tab w:val="left" w:pos="864"/>
        </w:tabs>
        <w:spacing w:line="276" w:lineRule="auto"/>
        <w:ind w:left="709" w:firstLine="142"/>
        <w:rPr>
          <w:rFonts w:ascii="Arial" w:hAnsi="Arial" w:cs="Arial"/>
          <w:b/>
          <w:sz w:val="22"/>
          <w:szCs w:val="22"/>
          <w:highlight w:val="yellow"/>
        </w:rPr>
      </w:pPr>
    </w:p>
    <w:p w:rsidR="00835BAC" w:rsidRDefault="00835BAC" w:rsidP="00B61EBC">
      <w:pPr>
        <w:tabs>
          <w:tab w:val="left" w:pos="432"/>
          <w:tab w:val="left" w:pos="864"/>
        </w:tabs>
        <w:spacing w:line="276" w:lineRule="auto"/>
        <w:ind w:left="709" w:firstLine="142"/>
        <w:rPr>
          <w:rFonts w:ascii="Arial" w:hAnsi="Arial" w:cs="Arial"/>
          <w:b/>
          <w:sz w:val="22"/>
          <w:szCs w:val="22"/>
          <w:highlight w:val="yellow"/>
        </w:rPr>
      </w:pPr>
    </w:p>
    <w:p w:rsidR="00835BAC" w:rsidRDefault="00835BAC" w:rsidP="00B61EBC">
      <w:pPr>
        <w:tabs>
          <w:tab w:val="left" w:pos="432"/>
          <w:tab w:val="left" w:pos="864"/>
        </w:tabs>
        <w:spacing w:line="276" w:lineRule="auto"/>
        <w:ind w:left="709" w:firstLine="142"/>
        <w:rPr>
          <w:rFonts w:ascii="Arial" w:hAnsi="Arial" w:cs="Arial"/>
          <w:b/>
          <w:sz w:val="22"/>
          <w:szCs w:val="22"/>
          <w:highlight w:val="yellow"/>
        </w:rPr>
      </w:pPr>
    </w:p>
    <w:p w:rsidR="00704101" w:rsidRDefault="00704101" w:rsidP="00B61EBC">
      <w:pPr>
        <w:tabs>
          <w:tab w:val="left" w:pos="432"/>
          <w:tab w:val="left" w:pos="864"/>
        </w:tabs>
        <w:spacing w:line="276" w:lineRule="auto"/>
        <w:ind w:left="709" w:firstLine="142"/>
        <w:rPr>
          <w:rFonts w:ascii="Arial" w:hAnsi="Arial" w:cs="Arial"/>
          <w:b/>
          <w:sz w:val="22"/>
          <w:szCs w:val="22"/>
          <w:highlight w:val="yellow"/>
        </w:rPr>
      </w:pPr>
    </w:p>
    <w:p w:rsidR="00AD3313" w:rsidRDefault="00DE49F9" w:rsidP="00EF0202">
      <w:pPr>
        <w:tabs>
          <w:tab w:val="left" w:pos="432"/>
          <w:tab w:val="left" w:pos="864"/>
        </w:tabs>
        <w:spacing w:line="276" w:lineRule="auto"/>
        <w:rPr>
          <w:rFonts w:ascii="Arial" w:hAnsi="Arial" w:cs="Arial"/>
          <w:b/>
          <w:sz w:val="22"/>
          <w:szCs w:val="22"/>
        </w:rPr>
      </w:pPr>
      <w:r>
        <w:rPr>
          <w:rFonts w:ascii="Arial" w:hAnsi="Arial" w:cs="Arial"/>
          <w:b/>
          <w:sz w:val="22"/>
          <w:szCs w:val="22"/>
        </w:rPr>
        <w:lastRenderedPageBreak/>
        <w:t>(b)(i)</w:t>
      </w:r>
      <w:r w:rsidR="00AD3313">
        <w:rPr>
          <w:rFonts w:ascii="Arial" w:hAnsi="Arial" w:cs="Arial"/>
          <w:b/>
          <w:sz w:val="22"/>
          <w:szCs w:val="22"/>
        </w:rPr>
        <w:t xml:space="preserve"> &amp;</w:t>
      </w:r>
    </w:p>
    <w:p w:rsidR="00DE49F9" w:rsidRDefault="00DE49F9" w:rsidP="00EF0202">
      <w:pPr>
        <w:tabs>
          <w:tab w:val="left" w:pos="432"/>
          <w:tab w:val="left" w:pos="864"/>
        </w:tabs>
        <w:spacing w:line="276" w:lineRule="auto"/>
        <w:rPr>
          <w:rFonts w:ascii="Arial" w:hAnsi="Arial" w:cs="Arial"/>
          <w:b/>
          <w:sz w:val="22"/>
          <w:szCs w:val="22"/>
        </w:rPr>
      </w:pPr>
    </w:p>
    <w:p w:rsidR="00AD3313" w:rsidRPr="00AD3313" w:rsidRDefault="00EF0202" w:rsidP="005E6EDE">
      <w:pPr>
        <w:tabs>
          <w:tab w:val="left" w:pos="432"/>
          <w:tab w:val="left" w:pos="810"/>
          <w:tab w:val="left" w:pos="900"/>
        </w:tabs>
        <w:spacing w:line="276" w:lineRule="auto"/>
        <w:ind w:left="810" w:hanging="810"/>
        <w:jc w:val="both"/>
        <w:rPr>
          <w:rFonts w:ascii="Arial" w:hAnsi="Arial" w:cs="Arial"/>
          <w:sz w:val="22"/>
          <w:szCs w:val="22"/>
        </w:rPr>
      </w:pPr>
      <w:r>
        <w:rPr>
          <w:rFonts w:ascii="Arial" w:hAnsi="Arial" w:cs="Arial"/>
          <w:b/>
          <w:sz w:val="22"/>
          <w:szCs w:val="22"/>
        </w:rPr>
        <w:t xml:space="preserve">(b)(ii) </w:t>
      </w:r>
      <w:r w:rsidR="00D811A3">
        <w:rPr>
          <w:rFonts w:ascii="Arial" w:hAnsi="Arial" w:cs="Arial"/>
          <w:b/>
          <w:sz w:val="22"/>
          <w:szCs w:val="22"/>
        </w:rPr>
        <w:tab/>
      </w:r>
      <w:r w:rsidR="00AD3313">
        <w:rPr>
          <w:rFonts w:ascii="Arial" w:hAnsi="Arial" w:cs="Arial"/>
          <w:sz w:val="22"/>
          <w:szCs w:val="22"/>
        </w:rPr>
        <w:t xml:space="preserve">The percentage that each amount represents of the funds reprioritised in the sphere of government that it resides in is show in the tables above under </w:t>
      </w:r>
      <w:r w:rsidR="00AD3313" w:rsidRPr="00AD3313">
        <w:rPr>
          <w:rFonts w:ascii="Arial" w:hAnsi="Arial" w:cs="Arial"/>
          <w:sz w:val="22"/>
          <w:szCs w:val="22"/>
        </w:rPr>
        <w:t>(a</w:t>
      </w:r>
      <w:proofErr w:type="gramStart"/>
      <w:r w:rsidR="00AD3313" w:rsidRPr="00AD3313">
        <w:rPr>
          <w:rFonts w:ascii="Arial" w:hAnsi="Arial" w:cs="Arial"/>
          <w:sz w:val="22"/>
          <w:szCs w:val="22"/>
        </w:rPr>
        <w:t>)(</w:t>
      </w:r>
      <w:proofErr w:type="gramEnd"/>
      <w:r w:rsidR="00AD3313" w:rsidRPr="00AD3313">
        <w:rPr>
          <w:rFonts w:ascii="Arial" w:hAnsi="Arial" w:cs="Arial"/>
          <w:sz w:val="22"/>
          <w:szCs w:val="22"/>
        </w:rPr>
        <w:t>i), (a)(ii) and (a)</w:t>
      </w:r>
      <w:r w:rsidR="005A6DC0">
        <w:rPr>
          <w:rFonts w:ascii="Arial" w:hAnsi="Arial" w:cs="Arial"/>
          <w:sz w:val="22"/>
          <w:szCs w:val="22"/>
        </w:rPr>
        <w:t>(</w:t>
      </w:r>
      <w:r w:rsidR="00AD3313" w:rsidRPr="00AD3313">
        <w:rPr>
          <w:rFonts w:ascii="Arial" w:hAnsi="Arial" w:cs="Arial"/>
          <w:sz w:val="22"/>
          <w:szCs w:val="22"/>
        </w:rPr>
        <w:t>iii</w:t>
      </w:r>
      <w:r w:rsidR="005A6DC0">
        <w:rPr>
          <w:rFonts w:ascii="Arial" w:hAnsi="Arial" w:cs="Arial"/>
          <w:sz w:val="22"/>
          <w:szCs w:val="22"/>
        </w:rPr>
        <w:t>)</w:t>
      </w:r>
      <w:r w:rsidR="00AD3313" w:rsidRPr="00AD3313">
        <w:rPr>
          <w:rFonts w:ascii="Arial" w:hAnsi="Arial" w:cs="Arial"/>
          <w:sz w:val="22"/>
          <w:szCs w:val="22"/>
        </w:rPr>
        <w:t>.</w:t>
      </w:r>
      <w:r w:rsidR="00AD3313">
        <w:rPr>
          <w:rFonts w:ascii="Arial" w:hAnsi="Arial" w:cs="Arial"/>
          <w:sz w:val="22"/>
          <w:szCs w:val="22"/>
        </w:rPr>
        <w:t xml:space="preserve"> </w:t>
      </w:r>
      <w:proofErr w:type="gramStart"/>
      <w:r w:rsidR="00AD3313">
        <w:rPr>
          <w:rFonts w:ascii="Arial" w:hAnsi="Arial" w:cs="Arial"/>
          <w:sz w:val="22"/>
          <w:szCs w:val="22"/>
        </w:rPr>
        <w:t xml:space="preserve">These tables above also show the percentage </w:t>
      </w:r>
      <w:r w:rsidR="005A6DC0">
        <w:rPr>
          <w:rFonts w:ascii="Arial" w:hAnsi="Arial" w:cs="Arial"/>
          <w:sz w:val="22"/>
          <w:szCs w:val="22"/>
        </w:rPr>
        <w:t xml:space="preserve">that </w:t>
      </w:r>
      <w:r w:rsidR="00AD3313">
        <w:rPr>
          <w:rFonts w:ascii="Arial" w:hAnsi="Arial" w:cs="Arial"/>
          <w:sz w:val="22"/>
          <w:szCs w:val="22"/>
        </w:rPr>
        <w:t>funds represent of the total amount of reprioritisation</w:t>
      </w:r>
      <w:r w:rsidR="005A6DC0">
        <w:rPr>
          <w:rFonts w:ascii="Arial" w:hAnsi="Arial" w:cs="Arial"/>
          <w:sz w:val="22"/>
          <w:szCs w:val="22"/>
        </w:rPr>
        <w:t xml:space="preserve"> over the MTEF</w:t>
      </w:r>
      <w:r w:rsidR="00AD3313">
        <w:rPr>
          <w:rFonts w:ascii="Arial" w:hAnsi="Arial" w:cs="Arial"/>
          <w:sz w:val="22"/>
          <w:szCs w:val="22"/>
        </w:rPr>
        <w:t>.</w:t>
      </w:r>
      <w:proofErr w:type="gramEnd"/>
    </w:p>
    <w:p w:rsidR="00AD3313" w:rsidRDefault="00AD3313" w:rsidP="005E6EDE">
      <w:pPr>
        <w:tabs>
          <w:tab w:val="left" w:pos="851"/>
        </w:tabs>
        <w:spacing w:line="276" w:lineRule="auto"/>
        <w:ind w:left="709" w:hanging="810"/>
        <w:rPr>
          <w:rFonts w:ascii="Arial" w:hAnsi="Arial" w:cs="Arial"/>
          <w:b/>
          <w:sz w:val="22"/>
          <w:szCs w:val="22"/>
        </w:rPr>
      </w:pPr>
    </w:p>
    <w:p w:rsidR="00EF0202" w:rsidRDefault="00AD3313" w:rsidP="005E6EDE">
      <w:pPr>
        <w:spacing w:line="276" w:lineRule="auto"/>
        <w:ind w:left="810" w:hanging="810"/>
        <w:rPr>
          <w:rFonts w:ascii="Arial" w:hAnsi="Arial" w:cs="Arial"/>
          <w:b/>
          <w:sz w:val="22"/>
          <w:szCs w:val="22"/>
        </w:rPr>
      </w:pPr>
      <w:r>
        <w:rPr>
          <w:rFonts w:ascii="Arial" w:hAnsi="Arial" w:cs="Arial"/>
          <w:b/>
          <w:sz w:val="22"/>
          <w:szCs w:val="22"/>
        </w:rPr>
        <w:tab/>
      </w:r>
      <w:r w:rsidR="00D811A3">
        <w:rPr>
          <w:rFonts w:ascii="Arial" w:hAnsi="Arial" w:cs="Arial"/>
          <w:b/>
          <w:sz w:val="22"/>
          <w:szCs w:val="22"/>
        </w:rPr>
        <w:t xml:space="preserve">Reprioritisation at each </w:t>
      </w:r>
      <w:r w:rsidR="00851305">
        <w:rPr>
          <w:rFonts w:ascii="Arial" w:hAnsi="Arial" w:cs="Arial"/>
          <w:b/>
          <w:sz w:val="22"/>
          <w:szCs w:val="22"/>
        </w:rPr>
        <w:t>sphere of government</w:t>
      </w:r>
      <w:r w:rsidR="00D811A3">
        <w:rPr>
          <w:rFonts w:ascii="Arial" w:hAnsi="Arial" w:cs="Arial"/>
          <w:b/>
          <w:sz w:val="22"/>
          <w:szCs w:val="22"/>
        </w:rPr>
        <w:t xml:space="preserve"> as a percentage </w:t>
      </w:r>
      <w:r w:rsidR="00FE40C9">
        <w:rPr>
          <w:rFonts w:ascii="Arial" w:hAnsi="Arial" w:cs="Arial"/>
          <w:b/>
          <w:sz w:val="22"/>
          <w:szCs w:val="22"/>
        </w:rPr>
        <w:t xml:space="preserve">of </w:t>
      </w:r>
      <w:r w:rsidR="00851305">
        <w:rPr>
          <w:rFonts w:ascii="Arial" w:hAnsi="Arial" w:cs="Arial"/>
          <w:b/>
          <w:sz w:val="22"/>
          <w:szCs w:val="22"/>
        </w:rPr>
        <w:t xml:space="preserve">the </w:t>
      </w:r>
      <w:r w:rsidR="003A72D7">
        <w:rPr>
          <w:rFonts w:ascii="Arial" w:hAnsi="Arial" w:cs="Arial"/>
          <w:b/>
          <w:sz w:val="22"/>
          <w:szCs w:val="22"/>
        </w:rPr>
        <w:t>total:</w:t>
      </w:r>
    </w:p>
    <w:p w:rsidR="003A72D7" w:rsidRDefault="003A72D7" w:rsidP="00EF0202">
      <w:pPr>
        <w:tabs>
          <w:tab w:val="left" w:pos="432"/>
          <w:tab w:val="left" w:pos="864"/>
        </w:tabs>
        <w:spacing w:line="276" w:lineRule="auto"/>
        <w:rPr>
          <w:rFonts w:ascii="Arial" w:hAnsi="Arial" w:cs="Arial"/>
          <w:b/>
          <w:sz w:val="22"/>
          <w:szCs w:val="22"/>
        </w:rPr>
      </w:pPr>
    </w:p>
    <w:p w:rsidR="001B0917" w:rsidRDefault="007D3A24" w:rsidP="007D3A24">
      <w:pPr>
        <w:tabs>
          <w:tab w:val="left" w:pos="432"/>
          <w:tab w:val="left" w:pos="864"/>
        </w:tabs>
        <w:spacing w:line="276" w:lineRule="auto"/>
        <w:ind w:firstLine="851"/>
        <w:rPr>
          <w:rFonts w:ascii="Arial" w:hAnsi="Arial" w:cs="Arial"/>
          <w:b/>
          <w:sz w:val="22"/>
          <w:szCs w:val="22"/>
          <w:u w:val="single"/>
        </w:rPr>
      </w:pPr>
      <w:r w:rsidRPr="007D3A24">
        <w:rPr>
          <w:noProof/>
          <w:lang w:val="en-ZA" w:eastAsia="en-ZA"/>
        </w:rPr>
        <w:drawing>
          <wp:inline distT="0" distB="0" distL="0" distR="0">
            <wp:extent cx="5422507" cy="97801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0" cy="979226"/>
                    </a:xfrm>
                    <a:prstGeom prst="rect">
                      <a:avLst/>
                    </a:prstGeom>
                    <a:noFill/>
                    <a:ln>
                      <a:noFill/>
                    </a:ln>
                  </pic:spPr>
                </pic:pic>
              </a:graphicData>
            </a:graphic>
          </wp:inline>
        </w:drawing>
      </w:r>
    </w:p>
    <w:p w:rsidR="00896E21" w:rsidRDefault="00896E21" w:rsidP="001B0917">
      <w:pPr>
        <w:tabs>
          <w:tab w:val="left" w:pos="432"/>
          <w:tab w:val="left" w:pos="864"/>
        </w:tabs>
        <w:spacing w:line="276" w:lineRule="auto"/>
        <w:rPr>
          <w:rFonts w:ascii="Arial" w:hAnsi="Arial" w:cs="Arial"/>
          <w:b/>
          <w:sz w:val="22"/>
          <w:szCs w:val="22"/>
          <w:u w:val="single"/>
        </w:rPr>
      </w:pPr>
    </w:p>
    <w:p w:rsidR="00896E21" w:rsidRDefault="00896E21" w:rsidP="001B0917">
      <w:pPr>
        <w:tabs>
          <w:tab w:val="left" w:pos="432"/>
          <w:tab w:val="left" w:pos="864"/>
        </w:tabs>
        <w:spacing w:line="276" w:lineRule="auto"/>
        <w:rPr>
          <w:rFonts w:ascii="Arial" w:hAnsi="Arial" w:cs="Arial"/>
          <w:b/>
          <w:sz w:val="22"/>
          <w:szCs w:val="22"/>
          <w:u w:val="single"/>
        </w:rPr>
      </w:pPr>
    </w:p>
    <w:p w:rsidR="007D3A24" w:rsidRDefault="007D3A24" w:rsidP="001B0917">
      <w:pPr>
        <w:tabs>
          <w:tab w:val="left" w:pos="432"/>
          <w:tab w:val="left" w:pos="864"/>
        </w:tabs>
        <w:spacing w:line="276" w:lineRule="auto"/>
        <w:rPr>
          <w:rFonts w:ascii="Arial" w:hAnsi="Arial" w:cs="Arial"/>
          <w:b/>
          <w:sz w:val="22"/>
          <w:szCs w:val="22"/>
          <w:u w:val="single"/>
        </w:rPr>
      </w:pPr>
    </w:p>
    <w:p w:rsidR="007D3A24" w:rsidRDefault="007D3A24" w:rsidP="001B0917">
      <w:pPr>
        <w:tabs>
          <w:tab w:val="left" w:pos="432"/>
          <w:tab w:val="left" w:pos="864"/>
        </w:tabs>
        <w:spacing w:line="276" w:lineRule="auto"/>
        <w:rPr>
          <w:rFonts w:ascii="Arial" w:hAnsi="Arial" w:cs="Arial"/>
          <w:b/>
          <w:sz w:val="22"/>
          <w:szCs w:val="22"/>
          <w:u w:val="single"/>
        </w:rPr>
      </w:pPr>
    </w:p>
    <w:p w:rsidR="007D3A24" w:rsidRDefault="007D3A24" w:rsidP="001B0917">
      <w:pPr>
        <w:tabs>
          <w:tab w:val="left" w:pos="432"/>
          <w:tab w:val="left" w:pos="864"/>
        </w:tabs>
        <w:spacing w:line="276" w:lineRule="auto"/>
        <w:rPr>
          <w:rFonts w:ascii="Arial" w:hAnsi="Arial" w:cs="Arial"/>
          <w:b/>
          <w:sz w:val="22"/>
          <w:szCs w:val="22"/>
          <w:u w:val="single"/>
        </w:rPr>
      </w:pPr>
    </w:p>
    <w:p w:rsidR="007D3A24" w:rsidRDefault="007D3A24" w:rsidP="001B0917">
      <w:pPr>
        <w:tabs>
          <w:tab w:val="left" w:pos="432"/>
          <w:tab w:val="left" w:pos="864"/>
        </w:tabs>
        <w:spacing w:line="276" w:lineRule="auto"/>
        <w:rPr>
          <w:rFonts w:ascii="Arial" w:hAnsi="Arial" w:cs="Arial"/>
          <w:b/>
          <w:sz w:val="22"/>
          <w:szCs w:val="22"/>
          <w:u w:val="single"/>
        </w:rPr>
      </w:pPr>
    </w:p>
    <w:p w:rsidR="007D3A24" w:rsidRDefault="007D3A24" w:rsidP="001B0917">
      <w:pPr>
        <w:tabs>
          <w:tab w:val="left" w:pos="432"/>
          <w:tab w:val="left" w:pos="864"/>
        </w:tabs>
        <w:spacing w:line="276" w:lineRule="auto"/>
        <w:rPr>
          <w:rFonts w:ascii="Arial" w:hAnsi="Arial" w:cs="Arial"/>
          <w:b/>
          <w:sz w:val="22"/>
          <w:szCs w:val="22"/>
          <w:u w:val="single"/>
        </w:rPr>
      </w:pPr>
    </w:p>
    <w:p w:rsidR="007D3A24" w:rsidRDefault="007D3A24" w:rsidP="001B0917">
      <w:pPr>
        <w:tabs>
          <w:tab w:val="left" w:pos="432"/>
          <w:tab w:val="left" w:pos="864"/>
        </w:tabs>
        <w:spacing w:line="276" w:lineRule="auto"/>
        <w:rPr>
          <w:rFonts w:ascii="Arial" w:hAnsi="Arial" w:cs="Arial"/>
          <w:b/>
          <w:sz w:val="22"/>
          <w:szCs w:val="22"/>
          <w:u w:val="single"/>
        </w:rPr>
      </w:pPr>
    </w:p>
    <w:p w:rsidR="007D3A24" w:rsidRDefault="007D3A24" w:rsidP="001B0917">
      <w:pPr>
        <w:tabs>
          <w:tab w:val="left" w:pos="432"/>
          <w:tab w:val="left" w:pos="864"/>
        </w:tabs>
        <w:spacing w:line="276" w:lineRule="auto"/>
        <w:rPr>
          <w:rFonts w:ascii="Arial" w:hAnsi="Arial" w:cs="Arial"/>
          <w:b/>
          <w:sz w:val="22"/>
          <w:szCs w:val="22"/>
          <w:u w:val="single"/>
        </w:rPr>
      </w:pPr>
    </w:p>
    <w:p w:rsidR="007D3A24" w:rsidRDefault="007D3A24" w:rsidP="001B0917">
      <w:pPr>
        <w:tabs>
          <w:tab w:val="left" w:pos="432"/>
          <w:tab w:val="left" w:pos="864"/>
        </w:tabs>
        <w:spacing w:line="276" w:lineRule="auto"/>
        <w:rPr>
          <w:rFonts w:ascii="Arial" w:hAnsi="Arial" w:cs="Arial"/>
          <w:b/>
          <w:sz w:val="22"/>
          <w:szCs w:val="22"/>
          <w:u w:val="single"/>
        </w:rPr>
      </w:pPr>
    </w:p>
    <w:p w:rsidR="007D3A24" w:rsidRDefault="007D3A24" w:rsidP="001B0917">
      <w:pPr>
        <w:tabs>
          <w:tab w:val="left" w:pos="432"/>
          <w:tab w:val="left" w:pos="864"/>
        </w:tabs>
        <w:spacing w:line="276" w:lineRule="auto"/>
        <w:rPr>
          <w:rFonts w:ascii="Arial" w:hAnsi="Arial" w:cs="Arial"/>
          <w:b/>
          <w:sz w:val="22"/>
          <w:szCs w:val="22"/>
          <w:u w:val="single"/>
        </w:rPr>
      </w:pPr>
    </w:p>
    <w:p w:rsidR="007D3A24" w:rsidRDefault="007D3A24" w:rsidP="001B0917">
      <w:pPr>
        <w:tabs>
          <w:tab w:val="left" w:pos="432"/>
          <w:tab w:val="left" w:pos="864"/>
        </w:tabs>
        <w:spacing w:line="276" w:lineRule="auto"/>
        <w:rPr>
          <w:rFonts w:ascii="Arial" w:hAnsi="Arial" w:cs="Arial"/>
          <w:b/>
          <w:sz w:val="22"/>
          <w:szCs w:val="22"/>
          <w:u w:val="single"/>
        </w:rPr>
      </w:pPr>
    </w:p>
    <w:p w:rsidR="007D3A24" w:rsidRDefault="007D3A24" w:rsidP="001B0917">
      <w:pPr>
        <w:tabs>
          <w:tab w:val="left" w:pos="432"/>
          <w:tab w:val="left" w:pos="864"/>
        </w:tabs>
        <w:spacing w:line="276" w:lineRule="auto"/>
        <w:rPr>
          <w:rFonts w:ascii="Arial" w:hAnsi="Arial" w:cs="Arial"/>
          <w:b/>
          <w:sz w:val="22"/>
          <w:szCs w:val="22"/>
          <w:u w:val="single"/>
        </w:rPr>
      </w:pPr>
    </w:p>
    <w:p w:rsidR="007D3A24" w:rsidRDefault="007D3A24" w:rsidP="001B0917">
      <w:pPr>
        <w:tabs>
          <w:tab w:val="left" w:pos="432"/>
          <w:tab w:val="left" w:pos="864"/>
        </w:tabs>
        <w:spacing w:line="276" w:lineRule="auto"/>
        <w:rPr>
          <w:rFonts w:ascii="Arial" w:hAnsi="Arial" w:cs="Arial"/>
          <w:b/>
          <w:sz w:val="22"/>
          <w:szCs w:val="22"/>
          <w:u w:val="single"/>
        </w:rPr>
      </w:pPr>
    </w:p>
    <w:p w:rsidR="007D3A24" w:rsidRDefault="007D3A24" w:rsidP="001B0917">
      <w:pPr>
        <w:tabs>
          <w:tab w:val="left" w:pos="432"/>
          <w:tab w:val="left" w:pos="864"/>
        </w:tabs>
        <w:spacing w:line="276" w:lineRule="auto"/>
        <w:rPr>
          <w:rFonts w:ascii="Arial" w:hAnsi="Arial" w:cs="Arial"/>
          <w:b/>
          <w:sz w:val="22"/>
          <w:szCs w:val="22"/>
          <w:u w:val="single"/>
        </w:rPr>
      </w:pPr>
    </w:p>
    <w:p w:rsidR="007D3A24" w:rsidRDefault="007D3A24" w:rsidP="001B0917">
      <w:pPr>
        <w:tabs>
          <w:tab w:val="left" w:pos="432"/>
          <w:tab w:val="left" w:pos="864"/>
        </w:tabs>
        <w:spacing w:line="276" w:lineRule="auto"/>
        <w:rPr>
          <w:rFonts w:ascii="Arial" w:hAnsi="Arial" w:cs="Arial"/>
          <w:b/>
          <w:sz w:val="22"/>
          <w:szCs w:val="22"/>
          <w:u w:val="single"/>
        </w:rPr>
      </w:pPr>
    </w:p>
    <w:p w:rsidR="007D3A24" w:rsidRDefault="007D3A24" w:rsidP="001B0917">
      <w:pPr>
        <w:tabs>
          <w:tab w:val="left" w:pos="432"/>
          <w:tab w:val="left" w:pos="864"/>
        </w:tabs>
        <w:spacing w:line="276" w:lineRule="auto"/>
        <w:rPr>
          <w:rFonts w:ascii="Arial" w:hAnsi="Arial" w:cs="Arial"/>
          <w:b/>
          <w:sz w:val="22"/>
          <w:szCs w:val="22"/>
          <w:u w:val="single"/>
        </w:rPr>
      </w:pPr>
    </w:p>
    <w:p w:rsidR="007D3A24" w:rsidRDefault="007D3A24" w:rsidP="001B0917">
      <w:pPr>
        <w:tabs>
          <w:tab w:val="left" w:pos="432"/>
          <w:tab w:val="left" w:pos="864"/>
        </w:tabs>
        <w:spacing w:line="276" w:lineRule="auto"/>
        <w:rPr>
          <w:rFonts w:ascii="Arial" w:hAnsi="Arial" w:cs="Arial"/>
          <w:b/>
          <w:sz w:val="22"/>
          <w:szCs w:val="22"/>
          <w:u w:val="single"/>
        </w:rPr>
      </w:pPr>
    </w:p>
    <w:p w:rsidR="007D3A24" w:rsidRDefault="007D3A24" w:rsidP="001B0917">
      <w:pPr>
        <w:tabs>
          <w:tab w:val="left" w:pos="432"/>
          <w:tab w:val="left" w:pos="864"/>
        </w:tabs>
        <w:spacing w:line="276" w:lineRule="auto"/>
        <w:rPr>
          <w:rFonts w:ascii="Arial" w:hAnsi="Arial" w:cs="Arial"/>
          <w:b/>
          <w:sz w:val="22"/>
          <w:szCs w:val="22"/>
          <w:u w:val="single"/>
        </w:rPr>
      </w:pPr>
    </w:p>
    <w:p w:rsidR="007D3A24" w:rsidRDefault="007D3A24" w:rsidP="001B0917">
      <w:pPr>
        <w:tabs>
          <w:tab w:val="left" w:pos="432"/>
          <w:tab w:val="left" w:pos="864"/>
        </w:tabs>
        <w:spacing w:line="276" w:lineRule="auto"/>
        <w:rPr>
          <w:rFonts w:ascii="Arial" w:hAnsi="Arial" w:cs="Arial"/>
          <w:b/>
          <w:sz w:val="22"/>
          <w:szCs w:val="22"/>
          <w:u w:val="single"/>
        </w:rPr>
      </w:pPr>
    </w:p>
    <w:p w:rsidR="00A3461B" w:rsidRDefault="00A3461B" w:rsidP="001B0917">
      <w:pPr>
        <w:spacing w:line="276" w:lineRule="auto"/>
        <w:jc w:val="both"/>
        <w:rPr>
          <w:rFonts w:ascii="Arial" w:hAnsi="Arial" w:cs="Arial"/>
          <w:b/>
          <w:sz w:val="22"/>
          <w:szCs w:val="22"/>
        </w:rPr>
      </w:pPr>
    </w:p>
    <w:sectPr w:rsidR="00A3461B" w:rsidSect="00AD5C9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6F90280"/>
    <w:multiLevelType w:val="hybridMultilevel"/>
    <w:tmpl w:val="1ED2E610"/>
    <w:lvl w:ilvl="0" w:tplc="D1D67B2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BCD"/>
    <w:rsid w:val="00020C04"/>
    <w:rsid w:val="00026D1E"/>
    <w:rsid w:val="000B1DF6"/>
    <w:rsid w:val="000C48D8"/>
    <w:rsid w:val="000C6AD8"/>
    <w:rsid w:val="000F3B14"/>
    <w:rsid w:val="001105C0"/>
    <w:rsid w:val="001433AE"/>
    <w:rsid w:val="0015727B"/>
    <w:rsid w:val="001713D2"/>
    <w:rsid w:val="001A77A4"/>
    <w:rsid w:val="001B0917"/>
    <w:rsid w:val="001C53F2"/>
    <w:rsid w:val="001E3DC4"/>
    <w:rsid w:val="001E3FB5"/>
    <w:rsid w:val="001E6078"/>
    <w:rsid w:val="001E6902"/>
    <w:rsid w:val="00254F57"/>
    <w:rsid w:val="00270826"/>
    <w:rsid w:val="002E4A47"/>
    <w:rsid w:val="002F111A"/>
    <w:rsid w:val="002F6E86"/>
    <w:rsid w:val="0031548D"/>
    <w:rsid w:val="00327B9F"/>
    <w:rsid w:val="003421BD"/>
    <w:rsid w:val="00366C66"/>
    <w:rsid w:val="003A72D7"/>
    <w:rsid w:val="003B0534"/>
    <w:rsid w:val="003E5453"/>
    <w:rsid w:val="004E1989"/>
    <w:rsid w:val="005141B3"/>
    <w:rsid w:val="005210B0"/>
    <w:rsid w:val="005323E7"/>
    <w:rsid w:val="00543615"/>
    <w:rsid w:val="00554BCD"/>
    <w:rsid w:val="00560A32"/>
    <w:rsid w:val="00574E19"/>
    <w:rsid w:val="005A6DC0"/>
    <w:rsid w:val="005D2179"/>
    <w:rsid w:val="005E6EDE"/>
    <w:rsid w:val="005F7173"/>
    <w:rsid w:val="00613FC6"/>
    <w:rsid w:val="006239F1"/>
    <w:rsid w:val="00624D20"/>
    <w:rsid w:val="0062770E"/>
    <w:rsid w:val="0064275F"/>
    <w:rsid w:val="00647EF2"/>
    <w:rsid w:val="00653A85"/>
    <w:rsid w:val="00681AF2"/>
    <w:rsid w:val="00704101"/>
    <w:rsid w:val="007056F1"/>
    <w:rsid w:val="007118EA"/>
    <w:rsid w:val="00711D74"/>
    <w:rsid w:val="007126D2"/>
    <w:rsid w:val="00712982"/>
    <w:rsid w:val="0072095D"/>
    <w:rsid w:val="00726886"/>
    <w:rsid w:val="00726A9C"/>
    <w:rsid w:val="007359BF"/>
    <w:rsid w:val="007863E9"/>
    <w:rsid w:val="007914E0"/>
    <w:rsid w:val="007A32AF"/>
    <w:rsid w:val="007B1BA1"/>
    <w:rsid w:val="007D3A24"/>
    <w:rsid w:val="007F3C7B"/>
    <w:rsid w:val="008118EB"/>
    <w:rsid w:val="00835BAC"/>
    <w:rsid w:val="0084008A"/>
    <w:rsid w:val="00851305"/>
    <w:rsid w:val="0089108A"/>
    <w:rsid w:val="00891265"/>
    <w:rsid w:val="00896E21"/>
    <w:rsid w:val="008B0DB1"/>
    <w:rsid w:val="008C2559"/>
    <w:rsid w:val="00911717"/>
    <w:rsid w:val="009163A5"/>
    <w:rsid w:val="00930F21"/>
    <w:rsid w:val="0095117A"/>
    <w:rsid w:val="009529B1"/>
    <w:rsid w:val="00953363"/>
    <w:rsid w:val="0096007E"/>
    <w:rsid w:val="009706C7"/>
    <w:rsid w:val="00976A7D"/>
    <w:rsid w:val="00976C40"/>
    <w:rsid w:val="009A18A7"/>
    <w:rsid w:val="009C6542"/>
    <w:rsid w:val="00A3461B"/>
    <w:rsid w:val="00A41944"/>
    <w:rsid w:val="00A525F0"/>
    <w:rsid w:val="00A64155"/>
    <w:rsid w:val="00A72B9B"/>
    <w:rsid w:val="00A801F1"/>
    <w:rsid w:val="00A804E5"/>
    <w:rsid w:val="00AD00CE"/>
    <w:rsid w:val="00AD2D7D"/>
    <w:rsid w:val="00AD3313"/>
    <w:rsid w:val="00AD5C9B"/>
    <w:rsid w:val="00AF33CA"/>
    <w:rsid w:val="00B35896"/>
    <w:rsid w:val="00B447E6"/>
    <w:rsid w:val="00B61EBC"/>
    <w:rsid w:val="00B7713E"/>
    <w:rsid w:val="00B77F67"/>
    <w:rsid w:val="00B8454F"/>
    <w:rsid w:val="00BA5E1D"/>
    <w:rsid w:val="00BC4AC3"/>
    <w:rsid w:val="00BD31C6"/>
    <w:rsid w:val="00BE3BD6"/>
    <w:rsid w:val="00C25C7E"/>
    <w:rsid w:val="00C312EA"/>
    <w:rsid w:val="00C44C35"/>
    <w:rsid w:val="00C60822"/>
    <w:rsid w:val="00CC2F3E"/>
    <w:rsid w:val="00CF1219"/>
    <w:rsid w:val="00D805AC"/>
    <w:rsid w:val="00D811A3"/>
    <w:rsid w:val="00DB2463"/>
    <w:rsid w:val="00DB2502"/>
    <w:rsid w:val="00DD5296"/>
    <w:rsid w:val="00DE49F9"/>
    <w:rsid w:val="00DF0D26"/>
    <w:rsid w:val="00E23631"/>
    <w:rsid w:val="00E27EDF"/>
    <w:rsid w:val="00E64993"/>
    <w:rsid w:val="00E77DF6"/>
    <w:rsid w:val="00E80048"/>
    <w:rsid w:val="00E8352B"/>
    <w:rsid w:val="00EA6A49"/>
    <w:rsid w:val="00EB748C"/>
    <w:rsid w:val="00ED29DA"/>
    <w:rsid w:val="00EF0202"/>
    <w:rsid w:val="00F03F24"/>
    <w:rsid w:val="00F4083D"/>
    <w:rsid w:val="00F4302C"/>
    <w:rsid w:val="00F46E0D"/>
    <w:rsid w:val="00F46F1C"/>
    <w:rsid w:val="00F51C17"/>
    <w:rsid w:val="00F5571A"/>
    <w:rsid w:val="00F734EE"/>
    <w:rsid w:val="00F74B50"/>
    <w:rsid w:val="00F87EA6"/>
    <w:rsid w:val="00FC2064"/>
    <w:rsid w:val="00FD4E71"/>
    <w:rsid w:val="00FE40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BalloonText">
    <w:name w:val="Balloon Text"/>
    <w:basedOn w:val="Normal"/>
    <w:link w:val="BalloonTextChar"/>
    <w:rsid w:val="00BA5E1D"/>
    <w:rPr>
      <w:rFonts w:ascii="Tahoma" w:hAnsi="Tahoma" w:cs="Tahoma"/>
      <w:sz w:val="16"/>
      <w:szCs w:val="16"/>
    </w:rPr>
  </w:style>
  <w:style w:type="character" w:customStyle="1" w:styleId="BalloonTextChar">
    <w:name w:val="Balloon Text Char"/>
    <w:basedOn w:val="DefaultParagraphFont"/>
    <w:link w:val="BalloonText"/>
    <w:rsid w:val="00BA5E1D"/>
    <w:rPr>
      <w:rFonts w:ascii="Tahoma" w:hAnsi="Tahoma" w:cs="Tahoma"/>
      <w:sz w:val="16"/>
      <w:szCs w:val="16"/>
      <w:lang w:val="en-US" w:eastAsia="en-US"/>
    </w:rPr>
  </w:style>
  <w:style w:type="paragraph" w:styleId="ListParagraph">
    <w:name w:val="List Paragraph"/>
    <w:basedOn w:val="Normal"/>
    <w:uiPriority w:val="34"/>
    <w:qFormat/>
    <w:rsid w:val="00711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BalloonText">
    <w:name w:val="Balloon Text"/>
    <w:basedOn w:val="Normal"/>
    <w:link w:val="BalloonTextChar"/>
    <w:rsid w:val="00BA5E1D"/>
    <w:rPr>
      <w:rFonts w:ascii="Tahoma" w:hAnsi="Tahoma" w:cs="Tahoma"/>
      <w:sz w:val="16"/>
      <w:szCs w:val="16"/>
    </w:rPr>
  </w:style>
  <w:style w:type="character" w:customStyle="1" w:styleId="BalloonTextChar">
    <w:name w:val="Balloon Text Char"/>
    <w:basedOn w:val="DefaultParagraphFont"/>
    <w:link w:val="BalloonText"/>
    <w:rsid w:val="00BA5E1D"/>
    <w:rPr>
      <w:rFonts w:ascii="Tahoma" w:hAnsi="Tahoma" w:cs="Tahoma"/>
      <w:sz w:val="16"/>
      <w:szCs w:val="16"/>
      <w:lang w:val="en-US" w:eastAsia="en-US"/>
    </w:rPr>
  </w:style>
  <w:style w:type="paragraph" w:styleId="ListParagraph">
    <w:name w:val="List Paragraph"/>
    <w:basedOn w:val="Normal"/>
    <w:uiPriority w:val="34"/>
    <w:qFormat/>
    <w:rsid w:val="00711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8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837C1-FB60-4EDB-BD3E-98C61F657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659</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Sehlabela Chuene</cp:lastModifiedBy>
  <cp:revision>2</cp:revision>
  <cp:lastPrinted>2016-04-18T10:26:00Z</cp:lastPrinted>
  <dcterms:created xsi:type="dcterms:W3CDTF">2016-05-23T10:58:00Z</dcterms:created>
  <dcterms:modified xsi:type="dcterms:W3CDTF">2016-05-23T10:58:00Z</dcterms:modified>
</cp:coreProperties>
</file>