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CF" w:rsidRDefault="00DB18CF" w:rsidP="00DB18CF">
      <w:pPr>
        <w:tabs>
          <w:tab w:val="left" w:pos="576"/>
          <w:tab w:val="left" w:pos="1296"/>
          <w:tab w:val="left" w:pos="6336"/>
        </w:tabs>
        <w:spacing w:after="0"/>
        <w:jc w:val="center"/>
        <w:rPr>
          <w:rFonts w:cs="Arial"/>
          <w:b/>
          <w:sz w:val="32"/>
          <w:szCs w:val="32"/>
        </w:rPr>
      </w:pPr>
    </w:p>
    <w:p w:rsidR="00DB18CF" w:rsidRDefault="00DB18CF" w:rsidP="00DB18CF">
      <w:pPr>
        <w:tabs>
          <w:tab w:val="left" w:pos="576"/>
          <w:tab w:val="left" w:pos="1296"/>
          <w:tab w:val="left" w:pos="6336"/>
        </w:tabs>
        <w:spacing w:after="0"/>
        <w:jc w:val="center"/>
        <w:rPr>
          <w:rFonts w:cs="Arial"/>
          <w:b/>
          <w:sz w:val="32"/>
          <w:szCs w:val="32"/>
        </w:rPr>
      </w:pPr>
    </w:p>
    <w:p w:rsidR="00DB18CF" w:rsidRPr="00C62C10" w:rsidRDefault="00DB18CF" w:rsidP="00DB18CF">
      <w:pPr>
        <w:pStyle w:val="DACBODYTEXT"/>
        <w:rPr>
          <w:rFonts w:cs="Arial"/>
          <w:sz w:val="24"/>
          <w:szCs w:val="24"/>
        </w:rPr>
      </w:pPr>
    </w:p>
    <w:p w:rsidR="00DB18CF" w:rsidRPr="005C055A" w:rsidRDefault="00DB18CF" w:rsidP="00DB18CF">
      <w:pPr>
        <w:spacing w:line="360" w:lineRule="auto"/>
        <w:jc w:val="both"/>
        <w:rPr>
          <w:rFonts w:cs="Arial"/>
          <w:b/>
          <w:bCs/>
          <w:sz w:val="32"/>
          <w:szCs w:val="32"/>
        </w:rPr>
      </w:pPr>
      <w:r>
        <w:rPr>
          <w:rFonts w:cs="Arial"/>
          <w:b/>
          <w:bCs/>
          <w:sz w:val="24"/>
          <w:szCs w:val="24"/>
        </w:rPr>
        <w:tab/>
      </w:r>
      <w:r>
        <w:rPr>
          <w:rFonts w:cs="Arial"/>
          <w:b/>
          <w:bCs/>
          <w:sz w:val="24"/>
          <w:szCs w:val="24"/>
        </w:rPr>
        <w:tab/>
        <w:t xml:space="preserve">           </w:t>
      </w:r>
      <w:r w:rsidRPr="005C055A">
        <w:rPr>
          <w:rFonts w:cs="Arial"/>
          <w:b/>
          <w:bCs/>
          <w:sz w:val="32"/>
          <w:szCs w:val="32"/>
        </w:rPr>
        <w:t>NATIONAL ASSEMBLY</w:t>
      </w:r>
    </w:p>
    <w:p w:rsidR="00DB18CF" w:rsidRPr="005C055A" w:rsidRDefault="00DB18CF" w:rsidP="00DB18CF">
      <w:pPr>
        <w:spacing w:line="240" w:lineRule="auto"/>
        <w:jc w:val="both"/>
        <w:rPr>
          <w:rFonts w:cs="Arial"/>
          <w:b/>
          <w:bCs/>
          <w:sz w:val="32"/>
          <w:szCs w:val="32"/>
          <w:u w:val="single"/>
        </w:rPr>
      </w:pPr>
      <w:r w:rsidRPr="005C055A">
        <w:rPr>
          <w:rFonts w:cs="Arial"/>
          <w:b/>
          <w:bCs/>
          <w:sz w:val="32"/>
          <w:szCs w:val="32"/>
          <w:u w:val="single"/>
        </w:rPr>
        <w:t>QUESTION No. 989-2021</w:t>
      </w:r>
    </w:p>
    <w:p w:rsidR="00DB18CF" w:rsidRPr="005C055A" w:rsidRDefault="00DB18CF" w:rsidP="00DB18CF">
      <w:pPr>
        <w:spacing w:line="240" w:lineRule="auto"/>
        <w:jc w:val="both"/>
        <w:rPr>
          <w:rFonts w:cs="Arial"/>
          <w:sz w:val="32"/>
          <w:szCs w:val="32"/>
        </w:rPr>
      </w:pPr>
      <w:r w:rsidRPr="005C055A">
        <w:rPr>
          <w:rFonts w:cs="Arial"/>
          <w:b/>
          <w:bCs/>
          <w:sz w:val="32"/>
          <w:szCs w:val="32"/>
          <w:u w:val="single"/>
        </w:rPr>
        <w:t>FOR WRITTEN REPLY</w:t>
      </w:r>
    </w:p>
    <w:p w:rsidR="00DB18CF" w:rsidRPr="005C055A" w:rsidRDefault="00DB18CF" w:rsidP="00DB18CF">
      <w:pPr>
        <w:spacing w:before="100" w:beforeAutospacing="1" w:after="100" w:afterAutospacing="1" w:line="240" w:lineRule="auto"/>
        <w:ind w:left="720" w:hanging="720"/>
        <w:jc w:val="both"/>
        <w:outlineLvl w:val="0"/>
        <w:rPr>
          <w:rFonts w:cs="Arial"/>
          <w:b/>
          <w:bCs/>
          <w:sz w:val="32"/>
          <w:szCs w:val="32"/>
        </w:rPr>
      </w:pPr>
      <w:r w:rsidRPr="005C055A">
        <w:rPr>
          <w:rFonts w:cs="Arial"/>
          <w:b/>
          <w:bCs/>
          <w:sz w:val="32"/>
          <w:szCs w:val="32"/>
        </w:rPr>
        <w:t>Internal Question Paper No. 09-2021, Date of publication 19 March 2021</w:t>
      </w:r>
    </w:p>
    <w:p w:rsidR="00DB18CF" w:rsidRPr="005C055A" w:rsidRDefault="00DB18CF" w:rsidP="00DB18CF">
      <w:pPr>
        <w:spacing w:before="100" w:beforeAutospacing="1" w:after="100" w:afterAutospacing="1" w:line="240" w:lineRule="auto"/>
        <w:ind w:left="720" w:hanging="720"/>
        <w:jc w:val="both"/>
        <w:outlineLvl w:val="0"/>
        <w:rPr>
          <w:rFonts w:cs="Arial"/>
          <w:b/>
          <w:sz w:val="32"/>
          <w:szCs w:val="32"/>
        </w:rPr>
      </w:pPr>
      <w:r w:rsidRPr="005C055A">
        <w:rPr>
          <w:rFonts w:cs="Arial"/>
          <w:b/>
          <w:sz w:val="32"/>
          <w:szCs w:val="32"/>
        </w:rPr>
        <w:t xml:space="preserve">“Mr G R </w:t>
      </w:r>
      <w:proofErr w:type="spellStart"/>
      <w:r w:rsidRPr="005C055A">
        <w:rPr>
          <w:rFonts w:cs="Arial"/>
          <w:b/>
          <w:sz w:val="32"/>
          <w:szCs w:val="32"/>
        </w:rPr>
        <w:t>Krumbock</w:t>
      </w:r>
      <w:proofErr w:type="spellEnd"/>
      <w:r w:rsidRPr="005C055A">
        <w:rPr>
          <w:rFonts w:cs="Arial"/>
          <w:b/>
          <w:sz w:val="32"/>
          <w:szCs w:val="32"/>
        </w:rPr>
        <w:t xml:space="preserve"> (DA) to ask the Minister of Sport, Arts and Culture</w:t>
      </w:r>
      <w:r w:rsidR="009265D1" w:rsidRPr="005C055A">
        <w:rPr>
          <w:rFonts w:cs="Arial"/>
          <w:b/>
          <w:sz w:val="32"/>
          <w:szCs w:val="32"/>
        </w:rPr>
        <w:fldChar w:fldCharType="begin"/>
      </w:r>
      <w:r w:rsidRPr="005C055A">
        <w:rPr>
          <w:rFonts w:cs="Arial"/>
          <w:sz w:val="32"/>
          <w:szCs w:val="32"/>
        </w:rPr>
        <w:instrText xml:space="preserve"> XE "</w:instrText>
      </w:r>
      <w:r w:rsidRPr="005C055A">
        <w:rPr>
          <w:rFonts w:cs="Arial"/>
          <w:b/>
          <w:sz w:val="32"/>
          <w:szCs w:val="32"/>
        </w:rPr>
        <w:instrText>Sport, Arts and Culture</w:instrText>
      </w:r>
      <w:r w:rsidRPr="005C055A">
        <w:rPr>
          <w:rFonts w:cs="Arial"/>
          <w:sz w:val="32"/>
          <w:szCs w:val="32"/>
        </w:rPr>
        <w:instrText xml:space="preserve">" </w:instrText>
      </w:r>
      <w:r w:rsidR="009265D1" w:rsidRPr="005C055A">
        <w:rPr>
          <w:rFonts w:cs="Arial"/>
          <w:b/>
          <w:sz w:val="32"/>
          <w:szCs w:val="32"/>
        </w:rPr>
        <w:fldChar w:fldCharType="end"/>
      </w:r>
      <w:r w:rsidRPr="005C055A">
        <w:rPr>
          <w:rFonts w:cs="Arial"/>
          <w:b/>
          <w:sz w:val="32"/>
          <w:szCs w:val="32"/>
        </w:rPr>
        <w:t xml:space="preserve">: </w:t>
      </w:r>
    </w:p>
    <w:p w:rsidR="00DB18CF" w:rsidRDefault="00DB18CF" w:rsidP="00DB18CF">
      <w:pPr>
        <w:pStyle w:val="DACBODYTEXT"/>
        <w:spacing w:line="240" w:lineRule="auto"/>
        <w:ind w:left="0"/>
        <w:jc w:val="both"/>
        <w:rPr>
          <w:rFonts w:cs="Arial"/>
          <w:b/>
          <w:sz w:val="32"/>
          <w:szCs w:val="32"/>
        </w:rPr>
      </w:pPr>
      <w:r w:rsidRPr="005C055A">
        <w:rPr>
          <w:rFonts w:cs="Arial"/>
          <w:sz w:val="32"/>
          <w:szCs w:val="32"/>
        </w:rPr>
        <w:t xml:space="preserve">Whether, with reference to his reply to question 954 on 8 June 2020, the SA Sports Confederation and Olympic Committee (SASCOC) received a copy of the </w:t>
      </w:r>
      <w:proofErr w:type="spellStart"/>
      <w:r w:rsidRPr="005C055A">
        <w:rPr>
          <w:rFonts w:cs="Arial"/>
          <w:sz w:val="32"/>
          <w:szCs w:val="32"/>
        </w:rPr>
        <w:t>Pullinger</w:t>
      </w:r>
      <w:proofErr w:type="spellEnd"/>
      <w:r w:rsidRPr="005C055A">
        <w:rPr>
          <w:rFonts w:cs="Arial"/>
          <w:sz w:val="32"/>
          <w:szCs w:val="32"/>
        </w:rPr>
        <w:t xml:space="preserve"> Report; if not, why not; if so, (a) on what date did SASCOC consider the specified report and (b) what findings were (</w:t>
      </w:r>
      <w:proofErr w:type="spellStart"/>
      <w:r w:rsidRPr="005C055A">
        <w:rPr>
          <w:rFonts w:cs="Arial"/>
          <w:sz w:val="32"/>
          <w:szCs w:val="32"/>
        </w:rPr>
        <w:t>i</w:t>
      </w:r>
      <w:proofErr w:type="spellEnd"/>
      <w:r w:rsidRPr="005C055A">
        <w:rPr>
          <w:rFonts w:cs="Arial"/>
          <w:sz w:val="32"/>
          <w:szCs w:val="32"/>
        </w:rPr>
        <w:t>) implemented and (ii) not implemented?</w:t>
      </w:r>
      <w:r w:rsidRPr="005C055A">
        <w:rPr>
          <w:rFonts w:cs="Arial"/>
          <w:sz w:val="32"/>
          <w:szCs w:val="32"/>
        </w:rPr>
        <w:tab/>
        <w:t xml:space="preserve">                                                   </w:t>
      </w:r>
      <w:r w:rsidRPr="005C055A">
        <w:rPr>
          <w:rFonts w:cs="Arial"/>
          <w:sz w:val="32"/>
          <w:szCs w:val="32"/>
        </w:rPr>
        <w:tab/>
      </w:r>
      <w:r w:rsidRPr="005C055A">
        <w:rPr>
          <w:rFonts w:cs="Arial"/>
          <w:sz w:val="32"/>
          <w:szCs w:val="32"/>
        </w:rPr>
        <w:tab/>
      </w:r>
      <w:r w:rsidRPr="005C055A">
        <w:rPr>
          <w:rFonts w:cs="Arial"/>
          <w:sz w:val="32"/>
          <w:szCs w:val="32"/>
        </w:rPr>
        <w:tab/>
      </w:r>
      <w:r w:rsidRPr="005C055A">
        <w:rPr>
          <w:rFonts w:cs="Arial"/>
          <w:sz w:val="32"/>
          <w:szCs w:val="32"/>
        </w:rPr>
        <w:tab/>
      </w:r>
      <w:r w:rsidRPr="005C055A">
        <w:rPr>
          <w:rFonts w:cs="Arial"/>
          <w:sz w:val="32"/>
          <w:szCs w:val="32"/>
        </w:rPr>
        <w:tab/>
      </w:r>
      <w:r w:rsidRPr="005C055A">
        <w:rPr>
          <w:rFonts w:cs="Arial"/>
          <w:sz w:val="32"/>
          <w:szCs w:val="32"/>
        </w:rPr>
        <w:tab/>
      </w:r>
      <w:r w:rsidRPr="005C055A">
        <w:rPr>
          <w:rFonts w:cs="Arial"/>
          <w:sz w:val="32"/>
          <w:szCs w:val="32"/>
        </w:rPr>
        <w:tab/>
      </w:r>
      <w:r w:rsidRPr="005C055A">
        <w:rPr>
          <w:rFonts w:cs="Arial"/>
          <w:sz w:val="32"/>
          <w:szCs w:val="32"/>
        </w:rPr>
        <w:tab/>
      </w:r>
      <w:r w:rsidRPr="005C055A">
        <w:rPr>
          <w:rFonts w:cs="Arial"/>
          <w:sz w:val="32"/>
          <w:szCs w:val="32"/>
        </w:rPr>
        <w:tab/>
      </w:r>
      <w:r w:rsidRPr="005C055A">
        <w:rPr>
          <w:rFonts w:cs="Arial"/>
          <w:sz w:val="32"/>
          <w:szCs w:val="32"/>
        </w:rPr>
        <w:tab/>
      </w:r>
      <w:r w:rsidRPr="005C055A">
        <w:rPr>
          <w:rFonts w:cs="Arial"/>
          <w:b/>
          <w:sz w:val="32"/>
          <w:szCs w:val="32"/>
        </w:rPr>
        <w:t>NW1157E</w:t>
      </w:r>
    </w:p>
    <w:p w:rsidR="00DB18CF" w:rsidRPr="005C055A" w:rsidRDefault="00DB18CF" w:rsidP="00DB18CF">
      <w:pPr>
        <w:pStyle w:val="DACBODYTEXT"/>
        <w:spacing w:line="240" w:lineRule="auto"/>
        <w:ind w:left="0"/>
        <w:jc w:val="both"/>
        <w:rPr>
          <w:rFonts w:cs="Arial"/>
          <w:b/>
          <w:sz w:val="32"/>
          <w:szCs w:val="32"/>
        </w:rPr>
      </w:pPr>
    </w:p>
    <w:p w:rsidR="00DB18CF" w:rsidRPr="00567DE6" w:rsidRDefault="00DB18CF" w:rsidP="00DB18CF">
      <w:pPr>
        <w:spacing w:line="240" w:lineRule="auto"/>
        <w:jc w:val="both"/>
        <w:rPr>
          <w:rFonts w:cs="Arial"/>
          <w:b/>
          <w:bCs/>
          <w:sz w:val="32"/>
          <w:szCs w:val="32"/>
        </w:rPr>
      </w:pPr>
      <w:r w:rsidRPr="00567DE6">
        <w:rPr>
          <w:rFonts w:cs="Arial"/>
          <w:b/>
          <w:bCs/>
          <w:sz w:val="32"/>
          <w:szCs w:val="32"/>
        </w:rPr>
        <w:t>REPLY</w:t>
      </w:r>
    </w:p>
    <w:p w:rsidR="00DB18CF" w:rsidRPr="005C055A" w:rsidRDefault="00DB18CF" w:rsidP="00DB18CF">
      <w:pPr>
        <w:spacing w:line="240" w:lineRule="auto"/>
        <w:jc w:val="both"/>
        <w:rPr>
          <w:rFonts w:cs="Arial"/>
          <w:sz w:val="32"/>
          <w:szCs w:val="32"/>
        </w:rPr>
      </w:pPr>
      <w:r w:rsidRPr="005C055A">
        <w:rPr>
          <w:rFonts w:cs="Arial"/>
          <w:sz w:val="32"/>
          <w:szCs w:val="32"/>
        </w:rPr>
        <w:t>The South African Sport Confederation and Olympic Committee in its response indicated the following;</w:t>
      </w:r>
    </w:p>
    <w:p w:rsidR="00DB18CF" w:rsidRPr="005C055A" w:rsidRDefault="00DB18CF" w:rsidP="00DB18CF">
      <w:pPr>
        <w:spacing w:line="240" w:lineRule="auto"/>
        <w:jc w:val="both"/>
        <w:rPr>
          <w:rFonts w:cs="Arial"/>
          <w:sz w:val="32"/>
          <w:szCs w:val="32"/>
        </w:rPr>
      </w:pPr>
      <w:r w:rsidRPr="005C055A">
        <w:rPr>
          <w:rFonts w:cs="Arial"/>
          <w:sz w:val="32"/>
          <w:szCs w:val="32"/>
        </w:rPr>
        <w:t xml:space="preserve">1(a) SASCOC appointed Advocate </w:t>
      </w:r>
      <w:proofErr w:type="spellStart"/>
      <w:r w:rsidRPr="005C055A">
        <w:rPr>
          <w:rFonts w:cs="Arial"/>
          <w:sz w:val="32"/>
          <w:szCs w:val="32"/>
        </w:rPr>
        <w:t>Pullinger</w:t>
      </w:r>
      <w:proofErr w:type="spellEnd"/>
      <w:r w:rsidRPr="005C055A">
        <w:rPr>
          <w:rFonts w:cs="Arial"/>
          <w:sz w:val="32"/>
          <w:szCs w:val="32"/>
        </w:rPr>
        <w:t xml:space="preserve"> in October 2012 and the copy of the </w:t>
      </w:r>
      <w:proofErr w:type="spellStart"/>
      <w:r w:rsidRPr="005C055A">
        <w:rPr>
          <w:rFonts w:cs="Arial"/>
          <w:sz w:val="32"/>
          <w:szCs w:val="32"/>
        </w:rPr>
        <w:t>Pullinger</w:t>
      </w:r>
      <w:proofErr w:type="spellEnd"/>
      <w:r w:rsidRPr="005C055A">
        <w:rPr>
          <w:rFonts w:cs="Arial"/>
          <w:sz w:val="32"/>
          <w:szCs w:val="32"/>
        </w:rPr>
        <w:t xml:space="preserve"> Report was received on 10 July 2015. </w:t>
      </w:r>
    </w:p>
    <w:p w:rsidR="00DB18CF" w:rsidRPr="005C055A" w:rsidRDefault="00DB18CF" w:rsidP="00DB18CF">
      <w:pPr>
        <w:spacing w:line="240" w:lineRule="auto"/>
        <w:jc w:val="both"/>
        <w:rPr>
          <w:rFonts w:cs="Arial"/>
          <w:sz w:val="32"/>
          <w:szCs w:val="32"/>
        </w:rPr>
      </w:pPr>
      <w:r w:rsidRPr="005C055A">
        <w:rPr>
          <w:rFonts w:cs="Arial"/>
          <w:sz w:val="32"/>
          <w:szCs w:val="32"/>
        </w:rPr>
        <w:t>2(b)(</w:t>
      </w:r>
      <w:proofErr w:type="spellStart"/>
      <w:r w:rsidRPr="005C055A">
        <w:rPr>
          <w:rFonts w:cs="Arial"/>
          <w:sz w:val="32"/>
          <w:szCs w:val="32"/>
        </w:rPr>
        <w:t>i</w:t>
      </w:r>
      <w:proofErr w:type="spellEnd"/>
      <w:r w:rsidRPr="005C055A">
        <w:rPr>
          <w:rFonts w:cs="Arial"/>
          <w:sz w:val="32"/>
          <w:szCs w:val="32"/>
        </w:rPr>
        <w:t xml:space="preserve">) (ii) Findings and recommendations were not implemented as the organisation had to first follow its Dispute Resolution Mechanism process by engaging all parties involved. SASCOC provided the report to the concerned National Federation and </w:t>
      </w:r>
      <w:r w:rsidRPr="005C055A">
        <w:rPr>
          <w:rFonts w:cs="Arial"/>
          <w:sz w:val="32"/>
          <w:szCs w:val="32"/>
        </w:rPr>
        <w:lastRenderedPageBreak/>
        <w:t xml:space="preserve">tried to mediate for an amicable way forward which did not materialise. The dispute was then referred to the Department of Sport and Recreation South Africa for guidance and intervention as per the Sport Act. Subsequent to the release of the Ministerial Inquiry report and the listed recommendations, SASCOC had to consider the recommendations and agree with the Minister about the implementation of the report. One of the recommendations listed was the </w:t>
      </w:r>
      <w:proofErr w:type="spellStart"/>
      <w:r w:rsidRPr="005C055A">
        <w:rPr>
          <w:rFonts w:cs="Arial"/>
          <w:sz w:val="32"/>
          <w:szCs w:val="32"/>
        </w:rPr>
        <w:t>Pullinger</w:t>
      </w:r>
      <w:proofErr w:type="spellEnd"/>
      <w:r w:rsidRPr="005C055A">
        <w:rPr>
          <w:rFonts w:cs="Arial"/>
          <w:sz w:val="32"/>
          <w:szCs w:val="32"/>
        </w:rPr>
        <w:t xml:space="preserve"> Report which SASCOC had to reconsider. SASCOC then had a meeting with the Department and in particular to this matter, it was clear after the engagements that this dispute needed to go back to SASCOC to resolve because it’s the organisation that appointed the Advocate to investigate the matter and provide recommendation to the Board after a number of remedies were considered in addressing the dispute. This is one of the recommendations being attended to through the Compliance Task Team. </w:t>
      </w:r>
    </w:p>
    <w:p w:rsidR="006A33F5" w:rsidRDefault="0082561C">
      <w:bookmarkStart w:id="0" w:name="_GoBack"/>
      <w:bookmarkEnd w:id="0"/>
    </w:p>
    <w:sectPr w:rsidR="006A33F5" w:rsidSect="009265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DB18CF"/>
    <w:rsid w:val="0082561C"/>
    <w:rsid w:val="009265D1"/>
    <w:rsid w:val="00BE5DFB"/>
    <w:rsid w:val="00DB18CF"/>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DB18CF"/>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DB18CF"/>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Internal Question Paper No. 09-2021, Date of publication 19 March 2021</vt:lpstr>
      <vt:lpstr>“Mr G R Krumbock (DA) to ask the Minister of Sport, Arts and Culture: </vt:lpstr>
    </vt:vector>
  </TitlesOfParts>
  <Company>Toshiba</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2021-04-19T17:40:00Z</dcterms:created>
  <dcterms:modified xsi:type="dcterms:W3CDTF">2021-04-19T17:40:00Z</dcterms:modified>
</cp:coreProperties>
</file>