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AB790F" w:rsidRDefault="00BE5AF9">
      <w:pPr>
        <w:pStyle w:val="Heading1"/>
        <w:jc w:val="center"/>
        <w:rPr>
          <w:sz w:val="24"/>
          <w:u w:val="single"/>
        </w:rPr>
      </w:pPr>
      <w:r w:rsidRPr="00AB790F">
        <w:rPr>
          <w:sz w:val="24"/>
          <w:u w:val="single"/>
        </w:rPr>
        <w:t>N</w:t>
      </w:r>
      <w:r w:rsidR="007E6896" w:rsidRPr="00AB790F">
        <w:rPr>
          <w:sz w:val="24"/>
          <w:u w:val="single"/>
        </w:rPr>
        <w:t>ATIONAL ASSEMBLY</w:t>
      </w:r>
    </w:p>
    <w:p w:rsidR="00E238C2" w:rsidRPr="00AB790F" w:rsidRDefault="00E238C2">
      <w:pPr>
        <w:jc w:val="both"/>
        <w:rPr>
          <w:b/>
          <w:sz w:val="24"/>
          <w:u w:val="single"/>
        </w:rPr>
      </w:pPr>
    </w:p>
    <w:p w:rsidR="00E238C2" w:rsidRPr="00AB790F" w:rsidRDefault="00E238C2">
      <w:pPr>
        <w:pStyle w:val="BodyText"/>
        <w:rPr>
          <w:b/>
          <w:bCs/>
          <w:sz w:val="24"/>
          <w:u w:val="single"/>
        </w:rPr>
      </w:pPr>
      <w:r w:rsidRPr="00AB790F">
        <w:rPr>
          <w:b/>
          <w:bCs/>
          <w:sz w:val="24"/>
          <w:u w:val="single"/>
        </w:rPr>
        <w:t xml:space="preserve">FOR </w:t>
      </w:r>
      <w:r w:rsidR="00A4066B" w:rsidRPr="00AB790F">
        <w:rPr>
          <w:b/>
          <w:bCs/>
          <w:sz w:val="24"/>
          <w:u w:val="single"/>
        </w:rPr>
        <w:t>WRITTEN</w:t>
      </w:r>
      <w:r w:rsidR="003548B4" w:rsidRPr="00AB790F">
        <w:rPr>
          <w:b/>
          <w:bCs/>
          <w:sz w:val="24"/>
          <w:u w:val="single"/>
        </w:rPr>
        <w:t xml:space="preserve"> </w:t>
      </w:r>
      <w:r w:rsidRPr="00AB790F">
        <w:rPr>
          <w:b/>
          <w:bCs/>
          <w:sz w:val="24"/>
          <w:u w:val="single"/>
        </w:rPr>
        <w:t>REPLY</w:t>
      </w:r>
    </w:p>
    <w:p w:rsidR="00E238C2" w:rsidRPr="00AB790F" w:rsidRDefault="00E238C2">
      <w:pPr>
        <w:pStyle w:val="BodyText"/>
        <w:rPr>
          <w:b/>
          <w:bCs/>
          <w:sz w:val="24"/>
          <w:u w:val="single"/>
        </w:rPr>
      </w:pPr>
    </w:p>
    <w:p w:rsidR="00E238C2" w:rsidRPr="00AB790F" w:rsidRDefault="005E1FBC">
      <w:pPr>
        <w:pStyle w:val="BodyText"/>
        <w:rPr>
          <w:b/>
          <w:bCs/>
          <w:sz w:val="24"/>
          <w:u w:val="single"/>
        </w:rPr>
      </w:pPr>
      <w:r w:rsidRPr="00AB790F">
        <w:rPr>
          <w:b/>
          <w:bCs/>
          <w:sz w:val="24"/>
          <w:u w:val="single"/>
        </w:rPr>
        <w:t xml:space="preserve">QUESTION NO. </w:t>
      </w:r>
      <w:r w:rsidR="004D1DA0" w:rsidRPr="00AB790F">
        <w:rPr>
          <w:b/>
          <w:bCs/>
          <w:sz w:val="24"/>
          <w:u w:val="single"/>
        </w:rPr>
        <w:t>9</w:t>
      </w:r>
      <w:r w:rsidR="004C63E4" w:rsidRPr="00AB790F">
        <w:rPr>
          <w:b/>
          <w:bCs/>
          <w:sz w:val="24"/>
          <w:u w:val="single"/>
        </w:rPr>
        <w:t>81</w:t>
      </w:r>
    </w:p>
    <w:p w:rsidR="003548B4" w:rsidRPr="00AB790F" w:rsidRDefault="003548B4">
      <w:pPr>
        <w:pStyle w:val="BodyText"/>
        <w:rPr>
          <w:b/>
          <w:bCs/>
          <w:sz w:val="24"/>
          <w:u w:val="single"/>
        </w:rPr>
      </w:pPr>
    </w:p>
    <w:p w:rsidR="00E238C2" w:rsidRPr="00AB790F" w:rsidRDefault="00E238C2">
      <w:pPr>
        <w:pStyle w:val="BodyText"/>
        <w:rPr>
          <w:b/>
          <w:bCs/>
          <w:sz w:val="24"/>
          <w:u w:val="single"/>
        </w:rPr>
      </w:pPr>
      <w:r w:rsidRPr="00AB790F">
        <w:rPr>
          <w:b/>
          <w:bCs/>
          <w:sz w:val="24"/>
          <w:u w:val="single"/>
        </w:rPr>
        <w:t xml:space="preserve">DATE OF PUBLICATION IN INTERNAL QUESTION PAPER: </w:t>
      </w:r>
      <w:r w:rsidR="00364BFB" w:rsidRPr="00AB790F">
        <w:rPr>
          <w:b/>
          <w:bCs/>
          <w:sz w:val="24"/>
          <w:u w:val="single"/>
        </w:rPr>
        <w:t>1</w:t>
      </w:r>
      <w:r w:rsidR="004D1DA0" w:rsidRPr="00AB790F">
        <w:rPr>
          <w:b/>
          <w:bCs/>
          <w:sz w:val="24"/>
          <w:u w:val="single"/>
        </w:rPr>
        <w:t>9</w:t>
      </w:r>
      <w:r w:rsidR="003D2B6A" w:rsidRPr="00AB790F">
        <w:rPr>
          <w:b/>
          <w:bCs/>
          <w:sz w:val="24"/>
          <w:u w:val="single"/>
        </w:rPr>
        <w:t xml:space="preserve"> MARCH</w:t>
      </w:r>
      <w:r w:rsidR="00360D5F" w:rsidRPr="00AB790F">
        <w:rPr>
          <w:b/>
          <w:bCs/>
          <w:sz w:val="24"/>
          <w:u w:val="single"/>
        </w:rPr>
        <w:t xml:space="preserve"> </w:t>
      </w:r>
      <w:r w:rsidRPr="00AB790F">
        <w:rPr>
          <w:b/>
          <w:bCs/>
          <w:sz w:val="24"/>
          <w:u w:val="single"/>
        </w:rPr>
        <w:t>20</w:t>
      </w:r>
      <w:r w:rsidR="004F6DCB" w:rsidRPr="00AB790F">
        <w:rPr>
          <w:b/>
          <w:bCs/>
          <w:sz w:val="24"/>
          <w:u w:val="single"/>
        </w:rPr>
        <w:t>2</w:t>
      </w:r>
      <w:r w:rsidR="005759DC" w:rsidRPr="00AB790F">
        <w:rPr>
          <w:b/>
          <w:bCs/>
          <w:sz w:val="24"/>
          <w:u w:val="single"/>
        </w:rPr>
        <w:t>1</w:t>
      </w:r>
      <w:r w:rsidRPr="00AB790F">
        <w:rPr>
          <w:b/>
          <w:bCs/>
          <w:sz w:val="24"/>
          <w:u w:val="single"/>
        </w:rPr>
        <w:t xml:space="preserve">   </w:t>
      </w:r>
    </w:p>
    <w:p w:rsidR="00E238C2" w:rsidRPr="00AB790F" w:rsidRDefault="00E238C2" w:rsidP="006664AE">
      <w:pPr>
        <w:spacing w:after="240"/>
        <w:rPr>
          <w:b/>
          <w:bCs/>
          <w:sz w:val="24"/>
          <w:u w:val="single"/>
        </w:rPr>
      </w:pPr>
      <w:r w:rsidRPr="00AB790F">
        <w:rPr>
          <w:b/>
          <w:bCs/>
          <w:sz w:val="24"/>
          <w:u w:val="single"/>
        </w:rPr>
        <w:t xml:space="preserve">(INTERNAL QUESTION PAPER NO. </w:t>
      </w:r>
      <w:r w:rsidR="00360D5F" w:rsidRPr="00AB790F">
        <w:rPr>
          <w:b/>
          <w:bCs/>
          <w:sz w:val="24"/>
          <w:u w:val="single"/>
        </w:rPr>
        <w:t>0</w:t>
      </w:r>
      <w:r w:rsidR="004D1DA0" w:rsidRPr="00AB790F">
        <w:rPr>
          <w:b/>
          <w:bCs/>
          <w:sz w:val="24"/>
          <w:u w:val="single"/>
        </w:rPr>
        <w:t>9</w:t>
      </w:r>
      <w:r w:rsidRPr="00AB790F">
        <w:rPr>
          <w:b/>
          <w:bCs/>
          <w:sz w:val="24"/>
          <w:u w:val="single"/>
        </w:rPr>
        <w:t>)</w:t>
      </w:r>
    </w:p>
    <w:p w:rsidR="00AB206D" w:rsidRPr="00AB790F" w:rsidRDefault="00AB206D" w:rsidP="00AB206D">
      <w:pPr>
        <w:spacing w:before="100" w:beforeAutospacing="1" w:after="100" w:afterAutospacing="1"/>
        <w:ind w:left="720" w:hanging="720"/>
        <w:jc w:val="both"/>
        <w:outlineLvl w:val="0"/>
        <w:rPr>
          <w:b/>
          <w:sz w:val="24"/>
          <w:u w:val="single"/>
        </w:rPr>
      </w:pPr>
      <w:r w:rsidRPr="00AB790F">
        <w:rPr>
          <w:b/>
          <w:sz w:val="24"/>
          <w:u w:val="single"/>
        </w:rPr>
        <w:t>Ms H Ismail (DA) to ask the Minister of Health</w:t>
      </w:r>
      <w:r w:rsidR="007E7ACD" w:rsidRPr="00AB790F">
        <w:rPr>
          <w:b/>
          <w:sz w:val="24"/>
          <w:u w:val="single"/>
        </w:rPr>
        <w:fldChar w:fldCharType="begin"/>
      </w:r>
      <w:r w:rsidRPr="00AB790F">
        <w:rPr>
          <w:sz w:val="24"/>
          <w:u w:val="single"/>
        </w:rPr>
        <w:instrText xml:space="preserve"> XE "</w:instrText>
      </w:r>
      <w:r w:rsidRPr="00AB790F">
        <w:rPr>
          <w:b/>
          <w:sz w:val="24"/>
          <w:u w:val="single"/>
        </w:rPr>
        <w:instrText>Health</w:instrText>
      </w:r>
      <w:r w:rsidRPr="00AB790F">
        <w:rPr>
          <w:sz w:val="24"/>
          <w:u w:val="single"/>
        </w:rPr>
        <w:instrText xml:space="preserve">" </w:instrText>
      </w:r>
      <w:r w:rsidR="007E7ACD" w:rsidRPr="00AB790F">
        <w:rPr>
          <w:b/>
          <w:sz w:val="24"/>
          <w:u w:val="single"/>
        </w:rPr>
        <w:fldChar w:fldCharType="end"/>
      </w:r>
      <w:r w:rsidRPr="00AB790F">
        <w:rPr>
          <w:b/>
          <w:sz w:val="24"/>
          <w:u w:val="single"/>
        </w:rPr>
        <w:t>:</w:t>
      </w:r>
    </w:p>
    <w:p w:rsidR="00AB206D" w:rsidRPr="00AB790F" w:rsidRDefault="00AB206D" w:rsidP="00AB206D">
      <w:pPr>
        <w:spacing w:before="100" w:beforeAutospacing="1" w:after="100" w:afterAutospacing="1"/>
        <w:ind w:left="709" w:hanging="720"/>
        <w:jc w:val="both"/>
        <w:rPr>
          <w:sz w:val="24"/>
        </w:rPr>
      </w:pPr>
      <w:r w:rsidRPr="00AB790F">
        <w:rPr>
          <w:sz w:val="24"/>
        </w:rPr>
        <w:t>(1)</w:t>
      </w:r>
      <w:r w:rsidRPr="00AB790F">
        <w:rPr>
          <w:sz w:val="24"/>
        </w:rPr>
        <w:tab/>
        <w:t xml:space="preserve">What (a) is the percentage of vacant posts currently in state hospitals in each province and (b) number of chief executive officers are still in an acting </w:t>
      </w:r>
      <w:proofErr w:type="gramStart"/>
      <w:r w:rsidRPr="00AB790F">
        <w:rPr>
          <w:sz w:val="24"/>
        </w:rPr>
        <w:t>capacity;</w:t>
      </w:r>
      <w:proofErr w:type="gramEnd"/>
      <w:r w:rsidRPr="00AB790F">
        <w:rPr>
          <w:sz w:val="24"/>
        </w:rPr>
        <w:t xml:space="preserve"> </w:t>
      </w:r>
    </w:p>
    <w:p w:rsidR="004434B5" w:rsidRPr="00B55D0A" w:rsidRDefault="00AB206D" w:rsidP="00B55D0A">
      <w:pPr>
        <w:spacing w:before="100" w:beforeAutospacing="1"/>
        <w:jc w:val="both"/>
        <w:outlineLvl w:val="0"/>
        <w:rPr>
          <w:szCs w:val="22"/>
        </w:rPr>
      </w:pPr>
      <w:r w:rsidRPr="00AB790F">
        <w:rPr>
          <w:sz w:val="24"/>
        </w:rPr>
        <w:t>(2)</w:t>
      </w:r>
      <w:r w:rsidRPr="00AB790F">
        <w:rPr>
          <w:sz w:val="24"/>
        </w:rPr>
        <w:tab/>
        <w:t xml:space="preserve">whether he will furnish Ms H Ismail with a full report on the infrastructure upgrades of state </w:t>
      </w:r>
      <w:r w:rsidRPr="00AB790F">
        <w:rPr>
          <w:sz w:val="24"/>
        </w:rPr>
        <w:tab/>
        <w:t>hospitals in each province; if not, why not; if so, on what date?</w:t>
      </w:r>
    </w:p>
    <w:p w:rsidR="00E238C2" w:rsidRDefault="007E6896" w:rsidP="00AB790F">
      <w:pPr>
        <w:pStyle w:val="Heading6"/>
        <w:tabs>
          <w:tab w:val="clear" w:pos="660"/>
          <w:tab w:val="clear" w:pos="864"/>
          <w:tab w:val="clear" w:pos="1440"/>
        </w:tabs>
        <w:spacing w:before="0" w:beforeAutospacing="0" w:after="0" w:afterAutospacing="0"/>
        <w:ind w:left="0" w:firstLine="0"/>
        <w:rPr>
          <w:u w:val="single"/>
        </w:rPr>
      </w:pPr>
      <w:r>
        <w:rPr>
          <w:color w:val="000000"/>
        </w:rPr>
        <w:t>N</w:t>
      </w:r>
      <w:r w:rsidR="001651E2">
        <w:rPr>
          <w:color w:val="000000"/>
        </w:rPr>
        <w:t>W</w:t>
      </w:r>
      <w:r w:rsidR="0087704D">
        <w:rPr>
          <w:color w:val="000000"/>
        </w:rPr>
        <w:t>1</w:t>
      </w:r>
      <w:r w:rsidR="00A400BD">
        <w:rPr>
          <w:color w:val="000000"/>
        </w:rPr>
        <w:t>14</w:t>
      </w:r>
      <w:r w:rsidR="00AB206D">
        <w:rPr>
          <w:color w:val="000000"/>
        </w:rPr>
        <w:t>8</w:t>
      </w:r>
      <w:r w:rsidR="00187EBF">
        <w:rPr>
          <w:color w:val="000000"/>
        </w:rPr>
        <w:t>E</w:t>
      </w:r>
      <w:r w:rsidR="00E238C2">
        <w:rPr>
          <w:color w:val="000000"/>
          <w:szCs w:val="20"/>
        </w:rPr>
        <w:t xml:space="preserve"> </w:t>
      </w:r>
    </w:p>
    <w:p w:rsidR="00AB790F" w:rsidRDefault="00AB790F" w:rsidP="00CA0154">
      <w:pPr>
        <w:rPr>
          <w:b/>
          <w:bCs/>
          <w:sz w:val="24"/>
          <w:u w:val="single"/>
          <w:lang w:val="en-US"/>
        </w:rPr>
      </w:pPr>
    </w:p>
    <w:p w:rsidR="00927732" w:rsidRPr="00AB790F" w:rsidRDefault="00E238C2" w:rsidP="00CA0154">
      <w:pPr>
        <w:rPr>
          <w:b/>
          <w:bCs/>
          <w:sz w:val="24"/>
          <w:u w:val="single"/>
          <w:lang w:val="en-US"/>
        </w:rPr>
      </w:pPr>
      <w:r w:rsidRPr="00AB790F">
        <w:rPr>
          <w:b/>
          <w:bCs/>
          <w:sz w:val="24"/>
          <w:u w:val="single"/>
          <w:lang w:val="en-US"/>
        </w:rPr>
        <w:t>REPLY:</w:t>
      </w:r>
    </w:p>
    <w:p w:rsidR="008D1E7B" w:rsidRPr="00AB790F" w:rsidRDefault="008D1E7B" w:rsidP="008D1E7B">
      <w:pPr>
        <w:pStyle w:val="BodyText"/>
        <w:ind w:left="360"/>
        <w:rPr>
          <w:b/>
          <w:sz w:val="24"/>
        </w:rPr>
      </w:pPr>
    </w:p>
    <w:p w:rsidR="00336CE6" w:rsidRPr="00336CE6" w:rsidRDefault="00336CE6" w:rsidP="00336CE6">
      <w:pPr>
        <w:pStyle w:val="BodyText"/>
        <w:rPr>
          <w:sz w:val="24"/>
        </w:rPr>
      </w:pPr>
      <w:r w:rsidRPr="00336CE6">
        <w:rPr>
          <w:sz w:val="24"/>
        </w:rPr>
        <w:t>The following information is as received from the Provincial Departments of Health.</w:t>
      </w:r>
    </w:p>
    <w:p w:rsidR="00336CE6" w:rsidRPr="00336CE6" w:rsidRDefault="00336CE6" w:rsidP="00336CE6">
      <w:pPr>
        <w:pStyle w:val="BodyText"/>
        <w:rPr>
          <w:sz w:val="24"/>
        </w:rPr>
      </w:pPr>
    </w:p>
    <w:p w:rsidR="00336CE6" w:rsidRPr="00336CE6" w:rsidRDefault="00336CE6" w:rsidP="00336CE6">
      <w:pPr>
        <w:pStyle w:val="BodyText"/>
        <w:numPr>
          <w:ilvl w:val="0"/>
          <w:numId w:val="1"/>
        </w:numPr>
        <w:tabs>
          <w:tab w:val="left" w:pos="709"/>
        </w:tabs>
        <w:ind w:left="1418" w:hanging="1418"/>
        <w:rPr>
          <w:sz w:val="24"/>
        </w:rPr>
      </w:pPr>
      <w:r w:rsidRPr="00336CE6">
        <w:rPr>
          <w:sz w:val="24"/>
        </w:rPr>
        <w:t>(a)</w:t>
      </w:r>
      <w:r w:rsidRPr="00336CE6">
        <w:rPr>
          <w:sz w:val="24"/>
        </w:rPr>
        <w:tab/>
      </w:r>
      <w:r w:rsidRPr="00336CE6">
        <w:rPr>
          <w:bCs/>
          <w:sz w:val="24"/>
          <w:lang w:val="en-GB"/>
        </w:rPr>
        <w:t xml:space="preserve">The overall percentage (%) rate for vacant posts in state hospitals in each province is 13%. </w:t>
      </w:r>
      <w:r w:rsidRPr="00336CE6">
        <w:rPr>
          <w:sz w:val="24"/>
        </w:rPr>
        <w:t>The table below indicates the percentage (%) of vacant posts in Government Hospitals per Province as at end February 2021.</w:t>
      </w:r>
    </w:p>
    <w:p w:rsidR="00336CE6" w:rsidRPr="00336CE6" w:rsidRDefault="00336CE6" w:rsidP="00336CE6">
      <w:pPr>
        <w:pStyle w:val="BodyText"/>
        <w:ind w:left="709" w:hanging="709"/>
        <w:rPr>
          <w:sz w:val="24"/>
        </w:rPr>
      </w:pPr>
    </w:p>
    <w:p w:rsidR="00336CE6" w:rsidRPr="00336CE6" w:rsidRDefault="00336CE6" w:rsidP="00336CE6">
      <w:pPr>
        <w:pStyle w:val="BodyText"/>
        <w:ind w:left="709" w:hanging="709"/>
        <w:rPr>
          <w:b/>
          <w:vanish/>
          <w:sz w:val="24"/>
        </w:rPr>
      </w:pPr>
    </w:p>
    <w:tbl>
      <w:tblPr>
        <w:tblW w:w="8788" w:type="dxa"/>
        <w:tblInd w:w="1413" w:type="dxa"/>
        <w:tblLook w:val="04A0"/>
      </w:tblPr>
      <w:tblGrid>
        <w:gridCol w:w="4252"/>
        <w:gridCol w:w="4536"/>
      </w:tblGrid>
      <w:tr w:rsidR="00336CE6" w:rsidRPr="00336CE6" w:rsidTr="00B82081">
        <w:trPr>
          <w:trHeight w:val="413"/>
        </w:trPr>
        <w:tc>
          <w:tcPr>
            <w:tcW w:w="4252" w:type="dxa"/>
            <w:tcBorders>
              <w:top w:val="single" w:sz="4" w:space="0" w:color="auto"/>
              <w:left w:val="single" w:sz="4" w:space="0" w:color="auto"/>
              <w:bottom w:val="single" w:sz="4" w:space="0" w:color="auto"/>
              <w:right w:val="single" w:sz="4" w:space="0" w:color="auto"/>
            </w:tcBorders>
            <w:shd w:val="clear" w:color="8EA9DB" w:fill="305496"/>
            <w:noWrap/>
            <w:vAlign w:val="center"/>
            <w:hideMark/>
          </w:tcPr>
          <w:p w:rsidR="00336CE6" w:rsidRPr="00336CE6" w:rsidRDefault="00336CE6" w:rsidP="00336CE6">
            <w:pPr>
              <w:pStyle w:val="BodyText"/>
              <w:ind w:left="709" w:hanging="709"/>
              <w:rPr>
                <w:b/>
                <w:bCs/>
                <w:sz w:val="24"/>
                <w:lang w:val="en-ZA"/>
              </w:rPr>
            </w:pPr>
            <w:r w:rsidRPr="00336CE6">
              <w:rPr>
                <w:b/>
                <w:bCs/>
                <w:sz w:val="24"/>
                <w:lang w:val="en-ZA"/>
              </w:rPr>
              <w:t>Province</w:t>
            </w:r>
          </w:p>
        </w:tc>
        <w:tc>
          <w:tcPr>
            <w:tcW w:w="4536" w:type="dxa"/>
            <w:tcBorders>
              <w:top w:val="single" w:sz="4" w:space="0" w:color="auto"/>
              <w:left w:val="nil"/>
              <w:bottom w:val="single" w:sz="4" w:space="0" w:color="auto"/>
              <w:right w:val="single" w:sz="4" w:space="0" w:color="auto"/>
            </w:tcBorders>
            <w:shd w:val="clear" w:color="000000" w:fill="305496"/>
            <w:vAlign w:val="center"/>
            <w:hideMark/>
          </w:tcPr>
          <w:p w:rsidR="00336CE6" w:rsidRPr="00336CE6" w:rsidRDefault="00336CE6" w:rsidP="00336CE6">
            <w:pPr>
              <w:pStyle w:val="BodyText"/>
              <w:ind w:left="709" w:hanging="709"/>
              <w:rPr>
                <w:b/>
                <w:bCs/>
                <w:sz w:val="24"/>
                <w:lang w:val="en-ZA"/>
              </w:rPr>
            </w:pPr>
            <w:r w:rsidRPr="00336CE6">
              <w:rPr>
                <w:b/>
                <w:bCs/>
                <w:sz w:val="24"/>
                <w:lang w:val="en-ZA"/>
              </w:rPr>
              <w:t>% Vacant posts in Hospitals</w:t>
            </w:r>
          </w:p>
        </w:tc>
      </w:tr>
      <w:tr w:rsidR="00336CE6" w:rsidRPr="00336CE6" w:rsidTr="00B82081">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Eastern Cape</w:t>
            </w:r>
          </w:p>
        </w:tc>
        <w:tc>
          <w:tcPr>
            <w:tcW w:w="4536" w:type="dxa"/>
            <w:tcBorders>
              <w:top w:val="nil"/>
              <w:left w:val="nil"/>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13%</w:t>
            </w:r>
          </w:p>
        </w:tc>
      </w:tr>
      <w:tr w:rsidR="00336CE6" w:rsidRPr="00336CE6" w:rsidTr="00B82081">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Free State</w:t>
            </w:r>
          </w:p>
        </w:tc>
        <w:tc>
          <w:tcPr>
            <w:tcW w:w="4536" w:type="dxa"/>
            <w:tcBorders>
              <w:top w:val="nil"/>
              <w:left w:val="nil"/>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21%</w:t>
            </w:r>
          </w:p>
        </w:tc>
      </w:tr>
      <w:tr w:rsidR="00336CE6" w:rsidRPr="00336CE6" w:rsidTr="00B82081">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Gauteng</w:t>
            </w:r>
          </w:p>
        </w:tc>
        <w:tc>
          <w:tcPr>
            <w:tcW w:w="4536" w:type="dxa"/>
            <w:tcBorders>
              <w:top w:val="nil"/>
              <w:left w:val="nil"/>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11%</w:t>
            </w:r>
          </w:p>
        </w:tc>
      </w:tr>
      <w:tr w:rsidR="00336CE6" w:rsidRPr="00336CE6" w:rsidTr="00B82081">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proofErr w:type="spellStart"/>
            <w:r w:rsidRPr="00336CE6">
              <w:rPr>
                <w:sz w:val="24"/>
                <w:lang w:val="en-ZA"/>
              </w:rPr>
              <w:t>KwaZulu</w:t>
            </w:r>
            <w:proofErr w:type="spellEnd"/>
            <w:r w:rsidRPr="00336CE6">
              <w:rPr>
                <w:sz w:val="24"/>
                <w:lang w:val="en-ZA"/>
              </w:rPr>
              <w:t xml:space="preserve"> Natal</w:t>
            </w:r>
          </w:p>
        </w:tc>
        <w:tc>
          <w:tcPr>
            <w:tcW w:w="4536" w:type="dxa"/>
            <w:tcBorders>
              <w:top w:val="nil"/>
              <w:left w:val="nil"/>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14%</w:t>
            </w:r>
          </w:p>
        </w:tc>
      </w:tr>
      <w:tr w:rsidR="00336CE6" w:rsidRPr="00336CE6" w:rsidTr="00B82081">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Limpopo Province</w:t>
            </w:r>
          </w:p>
        </w:tc>
        <w:tc>
          <w:tcPr>
            <w:tcW w:w="4536" w:type="dxa"/>
            <w:tcBorders>
              <w:top w:val="nil"/>
              <w:left w:val="nil"/>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7%</w:t>
            </w:r>
          </w:p>
        </w:tc>
      </w:tr>
      <w:tr w:rsidR="00336CE6" w:rsidRPr="00336CE6" w:rsidTr="00B82081">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Mpumalanga</w:t>
            </w:r>
          </w:p>
        </w:tc>
        <w:tc>
          <w:tcPr>
            <w:tcW w:w="4536" w:type="dxa"/>
            <w:tcBorders>
              <w:top w:val="nil"/>
              <w:left w:val="nil"/>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12%</w:t>
            </w:r>
          </w:p>
        </w:tc>
      </w:tr>
      <w:tr w:rsidR="00336CE6" w:rsidRPr="00336CE6" w:rsidTr="00B82081">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North West</w:t>
            </w:r>
          </w:p>
        </w:tc>
        <w:tc>
          <w:tcPr>
            <w:tcW w:w="4536" w:type="dxa"/>
            <w:tcBorders>
              <w:top w:val="nil"/>
              <w:left w:val="nil"/>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14%</w:t>
            </w:r>
          </w:p>
        </w:tc>
      </w:tr>
      <w:tr w:rsidR="00336CE6" w:rsidRPr="00336CE6" w:rsidTr="00B82081">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Northern Cape</w:t>
            </w:r>
          </w:p>
        </w:tc>
        <w:tc>
          <w:tcPr>
            <w:tcW w:w="4536" w:type="dxa"/>
            <w:tcBorders>
              <w:top w:val="nil"/>
              <w:left w:val="nil"/>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17%</w:t>
            </w:r>
          </w:p>
        </w:tc>
      </w:tr>
      <w:tr w:rsidR="00336CE6" w:rsidRPr="00336CE6" w:rsidTr="00B82081">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Western Cape</w:t>
            </w:r>
          </w:p>
        </w:tc>
        <w:tc>
          <w:tcPr>
            <w:tcW w:w="4536" w:type="dxa"/>
            <w:tcBorders>
              <w:top w:val="nil"/>
              <w:left w:val="nil"/>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15%</w:t>
            </w:r>
            <w:bookmarkStart w:id="0" w:name="_GoBack"/>
            <w:bookmarkEnd w:id="0"/>
          </w:p>
        </w:tc>
      </w:tr>
      <w:tr w:rsidR="00336CE6" w:rsidRPr="00336CE6" w:rsidTr="00B82081">
        <w:trPr>
          <w:trHeight w:val="288"/>
        </w:trPr>
        <w:tc>
          <w:tcPr>
            <w:tcW w:w="4252" w:type="dxa"/>
            <w:tcBorders>
              <w:top w:val="nil"/>
              <w:left w:val="single" w:sz="4" w:space="0" w:color="auto"/>
              <w:bottom w:val="single" w:sz="4" w:space="0" w:color="auto"/>
              <w:right w:val="single" w:sz="4" w:space="0" w:color="auto"/>
            </w:tcBorders>
            <w:shd w:val="clear" w:color="8EA9DB" w:fill="B4C6E7"/>
            <w:noWrap/>
            <w:vAlign w:val="bottom"/>
            <w:hideMark/>
          </w:tcPr>
          <w:p w:rsidR="00336CE6" w:rsidRPr="00336CE6" w:rsidRDefault="00336CE6" w:rsidP="00336CE6">
            <w:pPr>
              <w:pStyle w:val="BodyText"/>
              <w:ind w:left="709" w:hanging="709"/>
              <w:rPr>
                <w:b/>
                <w:bCs/>
                <w:sz w:val="24"/>
                <w:lang w:val="en-ZA"/>
              </w:rPr>
            </w:pPr>
            <w:r w:rsidRPr="00336CE6">
              <w:rPr>
                <w:b/>
                <w:bCs/>
                <w:sz w:val="24"/>
                <w:lang w:val="en-ZA"/>
              </w:rPr>
              <w:t>Overall Total</w:t>
            </w:r>
          </w:p>
        </w:tc>
        <w:tc>
          <w:tcPr>
            <w:tcW w:w="4536" w:type="dxa"/>
            <w:tcBorders>
              <w:top w:val="nil"/>
              <w:left w:val="nil"/>
              <w:bottom w:val="single" w:sz="4" w:space="0" w:color="auto"/>
              <w:right w:val="single" w:sz="4" w:space="0" w:color="auto"/>
            </w:tcBorders>
            <w:shd w:val="clear" w:color="000000" w:fill="B4C6E7"/>
            <w:noWrap/>
            <w:vAlign w:val="bottom"/>
            <w:hideMark/>
          </w:tcPr>
          <w:p w:rsidR="00336CE6" w:rsidRPr="00336CE6" w:rsidRDefault="00336CE6" w:rsidP="00336CE6">
            <w:pPr>
              <w:pStyle w:val="BodyText"/>
              <w:ind w:left="709" w:hanging="709"/>
              <w:rPr>
                <w:b/>
                <w:bCs/>
                <w:sz w:val="24"/>
                <w:lang w:val="en-ZA"/>
              </w:rPr>
            </w:pPr>
            <w:r w:rsidRPr="00336CE6">
              <w:rPr>
                <w:b/>
                <w:bCs/>
                <w:sz w:val="24"/>
                <w:lang w:val="en-ZA"/>
              </w:rPr>
              <w:t>13%</w:t>
            </w:r>
          </w:p>
        </w:tc>
      </w:tr>
    </w:tbl>
    <w:p w:rsidR="00336CE6" w:rsidRPr="00336CE6" w:rsidRDefault="00336CE6" w:rsidP="00336CE6">
      <w:pPr>
        <w:pStyle w:val="BodyText"/>
        <w:ind w:left="709" w:hanging="709"/>
        <w:rPr>
          <w:sz w:val="24"/>
          <w:lang w:val="en-ZA"/>
        </w:rPr>
      </w:pPr>
    </w:p>
    <w:p w:rsidR="00336CE6" w:rsidRPr="00336CE6" w:rsidRDefault="00336CE6" w:rsidP="00336CE6">
      <w:pPr>
        <w:pStyle w:val="BodyText"/>
        <w:numPr>
          <w:ilvl w:val="0"/>
          <w:numId w:val="2"/>
        </w:numPr>
        <w:ind w:left="1418" w:hanging="709"/>
        <w:rPr>
          <w:sz w:val="24"/>
          <w:lang w:val="en-ZA"/>
        </w:rPr>
      </w:pPr>
      <w:r w:rsidRPr="00336CE6">
        <w:rPr>
          <w:sz w:val="24"/>
          <w:lang w:val="en-ZA"/>
        </w:rPr>
        <w:t xml:space="preserve">The total number of Chief Executive Officers in acting positions is 64. The table below illustrates numbers per Province. </w:t>
      </w:r>
    </w:p>
    <w:p w:rsidR="00336CE6" w:rsidRPr="00336CE6" w:rsidRDefault="00336CE6" w:rsidP="00336CE6">
      <w:pPr>
        <w:pStyle w:val="BodyText"/>
        <w:ind w:left="709" w:hanging="709"/>
        <w:rPr>
          <w:sz w:val="24"/>
          <w:lang w:val="en-ZA"/>
        </w:rPr>
      </w:pPr>
    </w:p>
    <w:tbl>
      <w:tblPr>
        <w:tblW w:w="8788" w:type="dxa"/>
        <w:tblInd w:w="1413" w:type="dxa"/>
        <w:tblLook w:val="04A0"/>
      </w:tblPr>
      <w:tblGrid>
        <w:gridCol w:w="4252"/>
        <w:gridCol w:w="4536"/>
      </w:tblGrid>
      <w:tr w:rsidR="00336CE6" w:rsidRPr="00336CE6" w:rsidTr="00336CE6">
        <w:trPr>
          <w:trHeight w:val="387"/>
        </w:trPr>
        <w:tc>
          <w:tcPr>
            <w:tcW w:w="8788" w:type="dxa"/>
            <w:gridSpan w:val="2"/>
            <w:tcBorders>
              <w:top w:val="single" w:sz="4" w:space="0" w:color="auto"/>
              <w:left w:val="single" w:sz="4" w:space="0" w:color="auto"/>
              <w:bottom w:val="single" w:sz="4" w:space="0" w:color="auto"/>
              <w:right w:val="single" w:sz="4" w:space="0" w:color="auto"/>
            </w:tcBorders>
            <w:shd w:val="clear" w:color="000000" w:fill="305496"/>
            <w:noWrap/>
            <w:vAlign w:val="center"/>
            <w:hideMark/>
          </w:tcPr>
          <w:p w:rsidR="00336CE6" w:rsidRPr="00336CE6" w:rsidRDefault="00336CE6" w:rsidP="00336CE6">
            <w:pPr>
              <w:pStyle w:val="BodyText"/>
              <w:ind w:left="709" w:hanging="709"/>
              <w:rPr>
                <w:b/>
                <w:bCs/>
                <w:sz w:val="24"/>
                <w:lang w:val="en-ZA"/>
              </w:rPr>
            </w:pPr>
            <w:r w:rsidRPr="00336CE6">
              <w:rPr>
                <w:b/>
                <w:bCs/>
                <w:sz w:val="24"/>
                <w:lang w:val="en-ZA"/>
              </w:rPr>
              <w:t>Total acting CEOs per Province</w:t>
            </w:r>
          </w:p>
        </w:tc>
      </w:tr>
      <w:tr w:rsidR="00336CE6" w:rsidRPr="00336CE6" w:rsidTr="00336CE6">
        <w:trPr>
          <w:trHeight w:val="431"/>
        </w:trPr>
        <w:tc>
          <w:tcPr>
            <w:tcW w:w="4252" w:type="dxa"/>
            <w:tcBorders>
              <w:top w:val="nil"/>
              <w:left w:val="single" w:sz="4" w:space="0" w:color="auto"/>
              <w:bottom w:val="single" w:sz="4" w:space="0" w:color="auto"/>
              <w:right w:val="single" w:sz="4" w:space="0" w:color="auto"/>
            </w:tcBorders>
            <w:shd w:val="clear" w:color="8EA9DB" w:fill="305496"/>
            <w:noWrap/>
            <w:vAlign w:val="center"/>
            <w:hideMark/>
          </w:tcPr>
          <w:p w:rsidR="00336CE6" w:rsidRPr="00336CE6" w:rsidRDefault="00336CE6" w:rsidP="00336CE6">
            <w:pPr>
              <w:pStyle w:val="BodyText"/>
              <w:ind w:left="709" w:hanging="709"/>
              <w:rPr>
                <w:b/>
                <w:bCs/>
                <w:sz w:val="24"/>
                <w:lang w:val="en-ZA"/>
              </w:rPr>
            </w:pPr>
            <w:r w:rsidRPr="00336CE6">
              <w:rPr>
                <w:b/>
                <w:bCs/>
                <w:sz w:val="24"/>
                <w:lang w:val="en-ZA"/>
              </w:rPr>
              <w:t>Province</w:t>
            </w:r>
          </w:p>
        </w:tc>
        <w:tc>
          <w:tcPr>
            <w:tcW w:w="4536" w:type="dxa"/>
            <w:tcBorders>
              <w:top w:val="nil"/>
              <w:left w:val="nil"/>
              <w:bottom w:val="single" w:sz="4" w:space="0" w:color="auto"/>
              <w:right w:val="single" w:sz="4" w:space="0" w:color="auto"/>
            </w:tcBorders>
            <w:shd w:val="clear" w:color="000000" w:fill="305496"/>
            <w:vAlign w:val="center"/>
            <w:hideMark/>
          </w:tcPr>
          <w:p w:rsidR="00336CE6" w:rsidRPr="00336CE6" w:rsidRDefault="00336CE6" w:rsidP="00336CE6">
            <w:pPr>
              <w:pStyle w:val="BodyText"/>
              <w:ind w:left="709" w:hanging="709"/>
              <w:rPr>
                <w:b/>
                <w:bCs/>
                <w:sz w:val="24"/>
                <w:lang w:val="en-ZA"/>
              </w:rPr>
            </w:pPr>
            <w:r w:rsidRPr="00336CE6">
              <w:rPr>
                <w:b/>
                <w:bCs/>
                <w:sz w:val="24"/>
                <w:lang w:val="en-ZA"/>
              </w:rPr>
              <w:t xml:space="preserve">Acting CEO's </w:t>
            </w:r>
          </w:p>
        </w:tc>
      </w:tr>
      <w:tr w:rsidR="00336CE6" w:rsidRPr="00336CE6" w:rsidTr="00336CE6">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Eastern Cape</w:t>
            </w:r>
          </w:p>
        </w:tc>
        <w:tc>
          <w:tcPr>
            <w:tcW w:w="4536" w:type="dxa"/>
            <w:tcBorders>
              <w:top w:val="nil"/>
              <w:left w:val="nil"/>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14</w:t>
            </w:r>
          </w:p>
        </w:tc>
      </w:tr>
      <w:tr w:rsidR="00336CE6" w:rsidRPr="00336CE6" w:rsidTr="00336CE6">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Free State</w:t>
            </w:r>
          </w:p>
        </w:tc>
        <w:tc>
          <w:tcPr>
            <w:tcW w:w="4536" w:type="dxa"/>
            <w:tcBorders>
              <w:top w:val="nil"/>
              <w:left w:val="nil"/>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6</w:t>
            </w:r>
          </w:p>
        </w:tc>
      </w:tr>
      <w:tr w:rsidR="00336CE6" w:rsidRPr="00336CE6" w:rsidTr="00336CE6">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Gauteng</w:t>
            </w:r>
          </w:p>
        </w:tc>
        <w:tc>
          <w:tcPr>
            <w:tcW w:w="4536" w:type="dxa"/>
            <w:tcBorders>
              <w:top w:val="nil"/>
              <w:left w:val="nil"/>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10</w:t>
            </w:r>
          </w:p>
        </w:tc>
      </w:tr>
      <w:tr w:rsidR="00336CE6" w:rsidRPr="00336CE6" w:rsidTr="00336CE6">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proofErr w:type="spellStart"/>
            <w:r w:rsidRPr="00336CE6">
              <w:rPr>
                <w:sz w:val="24"/>
                <w:lang w:val="en-ZA"/>
              </w:rPr>
              <w:t>KwaZulu</w:t>
            </w:r>
            <w:proofErr w:type="spellEnd"/>
            <w:r w:rsidRPr="00336CE6">
              <w:rPr>
                <w:sz w:val="24"/>
                <w:lang w:val="en-ZA"/>
              </w:rPr>
              <w:t xml:space="preserve"> Natal</w:t>
            </w:r>
          </w:p>
        </w:tc>
        <w:tc>
          <w:tcPr>
            <w:tcW w:w="4536" w:type="dxa"/>
            <w:tcBorders>
              <w:top w:val="nil"/>
              <w:left w:val="nil"/>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 -</w:t>
            </w:r>
          </w:p>
        </w:tc>
      </w:tr>
      <w:tr w:rsidR="00336CE6" w:rsidRPr="00336CE6" w:rsidTr="00336CE6">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Limpopo Province</w:t>
            </w:r>
          </w:p>
        </w:tc>
        <w:tc>
          <w:tcPr>
            <w:tcW w:w="4536" w:type="dxa"/>
            <w:tcBorders>
              <w:top w:val="nil"/>
              <w:left w:val="nil"/>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11</w:t>
            </w:r>
          </w:p>
        </w:tc>
      </w:tr>
      <w:tr w:rsidR="00336CE6" w:rsidRPr="00336CE6" w:rsidTr="00336CE6">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Mpumalanga</w:t>
            </w:r>
          </w:p>
        </w:tc>
        <w:tc>
          <w:tcPr>
            <w:tcW w:w="4536" w:type="dxa"/>
            <w:tcBorders>
              <w:top w:val="nil"/>
              <w:left w:val="nil"/>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7</w:t>
            </w:r>
          </w:p>
        </w:tc>
      </w:tr>
      <w:tr w:rsidR="00336CE6" w:rsidRPr="00336CE6" w:rsidTr="00336CE6">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North West</w:t>
            </w:r>
          </w:p>
        </w:tc>
        <w:tc>
          <w:tcPr>
            <w:tcW w:w="4536" w:type="dxa"/>
            <w:tcBorders>
              <w:top w:val="nil"/>
              <w:left w:val="nil"/>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7</w:t>
            </w:r>
          </w:p>
        </w:tc>
      </w:tr>
      <w:tr w:rsidR="00336CE6" w:rsidRPr="00336CE6" w:rsidTr="00336CE6">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Northern Cape</w:t>
            </w:r>
          </w:p>
        </w:tc>
        <w:tc>
          <w:tcPr>
            <w:tcW w:w="4536" w:type="dxa"/>
            <w:tcBorders>
              <w:top w:val="nil"/>
              <w:left w:val="nil"/>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7</w:t>
            </w:r>
          </w:p>
        </w:tc>
      </w:tr>
      <w:tr w:rsidR="00336CE6" w:rsidRPr="00336CE6" w:rsidTr="00336CE6">
        <w:trPr>
          <w:trHeight w:val="288"/>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Western Cape</w:t>
            </w:r>
          </w:p>
        </w:tc>
        <w:tc>
          <w:tcPr>
            <w:tcW w:w="4536" w:type="dxa"/>
            <w:tcBorders>
              <w:top w:val="nil"/>
              <w:left w:val="nil"/>
              <w:bottom w:val="single" w:sz="4" w:space="0" w:color="auto"/>
              <w:right w:val="single" w:sz="4" w:space="0" w:color="auto"/>
            </w:tcBorders>
            <w:shd w:val="clear" w:color="auto" w:fill="auto"/>
            <w:noWrap/>
            <w:vAlign w:val="bottom"/>
            <w:hideMark/>
          </w:tcPr>
          <w:p w:rsidR="00336CE6" w:rsidRPr="00336CE6" w:rsidRDefault="00336CE6" w:rsidP="00336CE6">
            <w:pPr>
              <w:pStyle w:val="BodyText"/>
              <w:ind w:left="709" w:hanging="709"/>
              <w:rPr>
                <w:sz w:val="24"/>
                <w:lang w:val="en-ZA"/>
              </w:rPr>
            </w:pPr>
            <w:r w:rsidRPr="00336CE6">
              <w:rPr>
                <w:sz w:val="24"/>
                <w:lang w:val="en-ZA"/>
              </w:rPr>
              <w:t>2</w:t>
            </w:r>
          </w:p>
        </w:tc>
      </w:tr>
      <w:tr w:rsidR="00336CE6" w:rsidRPr="00336CE6" w:rsidTr="00336CE6">
        <w:trPr>
          <w:trHeight w:val="288"/>
        </w:trPr>
        <w:tc>
          <w:tcPr>
            <w:tcW w:w="4252" w:type="dxa"/>
            <w:tcBorders>
              <w:top w:val="nil"/>
              <w:left w:val="single" w:sz="4" w:space="0" w:color="auto"/>
              <w:bottom w:val="single" w:sz="4" w:space="0" w:color="auto"/>
              <w:right w:val="single" w:sz="4" w:space="0" w:color="auto"/>
            </w:tcBorders>
            <w:shd w:val="clear" w:color="8EA9DB" w:fill="B4C6E7"/>
            <w:noWrap/>
            <w:vAlign w:val="bottom"/>
            <w:hideMark/>
          </w:tcPr>
          <w:p w:rsidR="00336CE6" w:rsidRPr="00336CE6" w:rsidRDefault="00336CE6" w:rsidP="00336CE6">
            <w:pPr>
              <w:pStyle w:val="BodyText"/>
              <w:ind w:left="709" w:hanging="709"/>
              <w:rPr>
                <w:b/>
                <w:bCs/>
                <w:sz w:val="24"/>
                <w:lang w:val="en-ZA"/>
              </w:rPr>
            </w:pPr>
            <w:r w:rsidRPr="00336CE6">
              <w:rPr>
                <w:b/>
                <w:bCs/>
                <w:sz w:val="24"/>
                <w:lang w:val="en-ZA"/>
              </w:rPr>
              <w:t>Overall Total</w:t>
            </w:r>
          </w:p>
        </w:tc>
        <w:tc>
          <w:tcPr>
            <w:tcW w:w="4536" w:type="dxa"/>
            <w:tcBorders>
              <w:top w:val="nil"/>
              <w:left w:val="nil"/>
              <w:bottom w:val="single" w:sz="4" w:space="0" w:color="auto"/>
              <w:right w:val="single" w:sz="4" w:space="0" w:color="auto"/>
            </w:tcBorders>
            <w:shd w:val="clear" w:color="000000" w:fill="B4C6E7"/>
            <w:noWrap/>
            <w:vAlign w:val="bottom"/>
            <w:hideMark/>
          </w:tcPr>
          <w:p w:rsidR="00336CE6" w:rsidRPr="00336CE6" w:rsidRDefault="00336CE6" w:rsidP="00336CE6">
            <w:pPr>
              <w:pStyle w:val="BodyText"/>
              <w:ind w:left="709" w:hanging="709"/>
              <w:rPr>
                <w:b/>
                <w:bCs/>
                <w:sz w:val="24"/>
                <w:lang w:val="en-ZA"/>
              </w:rPr>
            </w:pPr>
            <w:r w:rsidRPr="00336CE6">
              <w:rPr>
                <w:b/>
                <w:bCs/>
                <w:sz w:val="24"/>
                <w:lang w:val="en-ZA"/>
              </w:rPr>
              <w:t>64</w:t>
            </w:r>
          </w:p>
        </w:tc>
      </w:tr>
    </w:tbl>
    <w:p w:rsidR="00336CE6" w:rsidRPr="00336CE6" w:rsidRDefault="00336CE6" w:rsidP="00336CE6">
      <w:pPr>
        <w:pStyle w:val="BodyText"/>
        <w:rPr>
          <w:sz w:val="24"/>
          <w:lang w:val="en-GB"/>
        </w:rPr>
      </w:pPr>
    </w:p>
    <w:p w:rsidR="00BE01B6" w:rsidRDefault="00336CE6" w:rsidP="00336CE6">
      <w:pPr>
        <w:pStyle w:val="BodyText"/>
        <w:ind w:left="709" w:hanging="709"/>
        <w:rPr>
          <w:sz w:val="24"/>
          <w:lang w:val="en-GB"/>
        </w:rPr>
      </w:pPr>
      <w:r>
        <w:rPr>
          <w:sz w:val="24"/>
          <w:lang w:val="en-GB"/>
        </w:rPr>
        <w:lastRenderedPageBreak/>
        <w:tab/>
      </w:r>
      <w:r w:rsidRPr="00336CE6">
        <w:rPr>
          <w:sz w:val="24"/>
          <w:lang w:val="en-GB"/>
        </w:rPr>
        <w:t>The National Department of Health (</w:t>
      </w:r>
      <w:proofErr w:type="spellStart"/>
      <w:r w:rsidRPr="00336CE6">
        <w:rPr>
          <w:sz w:val="24"/>
          <w:lang w:val="en-GB"/>
        </w:rPr>
        <w:t>NDoH</w:t>
      </w:r>
      <w:proofErr w:type="spellEnd"/>
      <w:r w:rsidRPr="00336CE6">
        <w:rPr>
          <w:sz w:val="24"/>
          <w:lang w:val="en-GB"/>
        </w:rPr>
        <w:t>) acknowledges the reported number of acting Chief Executive Officers (CEOs) as high. As a result, the Director-General has written letters to the Provincial Heads of Health Departments to prioritise the appointment of experienced eligible candidates permanently to the positions of CEOs at their earliest convenience to ensure stability and service delivery continuity in the affected Hospitals.</w:t>
      </w:r>
    </w:p>
    <w:p w:rsidR="00BE01B6" w:rsidRDefault="00BE01B6" w:rsidP="00FF3095">
      <w:pPr>
        <w:pStyle w:val="BodyText"/>
        <w:ind w:left="709" w:hanging="709"/>
        <w:rPr>
          <w:sz w:val="24"/>
          <w:lang w:val="en-GB"/>
        </w:rPr>
      </w:pPr>
    </w:p>
    <w:p w:rsidR="00336CE6" w:rsidRDefault="00336CE6" w:rsidP="00FF3095">
      <w:pPr>
        <w:pStyle w:val="BodyText"/>
        <w:ind w:left="709" w:hanging="709"/>
        <w:rPr>
          <w:sz w:val="24"/>
          <w:lang w:val="en-GB"/>
        </w:rPr>
      </w:pPr>
    </w:p>
    <w:p w:rsidR="00BE01B6" w:rsidRDefault="00BE01B6" w:rsidP="00FF3095">
      <w:pPr>
        <w:pStyle w:val="BodyText"/>
        <w:ind w:left="709" w:hanging="709"/>
        <w:rPr>
          <w:sz w:val="24"/>
        </w:rPr>
      </w:pPr>
      <w:r>
        <w:rPr>
          <w:sz w:val="24"/>
          <w:lang w:val="en-GB"/>
        </w:rPr>
        <w:t>(2)</w:t>
      </w:r>
      <w:r>
        <w:rPr>
          <w:sz w:val="24"/>
          <w:lang w:val="en-GB"/>
        </w:rPr>
        <w:tab/>
        <w:t>A</w:t>
      </w:r>
      <w:r w:rsidRPr="00AB790F">
        <w:rPr>
          <w:sz w:val="24"/>
        </w:rPr>
        <w:t xml:space="preserve"> full report on the infrastructure upgrades of state hospitals in each province</w:t>
      </w:r>
      <w:r>
        <w:rPr>
          <w:sz w:val="24"/>
        </w:rPr>
        <w:t xml:space="preserve"> is herewith attached as Annexure 1.</w:t>
      </w:r>
    </w:p>
    <w:p w:rsidR="00BE01B6" w:rsidRDefault="00BE01B6" w:rsidP="00FF3095">
      <w:pPr>
        <w:pStyle w:val="BodyText"/>
        <w:ind w:left="709" w:hanging="709"/>
        <w:rPr>
          <w:sz w:val="24"/>
          <w:lang w:val="en-GB"/>
        </w:rPr>
      </w:pPr>
    </w:p>
    <w:p w:rsidR="00BE01B6" w:rsidRDefault="00BE01B6" w:rsidP="00FF3095">
      <w:pPr>
        <w:pStyle w:val="BodyText"/>
        <w:ind w:left="709" w:hanging="709"/>
        <w:rPr>
          <w:sz w:val="24"/>
          <w:lang w:val="en-GB"/>
        </w:rPr>
      </w:pPr>
    </w:p>
    <w:p w:rsidR="00E238C2" w:rsidRPr="00BE01B6" w:rsidRDefault="00E238C2" w:rsidP="00FF3095">
      <w:pPr>
        <w:pStyle w:val="BodyText"/>
        <w:ind w:left="709" w:hanging="709"/>
        <w:rPr>
          <w:b/>
          <w:bCs/>
          <w:sz w:val="24"/>
          <w:lang w:val="en-GB"/>
        </w:rPr>
      </w:pPr>
      <w:r w:rsidRPr="00BE01B6">
        <w:rPr>
          <w:sz w:val="24"/>
          <w:lang w:val="en-GB"/>
        </w:rPr>
        <w:t>END.</w:t>
      </w:r>
    </w:p>
    <w:sectPr w:rsidR="00E238C2" w:rsidRPr="00BE01B6" w:rsidSect="00AB790F">
      <w:footerReference w:type="even" r:id="rId7"/>
      <w:footerReference w:type="default" r:id="rId8"/>
      <w:pgSz w:w="11906" w:h="16838"/>
      <w:pgMar w:top="567" w:right="851"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5EC" w:rsidRDefault="005A55EC">
      <w:r>
        <w:separator/>
      </w:r>
    </w:p>
  </w:endnote>
  <w:endnote w:type="continuationSeparator" w:id="0">
    <w:p w:rsidR="005A55EC" w:rsidRDefault="005A5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E7AC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E7AC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47E2D">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5EC" w:rsidRDefault="005A55EC">
      <w:r>
        <w:separator/>
      </w:r>
    </w:p>
  </w:footnote>
  <w:footnote w:type="continuationSeparator" w:id="0">
    <w:p w:rsidR="005A55EC" w:rsidRDefault="005A55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078"/>
    <w:multiLevelType w:val="hybridMultilevel"/>
    <w:tmpl w:val="5CF218B8"/>
    <w:lvl w:ilvl="0" w:tplc="F0A6D0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CE06E83"/>
    <w:multiLevelType w:val="hybridMultilevel"/>
    <w:tmpl w:val="23FA6FF0"/>
    <w:lvl w:ilvl="0" w:tplc="24DA08DC">
      <w:start w:val="2"/>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47E2D"/>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59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36CE6"/>
    <w:rsid w:val="0034705D"/>
    <w:rsid w:val="003548B4"/>
    <w:rsid w:val="00355BB7"/>
    <w:rsid w:val="00357A10"/>
    <w:rsid w:val="00360D5F"/>
    <w:rsid w:val="00364BFB"/>
    <w:rsid w:val="00366B08"/>
    <w:rsid w:val="00366E06"/>
    <w:rsid w:val="0036751E"/>
    <w:rsid w:val="00371538"/>
    <w:rsid w:val="003715DB"/>
    <w:rsid w:val="00382D92"/>
    <w:rsid w:val="0039184B"/>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3C68"/>
    <w:rsid w:val="004C5286"/>
    <w:rsid w:val="004C5B1F"/>
    <w:rsid w:val="004C63E4"/>
    <w:rsid w:val="004C740F"/>
    <w:rsid w:val="004D1DA0"/>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55E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E7ACD"/>
    <w:rsid w:val="007F19E9"/>
    <w:rsid w:val="007F547F"/>
    <w:rsid w:val="007F6D34"/>
    <w:rsid w:val="007F7460"/>
    <w:rsid w:val="00802311"/>
    <w:rsid w:val="008027EE"/>
    <w:rsid w:val="008067F9"/>
    <w:rsid w:val="0081272C"/>
    <w:rsid w:val="00815128"/>
    <w:rsid w:val="00815BE6"/>
    <w:rsid w:val="00816881"/>
    <w:rsid w:val="00823CF4"/>
    <w:rsid w:val="00827A03"/>
    <w:rsid w:val="0084076E"/>
    <w:rsid w:val="00846CD4"/>
    <w:rsid w:val="00852234"/>
    <w:rsid w:val="008603CC"/>
    <w:rsid w:val="00860B56"/>
    <w:rsid w:val="00861E3A"/>
    <w:rsid w:val="0086637B"/>
    <w:rsid w:val="0087704D"/>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1E7B"/>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6AD7"/>
    <w:rsid w:val="00A17235"/>
    <w:rsid w:val="00A17A8A"/>
    <w:rsid w:val="00A24207"/>
    <w:rsid w:val="00A24CAA"/>
    <w:rsid w:val="00A251E7"/>
    <w:rsid w:val="00A346DA"/>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D5D"/>
    <w:rsid w:val="00A87CFA"/>
    <w:rsid w:val="00A92C5C"/>
    <w:rsid w:val="00A93CDF"/>
    <w:rsid w:val="00AA6504"/>
    <w:rsid w:val="00AA7AC6"/>
    <w:rsid w:val="00AB0EAC"/>
    <w:rsid w:val="00AB1AB1"/>
    <w:rsid w:val="00AB206D"/>
    <w:rsid w:val="00AB3C74"/>
    <w:rsid w:val="00AB790F"/>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5D0A"/>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096"/>
    <w:rsid w:val="00BB0549"/>
    <w:rsid w:val="00BB5A2A"/>
    <w:rsid w:val="00BB727B"/>
    <w:rsid w:val="00BC04F9"/>
    <w:rsid w:val="00BC353B"/>
    <w:rsid w:val="00BC4703"/>
    <w:rsid w:val="00BC6E9C"/>
    <w:rsid w:val="00BC7E1F"/>
    <w:rsid w:val="00BD3990"/>
    <w:rsid w:val="00BD4034"/>
    <w:rsid w:val="00BE01B6"/>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76D8A"/>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2021-04-19T17:21:00Z</dcterms:created>
  <dcterms:modified xsi:type="dcterms:W3CDTF">2021-04-19T17:21:00Z</dcterms:modified>
</cp:coreProperties>
</file>