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FE0AA4">
        <w:rPr>
          <w:b/>
          <w:bCs/>
          <w:sz w:val="24"/>
          <w:u w:val="single"/>
        </w:rPr>
        <w:t>9</w:t>
      </w:r>
      <w:r w:rsidR="00D127F7">
        <w:rPr>
          <w:b/>
          <w:bCs/>
          <w:sz w:val="24"/>
          <w:u w:val="single"/>
        </w:rPr>
        <w:t>80</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FB4AF1">
        <w:rPr>
          <w:b/>
          <w:bCs/>
          <w:sz w:val="24"/>
          <w:u w:val="single"/>
        </w:rPr>
        <w:t>20</w:t>
      </w:r>
      <w:r w:rsidR="002E55C1">
        <w:rPr>
          <w:b/>
          <w:bCs/>
          <w:sz w:val="24"/>
          <w:u w:val="single"/>
        </w:rPr>
        <w:t xml:space="preserve"> SEPTEMBER </w:t>
      </w:r>
      <w:r w:rsidRPr="00934798">
        <w:rPr>
          <w:b/>
          <w:bCs/>
          <w:sz w:val="24"/>
          <w:u w:val="single"/>
        </w:rPr>
        <w:t>20</w:t>
      </w:r>
      <w:r w:rsidR="005E1FBC" w:rsidRPr="00934798">
        <w:rPr>
          <w:b/>
          <w:bCs/>
          <w:sz w:val="24"/>
          <w:u w:val="single"/>
        </w:rPr>
        <w:t>1</w:t>
      </w:r>
      <w:r w:rsidR="00360D5F">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454C0">
        <w:rPr>
          <w:b/>
          <w:bCs/>
          <w:sz w:val="24"/>
          <w:u w:val="single"/>
        </w:rPr>
        <w:t>1</w:t>
      </w:r>
      <w:r w:rsidR="00FB4AF1">
        <w:rPr>
          <w:b/>
          <w:bCs/>
          <w:sz w:val="24"/>
          <w:u w:val="single"/>
        </w:rPr>
        <w:t>7</w:t>
      </w:r>
      <w:r w:rsidRPr="00294557">
        <w:rPr>
          <w:b/>
          <w:bCs/>
          <w:sz w:val="24"/>
          <w:u w:val="single"/>
        </w:rPr>
        <w:t>)</w:t>
      </w:r>
    </w:p>
    <w:p w:rsidR="00D127F7" w:rsidRPr="00D127F7" w:rsidRDefault="00D127F7" w:rsidP="00D127F7">
      <w:pPr>
        <w:spacing w:before="100" w:beforeAutospacing="1" w:after="100" w:afterAutospacing="1"/>
        <w:jc w:val="both"/>
        <w:outlineLvl w:val="0"/>
        <w:rPr>
          <w:b/>
          <w:sz w:val="24"/>
          <w:u w:val="single"/>
        </w:rPr>
      </w:pPr>
      <w:r w:rsidRPr="00D127F7">
        <w:rPr>
          <w:b/>
          <w:sz w:val="24"/>
          <w:u w:val="single"/>
        </w:rPr>
        <w:t xml:space="preserve">Mr P A van </w:t>
      </w:r>
      <w:proofErr w:type="spellStart"/>
      <w:r w:rsidRPr="00D127F7">
        <w:rPr>
          <w:b/>
          <w:sz w:val="24"/>
          <w:u w:val="single"/>
        </w:rPr>
        <w:t>Staden</w:t>
      </w:r>
      <w:proofErr w:type="spellEnd"/>
      <w:r w:rsidRPr="00D127F7">
        <w:rPr>
          <w:b/>
          <w:sz w:val="24"/>
          <w:u w:val="single"/>
        </w:rPr>
        <w:t xml:space="preserve"> (</w:t>
      </w:r>
      <w:r w:rsidRPr="00D127F7">
        <w:rPr>
          <w:b/>
          <w:sz w:val="24"/>
          <w:u w:val="single"/>
          <w:lang w:val="en-US"/>
        </w:rPr>
        <w:t>FF</w:t>
      </w:r>
      <w:r w:rsidRPr="00D127F7">
        <w:rPr>
          <w:b/>
          <w:sz w:val="24"/>
          <w:u w:val="single"/>
        </w:rPr>
        <w:t xml:space="preserve"> Plus) to ask the Minister of Health</w:t>
      </w:r>
      <w:r w:rsidRPr="00D127F7">
        <w:rPr>
          <w:b/>
          <w:sz w:val="24"/>
          <w:u w:val="single"/>
        </w:rPr>
        <w:fldChar w:fldCharType="begin"/>
      </w:r>
      <w:r w:rsidRPr="00D127F7">
        <w:rPr>
          <w:u w:val="single"/>
        </w:rPr>
        <w:instrText xml:space="preserve"> XE "</w:instrText>
      </w:r>
      <w:r w:rsidRPr="00D127F7">
        <w:rPr>
          <w:b/>
          <w:sz w:val="24"/>
          <w:u w:val="single"/>
          <w:lang w:val="en-US"/>
        </w:rPr>
        <w:instrText>Health</w:instrText>
      </w:r>
      <w:r w:rsidRPr="00D127F7">
        <w:rPr>
          <w:u w:val="single"/>
        </w:rPr>
        <w:instrText xml:space="preserve">" </w:instrText>
      </w:r>
      <w:r w:rsidRPr="00D127F7">
        <w:rPr>
          <w:b/>
          <w:sz w:val="24"/>
          <w:u w:val="single"/>
        </w:rPr>
        <w:fldChar w:fldCharType="end"/>
      </w:r>
      <w:r w:rsidRPr="00D127F7">
        <w:rPr>
          <w:b/>
          <w:sz w:val="24"/>
          <w:u w:val="single"/>
        </w:rPr>
        <w:t>:</w:t>
      </w:r>
    </w:p>
    <w:p w:rsidR="00D127F7" w:rsidRPr="00D127F7" w:rsidRDefault="00D127F7" w:rsidP="00D127F7">
      <w:pPr>
        <w:pStyle w:val="NoSpacing"/>
        <w:spacing w:line="240" w:lineRule="auto"/>
        <w:ind w:left="709" w:hanging="720"/>
        <w:jc w:val="both"/>
        <w:rPr>
          <w:rFonts w:ascii="Arial" w:hAnsi="Arial" w:cs="Arial"/>
        </w:rPr>
      </w:pPr>
      <w:r w:rsidRPr="00D127F7">
        <w:rPr>
          <w:rFonts w:ascii="Arial" w:eastAsia="Calibri" w:hAnsi="Arial" w:cs="Arial"/>
          <w:color w:val="000000"/>
        </w:rPr>
        <w:t>(1)</w:t>
      </w:r>
      <w:r w:rsidRPr="00D127F7">
        <w:rPr>
          <w:rFonts w:ascii="Arial" w:eastAsia="Calibri" w:hAnsi="Arial" w:cs="Arial"/>
          <w:color w:val="000000"/>
        </w:rPr>
        <w:tab/>
        <w:t>With reference to th</w:t>
      </w:r>
      <w:r w:rsidRPr="00D127F7">
        <w:rPr>
          <w:rFonts w:ascii="Arial" w:hAnsi="Arial" w:cs="Arial"/>
        </w:rPr>
        <w:t>e report of his Director-General on 28 August 2019 to the Portfolio Committee on Health</w:t>
      </w:r>
      <w:r w:rsidRPr="00D127F7">
        <w:rPr>
          <w:rFonts w:ascii="Arial" w:hAnsi="Arial" w:cs="Arial"/>
        </w:rPr>
        <w:fldChar w:fldCharType="begin"/>
      </w:r>
      <w:r w:rsidRPr="00D127F7">
        <w:rPr>
          <w:rFonts w:ascii="Arial" w:hAnsi="Arial" w:cs="Arial"/>
        </w:rPr>
        <w:instrText xml:space="preserve"> XE "</w:instrText>
      </w:r>
      <w:r w:rsidRPr="00D127F7">
        <w:rPr>
          <w:rFonts w:ascii="Arial" w:hAnsi="Arial" w:cs="Arial"/>
          <w:b/>
        </w:rPr>
        <w:instrText>Health</w:instrText>
      </w:r>
      <w:r w:rsidRPr="00D127F7">
        <w:rPr>
          <w:rFonts w:ascii="Arial" w:hAnsi="Arial" w:cs="Arial"/>
        </w:rPr>
        <w:instrText xml:space="preserve">" </w:instrText>
      </w:r>
      <w:r w:rsidRPr="00D127F7">
        <w:rPr>
          <w:rFonts w:ascii="Arial" w:hAnsi="Arial" w:cs="Arial"/>
        </w:rPr>
        <w:fldChar w:fldCharType="end"/>
      </w:r>
      <w:r w:rsidRPr="00D127F7">
        <w:rPr>
          <w:rFonts w:ascii="Arial" w:hAnsi="Arial" w:cs="Arial"/>
        </w:rPr>
        <w:t>, with regard to the infant mortality rate and the neonatal mortality rate (details furnished), (a) what are the reasons for the high mortality rate, (b) what preventative measures has his department put in place to combat the high mortality rate and (c) on what date were the preventative measures put in place;</w:t>
      </w:r>
    </w:p>
    <w:p w:rsidR="00786C98" w:rsidRPr="00FB4AF1" w:rsidRDefault="00D127F7" w:rsidP="00D127F7">
      <w:pPr>
        <w:spacing w:before="100" w:beforeAutospacing="1" w:after="100" w:afterAutospacing="1"/>
        <w:jc w:val="both"/>
        <w:rPr>
          <w:sz w:val="24"/>
        </w:rPr>
      </w:pPr>
      <w:r w:rsidRPr="00D127F7">
        <w:rPr>
          <w:lang w:val="af-ZA"/>
        </w:rPr>
        <w:t>(2)</w:t>
      </w:r>
      <w:r w:rsidRPr="00D127F7">
        <w:rPr>
          <w:lang w:val="af-ZA"/>
        </w:rPr>
        <w:tab/>
        <w:t xml:space="preserve">whether </w:t>
      </w:r>
      <w:r w:rsidRPr="00D127F7">
        <w:rPr>
          <w:rFonts w:eastAsia="Calibri"/>
          <w:color w:val="000000"/>
        </w:rPr>
        <w:t>he</w:t>
      </w:r>
      <w:r w:rsidRPr="00D127F7">
        <w:rPr>
          <w:lang w:val="af-ZA"/>
        </w:rPr>
        <w:t xml:space="preserve"> will ma</w:t>
      </w:r>
      <w:r>
        <w:rPr>
          <w:lang w:val="af-ZA"/>
        </w:rPr>
        <w:t>ke a statement on the matter?</w:t>
      </w:r>
    </w:p>
    <w:p w:rsidR="004872D2" w:rsidRPr="004872D2" w:rsidRDefault="004872D2" w:rsidP="004872D2">
      <w:pPr>
        <w:spacing w:before="100" w:beforeAutospacing="1" w:after="100" w:afterAutospacing="1"/>
        <w:ind w:firstLine="11"/>
        <w:jc w:val="right"/>
        <w:rPr>
          <w:b/>
          <w:noProof/>
          <w:sz w:val="12"/>
          <w:szCs w:val="12"/>
          <w:lang w:val="af-ZA"/>
        </w:rPr>
      </w:pPr>
      <w:r w:rsidRPr="004872D2">
        <w:rPr>
          <w:rFonts w:eastAsia="Calibri"/>
          <w:b/>
          <w:noProof/>
          <w:sz w:val="12"/>
          <w:szCs w:val="12"/>
          <w:lang w:val="af-ZA"/>
        </w:rPr>
        <w:t>NW</w:t>
      </w:r>
      <w:r w:rsidR="00FB4AF1">
        <w:rPr>
          <w:rFonts w:eastAsia="Calibri"/>
          <w:b/>
          <w:noProof/>
          <w:sz w:val="12"/>
          <w:szCs w:val="12"/>
          <w:lang w:val="af-ZA"/>
        </w:rPr>
        <w:t>2</w:t>
      </w:r>
      <w:r w:rsidR="00D127F7">
        <w:rPr>
          <w:rFonts w:eastAsia="Calibri"/>
          <w:b/>
          <w:noProof/>
          <w:sz w:val="12"/>
          <w:szCs w:val="12"/>
          <w:lang w:val="af-ZA"/>
        </w:rPr>
        <w:t>132</w:t>
      </w:r>
      <w:r w:rsidR="00F6402A">
        <w:rPr>
          <w:rFonts w:eastAsia="Calibri"/>
          <w:b/>
          <w:noProof/>
          <w:sz w:val="12"/>
          <w:szCs w:val="12"/>
          <w:lang w:val="af-ZA"/>
        </w:rPr>
        <w:t>E</w:t>
      </w:r>
    </w:p>
    <w:p w:rsidR="00927732" w:rsidRPr="00FC4AF8" w:rsidRDefault="00E238C2" w:rsidP="00E017AA">
      <w:pPr>
        <w:pStyle w:val="Heading6"/>
        <w:tabs>
          <w:tab w:val="clear" w:pos="660"/>
          <w:tab w:val="clear" w:pos="864"/>
          <w:tab w:val="clear" w:pos="1440"/>
          <w:tab w:val="left" w:pos="390"/>
          <w:tab w:val="right" w:pos="10204"/>
        </w:tabs>
        <w:ind w:left="0" w:firstLine="0"/>
        <w:jc w:val="left"/>
        <w:rPr>
          <w:b w:val="0"/>
          <w:bCs w:val="0"/>
          <w:sz w:val="24"/>
          <w:u w:val="single"/>
          <w:lang w:val="en-US"/>
        </w:rPr>
      </w:pPr>
      <w:r w:rsidRPr="0034705D">
        <w:rPr>
          <w:sz w:val="24"/>
          <w:u w:val="single"/>
          <w:lang w:val="en-US"/>
        </w:rPr>
        <w:t>REPLY:</w:t>
      </w:r>
    </w:p>
    <w:p w:rsidR="00FC4AF8" w:rsidRPr="00FC4AF8" w:rsidRDefault="00FC4AF8" w:rsidP="00FC4AF8">
      <w:pPr>
        <w:pStyle w:val="ListParagraph"/>
        <w:numPr>
          <w:ilvl w:val="0"/>
          <w:numId w:val="49"/>
        </w:numPr>
        <w:spacing w:before="200"/>
        <w:ind w:hanging="720"/>
        <w:rPr>
          <w:bCs/>
          <w:sz w:val="24"/>
          <w:lang w:val="en-US"/>
        </w:rPr>
      </w:pPr>
      <w:r w:rsidRPr="00FC4AF8">
        <w:rPr>
          <w:bCs/>
          <w:sz w:val="24"/>
          <w:lang w:val="en-US"/>
        </w:rPr>
        <w:t>(a)</w:t>
      </w:r>
      <w:r w:rsidRPr="00FC4AF8">
        <w:rPr>
          <w:bCs/>
          <w:sz w:val="24"/>
          <w:lang w:val="en-US"/>
        </w:rPr>
        <w:tab/>
      </w:r>
      <w:r w:rsidRPr="00FC4AF8">
        <w:rPr>
          <w:sz w:val="24"/>
        </w:rPr>
        <w:t>The reasons for the high infant mortality rate and the neonatal mortality rates are:</w:t>
      </w:r>
    </w:p>
    <w:p w:rsidR="00FC4AF8" w:rsidRPr="00FC4AF8" w:rsidRDefault="00FC4AF8" w:rsidP="00FC4AF8">
      <w:pPr>
        <w:pStyle w:val="ListParagraph"/>
        <w:spacing w:before="200"/>
        <w:rPr>
          <w:bCs/>
          <w:sz w:val="24"/>
          <w:lang w:val="en-US"/>
        </w:rPr>
      </w:pPr>
    </w:p>
    <w:p w:rsidR="00FC4AF8" w:rsidRDefault="00FC4AF8" w:rsidP="00FC4AF8">
      <w:pPr>
        <w:pStyle w:val="CommentText"/>
        <w:numPr>
          <w:ilvl w:val="0"/>
          <w:numId w:val="50"/>
        </w:numPr>
        <w:spacing w:after="0"/>
        <w:ind w:hanging="214"/>
        <w:rPr>
          <w:rFonts w:ascii="Arial" w:hAnsi="Arial" w:cs="Arial"/>
          <w:sz w:val="24"/>
          <w:szCs w:val="24"/>
        </w:rPr>
      </w:pPr>
      <w:r w:rsidRPr="00FC4AF8">
        <w:rPr>
          <w:rFonts w:ascii="Arial" w:hAnsi="Arial" w:cs="Arial"/>
          <w:sz w:val="24"/>
          <w:szCs w:val="24"/>
        </w:rPr>
        <w:tab/>
        <w:t>Severe prematurity</w:t>
      </w:r>
      <w:r>
        <w:rPr>
          <w:rFonts w:ascii="Arial" w:hAnsi="Arial" w:cs="Arial"/>
          <w:sz w:val="24"/>
          <w:szCs w:val="24"/>
        </w:rPr>
        <w:t>;</w:t>
      </w:r>
    </w:p>
    <w:p w:rsidR="00FC4AF8" w:rsidRDefault="00FC4AF8" w:rsidP="00FC4AF8">
      <w:pPr>
        <w:pStyle w:val="CommentText"/>
        <w:numPr>
          <w:ilvl w:val="0"/>
          <w:numId w:val="50"/>
        </w:numPr>
        <w:spacing w:after="0"/>
        <w:ind w:hanging="214"/>
        <w:rPr>
          <w:rFonts w:ascii="Arial" w:hAnsi="Arial" w:cs="Arial"/>
          <w:sz w:val="24"/>
          <w:szCs w:val="24"/>
        </w:rPr>
      </w:pPr>
      <w:r w:rsidRPr="00FC4AF8">
        <w:rPr>
          <w:rFonts w:ascii="Arial" w:hAnsi="Arial" w:cs="Arial"/>
          <w:sz w:val="24"/>
          <w:szCs w:val="24"/>
        </w:rPr>
        <w:t>Birth asphyxia;</w:t>
      </w:r>
    </w:p>
    <w:p w:rsidR="00FC4AF8" w:rsidRDefault="00FC4AF8" w:rsidP="00FC4AF8">
      <w:pPr>
        <w:pStyle w:val="CommentText"/>
        <w:numPr>
          <w:ilvl w:val="0"/>
          <w:numId w:val="50"/>
        </w:numPr>
        <w:spacing w:after="0"/>
        <w:ind w:hanging="214"/>
        <w:rPr>
          <w:rFonts w:ascii="Arial" w:hAnsi="Arial" w:cs="Arial"/>
          <w:sz w:val="24"/>
          <w:szCs w:val="24"/>
        </w:rPr>
      </w:pPr>
      <w:r w:rsidRPr="00FC4AF8">
        <w:rPr>
          <w:rFonts w:ascii="Arial" w:hAnsi="Arial" w:cs="Arial"/>
          <w:sz w:val="24"/>
          <w:szCs w:val="24"/>
        </w:rPr>
        <w:t>Infections;</w:t>
      </w:r>
    </w:p>
    <w:p w:rsidR="00FC4AF8" w:rsidRDefault="00FC4AF8" w:rsidP="00FC4AF8">
      <w:pPr>
        <w:pStyle w:val="CommentText"/>
        <w:numPr>
          <w:ilvl w:val="0"/>
          <w:numId w:val="50"/>
        </w:numPr>
        <w:spacing w:after="0"/>
        <w:ind w:hanging="214"/>
        <w:rPr>
          <w:rFonts w:ascii="Arial" w:hAnsi="Arial" w:cs="Arial"/>
          <w:sz w:val="24"/>
          <w:szCs w:val="24"/>
        </w:rPr>
      </w:pPr>
      <w:r w:rsidRPr="00FC4AF8">
        <w:rPr>
          <w:rFonts w:ascii="Arial" w:hAnsi="Arial" w:cs="Arial"/>
          <w:sz w:val="24"/>
          <w:szCs w:val="24"/>
        </w:rPr>
        <w:t>Severe congenital disorders;</w:t>
      </w:r>
    </w:p>
    <w:p w:rsidR="00FC4AF8" w:rsidRDefault="00FC4AF8" w:rsidP="00FC4AF8">
      <w:pPr>
        <w:pStyle w:val="CommentText"/>
        <w:numPr>
          <w:ilvl w:val="0"/>
          <w:numId w:val="50"/>
        </w:numPr>
        <w:spacing w:after="0"/>
        <w:ind w:hanging="214"/>
        <w:rPr>
          <w:rFonts w:ascii="Arial" w:hAnsi="Arial" w:cs="Arial"/>
          <w:sz w:val="24"/>
          <w:szCs w:val="24"/>
        </w:rPr>
      </w:pPr>
      <w:proofErr w:type="spellStart"/>
      <w:r w:rsidRPr="00FC4AF8">
        <w:rPr>
          <w:rFonts w:ascii="Arial" w:hAnsi="Arial" w:cs="Arial"/>
          <w:sz w:val="24"/>
          <w:szCs w:val="24"/>
        </w:rPr>
        <w:t>Diarrhoeal</w:t>
      </w:r>
      <w:proofErr w:type="spellEnd"/>
      <w:r w:rsidRPr="00FC4AF8">
        <w:rPr>
          <w:rFonts w:ascii="Arial" w:hAnsi="Arial" w:cs="Arial"/>
          <w:sz w:val="24"/>
          <w:szCs w:val="24"/>
        </w:rPr>
        <w:t xml:space="preserve"> disease;</w:t>
      </w:r>
    </w:p>
    <w:p w:rsidR="00FC4AF8" w:rsidRDefault="00FC4AF8" w:rsidP="00FC4AF8">
      <w:pPr>
        <w:pStyle w:val="CommentText"/>
        <w:numPr>
          <w:ilvl w:val="0"/>
          <w:numId w:val="50"/>
        </w:numPr>
        <w:spacing w:after="0"/>
        <w:ind w:hanging="214"/>
        <w:rPr>
          <w:rFonts w:ascii="Arial" w:hAnsi="Arial" w:cs="Arial"/>
          <w:sz w:val="24"/>
          <w:szCs w:val="24"/>
        </w:rPr>
      </w:pPr>
      <w:r w:rsidRPr="00FC4AF8">
        <w:rPr>
          <w:rFonts w:ascii="Arial" w:hAnsi="Arial" w:cs="Arial"/>
          <w:sz w:val="24"/>
          <w:szCs w:val="24"/>
        </w:rPr>
        <w:t>Pneumonia;</w:t>
      </w:r>
    </w:p>
    <w:p w:rsidR="00FC4AF8" w:rsidRDefault="00FC4AF8" w:rsidP="00FC4AF8">
      <w:pPr>
        <w:pStyle w:val="CommentText"/>
        <w:numPr>
          <w:ilvl w:val="0"/>
          <w:numId w:val="50"/>
        </w:numPr>
        <w:spacing w:after="0"/>
        <w:ind w:hanging="214"/>
        <w:rPr>
          <w:rFonts w:ascii="Arial" w:hAnsi="Arial" w:cs="Arial"/>
          <w:sz w:val="24"/>
          <w:szCs w:val="24"/>
        </w:rPr>
      </w:pPr>
      <w:r w:rsidRPr="00FC4AF8">
        <w:rPr>
          <w:rFonts w:ascii="Arial" w:hAnsi="Arial" w:cs="Arial"/>
          <w:sz w:val="24"/>
          <w:szCs w:val="24"/>
        </w:rPr>
        <w:t>HIV/AIDS;  and</w:t>
      </w:r>
    </w:p>
    <w:p w:rsidR="00FC4AF8" w:rsidRPr="00FC4AF8" w:rsidRDefault="00FC4AF8" w:rsidP="00FC4AF8">
      <w:pPr>
        <w:pStyle w:val="CommentText"/>
        <w:numPr>
          <w:ilvl w:val="0"/>
          <w:numId w:val="50"/>
        </w:numPr>
        <w:spacing w:after="0"/>
        <w:ind w:hanging="214"/>
        <w:rPr>
          <w:rFonts w:ascii="Arial" w:hAnsi="Arial" w:cs="Arial"/>
          <w:sz w:val="24"/>
          <w:szCs w:val="24"/>
        </w:rPr>
      </w:pPr>
      <w:r w:rsidRPr="00FC4AF8">
        <w:rPr>
          <w:rFonts w:ascii="Arial" w:hAnsi="Arial" w:cs="Arial"/>
          <w:sz w:val="24"/>
          <w:szCs w:val="24"/>
        </w:rPr>
        <w:t>Injuries.</w:t>
      </w:r>
    </w:p>
    <w:p w:rsidR="00FC4AF8" w:rsidRPr="00FC4AF8" w:rsidRDefault="00FC4AF8" w:rsidP="00FC4AF8">
      <w:pPr>
        <w:pStyle w:val="NoSpacing"/>
        <w:tabs>
          <w:tab w:val="left" w:pos="1560"/>
        </w:tabs>
        <w:spacing w:line="240" w:lineRule="auto"/>
        <w:ind w:left="1560" w:hanging="840"/>
        <w:jc w:val="both"/>
        <w:rPr>
          <w:rFonts w:ascii="Arial" w:hAnsi="Arial" w:cs="Arial"/>
        </w:rPr>
      </w:pPr>
      <w:r>
        <w:rPr>
          <w:rFonts w:ascii="Arial" w:hAnsi="Arial" w:cs="Arial"/>
        </w:rPr>
        <w:t>(</w:t>
      </w:r>
      <w:r w:rsidRPr="00FC4AF8">
        <w:rPr>
          <w:rFonts w:ascii="Arial" w:hAnsi="Arial" w:cs="Arial"/>
        </w:rPr>
        <w:t>b)-(c)</w:t>
      </w:r>
      <w:r w:rsidRPr="00FC4AF8">
        <w:rPr>
          <w:rFonts w:ascii="Arial" w:hAnsi="Arial" w:cs="Arial"/>
        </w:rPr>
        <w:tab/>
        <w:t xml:space="preserve">Health sector preventive measure to address the causes of neonatal and infant mortality rates and date put in place are summarized in the table below. </w:t>
      </w:r>
    </w:p>
    <w:tbl>
      <w:tblPr>
        <w:tblStyle w:val="TableGrid"/>
        <w:tblW w:w="9242" w:type="dxa"/>
        <w:tblInd w:w="1101" w:type="dxa"/>
        <w:tblLook w:val="04A0" w:firstRow="1" w:lastRow="0" w:firstColumn="1" w:lastColumn="0" w:noHBand="0" w:noVBand="1"/>
      </w:tblPr>
      <w:tblGrid>
        <w:gridCol w:w="5415"/>
        <w:gridCol w:w="3827"/>
      </w:tblGrid>
      <w:tr w:rsidR="00FC4AF8" w:rsidRPr="00233ED5" w:rsidTr="00233ED5">
        <w:tc>
          <w:tcPr>
            <w:tcW w:w="5415" w:type="dxa"/>
            <w:tcBorders>
              <w:bottom w:val="nil"/>
            </w:tcBorders>
          </w:tcPr>
          <w:p w:rsidR="00FC4AF8" w:rsidRPr="00233ED5" w:rsidRDefault="00FC4AF8" w:rsidP="00217AC0">
            <w:pPr>
              <w:jc w:val="center"/>
              <w:rPr>
                <w:b/>
                <w:szCs w:val="22"/>
              </w:rPr>
            </w:pPr>
            <w:r w:rsidRPr="00233ED5">
              <w:rPr>
                <w:b/>
                <w:szCs w:val="22"/>
              </w:rPr>
              <w:t>Preventive measures</w:t>
            </w:r>
          </w:p>
        </w:tc>
        <w:tc>
          <w:tcPr>
            <w:tcW w:w="3827" w:type="dxa"/>
            <w:tcBorders>
              <w:bottom w:val="nil"/>
            </w:tcBorders>
          </w:tcPr>
          <w:p w:rsidR="00FC4AF8" w:rsidRPr="00233ED5" w:rsidRDefault="00FC4AF8" w:rsidP="00217AC0">
            <w:pPr>
              <w:jc w:val="center"/>
              <w:rPr>
                <w:b/>
                <w:szCs w:val="22"/>
              </w:rPr>
            </w:pPr>
            <w:r w:rsidRPr="00233ED5">
              <w:rPr>
                <w:b/>
                <w:szCs w:val="22"/>
              </w:rPr>
              <w:t>Date put in place</w:t>
            </w:r>
          </w:p>
        </w:tc>
      </w:tr>
      <w:tr w:rsidR="00FC4AF8" w:rsidRPr="00233ED5" w:rsidTr="00233ED5">
        <w:tc>
          <w:tcPr>
            <w:tcW w:w="5415" w:type="dxa"/>
            <w:tcBorders>
              <w:top w:val="nil"/>
            </w:tcBorders>
          </w:tcPr>
          <w:p w:rsidR="00FC4AF8" w:rsidRPr="00233ED5" w:rsidRDefault="00FC4AF8" w:rsidP="00217AC0">
            <w:pPr>
              <w:jc w:val="center"/>
              <w:rPr>
                <w:b/>
                <w:szCs w:val="22"/>
              </w:rPr>
            </w:pPr>
            <w:r w:rsidRPr="00233ED5">
              <w:rPr>
                <w:b/>
                <w:szCs w:val="22"/>
              </w:rPr>
              <w:t>(1)(b)</w:t>
            </w:r>
          </w:p>
        </w:tc>
        <w:tc>
          <w:tcPr>
            <w:tcW w:w="3827" w:type="dxa"/>
            <w:tcBorders>
              <w:top w:val="nil"/>
            </w:tcBorders>
          </w:tcPr>
          <w:p w:rsidR="00FC4AF8" w:rsidRPr="00233ED5" w:rsidRDefault="00FC4AF8" w:rsidP="00217AC0">
            <w:pPr>
              <w:jc w:val="center"/>
              <w:rPr>
                <w:b/>
                <w:szCs w:val="22"/>
              </w:rPr>
            </w:pPr>
            <w:r w:rsidRPr="00233ED5">
              <w:rPr>
                <w:b/>
                <w:szCs w:val="22"/>
              </w:rPr>
              <w:t>(1)(c)</w:t>
            </w:r>
          </w:p>
        </w:tc>
      </w:tr>
      <w:tr w:rsidR="00FC4AF8" w:rsidRPr="00233ED5" w:rsidTr="00233ED5">
        <w:tc>
          <w:tcPr>
            <w:tcW w:w="5415" w:type="dxa"/>
          </w:tcPr>
          <w:p w:rsidR="00FC4AF8" w:rsidRPr="00233ED5" w:rsidRDefault="00FC4AF8" w:rsidP="00217AC0">
            <w:pPr>
              <w:rPr>
                <w:szCs w:val="22"/>
              </w:rPr>
            </w:pPr>
            <w:r w:rsidRPr="00233ED5">
              <w:rPr>
                <w:szCs w:val="22"/>
              </w:rPr>
              <w:t>Integrated Management of Childhood Illnesses</w:t>
            </w:r>
          </w:p>
        </w:tc>
        <w:tc>
          <w:tcPr>
            <w:tcW w:w="3827" w:type="dxa"/>
          </w:tcPr>
          <w:p w:rsidR="00FC4AF8" w:rsidRPr="00233ED5" w:rsidRDefault="00FC4AF8" w:rsidP="00217AC0">
            <w:pPr>
              <w:rPr>
                <w:szCs w:val="22"/>
              </w:rPr>
            </w:pPr>
            <w:r w:rsidRPr="00233ED5">
              <w:rPr>
                <w:szCs w:val="22"/>
              </w:rPr>
              <w:t>1996</w:t>
            </w:r>
          </w:p>
        </w:tc>
      </w:tr>
      <w:tr w:rsidR="00FC4AF8" w:rsidRPr="00233ED5" w:rsidTr="00233ED5">
        <w:tc>
          <w:tcPr>
            <w:tcW w:w="5415" w:type="dxa"/>
          </w:tcPr>
          <w:p w:rsidR="00FC4AF8" w:rsidRPr="00233ED5" w:rsidRDefault="00FC4AF8" w:rsidP="00217AC0">
            <w:pPr>
              <w:rPr>
                <w:szCs w:val="22"/>
              </w:rPr>
            </w:pPr>
            <w:r w:rsidRPr="00233ED5">
              <w:rPr>
                <w:szCs w:val="22"/>
              </w:rPr>
              <w:t>Prevention of vertical (mother-to-child) transmission of HIV infection.</w:t>
            </w:r>
          </w:p>
        </w:tc>
        <w:tc>
          <w:tcPr>
            <w:tcW w:w="3827" w:type="dxa"/>
          </w:tcPr>
          <w:p w:rsidR="00FC4AF8" w:rsidRPr="00233ED5" w:rsidRDefault="00FC4AF8" w:rsidP="00217AC0">
            <w:pPr>
              <w:rPr>
                <w:szCs w:val="22"/>
              </w:rPr>
            </w:pPr>
            <w:r w:rsidRPr="00233ED5">
              <w:rPr>
                <w:szCs w:val="22"/>
              </w:rPr>
              <w:t xml:space="preserve">The PMTCT guidelines began in 2002, and it is revised periodically to include new evidence and the latest revision is the 2019 version </w:t>
            </w:r>
          </w:p>
        </w:tc>
      </w:tr>
      <w:tr w:rsidR="00FC4AF8" w:rsidRPr="00233ED5" w:rsidTr="00233ED5">
        <w:tc>
          <w:tcPr>
            <w:tcW w:w="5415" w:type="dxa"/>
          </w:tcPr>
          <w:p w:rsidR="00FC4AF8" w:rsidRPr="00233ED5" w:rsidRDefault="00FC4AF8" w:rsidP="00217AC0">
            <w:pPr>
              <w:rPr>
                <w:szCs w:val="22"/>
              </w:rPr>
            </w:pPr>
            <w:r w:rsidRPr="00233ED5">
              <w:rPr>
                <w:szCs w:val="22"/>
              </w:rPr>
              <w:t>Comprehensive care, management and treatment of HIV infected children.</w:t>
            </w:r>
          </w:p>
        </w:tc>
        <w:tc>
          <w:tcPr>
            <w:tcW w:w="3827" w:type="dxa"/>
          </w:tcPr>
          <w:p w:rsidR="00FC4AF8" w:rsidRPr="00233ED5" w:rsidRDefault="00FC4AF8" w:rsidP="00217AC0">
            <w:pPr>
              <w:rPr>
                <w:szCs w:val="22"/>
              </w:rPr>
            </w:pPr>
            <w:r w:rsidRPr="00233ED5">
              <w:rPr>
                <w:szCs w:val="22"/>
              </w:rPr>
              <w:t>2004</w:t>
            </w:r>
          </w:p>
        </w:tc>
      </w:tr>
      <w:tr w:rsidR="00FC4AF8" w:rsidRPr="00233ED5" w:rsidTr="00233ED5">
        <w:tc>
          <w:tcPr>
            <w:tcW w:w="5415" w:type="dxa"/>
          </w:tcPr>
          <w:p w:rsidR="00FC4AF8" w:rsidRPr="00233ED5" w:rsidRDefault="00FC4AF8" w:rsidP="00217AC0">
            <w:pPr>
              <w:rPr>
                <w:szCs w:val="22"/>
              </w:rPr>
            </w:pPr>
            <w:r w:rsidRPr="00233ED5">
              <w:rPr>
                <w:szCs w:val="22"/>
              </w:rPr>
              <w:t>Immunization against pneumococcal and rotavirus infection to protect children against the commonest forms of diarrhoea and pneumonia.</w:t>
            </w:r>
          </w:p>
        </w:tc>
        <w:tc>
          <w:tcPr>
            <w:tcW w:w="3827" w:type="dxa"/>
          </w:tcPr>
          <w:p w:rsidR="00FC4AF8" w:rsidRPr="00233ED5" w:rsidRDefault="00FC4AF8" w:rsidP="00217AC0">
            <w:pPr>
              <w:rPr>
                <w:szCs w:val="22"/>
              </w:rPr>
            </w:pPr>
            <w:r w:rsidRPr="00233ED5">
              <w:rPr>
                <w:szCs w:val="22"/>
              </w:rPr>
              <w:t>2009</w:t>
            </w:r>
          </w:p>
        </w:tc>
      </w:tr>
      <w:tr w:rsidR="00FC4AF8" w:rsidRPr="00233ED5" w:rsidTr="00233ED5">
        <w:tc>
          <w:tcPr>
            <w:tcW w:w="5415" w:type="dxa"/>
            <w:tcBorders>
              <w:bottom w:val="single" w:sz="4" w:space="0" w:color="auto"/>
            </w:tcBorders>
          </w:tcPr>
          <w:p w:rsidR="00FC4AF8" w:rsidRPr="00233ED5" w:rsidRDefault="00FC4AF8" w:rsidP="00217AC0">
            <w:pPr>
              <w:rPr>
                <w:szCs w:val="22"/>
              </w:rPr>
            </w:pPr>
            <w:r w:rsidRPr="00233ED5">
              <w:rPr>
                <w:szCs w:val="22"/>
              </w:rPr>
              <w:t>Promotion of breastfeeding especially exclusive breastfeeding for 6 months.</w:t>
            </w:r>
          </w:p>
        </w:tc>
        <w:tc>
          <w:tcPr>
            <w:tcW w:w="3827" w:type="dxa"/>
            <w:tcBorders>
              <w:bottom w:val="single" w:sz="4" w:space="0" w:color="auto"/>
            </w:tcBorders>
          </w:tcPr>
          <w:p w:rsidR="00FC4AF8" w:rsidRPr="00233ED5" w:rsidRDefault="00FC4AF8" w:rsidP="00217AC0">
            <w:pPr>
              <w:rPr>
                <w:szCs w:val="22"/>
              </w:rPr>
            </w:pPr>
            <w:r w:rsidRPr="00233ED5">
              <w:rPr>
                <w:szCs w:val="22"/>
              </w:rPr>
              <w:t>The Tshwane Declaration in 2011.</w:t>
            </w:r>
          </w:p>
        </w:tc>
      </w:tr>
      <w:tr w:rsidR="00FC4AF8" w:rsidRPr="00233ED5" w:rsidTr="00233ED5">
        <w:tc>
          <w:tcPr>
            <w:tcW w:w="5415" w:type="dxa"/>
          </w:tcPr>
          <w:p w:rsidR="00FC4AF8" w:rsidRPr="00233ED5" w:rsidRDefault="00FC4AF8" w:rsidP="00217AC0">
            <w:pPr>
              <w:rPr>
                <w:szCs w:val="22"/>
              </w:rPr>
            </w:pPr>
            <w:r w:rsidRPr="00233ED5">
              <w:rPr>
                <w:szCs w:val="22"/>
              </w:rPr>
              <w:t>The improvement of staff skills through the Essential Steps for Management of Obstetric Emergencies (ESMOE)- so that they are able to manage high risk pregnancies which may result in neonatal deaths.</w:t>
            </w:r>
          </w:p>
        </w:tc>
        <w:tc>
          <w:tcPr>
            <w:tcW w:w="3827" w:type="dxa"/>
          </w:tcPr>
          <w:p w:rsidR="00FC4AF8" w:rsidRPr="00233ED5" w:rsidRDefault="00FC4AF8" w:rsidP="00217AC0">
            <w:pPr>
              <w:rPr>
                <w:szCs w:val="22"/>
              </w:rPr>
            </w:pPr>
            <w:r w:rsidRPr="00233ED5">
              <w:rPr>
                <w:szCs w:val="22"/>
              </w:rPr>
              <w:t>2010</w:t>
            </w:r>
          </w:p>
        </w:tc>
      </w:tr>
      <w:tr w:rsidR="00FC4AF8" w:rsidRPr="00233ED5" w:rsidTr="00233ED5">
        <w:tc>
          <w:tcPr>
            <w:tcW w:w="5415" w:type="dxa"/>
          </w:tcPr>
          <w:p w:rsidR="00FC4AF8" w:rsidRPr="00233ED5" w:rsidRDefault="00FC4AF8" w:rsidP="00217AC0">
            <w:pPr>
              <w:rPr>
                <w:szCs w:val="22"/>
              </w:rPr>
            </w:pPr>
            <w:r w:rsidRPr="00233ED5">
              <w:rPr>
                <w:szCs w:val="22"/>
              </w:rPr>
              <w:lastRenderedPageBreak/>
              <w:t>Introduction of District Clinical Specialist Teams and Ward-based Outreach teams.</w:t>
            </w:r>
          </w:p>
        </w:tc>
        <w:tc>
          <w:tcPr>
            <w:tcW w:w="3827" w:type="dxa"/>
          </w:tcPr>
          <w:p w:rsidR="00FC4AF8" w:rsidRPr="00233ED5" w:rsidRDefault="00FC4AF8" w:rsidP="00217AC0">
            <w:pPr>
              <w:rPr>
                <w:szCs w:val="22"/>
              </w:rPr>
            </w:pPr>
            <w:r w:rsidRPr="00233ED5">
              <w:rPr>
                <w:szCs w:val="22"/>
              </w:rPr>
              <w:t>2012</w:t>
            </w:r>
          </w:p>
          <w:p w:rsidR="00FC4AF8" w:rsidRPr="00233ED5" w:rsidRDefault="00FC4AF8" w:rsidP="00217AC0">
            <w:pPr>
              <w:rPr>
                <w:szCs w:val="22"/>
              </w:rPr>
            </w:pPr>
          </w:p>
        </w:tc>
      </w:tr>
      <w:tr w:rsidR="00FC4AF8" w:rsidRPr="00233ED5" w:rsidTr="00233ED5">
        <w:tc>
          <w:tcPr>
            <w:tcW w:w="5415" w:type="dxa"/>
          </w:tcPr>
          <w:p w:rsidR="00FC4AF8" w:rsidRPr="00233ED5" w:rsidRDefault="00FC4AF8" w:rsidP="00217AC0">
            <w:pPr>
              <w:rPr>
                <w:szCs w:val="22"/>
              </w:rPr>
            </w:pPr>
            <w:r w:rsidRPr="00233ED5">
              <w:rPr>
                <w:szCs w:val="22"/>
              </w:rPr>
              <w:t>Helping Babies Breathe (HBB) and Management of Small and Sick Neonates (MSSN).</w:t>
            </w:r>
          </w:p>
        </w:tc>
        <w:tc>
          <w:tcPr>
            <w:tcW w:w="3827" w:type="dxa"/>
          </w:tcPr>
          <w:p w:rsidR="00FC4AF8" w:rsidRPr="00233ED5" w:rsidRDefault="00FC4AF8" w:rsidP="00217AC0">
            <w:pPr>
              <w:rPr>
                <w:szCs w:val="22"/>
              </w:rPr>
            </w:pPr>
            <w:r w:rsidRPr="00233ED5">
              <w:rPr>
                <w:szCs w:val="22"/>
              </w:rPr>
              <w:t>2013</w:t>
            </w:r>
          </w:p>
        </w:tc>
      </w:tr>
      <w:tr w:rsidR="00FC4AF8" w:rsidRPr="00233ED5" w:rsidTr="00233ED5">
        <w:tc>
          <w:tcPr>
            <w:tcW w:w="5415" w:type="dxa"/>
          </w:tcPr>
          <w:p w:rsidR="00FC4AF8" w:rsidRPr="00233ED5" w:rsidRDefault="00FC4AF8" w:rsidP="00217AC0">
            <w:pPr>
              <w:pStyle w:val="NoSpacing"/>
              <w:spacing w:line="240" w:lineRule="auto"/>
              <w:jc w:val="both"/>
              <w:rPr>
                <w:rFonts w:ascii="Arial" w:hAnsi="Arial" w:cs="Arial"/>
                <w:sz w:val="22"/>
                <w:szCs w:val="22"/>
              </w:rPr>
            </w:pPr>
            <w:r w:rsidRPr="00233ED5">
              <w:rPr>
                <w:rFonts w:ascii="Arial" w:hAnsi="Arial" w:cs="Arial"/>
                <w:sz w:val="22"/>
                <w:szCs w:val="22"/>
              </w:rPr>
              <w:t>Continuous Positive Airway Pressure (CPAP) to manage very small babies.</w:t>
            </w:r>
          </w:p>
        </w:tc>
        <w:tc>
          <w:tcPr>
            <w:tcW w:w="3827" w:type="dxa"/>
          </w:tcPr>
          <w:p w:rsidR="00FC4AF8" w:rsidRPr="00233ED5" w:rsidRDefault="00FC4AF8" w:rsidP="00217AC0">
            <w:pPr>
              <w:rPr>
                <w:szCs w:val="22"/>
              </w:rPr>
            </w:pPr>
            <w:r w:rsidRPr="00233ED5">
              <w:rPr>
                <w:szCs w:val="22"/>
              </w:rPr>
              <w:t>2015</w:t>
            </w:r>
          </w:p>
        </w:tc>
      </w:tr>
      <w:tr w:rsidR="00FC4AF8" w:rsidRPr="00233ED5" w:rsidTr="00233ED5">
        <w:tc>
          <w:tcPr>
            <w:tcW w:w="5415" w:type="dxa"/>
          </w:tcPr>
          <w:p w:rsidR="00FC4AF8" w:rsidRPr="00233ED5" w:rsidRDefault="00FC4AF8" w:rsidP="00217AC0">
            <w:pPr>
              <w:rPr>
                <w:szCs w:val="22"/>
              </w:rPr>
            </w:pPr>
            <w:r w:rsidRPr="00233ED5">
              <w:rPr>
                <w:szCs w:val="22"/>
              </w:rPr>
              <w:t>Basic Antenatal Care Plus (BANC Plus) which is the increase of antenatal visits to 8 visits during the pregnancy period so that abnormalities such as hypertension can be detected early and managed to prevent stillbirths.</w:t>
            </w:r>
          </w:p>
        </w:tc>
        <w:tc>
          <w:tcPr>
            <w:tcW w:w="3827" w:type="dxa"/>
          </w:tcPr>
          <w:p w:rsidR="00FC4AF8" w:rsidRPr="00233ED5" w:rsidRDefault="00FC4AF8" w:rsidP="00217AC0">
            <w:pPr>
              <w:rPr>
                <w:szCs w:val="22"/>
              </w:rPr>
            </w:pPr>
            <w:r w:rsidRPr="00233ED5">
              <w:rPr>
                <w:szCs w:val="22"/>
              </w:rPr>
              <w:t>2017</w:t>
            </w:r>
          </w:p>
        </w:tc>
      </w:tr>
      <w:tr w:rsidR="00FC4AF8" w:rsidRPr="00233ED5" w:rsidTr="00233ED5">
        <w:tc>
          <w:tcPr>
            <w:tcW w:w="5415" w:type="dxa"/>
          </w:tcPr>
          <w:p w:rsidR="00FC4AF8" w:rsidRPr="00233ED5" w:rsidRDefault="00FC4AF8" w:rsidP="00217AC0">
            <w:pPr>
              <w:pStyle w:val="NoSpacing"/>
              <w:spacing w:line="240" w:lineRule="auto"/>
              <w:rPr>
                <w:rFonts w:ascii="Arial" w:hAnsi="Arial" w:cs="Arial"/>
                <w:sz w:val="22"/>
                <w:szCs w:val="22"/>
              </w:rPr>
            </w:pPr>
            <w:r w:rsidRPr="00233ED5">
              <w:rPr>
                <w:rFonts w:ascii="Arial" w:hAnsi="Arial" w:cs="Arial"/>
                <w:sz w:val="22"/>
                <w:szCs w:val="22"/>
              </w:rPr>
              <w:t xml:space="preserve">Safe </w:t>
            </w:r>
            <w:proofErr w:type="spellStart"/>
            <w:r w:rsidRPr="00233ED5">
              <w:rPr>
                <w:rFonts w:ascii="Arial" w:hAnsi="Arial" w:cs="Arial"/>
                <w:sz w:val="22"/>
                <w:szCs w:val="22"/>
              </w:rPr>
              <w:t>Ceasarean</w:t>
            </w:r>
            <w:proofErr w:type="spellEnd"/>
            <w:r w:rsidRPr="00233ED5">
              <w:rPr>
                <w:rFonts w:ascii="Arial" w:hAnsi="Arial" w:cs="Arial"/>
                <w:sz w:val="22"/>
                <w:szCs w:val="22"/>
              </w:rPr>
              <w:t xml:space="preserve"> Section Standards for </w:t>
            </w:r>
            <w:proofErr w:type="spellStart"/>
            <w:r w:rsidRPr="00233ED5">
              <w:rPr>
                <w:rFonts w:ascii="Arial" w:hAnsi="Arial" w:cs="Arial"/>
                <w:sz w:val="22"/>
                <w:szCs w:val="22"/>
              </w:rPr>
              <w:t>accre-ditation</w:t>
            </w:r>
            <w:proofErr w:type="spellEnd"/>
            <w:r w:rsidRPr="00233ED5">
              <w:rPr>
                <w:rFonts w:ascii="Arial" w:hAnsi="Arial" w:cs="Arial"/>
                <w:sz w:val="22"/>
                <w:szCs w:val="22"/>
              </w:rPr>
              <w:t xml:space="preserve"> of hospitals to be able to conduct high risk pregnancies safely.</w:t>
            </w:r>
          </w:p>
        </w:tc>
        <w:tc>
          <w:tcPr>
            <w:tcW w:w="3827" w:type="dxa"/>
          </w:tcPr>
          <w:p w:rsidR="00FC4AF8" w:rsidRPr="00233ED5" w:rsidRDefault="00FC4AF8" w:rsidP="00217AC0">
            <w:pPr>
              <w:rPr>
                <w:szCs w:val="22"/>
              </w:rPr>
            </w:pPr>
            <w:r w:rsidRPr="00233ED5">
              <w:rPr>
                <w:szCs w:val="22"/>
              </w:rPr>
              <w:t>2017</w:t>
            </w:r>
          </w:p>
        </w:tc>
      </w:tr>
      <w:tr w:rsidR="00FC4AF8" w:rsidRPr="00233ED5" w:rsidTr="00233ED5">
        <w:tc>
          <w:tcPr>
            <w:tcW w:w="5415" w:type="dxa"/>
          </w:tcPr>
          <w:p w:rsidR="00FC4AF8" w:rsidRPr="00233ED5" w:rsidRDefault="00FC4AF8" w:rsidP="00217AC0">
            <w:pPr>
              <w:rPr>
                <w:szCs w:val="22"/>
              </w:rPr>
            </w:pPr>
            <w:r w:rsidRPr="00233ED5">
              <w:rPr>
                <w:szCs w:val="22"/>
              </w:rPr>
              <w:t>Side by side under-five campa</w:t>
            </w:r>
            <w:bookmarkStart w:id="0" w:name="_GoBack"/>
            <w:bookmarkEnd w:id="0"/>
            <w:r w:rsidRPr="00233ED5">
              <w:rPr>
                <w:szCs w:val="22"/>
              </w:rPr>
              <w:t>ign.</w:t>
            </w:r>
          </w:p>
        </w:tc>
        <w:tc>
          <w:tcPr>
            <w:tcW w:w="3827" w:type="dxa"/>
          </w:tcPr>
          <w:p w:rsidR="00FC4AF8" w:rsidRPr="00233ED5" w:rsidRDefault="00FC4AF8" w:rsidP="00217AC0">
            <w:pPr>
              <w:rPr>
                <w:szCs w:val="22"/>
              </w:rPr>
            </w:pPr>
            <w:r w:rsidRPr="00233ED5">
              <w:rPr>
                <w:szCs w:val="22"/>
              </w:rPr>
              <w:t>April 2018</w:t>
            </w:r>
          </w:p>
        </w:tc>
      </w:tr>
    </w:tbl>
    <w:p w:rsidR="00FC4AF8" w:rsidRPr="00FC4AF8" w:rsidRDefault="00FC4AF8" w:rsidP="00FC4AF8">
      <w:pPr>
        <w:tabs>
          <w:tab w:val="left" w:pos="2220"/>
        </w:tabs>
        <w:spacing w:line="360" w:lineRule="auto"/>
        <w:jc w:val="both"/>
        <w:rPr>
          <w:sz w:val="24"/>
        </w:rPr>
      </w:pPr>
    </w:p>
    <w:p w:rsidR="00FC4AF8" w:rsidRPr="00FC4AF8" w:rsidRDefault="00FC4AF8" w:rsidP="00FC4AF8">
      <w:pPr>
        <w:tabs>
          <w:tab w:val="left" w:pos="2220"/>
        </w:tabs>
        <w:spacing w:line="360" w:lineRule="auto"/>
        <w:ind w:left="567" w:hanging="567"/>
        <w:jc w:val="both"/>
        <w:rPr>
          <w:sz w:val="24"/>
        </w:rPr>
      </w:pPr>
      <w:r w:rsidRPr="00FC4AF8">
        <w:rPr>
          <w:sz w:val="24"/>
        </w:rPr>
        <w:t>(2)</w:t>
      </w:r>
      <w:r w:rsidRPr="00FC4AF8">
        <w:rPr>
          <w:sz w:val="24"/>
        </w:rPr>
        <w:tab/>
        <w:t>Yes.</w:t>
      </w:r>
    </w:p>
    <w:p w:rsidR="00BB311A" w:rsidRPr="00FC4AF8" w:rsidRDefault="00BB311A" w:rsidP="00E65552">
      <w:pPr>
        <w:tabs>
          <w:tab w:val="left" w:pos="709"/>
        </w:tabs>
        <w:jc w:val="both"/>
        <w:rPr>
          <w:sz w:val="24"/>
        </w:rPr>
      </w:pPr>
    </w:p>
    <w:p w:rsidR="00E238C2" w:rsidRPr="00FC4AF8" w:rsidRDefault="00E238C2" w:rsidP="00C47DA6">
      <w:pPr>
        <w:pStyle w:val="BodyText"/>
        <w:rPr>
          <w:b/>
          <w:bCs/>
          <w:sz w:val="24"/>
          <w:lang w:val="en-GB"/>
        </w:rPr>
      </w:pPr>
      <w:r w:rsidRPr="00FC4AF8">
        <w:rPr>
          <w:sz w:val="24"/>
          <w:lang w:val="en-GB"/>
        </w:rPr>
        <w:t>END.</w:t>
      </w:r>
    </w:p>
    <w:sectPr w:rsidR="00E238C2" w:rsidRPr="00FC4AF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FCD" w:rsidRDefault="00615FCD">
      <w:r>
        <w:separator/>
      </w:r>
    </w:p>
  </w:endnote>
  <w:endnote w:type="continuationSeparator" w:id="0">
    <w:p w:rsidR="00615FCD" w:rsidRDefault="0061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FA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233ED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FCD" w:rsidRDefault="00615FCD">
      <w:r>
        <w:separator/>
      </w:r>
    </w:p>
  </w:footnote>
  <w:footnote w:type="continuationSeparator" w:id="0">
    <w:p w:rsidR="00615FCD" w:rsidRDefault="00615F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0B60E6C"/>
    <w:multiLevelType w:val="hybridMultilevel"/>
    <w:tmpl w:val="1DAA5CA8"/>
    <w:lvl w:ilvl="0" w:tplc="169CD1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D5302AC"/>
    <w:multiLevelType w:val="hybridMultilevel"/>
    <w:tmpl w:val="8E8E47A4"/>
    <w:lvl w:ilvl="0" w:tplc="4D9496F4">
      <w:start w:val="1"/>
      <w:numFmt w:val="lowerRoman"/>
      <w:lvlText w:val="(%1)"/>
      <w:lvlJc w:val="left"/>
      <w:pPr>
        <w:ind w:left="1632" w:hanging="720"/>
      </w:pPr>
      <w:rPr>
        <w:rFonts w:hint="default"/>
      </w:rPr>
    </w:lvl>
    <w:lvl w:ilvl="1" w:tplc="1C090019" w:tentative="1">
      <w:start w:val="1"/>
      <w:numFmt w:val="lowerLetter"/>
      <w:lvlText w:val="%2."/>
      <w:lvlJc w:val="left"/>
      <w:pPr>
        <w:ind w:left="1992" w:hanging="360"/>
      </w:pPr>
    </w:lvl>
    <w:lvl w:ilvl="2" w:tplc="1C09001B" w:tentative="1">
      <w:start w:val="1"/>
      <w:numFmt w:val="lowerRoman"/>
      <w:lvlText w:val="%3."/>
      <w:lvlJc w:val="right"/>
      <w:pPr>
        <w:ind w:left="2712" w:hanging="180"/>
      </w:pPr>
    </w:lvl>
    <w:lvl w:ilvl="3" w:tplc="1C09000F" w:tentative="1">
      <w:start w:val="1"/>
      <w:numFmt w:val="decimal"/>
      <w:lvlText w:val="%4."/>
      <w:lvlJc w:val="left"/>
      <w:pPr>
        <w:ind w:left="3432" w:hanging="360"/>
      </w:pPr>
    </w:lvl>
    <w:lvl w:ilvl="4" w:tplc="1C090019" w:tentative="1">
      <w:start w:val="1"/>
      <w:numFmt w:val="lowerLetter"/>
      <w:lvlText w:val="%5."/>
      <w:lvlJc w:val="left"/>
      <w:pPr>
        <w:ind w:left="4152" w:hanging="360"/>
      </w:pPr>
    </w:lvl>
    <w:lvl w:ilvl="5" w:tplc="1C09001B" w:tentative="1">
      <w:start w:val="1"/>
      <w:numFmt w:val="lowerRoman"/>
      <w:lvlText w:val="%6."/>
      <w:lvlJc w:val="right"/>
      <w:pPr>
        <w:ind w:left="4872" w:hanging="180"/>
      </w:pPr>
    </w:lvl>
    <w:lvl w:ilvl="6" w:tplc="1C09000F" w:tentative="1">
      <w:start w:val="1"/>
      <w:numFmt w:val="decimal"/>
      <w:lvlText w:val="%7."/>
      <w:lvlJc w:val="left"/>
      <w:pPr>
        <w:ind w:left="5592" w:hanging="360"/>
      </w:pPr>
    </w:lvl>
    <w:lvl w:ilvl="7" w:tplc="1C090019" w:tentative="1">
      <w:start w:val="1"/>
      <w:numFmt w:val="lowerLetter"/>
      <w:lvlText w:val="%8."/>
      <w:lvlJc w:val="left"/>
      <w:pPr>
        <w:ind w:left="6312" w:hanging="360"/>
      </w:pPr>
    </w:lvl>
    <w:lvl w:ilvl="8" w:tplc="1C09001B" w:tentative="1">
      <w:start w:val="1"/>
      <w:numFmt w:val="lowerRoman"/>
      <w:lvlText w:val="%9."/>
      <w:lvlJc w:val="right"/>
      <w:pPr>
        <w:ind w:left="7032" w:hanging="180"/>
      </w:pPr>
    </w:lvl>
  </w:abstractNum>
  <w:abstractNum w:abstractNumId="16"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3"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3"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3"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6"/>
  </w:num>
  <w:num w:numId="5">
    <w:abstractNumId w:val="29"/>
  </w:num>
  <w:num w:numId="6">
    <w:abstractNumId w:val="31"/>
  </w:num>
  <w:num w:numId="7">
    <w:abstractNumId w:val="25"/>
  </w:num>
  <w:num w:numId="8">
    <w:abstractNumId w:val="12"/>
  </w:num>
  <w:num w:numId="9">
    <w:abstractNumId w:val="5"/>
  </w:num>
  <w:num w:numId="10">
    <w:abstractNumId w:val="24"/>
  </w:num>
  <w:num w:numId="11">
    <w:abstractNumId w:val="38"/>
  </w:num>
  <w:num w:numId="12">
    <w:abstractNumId w:val="3"/>
  </w:num>
  <w:num w:numId="13">
    <w:abstractNumId w:val="41"/>
  </w:num>
  <w:num w:numId="14">
    <w:abstractNumId w:val="30"/>
  </w:num>
  <w:num w:numId="15">
    <w:abstractNumId w:val="7"/>
  </w:num>
  <w:num w:numId="16">
    <w:abstractNumId w:val="1"/>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4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8"/>
  </w:num>
  <w:num w:numId="25">
    <w:abstractNumId w:val="35"/>
  </w:num>
  <w:num w:numId="26">
    <w:abstractNumId w:val="21"/>
  </w:num>
  <w:num w:numId="27">
    <w:abstractNumId w:val="42"/>
  </w:num>
  <w:num w:numId="28">
    <w:abstractNumId w:val="3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9"/>
  </w:num>
  <w:num w:numId="32">
    <w:abstractNumId w:val="44"/>
  </w:num>
  <w:num w:numId="33">
    <w:abstractNumId w:val="17"/>
  </w:num>
  <w:num w:numId="34">
    <w:abstractNumId w:val="19"/>
  </w:num>
  <w:num w:numId="35">
    <w:abstractNumId w:val="37"/>
  </w:num>
  <w:num w:numId="36">
    <w:abstractNumId w:val="6"/>
  </w:num>
  <w:num w:numId="37">
    <w:abstractNumId w:val="27"/>
  </w:num>
  <w:num w:numId="38">
    <w:abstractNumId w:val="18"/>
  </w:num>
  <w:num w:numId="39">
    <w:abstractNumId w:val="49"/>
  </w:num>
  <w:num w:numId="40">
    <w:abstractNumId w:val="32"/>
  </w:num>
  <w:num w:numId="41">
    <w:abstractNumId w:val="40"/>
  </w:num>
  <w:num w:numId="42">
    <w:abstractNumId w:val="39"/>
  </w:num>
  <w:num w:numId="43">
    <w:abstractNumId w:val="48"/>
  </w:num>
  <w:num w:numId="44">
    <w:abstractNumId w:val="46"/>
  </w:num>
  <w:num w:numId="45">
    <w:abstractNumId w:val="47"/>
  </w:num>
  <w:num w:numId="46">
    <w:abstractNumId w:val="13"/>
  </w:num>
  <w:num w:numId="47">
    <w:abstractNumId w:val="0"/>
  </w:num>
  <w:num w:numId="48">
    <w:abstractNumId w:val="11"/>
  </w:num>
  <w:num w:numId="49">
    <w:abstractNumId w:val="1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201D"/>
    <w:rsid w:val="00007447"/>
    <w:rsid w:val="00012AE9"/>
    <w:rsid w:val="000153FE"/>
    <w:rsid w:val="00023BF4"/>
    <w:rsid w:val="00025DC9"/>
    <w:rsid w:val="000302B5"/>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08FC"/>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6DD8"/>
    <w:rsid w:val="00107743"/>
    <w:rsid w:val="001102B2"/>
    <w:rsid w:val="0011153B"/>
    <w:rsid w:val="001126D2"/>
    <w:rsid w:val="00125A56"/>
    <w:rsid w:val="001338AB"/>
    <w:rsid w:val="00134634"/>
    <w:rsid w:val="001346BB"/>
    <w:rsid w:val="00136BF0"/>
    <w:rsid w:val="0014328F"/>
    <w:rsid w:val="00145C76"/>
    <w:rsid w:val="00150F90"/>
    <w:rsid w:val="00157836"/>
    <w:rsid w:val="00160BDE"/>
    <w:rsid w:val="00162641"/>
    <w:rsid w:val="00163A17"/>
    <w:rsid w:val="001646AE"/>
    <w:rsid w:val="001651E2"/>
    <w:rsid w:val="001864CA"/>
    <w:rsid w:val="00186E43"/>
    <w:rsid w:val="001934EC"/>
    <w:rsid w:val="001976A7"/>
    <w:rsid w:val="001A5759"/>
    <w:rsid w:val="001A5BBB"/>
    <w:rsid w:val="001A6132"/>
    <w:rsid w:val="001B62F5"/>
    <w:rsid w:val="001B67CA"/>
    <w:rsid w:val="001B7AA5"/>
    <w:rsid w:val="001C0252"/>
    <w:rsid w:val="001C2FB1"/>
    <w:rsid w:val="001C433A"/>
    <w:rsid w:val="001C4B60"/>
    <w:rsid w:val="001C6528"/>
    <w:rsid w:val="001D2E01"/>
    <w:rsid w:val="001D714B"/>
    <w:rsid w:val="001E53FE"/>
    <w:rsid w:val="001E5E5C"/>
    <w:rsid w:val="001E6713"/>
    <w:rsid w:val="001E7247"/>
    <w:rsid w:val="00202CF5"/>
    <w:rsid w:val="00207DDB"/>
    <w:rsid w:val="0021799A"/>
    <w:rsid w:val="002242A9"/>
    <w:rsid w:val="00233C3B"/>
    <w:rsid w:val="00233ED5"/>
    <w:rsid w:val="0024216E"/>
    <w:rsid w:val="002519F4"/>
    <w:rsid w:val="0026455A"/>
    <w:rsid w:val="0026455E"/>
    <w:rsid w:val="00267FDF"/>
    <w:rsid w:val="00271665"/>
    <w:rsid w:val="002832F3"/>
    <w:rsid w:val="00294557"/>
    <w:rsid w:val="002A09FE"/>
    <w:rsid w:val="002A0E7D"/>
    <w:rsid w:val="002A4456"/>
    <w:rsid w:val="002A5288"/>
    <w:rsid w:val="002B20CB"/>
    <w:rsid w:val="002B32D0"/>
    <w:rsid w:val="002B366B"/>
    <w:rsid w:val="002B56AA"/>
    <w:rsid w:val="002C7F1D"/>
    <w:rsid w:val="002D07CE"/>
    <w:rsid w:val="002D2D8B"/>
    <w:rsid w:val="002D7EBF"/>
    <w:rsid w:val="002E3FA9"/>
    <w:rsid w:val="002E55C1"/>
    <w:rsid w:val="002F747D"/>
    <w:rsid w:val="00300051"/>
    <w:rsid w:val="0030381C"/>
    <w:rsid w:val="00311920"/>
    <w:rsid w:val="003124BF"/>
    <w:rsid w:val="003157A0"/>
    <w:rsid w:val="0031728A"/>
    <w:rsid w:val="0031798D"/>
    <w:rsid w:val="0032095A"/>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B66B2"/>
    <w:rsid w:val="003C29E4"/>
    <w:rsid w:val="003C3FF7"/>
    <w:rsid w:val="003C68AC"/>
    <w:rsid w:val="003D5148"/>
    <w:rsid w:val="003D5634"/>
    <w:rsid w:val="003D6B80"/>
    <w:rsid w:val="003E0AC8"/>
    <w:rsid w:val="003E5508"/>
    <w:rsid w:val="003F3650"/>
    <w:rsid w:val="003F3EB8"/>
    <w:rsid w:val="003F693D"/>
    <w:rsid w:val="003F6F06"/>
    <w:rsid w:val="0040781B"/>
    <w:rsid w:val="00413E11"/>
    <w:rsid w:val="00417B3E"/>
    <w:rsid w:val="00430D20"/>
    <w:rsid w:val="00431756"/>
    <w:rsid w:val="00432928"/>
    <w:rsid w:val="00432AF7"/>
    <w:rsid w:val="0043313B"/>
    <w:rsid w:val="00434530"/>
    <w:rsid w:val="0043501B"/>
    <w:rsid w:val="00435FC4"/>
    <w:rsid w:val="004427F2"/>
    <w:rsid w:val="004456A9"/>
    <w:rsid w:val="0046630A"/>
    <w:rsid w:val="0047454A"/>
    <w:rsid w:val="004755C3"/>
    <w:rsid w:val="004759B3"/>
    <w:rsid w:val="00482BCD"/>
    <w:rsid w:val="0048302D"/>
    <w:rsid w:val="00483FEE"/>
    <w:rsid w:val="004872D2"/>
    <w:rsid w:val="00487E16"/>
    <w:rsid w:val="00490BF9"/>
    <w:rsid w:val="004925DB"/>
    <w:rsid w:val="00495DDF"/>
    <w:rsid w:val="004A26E8"/>
    <w:rsid w:val="004B1268"/>
    <w:rsid w:val="004B3491"/>
    <w:rsid w:val="004B457B"/>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14D5A"/>
    <w:rsid w:val="00525127"/>
    <w:rsid w:val="0053174B"/>
    <w:rsid w:val="0053416A"/>
    <w:rsid w:val="00540171"/>
    <w:rsid w:val="00541D7E"/>
    <w:rsid w:val="0054370C"/>
    <w:rsid w:val="005444C6"/>
    <w:rsid w:val="005446A0"/>
    <w:rsid w:val="00545D42"/>
    <w:rsid w:val="00547112"/>
    <w:rsid w:val="005500AE"/>
    <w:rsid w:val="00550CF9"/>
    <w:rsid w:val="0055331A"/>
    <w:rsid w:val="00557CEE"/>
    <w:rsid w:val="0056205A"/>
    <w:rsid w:val="00570065"/>
    <w:rsid w:val="00571E94"/>
    <w:rsid w:val="00574AA4"/>
    <w:rsid w:val="00576020"/>
    <w:rsid w:val="00586AC5"/>
    <w:rsid w:val="005937C8"/>
    <w:rsid w:val="005A002B"/>
    <w:rsid w:val="005A6911"/>
    <w:rsid w:val="005C171D"/>
    <w:rsid w:val="005C4284"/>
    <w:rsid w:val="005C491B"/>
    <w:rsid w:val="005D0D19"/>
    <w:rsid w:val="005D55C6"/>
    <w:rsid w:val="005D7A2A"/>
    <w:rsid w:val="005E1FBC"/>
    <w:rsid w:val="005E5D63"/>
    <w:rsid w:val="005E7BF6"/>
    <w:rsid w:val="00602574"/>
    <w:rsid w:val="00610BC7"/>
    <w:rsid w:val="00615FCD"/>
    <w:rsid w:val="00616273"/>
    <w:rsid w:val="006175C7"/>
    <w:rsid w:val="00623C5C"/>
    <w:rsid w:val="00623E12"/>
    <w:rsid w:val="00635745"/>
    <w:rsid w:val="00635890"/>
    <w:rsid w:val="00637291"/>
    <w:rsid w:val="0063794C"/>
    <w:rsid w:val="00646F50"/>
    <w:rsid w:val="006664AE"/>
    <w:rsid w:val="00673398"/>
    <w:rsid w:val="006779D4"/>
    <w:rsid w:val="00683343"/>
    <w:rsid w:val="006930ED"/>
    <w:rsid w:val="006A34EA"/>
    <w:rsid w:val="006A5B0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13A4E"/>
    <w:rsid w:val="0071681E"/>
    <w:rsid w:val="00721839"/>
    <w:rsid w:val="00724719"/>
    <w:rsid w:val="007260C3"/>
    <w:rsid w:val="007277C0"/>
    <w:rsid w:val="00730480"/>
    <w:rsid w:val="0073094D"/>
    <w:rsid w:val="00735915"/>
    <w:rsid w:val="00740BE5"/>
    <w:rsid w:val="00750880"/>
    <w:rsid w:val="00762416"/>
    <w:rsid w:val="007658EC"/>
    <w:rsid w:val="00766A4E"/>
    <w:rsid w:val="00766F57"/>
    <w:rsid w:val="0077035F"/>
    <w:rsid w:val="00770C17"/>
    <w:rsid w:val="00771EB2"/>
    <w:rsid w:val="00773A22"/>
    <w:rsid w:val="00786C98"/>
    <w:rsid w:val="007A0D02"/>
    <w:rsid w:val="007A3E1B"/>
    <w:rsid w:val="007A4252"/>
    <w:rsid w:val="007A6FF8"/>
    <w:rsid w:val="007C1F51"/>
    <w:rsid w:val="007C2891"/>
    <w:rsid w:val="007D20BE"/>
    <w:rsid w:val="007D69C3"/>
    <w:rsid w:val="007E2A6D"/>
    <w:rsid w:val="007E4D93"/>
    <w:rsid w:val="007E6493"/>
    <w:rsid w:val="007E6896"/>
    <w:rsid w:val="007E6A29"/>
    <w:rsid w:val="007F19E9"/>
    <w:rsid w:val="007F547F"/>
    <w:rsid w:val="007F6D34"/>
    <w:rsid w:val="00802311"/>
    <w:rsid w:val="008027EE"/>
    <w:rsid w:val="008067F9"/>
    <w:rsid w:val="0081272C"/>
    <w:rsid w:val="00813788"/>
    <w:rsid w:val="00815128"/>
    <w:rsid w:val="00815BE6"/>
    <w:rsid w:val="00816881"/>
    <w:rsid w:val="00827A03"/>
    <w:rsid w:val="0084076E"/>
    <w:rsid w:val="00846CD4"/>
    <w:rsid w:val="00852234"/>
    <w:rsid w:val="008603CC"/>
    <w:rsid w:val="00860B56"/>
    <w:rsid w:val="0086637B"/>
    <w:rsid w:val="008703BF"/>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F081F"/>
    <w:rsid w:val="008F1C96"/>
    <w:rsid w:val="008F5A1E"/>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40CE"/>
    <w:rsid w:val="009756B6"/>
    <w:rsid w:val="009770A5"/>
    <w:rsid w:val="00977A5C"/>
    <w:rsid w:val="0098198D"/>
    <w:rsid w:val="00982A65"/>
    <w:rsid w:val="009855D2"/>
    <w:rsid w:val="009873B3"/>
    <w:rsid w:val="009922DD"/>
    <w:rsid w:val="00993155"/>
    <w:rsid w:val="00997270"/>
    <w:rsid w:val="00997EC4"/>
    <w:rsid w:val="009A2424"/>
    <w:rsid w:val="009A39FB"/>
    <w:rsid w:val="009A3AEC"/>
    <w:rsid w:val="009A3F64"/>
    <w:rsid w:val="009A6F10"/>
    <w:rsid w:val="009A7D01"/>
    <w:rsid w:val="009C00C3"/>
    <w:rsid w:val="009C4234"/>
    <w:rsid w:val="009D2E42"/>
    <w:rsid w:val="009D3DA5"/>
    <w:rsid w:val="009D62A1"/>
    <w:rsid w:val="009D7850"/>
    <w:rsid w:val="009E05A5"/>
    <w:rsid w:val="009E0F43"/>
    <w:rsid w:val="009E6D1C"/>
    <w:rsid w:val="009E6EF2"/>
    <w:rsid w:val="009E7C2F"/>
    <w:rsid w:val="009F075E"/>
    <w:rsid w:val="009F0BA7"/>
    <w:rsid w:val="00A041C1"/>
    <w:rsid w:val="00A0613D"/>
    <w:rsid w:val="00A078D4"/>
    <w:rsid w:val="00A11952"/>
    <w:rsid w:val="00A13522"/>
    <w:rsid w:val="00A13AC5"/>
    <w:rsid w:val="00A13D92"/>
    <w:rsid w:val="00A143B4"/>
    <w:rsid w:val="00A17235"/>
    <w:rsid w:val="00A17A8A"/>
    <w:rsid w:val="00A21ED2"/>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3D0F"/>
    <w:rsid w:val="00AD5F10"/>
    <w:rsid w:val="00AD6B02"/>
    <w:rsid w:val="00AE3C22"/>
    <w:rsid w:val="00B0762E"/>
    <w:rsid w:val="00B2423A"/>
    <w:rsid w:val="00B2718E"/>
    <w:rsid w:val="00B30D8D"/>
    <w:rsid w:val="00B33E9A"/>
    <w:rsid w:val="00B34C0F"/>
    <w:rsid w:val="00B353AB"/>
    <w:rsid w:val="00B37F60"/>
    <w:rsid w:val="00B41548"/>
    <w:rsid w:val="00B519E0"/>
    <w:rsid w:val="00B52875"/>
    <w:rsid w:val="00B561F9"/>
    <w:rsid w:val="00B6102B"/>
    <w:rsid w:val="00B612C9"/>
    <w:rsid w:val="00B6157A"/>
    <w:rsid w:val="00B61A27"/>
    <w:rsid w:val="00B63222"/>
    <w:rsid w:val="00B63926"/>
    <w:rsid w:val="00B64EBD"/>
    <w:rsid w:val="00B84CFA"/>
    <w:rsid w:val="00B85B77"/>
    <w:rsid w:val="00B87D92"/>
    <w:rsid w:val="00B90E23"/>
    <w:rsid w:val="00B9163D"/>
    <w:rsid w:val="00B9358D"/>
    <w:rsid w:val="00BA29AA"/>
    <w:rsid w:val="00BB0549"/>
    <w:rsid w:val="00BB311A"/>
    <w:rsid w:val="00BB5A2A"/>
    <w:rsid w:val="00BB727B"/>
    <w:rsid w:val="00BC04F9"/>
    <w:rsid w:val="00BC4703"/>
    <w:rsid w:val="00BC6E9C"/>
    <w:rsid w:val="00BC7E1F"/>
    <w:rsid w:val="00BD027B"/>
    <w:rsid w:val="00BD4034"/>
    <w:rsid w:val="00BE5AF9"/>
    <w:rsid w:val="00BF35AB"/>
    <w:rsid w:val="00BF5E3F"/>
    <w:rsid w:val="00BF7ACB"/>
    <w:rsid w:val="00BF7F80"/>
    <w:rsid w:val="00C0227C"/>
    <w:rsid w:val="00C063AA"/>
    <w:rsid w:val="00C22F6B"/>
    <w:rsid w:val="00C26148"/>
    <w:rsid w:val="00C31DA3"/>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E6B29"/>
    <w:rsid w:val="00CF0AD4"/>
    <w:rsid w:val="00CF60D1"/>
    <w:rsid w:val="00CF7E4F"/>
    <w:rsid w:val="00D00353"/>
    <w:rsid w:val="00D034F1"/>
    <w:rsid w:val="00D04106"/>
    <w:rsid w:val="00D05EA8"/>
    <w:rsid w:val="00D05FA5"/>
    <w:rsid w:val="00D06D6D"/>
    <w:rsid w:val="00D07FF1"/>
    <w:rsid w:val="00D127F7"/>
    <w:rsid w:val="00D13B48"/>
    <w:rsid w:val="00D21320"/>
    <w:rsid w:val="00D218C7"/>
    <w:rsid w:val="00D21DC3"/>
    <w:rsid w:val="00D22145"/>
    <w:rsid w:val="00D223AF"/>
    <w:rsid w:val="00D23E84"/>
    <w:rsid w:val="00D271FB"/>
    <w:rsid w:val="00D45BA5"/>
    <w:rsid w:val="00D50BCC"/>
    <w:rsid w:val="00D53121"/>
    <w:rsid w:val="00D5344B"/>
    <w:rsid w:val="00D5360E"/>
    <w:rsid w:val="00D6575F"/>
    <w:rsid w:val="00D67753"/>
    <w:rsid w:val="00D7008E"/>
    <w:rsid w:val="00D73A46"/>
    <w:rsid w:val="00D75166"/>
    <w:rsid w:val="00D77B35"/>
    <w:rsid w:val="00D81183"/>
    <w:rsid w:val="00D821B8"/>
    <w:rsid w:val="00D84AEC"/>
    <w:rsid w:val="00D91564"/>
    <w:rsid w:val="00D938CD"/>
    <w:rsid w:val="00D94626"/>
    <w:rsid w:val="00D96ED7"/>
    <w:rsid w:val="00DA3E25"/>
    <w:rsid w:val="00DA6F68"/>
    <w:rsid w:val="00DB15A8"/>
    <w:rsid w:val="00DC1DD2"/>
    <w:rsid w:val="00DC2CAF"/>
    <w:rsid w:val="00DC2D05"/>
    <w:rsid w:val="00DC6ECC"/>
    <w:rsid w:val="00DC7AE6"/>
    <w:rsid w:val="00DD5010"/>
    <w:rsid w:val="00DE0413"/>
    <w:rsid w:val="00DE1045"/>
    <w:rsid w:val="00DE233C"/>
    <w:rsid w:val="00DE4636"/>
    <w:rsid w:val="00DE787B"/>
    <w:rsid w:val="00DF0073"/>
    <w:rsid w:val="00DF02FF"/>
    <w:rsid w:val="00DF6212"/>
    <w:rsid w:val="00DF7D6A"/>
    <w:rsid w:val="00E017AA"/>
    <w:rsid w:val="00E040FD"/>
    <w:rsid w:val="00E066C4"/>
    <w:rsid w:val="00E11BD3"/>
    <w:rsid w:val="00E15E64"/>
    <w:rsid w:val="00E161FB"/>
    <w:rsid w:val="00E20597"/>
    <w:rsid w:val="00E238C2"/>
    <w:rsid w:val="00E256E5"/>
    <w:rsid w:val="00E26F82"/>
    <w:rsid w:val="00E371B8"/>
    <w:rsid w:val="00E37A82"/>
    <w:rsid w:val="00E42417"/>
    <w:rsid w:val="00E43571"/>
    <w:rsid w:val="00E61438"/>
    <w:rsid w:val="00E61656"/>
    <w:rsid w:val="00E6419C"/>
    <w:rsid w:val="00E64D2A"/>
    <w:rsid w:val="00E65552"/>
    <w:rsid w:val="00E70BD1"/>
    <w:rsid w:val="00E82ED2"/>
    <w:rsid w:val="00E85240"/>
    <w:rsid w:val="00EA05F0"/>
    <w:rsid w:val="00EA40E2"/>
    <w:rsid w:val="00EA464E"/>
    <w:rsid w:val="00EB211A"/>
    <w:rsid w:val="00EB241F"/>
    <w:rsid w:val="00EB5ECD"/>
    <w:rsid w:val="00ED4E54"/>
    <w:rsid w:val="00ED527A"/>
    <w:rsid w:val="00EE00E5"/>
    <w:rsid w:val="00EE56A6"/>
    <w:rsid w:val="00EE7B7D"/>
    <w:rsid w:val="00EE7C2B"/>
    <w:rsid w:val="00EF37D5"/>
    <w:rsid w:val="00EF7FEE"/>
    <w:rsid w:val="00F006CF"/>
    <w:rsid w:val="00F022EF"/>
    <w:rsid w:val="00F03360"/>
    <w:rsid w:val="00F035CA"/>
    <w:rsid w:val="00F068CE"/>
    <w:rsid w:val="00F07923"/>
    <w:rsid w:val="00F14236"/>
    <w:rsid w:val="00F16C6D"/>
    <w:rsid w:val="00F2300D"/>
    <w:rsid w:val="00F24479"/>
    <w:rsid w:val="00F31C6A"/>
    <w:rsid w:val="00F3238C"/>
    <w:rsid w:val="00F4489B"/>
    <w:rsid w:val="00F450DC"/>
    <w:rsid w:val="00F454C0"/>
    <w:rsid w:val="00F4587B"/>
    <w:rsid w:val="00F467DC"/>
    <w:rsid w:val="00F50DC8"/>
    <w:rsid w:val="00F50E33"/>
    <w:rsid w:val="00F54CEC"/>
    <w:rsid w:val="00F614F0"/>
    <w:rsid w:val="00F6402A"/>
    <w:rsid w:val="00F6642C"/>
    <w:rsid w:val="00F67D07"/>
    <w:rsid w:val="00F70EBE"/>
    <w:rsid w:val="00F7399B"/>
    <w:rsid w:val="00F76353"/>
    <w:rsid w:val="00F84286"/>
    <w:rsid w:val="00F86457"/>
    <w:rsid w:val="00F87777"/>
    <w:rsid w:val="00F90E4A"/>
    <w:rsid w:val="00F9290C"/>
    <w:rsid w:val="00F966C3"/>
    <w:rsid w:val="00F97E37"/>
    <w:rsid w:val="00FA0CEF"/>
    <w:rsid w:val="00FA20AC"/>
    <w:rsid w:val="00FA71B1"/>
    <w:rsid w:val="00FA7DE3"/>
    <w:rsid w:val="00FB4984"/>
    <w:rsid w:val="00FB4AF1"/>
    <w:rsid w:val="00FB5A74"/>
    <w:rsid w:val="00FC1DE5"/>
    <w:rsid w:val="00FC4AF8"/>
    <w:rsid w:val="00FC68A2"/>
    <w:rsid w:val="00FC6A90"/>
    <w:rsid w:val="00FD42B3"/>
    <w:rsid w:val="00FD6E22"/>
    <w:rsid w:val="00FE00A3"/>
    <w:rsid w:val="00FE0AA4"/>
    <w:rsid w:val="00FE233F"/>
    <w:rsid w:val="00FE23BE"/>
    <w:rsid w:val="00FE28B9"/>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68DB0"/>
  <w15:docId w15:val="{A9475EBE-C360-4B4D-A701-53BB06E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8F5A1E"/>
    <w:pPr>
      <w:spacing w:before="100" w:beforeAutospacing="1" w:after="100" w:afterAutospacing="1" w:line="20" w:lineRule="atLeast"/>
    </w:pPr>
    <w:rPr>
      <w:sz w:val="24"/>
      <w:szCs w:val="24"/>
      <w:lang w:val="en-US" w:eastAsia="en-US"/>
    </w:rPr>
  </w:style>
  <w:style w:type="paragraph" w:styleId="CommentText">
    <w:name w:val="annotation text"/>
    <w:basedOn w:val="Normal"/>
    <w:link w:val="CommentTextChar"/>
    <w:uiPriority w:val="99"/>
    <w:unhideWhenUsed/>
    <w:rsid w:val="00FC4AF8"/>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FC4AF8"/>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1299224">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3</cp:revision>
  <cp:lastPrinted>2019-09-13T08:41:00Z</cp:lastPrinted>
  <dcterms:created xsi:type="dcterms:W3CDTF">2019-09-22T10:28:00Z</dcterms:created>
  <dcterms:modified xsi:type="dcterms:W3CDTF">2019-10-06T16:39:00Z</dcterms:modified>
</cp:coreProperties>
</file>