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7E8C" w:rsidRDefault="00F17E8C" w:rsidP="00F17E8C"/>
    <w:p w:rsidR="00F17E8C" w:rsidRDefault="00F17E8C" w:rsidP="00F17E8C">
      <w:pPr>
        <w:ind w:left="2880" w:firstLine="720"/>
        <w:rPr>
          <w:rFonts w:ascii="Trebuchet MS" w:hAnsi="Trebuchet MS"/>
          <w:b/>
          <w:bCs/>
        </w:rPr>
      </w:pPr>
      <w:r>
        <w:rPr>
          <w:noProof/>
          <w:lang w:eastAsia="en-ZA"/>
        </w:rPr>
        <w:drawing>
          <wp:anchor distT="0" distB="0" distL="114300" distR="114300" simplePos="0" relativeHeight="251659264" behindDoc="0" locked="0" layoutInCell="1" allowOverlap="1" wp14:anchorId="49B69503" wp14:editId="7C7F8348">
            <wp:simplePos x="0" y="0"/>
            <wp:positionH relativeFrom="column">
              <wp:posOffset>2785110</wp:posOffset>
            </wp:positionH>
            <wp:positionV relativeFrom="paragraph">
              <wp:posOffset>-344170</wp:posOffset>
            </wp:positionV>
            <wp:extent cx="499745" cy="621665"/>
            <wp:effectExtent l="0" t="0" r="0" b="6985"/>
            <wp:wrapTopAndBottom/>
            <wp:docPr id="5" name="Picture 2" descr="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
                    <pic:cNvPicPr>
                      <a:picLocks noChangeAspect="1" noChangeArrowheads="1"/>
                    </pic:cNvPicPr>
                  </pic:nvPicPr>
                  <pic:blipFill>
                    <a:blip r:embed="rId5" cstate="print"/>
                    <a:srcRect/>
                    <a:stretch>
                      <a:fillRect/>
                    </a:stretch>
                  </pic:blipFill>
                  <pic:spPr bwMode="auto">
                    <a:xfrm>
                      <a:off x="0" y="0"/>
                      <a:ext cx="499745" cy="621665"/>
                    </a:xfrm>
                    <a:prstGeom prst="rect">
                      <a:avLst/>
                    </a:prstGeom>
                    <a:noFill/>
                  </pic:spPr>
                </pic:pic>
              </a:graphicData>
            </a:graphic>
          </wp:anchor>
        </w:drawing>
      </w:r>
      <w:r>
        <w:rPr>
          <w:rFonts w:ascii="Trebuchet MS" w:hAnsi="Trebuchet MS"/>
          <w:b/>
          <w:bCs/>
        </w:rPr>
        <w:t>MINISTER OF ENERGY</w:t>
      </w:r>
    </w:p>
    <w:p w:rsidR="00F17E8C" w:rsidRDefault="00F17E8C" w:rsidP="00786774">
      <w:pPr>
        <w:pStyle w:val="Style1"/>
        <w:spacing w:after="60"/>
        <w:ind w:left="2160" w:firstLine="720"/>
        <w:jc w:val="left"/>
        <w:rPr>
          <w:rFonts w:ascii="Trebuchet MS" w:hAnsi="Trebuchet MS"/>
          <w:bCs/>
          <w:caps w:val="0"/>
        </w:rPr>
      </w:pPr>
      <w:r>
        <w:rPr>
          <w:rFonts w:ascii="Trebuchet MS" w:hAnsi="Trebuchet MS"/>
          <w:bCs/>
          <w:caps w:val="0"/>
        </w:rPr>
        <w:t>REPUBLIC OF SOUTH AFRICA</w:t>
      </w:r>
    </w:p>
    <w:p w:rsidR="00F17E8C" w:rsidRPr="00786774" w:rsidRDefault="00F17E8C" w:rsidP="00F17E8C">
      <w:pPr>
        <w:spacing w:before="100" w:beforeAutospacing="1" w:after="100" w:afterAutospacing="1" w:line="240" w:lineRule="auto"/>
        <w:ind w:left="720" w:hanging="720"/>
        <w:jc w:val="both"/>
        <w:outlineLvl w:val="0"/>
        <w:rPr>
          <w:rFonts w:ascii="Times New Roman" w:hAnsi="Times New Roman" w:cs="Times New Roman"/>
          <w:b/>
          <w:noProof/>
          <w:sz w:val="28"/>
          <w:szCs w:val="28"/>
          <w:lang w:val="af-ZA"/>
        </w:rPr>
      </w:pPr>
      <w:r w:rsidRPr="00786774">
        <w:rPr>
          <w:rFonts w:ascii="Times New Roman" w:eastAsia="Times New Roman" w:hAnsi="Times New Roman" w:cs="Times New Roman"/>
          <w:b/>
          <w:sz w:val="28"/>
          <w:szCs w:val="28"/>
          <w:lang w:val="en-US"/>
        </w:rPr>
        <w:t>979</w:t>
      </w:r>
      <w:r w:rsidRPr="00786774">
        <w:rPr>
          <w:rFonts w:ascii="Times New Roman" w:hAnsi="Times New Roman" w:cs="Times New Roman"/>
          <w:b/>
          <w:noProof/>
          <w:sz w:val="28"/>
          <w:szCs w:val="28"/>
          <w:lang w:val="af-ZA"/>
        </w:rPr>
        <w:t>.</w:t>
      </w:r>
      <w:r w:rsidRPr="00786774">
        <w:rPr>
          <w:rFonts w:ascii="Times New Roman" w:hAnsi="Times New Roman" w:cs="Times New Roman"/>
          <w:b/>
          <w:noProof/>
          <w:sz w:val="28"/>
          <w:szCs w:val="28"/>
          <w:lang w:val="af-ZA"/>
        </w:rPr>
        <w:tab/>
        <w:t>Ms T Gqada (DA) to ask the Minister of Energy:</w:t>
      </w:r>
    </w:p>
    <w:p w:rsidR="00F17E8C" w:rsidRPr="00786774" w:rsidRDefault="00F17E8C" w:rsidP="00F17E8C">
      <w:pPr>
        <w:spacing w:before="100" w:beforeAutospacing="1" w:after="100" w:afterAutospacing="1" w:line="240" w:lineRule="auto"/>
        <w:ind w:left="720"/>
        <w:jc w:val="both"/>
        <w:outlineLvl w:val="0"/>
        <w:rPr>
          <w:rFonts w:ascii="Times New Roman" w:hAnsi="Times New Roman" w:cs="Times New Roman"/>
          <w:sz w:val="28"/>
          <w:szCs w:val="28"/>
        </w:rPr>
      </w:pPr>
      <w:r w:rsidRPr="00786774">
        <w:rPr>
          <w:rFonts w:ascii="Times New Roman" w:hAnsi="Times New Roman" w:cs="Times New Roman"/>
          <w:sz w:val="28"/>
          <w:szCs w:val="28"/>
        </w:rPr>
        <w:t>How much land does (a) his department and (b) the entities reporting to him (</w:t>
      </w:r>
      <w:proofErr w:type="spellStart"/>
      <w:r w:rsidRPr="00786774">
        <w:rPr>
          <w:rFonts w:ascii="Times New Roman" w:hAnsi="Times New Roman" w:cs="Times New Roman"/>
          <w:sz w:val="28"/>
          <w:szCs w:val="28"/>
        </w:rPr>
        <w:t>i</w:t>
      </w:r>
      <w:proofErr w:type="spellEnd"/>
      <w:r w:rsidRPr="00786774">
        <w:rPr>
          <w:rFonts w:ascii="Times New Roman" w:hAnsi="Times New Roman" w:cs="Times New Roman"/>
          <w:sz w:val="28"/>
          <w:szCs w:val="28"/>
        </w:rPr>
        <w:t>) own, (ii) have exclusive rights to and/or (iii) lease from the State to (aa) use and/or (bb) occupy</w:t>
      </w:r>
      <w:r w:rsidRPr="00786774">
        <w:rPr>
          <w:rFonts w:ascii="Times New Roman" w:hAnsi="Times New Roman" w:cs="Times New Roman"/>
          <w:noProof/>
          <w:sz w:val="28"/>
          <w:szCs w:val="28"/>
          <w:lang w:val="af-ZA"/>
        </w:rPr>
        <w:t>?</w:t>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noProof/>
          <w:sz w:val="28"/>
          <w:szCs w:val="28"/>
          <w:lang w:val="af-ZA"/>
        </w:rPr>
        <w:tab/>
      </w:r>
      <w:r w:rsidRPr="00786774">
        <w:rPr>
          <w:rFonts w:ascii="Times New Roman" w:hAnsi="Times New Roman" w:cs="Times New Roman"/>
          <w:sz w:val="28"/>
          <w:szCs w:val="28"/>
        </w:rPr>
        <w:t>NW1072E</w:t>
      </w:r>
    </w:p>
    <w:p w:rsidR="00F17E8C" w:rsidRPr="001677C7" w:rsidRDefault="00F17E8C" w:rsidP="00F17E8C">
      <w:pPr>
        <w:spacing w:after="0" w:line="240" w:lineRule="auto"/>
        <w:jc w:val="both"/>
        <w:rPr>
          <w:rFonts w:ascii="Arial Narrow" w:hAnsi="Arial Narrow" w:cs="Tunga"/>
          <w:b/>
          <w:sz w:val="28"/>
          <w:szCs w:val="28"/>
        </w:rPr>
      </w:pPr>
      <w:r w:rsidRPr="001677C7">
        <w:rPr>
          <w:rFonts w:ascii="Arial Narrow" w:hAnsi="Arial Narrow" w:cs="Tunga"/>
          <w:b/>
          <w:sz w:val="28"/>
          <w:szCs w:val="28"/>
        </w:rPr>
        <w:t>Reply:</w:t>
      </w:r>
    </w:p>
    <w:p w:rsidR="00F17E8C" w:rsidRPr="001677C7" w:rsidRDefault="00F17E8C" w:rsidP="00F17E8C">
      <w:pPr>
        <w:spacing w:after="0" w:line="240" w:lineRule="auto"/>
        <w:jc w:val="both"/>
        <w:rPr>
          <w:rFonts w:ascii="Arial Narrow" w:hAnsi="Arial Narrow" w:cs="Tunga"/>
          <w:b/>
          <w:sz w:val="28"/>
          <w:szCs w:val="28"/>
        </w:rPr>
      </w:pPr>
    </w:p>
    <w:p w:rsidR="00F17E8C" w:rsidRPr="001677C7" w:rsidRDefault="00F17E8C" w:rsidP="00F17E8C">
      <w:pPr>
        <w:spacing w:after="0" w:line="240" w:lineRule="auto"/>
        <w:jc w:val="both"/>
        <w:rPr>
          <w:rFonts w:ascii="Arial Narrow" w:hAnsi="Arial Narrow" w:cs="Tunga"/>
          <w:sz w:val="28"/>
          <w:szCs w:val="28"/>
        </w:rPr>
      </w:pPr>
      <w:r w:rsidRPr="001677C7">
        <w:rPr>
          <w:rFonts w:ascii="Arial Narrow" w:hAnsi="Arial Narrow" w:cs="Tunga"/>
          <w:sz w:val="28"/>
          <w:szCs w:val="28"/>
        </w:rPr>
        <w:t>The Department of Energy does not own a land.</w:t>
      </w:r>
      <w:r>
        <w:rPr>
          <w:rFonts w:ascii="Arial Narrow" w:hAnsi="Arial Narrow" w:cs="Tunga"/>
          <w:sz w:val="28"/>
          <w:szCs w:val="28"/>
        </w:rPr>
        <w:t xml:space="preserve"> Other information relating to the Entities is as follows:</w:t>
      </w:r>
    </w:p>
    <w:p w:rsidR="00F17E8C" w:rsidRPr="001677C7" w:rsidRDefault="00F17E8C" w:rsidP="00F17E8C">
      <w:pPr>
        <w:spacing w:after="0" w:line="240" w:lineRule="auto"/>
        <w:jc w:val="both"/>
        <w:rPr>
          <w:rFonts w:ascii="Arial Narrow" w:hAnsi="Arial Narrow" w:cs="Tunga"/>
          <w:b/>
          <w:sz w:val="28"/>
          <w:szCs w:val="28"/>
        </w:rPr>
      </w:pPr>
    </w:p>
    <w:tbl>
      <w:tblPr>
        <w:tblW w:w="1531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043"/>
        <w:gridCol w:w="3778"/>
        <w:gridCol w:w="2938"/>
        <w:gridCol w:w="2495"/>
        <w:gridCol w:w="3495"/>
      </w:tblGrid>
      <w:tr w:rsidR="00F17E8C" w:rsidRPr="001677C7" w:rsidTr="00685491">
        <w:trPr>
          <w:trHeight w:val="600"/>
          <w:tblHeader/>
        </w:trPr>
        <w:tc>
          <w:tcPr>
            <w:tcW w:w="561" w:type="dxa"/>
            <w:shd w:val="clear" w:color="auto" w:fill="7F7F7F"/>
            <w:noWrap/>
            <w:vAlign w:val="bottom"/>
            <w:hideMark/>
          </w:tcPr>
          <w:p w:rsidR="00F17E8C" w:rsidRPr="001677C7" w:rsidRDefault="00F17E8C" w:rsidP="00685491">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NO</w:t>
            </w:r>
          </w:p>
        </w:tc>
        <w:tc>
          <w:tcPr>
            <w:tcW w:w="2057" w:type="dxa"/>
            <w:shd w:val="clear" w:color="auto" w:fill="7F7F7F"/>
          </w:tcPr>
          <w:p w:rsidR="00F17E8C" w:rsidRPr="001677C7" w:rsidRDefault="00F17E8C" w:rsidP="00685491">
            <w:pPr>
              <w:spacing w:after="0" w:line="240" w:lineRule="auto"/>
              <w:jc w:val="center"/>
              <w:rPr>
                <w:rFonts w:ascii="Arial Narrow" w:hAnsi="Arial Narrow" w:cs="Calibri"/>
                <w:b/>
                <w:bCs/>
                <w:color w:val="000000"/>
                <w:sz w:val="28"/>
                <w:szCs w:val="28"/>
                <w:lang w:val="en-GB" w:eastAsia="en-GB"/>
              </w:rPr>
            </w:pPr>
          </w:p>
          <w:p w:rsidR="00F17E8C" w:rsidRPr="001677C7" w:rsidRDefault="00F17E8C" w:rsidP="00685491">
            <w:pPr>
              <w:spacing w:after="0" w:line="240" w:lineRule="auto"/>
              <w:jc w:val="center"/>
              <w:rPr>
                <w:rFonts w:ascii="Arial Narrow" w:hAnsi="Arial Narrow" w:cs="Calibri"/>
                <w:b/>
                <w:bCs/>
                <w:color w:val="000000"/>
                <w:sz w:val="28"/>
                <w:szCs w:val="28"/>
                <w:lang w:val="en-GB" w:eastAsia="en-GB"/>
              </w:rPr>
            </w:pPr>
          </w:p>
          <w:p w:rsidR="00F17E8C" w:rsidRPr="001677C7" w:rsidRDefault="00F17E8C" w:rsidP="00685491">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(b) ENTITY</w:t>
            </w:r>
          </w:p>
        </w:tc>
        <w:tc>
          <w:tcPr>
            <w:tcW w:w="6765" w:type="dxa"/>
            <w:gridSpan w:val="2"/>
            <w:shd w:val="clear" w:color="auto" w:fill="7F7F7F"/>
            <w:vAlign w:val="bottom"/>
            <w:hideMark/>
          </w:tcPr>
          <w:p w:rsidR="00F17E8C" w:rsidRPr="001677C7" w:rsidRDefault="00F17E8C" w:rsidP="00685491">
            <w:p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PROPERTY DESCRIPTION</w:t>
            </w:r>
          </w:p>
          <w:p w:rsidR="00F17E8C" w:rsidRPr="001677C7" w:rsidRDefault="00F17E8C" w:rsidP="00F17E8C">
            <w:pPr>
              <w:numPr>
                <w:ilvl w:val="0"/>
                <w:numId w:val="1"/>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LOCATION (ADDRESS)</w:t>
            </w:r>
          </w:p>
        </w:tc>
        <w:tc>
          <w:tcPr>
            <w:tcW w:w="2409" w:type="dxa"/>
            <w:shd w:val="clear" w:color="auto" w:fill="7F7F7F"/>
            <w:noWrap/>
            <w:vAlign w:val="bottom"/>
            <w:hideMark/>
          </w:tcPr>
          <w:p w:rsidR="00F17E8C" w:rsidRPr="001677C7" w:rsidRDefault="00F17E8C" w:rsidP="00F17E8C">
            <w:pPr>
              <w:numPr>
                <w:ilvl w:val="0"/>
                <w:numId w:val="1"/>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SIZE (HECTORS /m</w:t>
            </w:r>
            <w:r w:rsidRPr="001677C7">
              <w:rPr>
                <w:rFonts w:ascii="Arial Narrow" w:hAnsi="Arial Narrow" w:cs="Calibri"/>
                <w:b/>
                <w:bCs/>
                <w:color w:val="000000"/>
                <w:sz w:val="28"/>
                <w:szCs w:val="28"/>
                <w:vertAlign w:val="superscript"/>
                <w:lang w:val="en-GB" w:eastAsia="en-GB"/>
              </w:rPr>
              <w:t>2)</w:t>
            </w:r>
          </w:p>
        </w:tc>
        <w:tc>
          <w:tcPr>
            <w:tcW w:w="3518" w:type="dxa"/>
            <w:shd w:val="clear" w:color="auto" w:fill="7F7F7F"/>
            <w:vAlign w:val="bottom"/>
            <w:hideMark/>
          </w:tcPr>
          <w:p w:rsidR="00F17E8C" w:rsidRPr="001677C7" w:rsidRDefault="00F17E8C" w:rsidP="00F17E8C">
            <w:pPr>
              <w:numPr>
                <w:ilvl w:val="0"/>
                <w:numId w:val="1"/>
              </w:numPr>
              <w:spacing w:after="0" w:line="240" w:lineRule="auto"/>
              <w:jc w:val="center"/>
              <w:rPr>
                <w:rFonts w:ascii="Arial Narrow" w:hAnsi="Arial Narrow" w:cs="Calibri"/>
                <w:b/>
                <w:bCs/>
                <w:color w:val="000000"/>
                <w:sz w:val="28"/>
                <w:szCs w:val="28"/>
                <w:lang w:val="en-GB" w:eastAsia="en-GB"/>
              </w:rPr>
            </w:pPr>
            <w:r w:rsidRPr="001677C7">
              <w:rPr>
                <w:rFonts w:ascii="Arial Narrow" w:hAnsi="Arial Narrow" w:cs="Calibri"/>
                <w:b/>
                <w:bCs/>
                <w:color w:val="000000"/>
                <w:sz w:val="28"/>
                <w:szCs w:val="28"/>
                <w:lang w:val="en-GB" w:eastAsia="en-GB"/>
              </w:rPr>
              <w:t>USES</w:t>
            </w:r>
          </w:p>
        </w:tc>
      </w:tr>
      <w:tr w:rsidR="00F17E8C" w:rsidRPr="001677C7" w:rsidTr="00685491">
        <w:trPr>
          <w:trHeight w:val="300"/>
        </w:trPr>
        <w:tc>
          <w:tcPr>
            <w:tcW w:w="561"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1</w:t>
            </w:r>
          </w:p>
        </w:tc>
        <w:tc>
          <w:tcPr>
            <w:tcW w:w="2057" w:type="dxa"/>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SANEDI</w:t>
            </w: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None</w:t>
            </w: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3518"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r>
      <w:tr w:rsidR="00F17E8C" w:rsidRPr="001677C7" w:rsidTr="00685491">
        <w:trPr>
          <w:trHeight w:val="300"/>
        </w:trPr>
        <w:tc>
          <w:tcPr>
            <w:tcW w:w="561"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2</w:t>
            </w:r>
          </w:p>
        </w:tc>
        <w:tc>
          <w:tcPr>
            <w:tcW w:w="2057" w:type="dxa"/>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Tunga"/>
                <w:sz w:val="28"/>
                <w:szCs w:val="28"/>
              </w:rPr>
              <w:t xml:space="preserve">NRWDI </w:t>
            </w: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None</w:t>
            </w: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3518"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r>
      <w:tr w:rsidR="00F17E8C" w:rsidRPr="001677C7" w:rsidTr="00685491">
        <w:trPr>
          <w:trHeight w:val="300"/>
        </w:trPr>
        <w:tc>
          <w:tcPr>
            <w:tcW w:w="561"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3</w:t>
            </w:r>
          </w:p>
        </w:tc>
        <w:tc>
          <w:tcPr>
            <w:tcW w:w="2057" w:type="dxa"/>
          </w:tcPr>
          <w:p w:rsidR="00F17E8C" w:rsidRPr="001677C7" w:rsidRDefault="00F17E8C" w:rsidP="00685491">
            <w:pPr>
              <w:spacing w:after="0" w:line="240" w:lineRule="auto"/>
              <w:rPr>
                <w:rFonts w:ascii="Arial Narrow" w:hAnsi="Arial Narrow" w:cs="Tunga"/>
                <w:sz w:val="28"/>
                <w:szCs w:val="28"/>
              </w:rPr>
            </w:pPr>
            <w:r w:rsidRPr="001677C7">
              <w:rPr>
                <w:rFonts w:ascii="Arial Narrow" w:hAnsi="Arial Narrow" w:cs="Tunga"/>
                <w:sz w:val="28"/>
                <w:szCs w:val="28"/>
              </w:rPr>
              <w:t>NERSA</w:t>
            </w: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Pretoria</w:t>
            </w: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2,552m²</w:t>
            </w:r>
          </w:p>
        </w:tc>
        <w:tc>
          <w:tcPr>
            <w:tcW w:w="3518"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NERSA’s office building (measuring 13,606m²)</w:t>
            </w:r>
          </w:p>
        </w:tc>
      </w:tr>
      <w:tr w:rsidR="00F17E8C" w:rsidRPr="001677C7" w:rsidTr="00685491">
        <w:trPr>
          <w:trHeight w:val="300"/>
        </w:trPr>
        <w:tc>
          <w:tcPr>
            <w:tcW w:w="561"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4</w:t>
            </w:r>
          </w:p>
        </w:tc>
        <w:tc>
          <w:tcPr>
            <w:tcW w:w="2057" w:type="dxa"/>
          </w:tcPr>
          <w:p w:rsidR="00F17E8C" w:rsidRPr="001677C7" w:rsidRDefault="00F17E8C" w:rsidP="00685491">
            <w:pPr>
              <w:spacing w:after="0" w:line="240" w:lineRule="auto"/>
              <w:rPr>
                <w:rFonts w:ascii="Arial Narrow" w:hAnsi="Arial Narrow" w:cs="Tunga"/>
                <w:sz w:val="28"/>
                <w:szCs w:val="28"/>
              </w:rPr>
            </w:pPr>
            <w:r w:rsidRPr="001677C7">
              <w:rPr>
                <w:rFonts w:ascii="Arial Narrow" w:hAnsi="Arial Narrow" w:cs="Tunga"/>
                <w:sz w:val="28"/>
                <w:szCs w:val="28"/>
              </w:rPr>
              <w:t>NNR</w:t>
            </w: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(b)(</w:t>
            </w:r>
            <w:proofErr w:type="spellStart"/>
            <w:r>
              <w:rPr>
                <w:rFonts w:ascii="Arial Narrow" w:hAnsi="Arial Narrow" w:cs="Calibri"/>
                <w:bCs/>
                <w:sz w:val="28"/>
                <w:szCs w:val="28"/>
                <w:lang w:val="en-GB" w:eastAsia="en-GB"/>
              </w:rPr>
              <w:t>i</w:t>
            </w:r>
            <w:proofErr w:type="spellEnd"/>
            <w:r>
              <w:rPr>
                <w:rFonts w:ascii="Arial Narrow" w:hAnsi="Arial Narrow" w:cs="Calibri"/>
                <w:bCs/>
                <w:sz w:val="28"/>
                <w:szCs w:val="28"/>
                <w:lang w:val="en-GB" w:eastAsia="en-GB"/>
              </w:rPr>
              <w:t xml:space="preserve">) </w:t>
            </w:r>
            <w:r w:rsidRPr="001677C7">
              <w:rPr>
                <w:rFonts w:ascii="Arial Narrow" w:hAnsi="Arial Narrow" w:cs="Calibri"/>
                <w:bCs/>
                <w:sz w:val="28"/>
                <w:szCs w:val="28"/>
                <w:lang w:val="en-GB" w:eastAsia="en-GB"/>
              </w:rPr>
              <w:t>Cape Town</w:t>
            </w: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4525m2</w:t>
            </w:r>
          </w:p>
          <w:p w:rsidR="00F17E8C" w:rsidRPr="001677C7" w:rsidRDefault="00F17E8C" w:rsidP="00685491">
            <w:pPr>
              <w:spacing w:after="0" w:line="240" w:lineRule="auto"/>
              <w:jc w:val="center"/>
              <w:rPr>
                <w:rFonts w:ascii="Arial Narrow" w:hAnsi="Arial Narrow" w:cs="Calibri"/>
                <w:bCs/>
                <w:sz w:val="28"/>
                <w:szCs w:val="28"/>
                <w:lang w:val="en-GB" w:eastAsia="en-GB"/>
              </w:rPr>
            </w:pPr>
          </w:p>
        </w:tc>
        <w:tc>
          <w:tcPr>
            <w:tcW w:w="3518"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Office</w:t>
            </w:r>
          </w:p>
        </w:tc>
      </w:tr>
      <w:tr w:rsidR="00F17E8C" w:rsidRPr="001677C7" w:rsidTr="00685491">
        <w:trPr>
          <w:trHeight w:val="300"/>
        </w:trPr>
        <w:tc>
          <w:tcPr>
            <w:tcW w:w="561" w:type="dxa"/>
            <w:vMerge w:val="restart"/>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5</w:t>
            </w:r>
          </w:p>
        </w:tc>
        <w:tc>
          <w:tcPr>
            <w:tcW w:w="2057" w:type="dxa"/>
            <w:vMerge w:val="restart"/>
          </w:tcPr>
          <w:p w:rsidR="00F17E8C" w:rsidRPr="001677C7" w:rsidRDefault="00F17E8C" w:rsidP="00685491">
            <w:pPr>
              <w:spacing w:after="0" w:line="240" w:lineRule="auto"/>
              <w:rPr>
                <w:rFonts w:ascii="Arial Narrow" w:hAnsi="Arial Narrow" w:cs="Tunga"/>
                <w:sz w:val="28"/>
                <w:szCs w:val="28"/>
              </w:rPr>
            </w:pPr>
            <w:r w:rsidRPr="001677C7">
              <w:rPr>
                <w:rFonts w:ascii="Arial Narrow" w:hAnsi="Arial Narrow" w:cs="Tunga"/>
                <w:sz w:val="28"/>
                <w:szCs w:val="28"/>
              </w:rPr>
              <w:t>CEF</w:t>
            </w: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Johannesburg</w:t>
            </w: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3978</w:t>
            </w:r>
            <w:r w:rsidRPr="001677C7">
              <w:rPr>
                <w:rFonts w:ascii="Arial Narrow" w:hAnsi="Arial Narrow" w:cs="Calibri"/>
                <w:bCs/>
                <w:sz w:val="28"/>
                <w:szCs w:val="28"/>
                <w:lang w:val="en-GB" w:eastAsia="en-GB"/>
              </w:rPr>
              <w:t>m²</w:t>
            </w:r>
            <w:r>
              <w:rPr>
                <w:rFonts w:ascii="Arial Narrow" w:hAnsi="Arial Narrow" w:cs="Calibri"/>
                <w:bCs/>
                <w:sz w:val="28"/>
                <w:szCs w:val="28"/>
                <w:lang w:val="en-GB" w:eastAsia="en-GB"/>
              </w:rPr>
              <w:t xml:space="preserve"> </w:t>
            </w:r>
          </w:p>
        </w:tc>
        <w:tc>
          <w:tcPr>
            <w:tcW w:w="3518" w:type="dxa"/>
            <w:vMerge w:val="restart"/>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The SFF </w:t>
            </w:r>
            <w:proofErr w:type="spellStart"/>
            <w:r w:rsidRPr="001677C7">
              <w:rPr>
                <w:rFonts w:ascii="Arial Narrow" w:hAnsi="Arial Narrow" w:cs="Calibri"/>
                <w:bCs/>
                <w:sz w:val="28"/>
                <w:szCs w:val="28"/>
                <w:lang w:val="en-GB" w:eastAsia="en-GB"/>
              </w:rPr>
              <w:t>Saldanha</w:t>
            </w:r>
            <w:proofErr w:type="spellEnd"/>
            <w:r w:rsidRPr="001677C7">
              <w:rPr>
                <w:rFonts w:ascii="Arial Narrow" w:hAnsi="Arial Narrow" w:cs="Calibri"/>
                <w:bCs/>
                <w:sz w:val="28"/>
                <w:szCs w:val="28"/>
                <w:lang w:val="en-GB" w:eastAsia="en-GB"/>
              </w:rPr>
              <w:t xml:space="preserve"> Tank Farm is used for the storing and distribution of crude oil. </w:t>
            </w:r>
            <w:proofErr w:type="spellStart"/>
            <w:r w:rsidRPr="001677C7">
              <w:rPr>
                <w:rFonts w:ascii="Arial Narrow" w:hAnsi="Arial Narrow" w:cs="Calibri"/>
                <w:bCs/>
                <w:sz w:val="28"/>
                <w:szCs w:val="28"/>
                <w:lang w:val="en-GB" w:eastAsia="en-GB"/>
              </w:rPr>
              <w:t>Saldanha</w:t>
            </w:r>
            <w:proofErr w:type="spellEnd"/>
            <w:r w:rsidRPr="001677C7">
              <w:rPr>
                <w:rFonts w:ascii="Arial Narrow" w:hAnsi="Arial Narrow" w:cs="Calibri"/>
                <w:bCs/>
                <w:sz w:val="28"/>
                <w:szCs w:val="28"/>
                <w:lang w:val="en-GB" w:eastAsia="en-GB"/>
              </w:rPr>
              <w:t xml:space="preserve"> Tank Farm is also responsible for the storage of Strategic Stock on behalf of the South African Government. The other tanks are rented out to Clients for the storing of crude oil and for trading. </w:t>
            </w:r>
            <w:proofErr w:type="spellStart"/>
            <w:r w:rsidRPr="001677C7">
              <w:rPr>
                <w:rFonts w:ascii="Arial Narrow" w:hAnsi="Arial Narrow" w:cs="Calibri"/>
                <w:bCs/>
                <w:sz w:val="28"/>
                <w:szCs w:val="28"/>
                <w:lang w:val="en-GB" w:eastAsia="en-GB"/>
              </w:rPr>
              <w:t>Saldanha</w:t>
            </w:r>
            <w:proofErr w:type="spellEnd"/>
            <w:r w:rsidRPr="001677C7">
              <w:rPr>
                <w:rFonts w:ascii="Arial Narrow" w:hAnsi="Arial Narrow" w:cs="Calibri"/>
                <w:bCs/>
                <w:sz w:val="28"/>
                <w:szCs w:val="28"/>
                <w:lang w:val="en-GB" w:eastAsia="en-GB"/>
              </w:rPr>
              <w:t xml:space="preserve"> also manages the crude on behalf of the Chevron Refinery, based in </w:t>
            </w:r>
            <w:proofErr w:type="spellStart"/>
            <w:r w:rsidRPr="001677C7">
              <w:rPr>
                <w:rFonts w:ascii="Arial Narrow" w:hAnsi="Arial Narrow" w:cs="Calibri"/>
                <w:bCs/>
                <w:sz w:val="28"/>
                <w:szCs w:val="28"/>
                <w:lang w:val="en-GB" w:eastAsia="en-GB"/>
              </w:rPr>
              <w:t>Milnerton</w:t>
            </w:r>
            <w:proofErr w:type="spellEnd"/>
            <w:r w:rsidRPr="001677C7">
              <w:rPr>
                <w:rFonts w:ascii="Arial Narrow" w:hAnsi="Arial Narrow" w:cs="Calibri"/>
                <w:bCs/>
                <w:sz w:val="28"/>
                <w:szCs w:val="28"/>
                <w:lang w:val="en-GB" w:eastAsia="en-GB"/>
              </w:rPr>
              <w:t>, which is pumped to the Refinery via pipeline.</w:t>
            </w:r>
          </w:p>
        </w:tc>
      </w:tr>
      <w:tr w:rsidR="00F17E8C" w:rsidRPr="001677C7" w:rsidTr="00685491">
        <w:trPr>
          <w:trHeight w:val="300"/>
        </w:trPr>
        <w:tc>
          <w:tcPr>
            <w:tcW w:w="561"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Tunga"/>
                <w:sz w:val="28"/>
                <w:szCs w:val="28"/>
              </w:rPr>
            </w:pP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roofErr w:type="spellStart"/>
            <w:r>
              <w:rPr>
                <w:rFonts w:ascii="Arial Narrow" w:hAnsi="Arial Narrow" w:cs="Calibri"/>
                <w:bCs/>
                <w:sz w:val="28"/>
                <w:szCs w:val="28"/>
                <w:lang w:val="en-GB" w:eastAsia="en-GB"/>
              </w:rPr>
              <w:t>Saldanha</w:t>
            </w:r>
            <w:proofErr w:type="spellEnd"/>
            <w:r>
              <w:rPr>
                <w:rFonts w:ascii="Arial Narrow" w:hAnsi="Arial Narrow" w:cs="Calibri"/>
                <w:bCs/>
                <w:sz w:val="28"/>
                <w:szCs w:val="28"/>
                <w:lang w:val="en-GB" w:eastAsia="en-GB"/>
              </w:rPr>
              <w:t xml:space="preserve"> Bay</w:t>
            </w:r>
          </w:p>
          <w:p w:rsidR="00F17E8C" w:rsidRPr="001677C7" w:rsidRDefault="00F17E8C" w:rsidP="00685491">
            <w:pPr>
              <w:spacing w:after="0" w:line="240" w:lineRule="auto"/>
              <w:ind w:left="360"/>
              <w:jc w:val="both"/>
              <w:rPr>
                <w:rFonts w:ascii="Arial Narrow" w:hAnsi="Arial Narrow" w:cs="Calibri"/>
                <w:bCs/>
                <w:sz w:val="28"/>
                <w:szCs w:val="28"/>
                <w:lang w:val="en-GB" w:eastAsia="en-GB"/>
              </w:rPr>
            </w:pP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val="restart"/>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177,2263ha </w:t>
            </w:r>
          </w:p>
          <w:p w:rsidR="00F17E8C" w:rsidRPr="001677C7" w:rsidRDefault="00F17E8C" w:rsidP="00685491">
            <w:pPr>
              <w:spacing w:after="0" w:line="240" w:lineRule="auto"/>
              <w:rPr>
                <w:rFonts w:ascii="Arial Narrow" w:hAnsi="Arial Narrow" w:cs="Calibri"/>
                <w:bCs/>
                <w:sz w:val="28"/>
                <w:szCs w:val="28"/>
                <w:lang w:val="en-GB" w:eastAsia="en-GB"/>
              </w:rPr>
            </w:pPr>
          </w:p>
          <w:p w:rsidR="00F17E8C" w:rsidRPr="001677C7" w:rsidRDefault="00F17E8C" w:rsidP="00685491">
            <w:pPr>
              <w:spacing w:after="0" w:line="240" w:lineRule="auto"/>
              <w:jc w:val="center"/>
              <w:rPr>
                <w:rFonts w:ascii="Arial Narrow" w:hAnsi="Arial Narrow" w:cs="Calibri"/>
                <w:bCs/>
                <w:sz w:val="28"/>
                <w:szCs w:val="28"/>
                <w:lang w:val="en-GB" w:eastAsia="en-GB"/>
              </w:rPr>
            </w:pPr>
          </w:p>
          <w:p w:rsidR="00F17E8C" w:rsidRPr="001677C7" w:rsidRDefault="00F17E8C" w:rsidP="00685491">
            <w:pPr>
              <w:spacing w:after="0" w:line="240" w:lineRule="auto"/>
              <w:jc w:val="center"/>
              <w:rPr>
                <w:rFonts w:ascii="Arial Narrow" w:hAnsi="Arial Narrow" w:cs="Calibri"/>
                <w:bCs/>
                <w:sz w:val="28"/>
                <w:szCs w:val="28"/>
                <w:lang w:val="en-GB" w:eastAsia="en-GB"/>
              </w:rPr>
            </w:pPr>
          </w:p>
        </w:tc>
        <w:tc>
          <w:tcPr>
            <w:tcW w:w="3518" w:type="dxa"/>
            <w:vMerge/>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r>
      <w:tr w:rsidR="00F17E8C" w:rsidRPr="001677C7" w:rsidTr="00685491">
        <w:trPr>
          <w:trHeight w:val="300"/>
        </w:trPr>
        <w:tc>
          <w:tcPr>
            <w:tcW w:w="561"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Tunga"/>
                <w:sz w:val="28"/>
                <w:szCs w:val="28"/>
              </w:rPr>
            </w:pP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roofErr w:type="spellStart"/>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w:t>
            </w:r>
            <w:proofErr w:type="spellEnd"/>
            <w:r>
              <w:rPr>
                <w:rFonts w:ascii="Arial Narrow" w:hAnsi="Arial Narrow" w:cs="Calibri"/>
                <w:bCs/>
                <w:sz w:val="28"/>
                <w:szCs w:val="28"/>
                <w:lang w:val="en-GB" w:eastAsia="en-GB"/>
              </w:rPr>
              <w:t xml:space="preserve"> Bay</w:t>
            </w:r>
          </w:p>
          <w:p w:rsidR="00F17E8C" w:rsidRPr="001677C7" w:rsidRDefault="00F17E8C" w:rsidP="00685491">
            <w:pPr>
              <w:spacing w:after="0" w:line="240" w:lineRule="auto"/>
              <w:rPr>
                <w:rFonts w:ascii="Arial Narrow" w:hAnsi="Arial Narrow" w:cs="Calibri"/>
                <w:bCs/>
                <w:sz w:val="28"/>
                <w:szCs w:val="28"/>
                <w:lang w:val="en-GB" w:eastAsia="en-GB"/>
              </w:rPr>
            </w:pPr>
          </w:p>
          <w:p w:rsidR="00F17E8C" w:rsidRPr="001677C7" w:rsidRDefault="00F17E8C" w:rsidP="00685491">
            <w:pPr>
              <w:spacing w:after="0" w:line="240" w:lineRule="auto"/>
              <w:rPr>
                <w:rFonts w:ascii="Arial Narrow" w:hAnsi="Arial Narrow" w:cs="Calibri"/>
                <w:bCs/>
                <w:sz w:val="28"/>
                <w:szCs w:val="28"/>
                <w:lang w:val="en-GB" w:eastAsia="en-GB"/>
              </w:rPr>
            </w:pPr>
          </w:p>
          <w:p w:rsidR="00F17E8C" w:rsidRPr="001677C7" w:rsidRDefault="00F17E8C" w:rsidP="00685491">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r>
      <w:tr w:rsidR="00F17E8C" w:rsidRPr="001677C7" w:rsidTr="00685491">
        <w:trPr>
          <w:trHeight w:val="300"/>
        </w:trPr>
        <w:tc>
          <w:tcPr>
            <w:tcW w:w="561"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Tunga"/>
                <w:sz w:val="28"/>
                <w:szCs w:val="28"/>
              </w:rPr>
            </w:pP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roofErr w:type="spellStart"/>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w:t>
            </w:r>
            <w:proofErr w:type="spellEnd"/>
            <w:r>
              <w:rPr>
                <w:rFonts w:ascii="Arial Narrow" w:hAnsi="Arial Narrow" w:cs="Calibri"/>
                <w:bCs/>
                <w:sz w:val="28"/>
                <w:szCs w:val="28"/>
                <w:lang w:val="en-GB" w:eastAsia="en-GB"/>
              </w:rPr>
              <w:t xml:space="preserve"> Bay</w:t>
            </w:r>
          </w:p>
          <w:p w:rsidR="00F17E8C" w:rsidRPr="001677C7" w:rsidRDefault="00F17E8C" w:rsidP="00685491">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r>
      <w:tr w:rsidR="00F17E8C" w:rsidRPr="001677C7" w:rsidTr="00685491">
        <w:trPr>
          <w:trHeight w:val="300"/>
        </w:trPr>
        <w:tc>
          <w:tcPr>
            <w:tcW w:w="561"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Tunga"/>
                <w:sz w:val="28"/>
                <w:szCs w:val="28"/>
              </w:rPr>
            </w:pP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roofErr w:type="spellStart"/>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w:t>
            </w:r>
            <w:proofErr w:type="spellEnd"/>
            <w:r>
              <w:rPr>
                <w:rFonts w:ascii="Arial Narrow" w:hAnsi="Arial Narrow" w:cs="Calibri"/>
                <w:bCs/>
                <w:sz w:val="28"/>
                <w:szCs w:val="28"/>
                <w:lang w:val="en-GB" w:eastAsia="en-GB"/>
              </w:rPr>
              <w:t xml:space="preserve"> Bay</w:t>
            </w:r>
          </w:p>
          <w:p w:rsidR="00F17E8C" w:rsidRPr="001677C7" w:rsidRDefault="00F17E8C" w:rsidP="00685491">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3518" w:type="dxa"/>
            <w:vMerge/>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r>
      <w:tr w:rsidR="00F17E8C" w:rsidRPr="001677C7" w:rsidTr="00685491">
        <w:trPr>
          <w:trHeight w:val="300"/>
        </w:trPr>
        <w:tc>
          <w:tcPr>
            <w:tcW w:w="561" w:type="dxa"/>
            <w:vMerge/>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Tunga"/>
                <w:sz w:val="28"/>
                <w:szCs w:val="28"/>
              </w:rPr>
            </w:pPr>
          </w:p>
        </w:tc>
        <w:tc>
          <w:tcPr>
            <w:tcW w:w="3809"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roofErr w:type="spellStart"/>
            <w:r w:rsidRPr="001677C7">
              <w:rPr>
                <w:rFonts w:ascii="Arial Narrow" w:hAnsi="Arial Narrow" w:cs="Calibri"/>
                <w:bCs/>
                <w:sz w:val="28"/>
                <w:szCs w:val="28"/>
                <w:lang w:val="en-GB" w:eastAsia="en-GB"/>
              </w:rPr>
              <w:t>Sa</w:t>
            </w:r>
            <w:r>
              <w:rPr>
                <w:rFonts w:ascii="Arial Narrow" w:hAnsi="Arial Narrow" w:cs="Calibri"/>
                <w:bCs/>
                <w:sz w:val="28"/>
                <w:szCs w:val="28"/>
                <w:lang w:val="en-GB" w:eastAsia="en-GB"/>
              </w:rPr>
              <w:t>ldanha</w:t>
            </w:r>
            <w:proofErr w:type="spellEnd"/>
            <w:r>
              <w:rPr>
                <w:rFonts w:ascii="Arial Narrow" w:hAnsi="Arial Narrow" w:cs="Calibri"/>
                <w:bCs/>
                <w:sz w:val="28"/>
                <w:szCs w:val="28"/>
                <w:lang w:val="en-GB" w:eastAsia="en-GB"/>
              </w:rPr>
              <w:t xml:space="preserve"> Bay</w:t>
            </w:r>
          </w:p>
          <w:p w:rsidR="00F17E8C" w:rsidRPr="001677C7" w:rsidRDefault="00F17E8C" w:rsidP="00685491">
            <w:pPr>
              <w:spacing w:after="0" w:line="240" w:lineRule="auto"/>
              <w:rPr>
                <w:rFonts w:ascii="Arial Narrow" w:hAnsi="Arial Narrow" w:cs="Calibri"/>
                <w:bCs/>
                <w:sz w:val="28"/>
                <w:szCs w:val="28"/>
                <w:lang w:val="en-GB" w:eastAsia="en-GB"/>
              </w:rPr>
            </w:pPr>
          </w:p>
          <w:p w:rsidR="00F17E8C" w:rsidRPr="001677C7" w:rsidRDefault="00F17E8C" w:rsidP="00685491">
            <w:pPr>
              <w:spacing w:after="0" w:line="240" w:lineRule="auto"/>
              <w:rPr>
                <w:rFonts w:ascii="Arial Narrow" w:hAnsi="Arial Narrow" w:cs="Calibri"/>
                <w:bCs/>
                <w:sz w:val="28"/>
                <w:szCs w:val="28"/>
                <w:lang w:val="en-GB" w:eastAsia="en-GB"/>
              </w:rPr>
            </w:pPr>
          </w:p>
        </w:tc>
        <w:tc>
          <w:tcPr>
            <w:tcW w:w="2956" w:type="dxa"/>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N/A</w:t>
            </w:r>
          </w:p>
        </w:tc>
        <w:tc>
          <w:tcPr>
            <w:tcW w:w="2409" w:type="dxa"/>
            <w:shd w:val="clear" w:color="auto" w:fill="auto"/>
            <w:noWrap/>
            <w:vAlign w:val="center"/>
          </w:tcPr>
          <w:p w:rsidR="00F17E8C" w:rsidRPr="001677C7" w:rsidRDefault="00F17E8C" w:rsidP="00685491">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76,3008ha</w:t>
            </w:r>
          </w:p>
        </w:tc>
        <w:tc>
          <w:tcPr>
            <w:tcW w:w="3518" w:type="dxa"/>
            <w:vMerge/>
            <w:shd w:val="clear" w:color="auto" w:fill="auto"/>
            <w:vAlign w:val="center"/>
          </w:tcPr>
          <w:p w:rsidR="00F17E8C" w:rsidRPr="001677C7" w:rsidRDefault="00F17E8C" w:rsidP="00685491">
            <w:pPr>
              <w:spacing w:after="0" w:line="240" w:lineRule="auto"/>
              <w:rPr>
                <w:rFonts w:ascii="Arial Narrow" w:hAnsi="Arial Narrow" w:cs="Calibri"/>
                <w:bCs/>
                <w:sz w:val="28"/>
                <w:szCs w:val="28"/>
                <w:lang w:val="en-GB" w:eastAsia="en-GB"/>
              </w:rPr>
            </w:pPr>
          </w:p>
        </w:tc>
      </w:tr>
      <w:tr w:rsidR="00F17E8C" w:rsidRPr="001677C7" w:rsidTr="00685491">
        <w:trPr>
          <w:trHeight w:val="300"/>
        </w:trPr>
        <w:tc>
          <w:tcPr>
            <w:tcW w:w="561" w:type="dxa"/>
            <w:vMerge w:val="restart"/>
            <w:shd w:val="clear" w:color="auto" w:fill="auto"/>
            <w:noWrap/>
            <w:vAlign w:val="center"/>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6</w:t>
            </w:r>
          </w:p>
        </w:tc>
        <w:tc>
          <w:tcPr>
            <w:tcW w:w="2057" w:type="dxa"/>
            <w:vMerge w:val="restart"/>
          </w:tcPr>
          <w:p w:rsidR="00F17E8C" w:rsidRPr="001677C7" w:rsidRDefault="00F17E8C" w:rsidP="00685491">
            <w:pPr>
              <w:spacing w:after="0" w:line="240" w:lineRule="auto"/>
              <w:rPr>
                <w:rFonts w:ascii="Arial Narrow" w:hAnsi="Arial Narrow" w:cs="Calibri"/>
                <w:bCs/>
                <w:sz w:val="28"/>
                <w:szCs w:val="28"/>
                <w:lang w:val="en-GB" w:eastAsia="en-GB"/>
              </w:rPr>
            </w:pPr>
          </w:p>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NECSA</w:t>
            </w:r>
          </w:p>
        </w:tc>
        <w:tc>
          <w:tcPr>
            <w:tcW w:w="3809" w:type="dxa"/>
            <w:shd w:val="clear" w:color="auto" w:fill="auto"/>
            <w:vAlign w:val="center"/>
            <w:hideMark/>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Pretoria</w:t>
            </w:r>
          </w:p>
        </w:tc>
        <w:tc>
          <w:tcPr>
            <w:tcW w:w="2956" w:type="dxa"/>
            <w:shd w:val="clear" w:color="auto" w:fill="auto"/>
            <w:vAlign w:val="center"/>
            <w:hideMark/>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Pretoria</w:t>
            </w:r>
          </w:p>
        </w:tc>
        <w:tc>
          <w:tcPr>
            <w:tcW w:w="2409" w:type="dxa"/>
            <w:shd w:val="clear" w:color="auto" w:fill="auto"/>
            <w:noWrap/>
            <w:vAlign w:val="center"/>
            <w:hideMark/>
          </w:tcPr>
          <w:p w:rsidR="00F17E8C" w:rsidRPr="001677C7" w:rsidRDefault="00F17E8C" w:rsidP="00685491">
            <w:pPr>
              <w:spacing w:after="0" w:line="240" w:lineRule="auto"/>
              <w:jc w:val="center"/>
              <w:rPr>
                <w:rFonts w:ascii="Arial Narrow" w:hAnsi="Arial Narrow" w:cs="Calibri"/>
                <w:bCs/>
                <w:sz w:val="28"/>
                <w:szCs w:val="28"/>
                <w:lang w:val="en-GB" w:eastAsia="en-GB"/>
              </w:rPr>
            </w:pPr>
            <w:r w:rsidRPr="001677C7">
              <w:rPr>
                <w:rFonts w:ascii="Arial Narrow" w:hAnsi="Arial Narrow" w:cs="Calibri"/>
                <w:bCs/>
                <w:sz w:val="28"/>
                <w:szCs w:val="28"/>
                <w:lang w:val="en-GB" w:eastAsia="en-GB"/>
              </w:rPr>
              <w:t>2 362 Hectors</w:t>
            </w:r>
          </w:p>
        </w:tc>
        <w:tc>
          <w:tcPr>
            <w:tcW w:w="3518" w:type="dxa"/>
            <w:shd w:val="clear" w:color="auto" w:fill="auto"/>
            <w:vAlign w:val="center"/>
            <w:hideMark/>
          </w:tcPr>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 xml:space="preserve">Multiple Buildings </w:t>
            </w:r>
          </w:p>
          <w:p w:rsidR="00F17E8C" w:rsidRPr="001677C7" w:rsidRDefault="00F17E8C" w:rsidP="00685491">
            <w:pPr>
              <w:spacing w:after="0" w:line="240" w:lineRule="auto"/>
              <w:rPr>
                <w:rFonts w:ascii="Arial Narrow" w:hAnsi="Arial Narrow" w:cs="Calibri"/>
                <w:bCs/>
                <w:sz w:val="28"/>
                <w:szCs w:val="28"/>
                <w:lang w:val="en-GB" w:eastAsia="en-GB"/>
              </w:rPr>
            </w:pPr>
            <w:r w:rsidRPr="001677C7">
              <w:rPr>
                <w:rFonts w:ascii="Arial Narrow" w:hAnsi="Arial Narrow" w:cs="Calibri"/>
                <w:bCs/>
                <w:sz w:val="28"/>
                <w:szCs w:val="28"/>
                <w:lang w:val="en-GB" w:eastAsia="en-GB"/>
              </w:rPr>
              <w:t>(</w:t>
            </w:r>
            <w:proofErr w:type="spellStart"/>
            <w:r w:rsidRPr="001677C7">
              <w:rPr>
                <w:rFonts w:ascii="Arial Narrow" w:hAnsi="Arial Narrow" w:cs="Calibri"/>
                <w:bCs/>
                <w:sz w:val="28"/>
                <w:szCs w:val="28"/>
                <w:lang w:val="en-GB" w:eastAsia="en-GB"/>
              </w:rPr>
              <w:t>Necsa</w:t>
            </w:r>
            <w:proofErr w:type="spellEnd"/>
            <w:r w:rsidRPr="001677C7">
              <w:rPr>
                <w:rFonts w:ascii="Arial Narrow" w:hAnsi="Arial Narrow" w:cs="Calibri"/>
                <w:bCs/>
                <w:sz w:val="28"/>
                <w:szCs w:val="28"/>
                <w:lang w:val="en-GB" w:eastAsia="en-GB"/>
              </w:rPr>
              <w:t xml:space="preserve"> Facilities, Offices, And Staff Residential) </w:t>
            </w:r>
          </w:p>
        </w:tc>
      </w:tr>
      <w:tr w:rsidR="00F17E8C" w:rsidRPr="001677C7" w:rsidTr="00685491">
        <w:trPr>
          <w:trHeight w:val="300"/>
        </w:trPr>
        <w:tc>
          <w:tcPr>
            <w:tcW w:w="561" w:type="dxa"/>
            <w:vMerge/>
            <w:shd w:val="clear" w:color="auto" w:fill="auto"/>
            <w:noWrap/>
            <w:vAlign w:val="bottom"/>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Four (4) Properties in</w:t>
            </w:r>
            <w:r w:rsidRPr="001677C7">
              <w:rPr>
                <w:rFonts w:ascii="Arial Narrow" w:hAnsi="Arial Narrow" w:cs="Calibri"/>
                <w:color w:val="000000"/>
                <w:sz w:val="28"/>
                <w:szCs w:val="28"/>
                <w:lang w:val="en-GB" w:eastAsia="en-GB"/>
              </w:rPr>
              <w:t xml:space="preserve"> </w:t>
            </w:r>
            <w:proofErr w:type="spellStart"/>
            <w:r w:rsidRPr="001677C7">
              <w:rPr>
                <w:rFonts w:ascii="Arial Narrow" w:hAnsi="Arial Narrow" w:cs="Calibri"/>
                <w:color w:val="000000"/>
                <w:sz w:val="28"/>
                <w:szCs w:val="28"/>
                <w:lang w:val="en-GB" w:eastAsia="en-GB"/>
              </w:rPr>
              <w:t>Albertinia</w:t>
            </w:r>
            <w:proofErr w:type="spellEnd"/>
          </w:p>
        </w:tc>
        <w:tc>
          <w:tcPr>
            <w:tcW w:w="2956"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proofErr w:type="spellStart"/>
            <w:r w:rsidRPr="001677C7">
              <w:rPr>
                <w:rFonts w:ascii="Arial Narrow" w:hAnsi="Arial Narrow" w:cs="Calibri"/>
                <w:color w:val="000000"/>
                <w:sz w:val="28"/>
                <w:szCs w:val="28"/>
                <w:lang w:val="en-GB" w:eastAsia="en-GB"/>
              </w:rPr>
              <w:t>Albertinia</w:t>
            </w:r>
            <w:proofErr w:type="spellEnd"/>
          </w:p>
        </w:tc>
        <w:tc>
          <w:tcPr>
            <w:tcW w:w="2409" w:type="dxa"/>
            <w:shd w:val="clear" w:color="auto" w:fill="auto"/>
            <w:noWrap/>
            <w:vAlign w:val="bottom"/>
            <w:hideMark/>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3 767 Hectares</w:t>
            </w:r>
          </w:p>
        </w:tc>
        <w:tc>
          <w:tcPr>
            <w:tcW w:w="3518"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Vacant Stand</w:t>
            </w:r>
          </w:p>
        </w:tc>
      </w:tr>
      <w:tr w:rsidR="00F17E8C" w:rsidRPr="001677C7" w:rsidTr="00685491">
        <w:trPr>
          <w:trHeight w:val="300"/>
        </w:trPr>
        <w:tc>
          <w:tcPr>
            <w:tcW w:w="561" w:type="dxa"/>
            <w:vMerge/>
            <w:shd w:val="clear" w:color="auto" w:fill="auto"/>
            <w:noWrap/>
            <w:vAlign w:val="bottom"/>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 xml:space="preserve">Two (2) Properties in </w:t>
            </w:r>
            <w:r w:rsidRPr="001677C7">
              <w:rPr>
                <w:rFonts w:ascii="Arial Narrow" w:hAnsi="Arial Narrow" w:cs="Calibri"/>
                <w:color w:val="000000"/>
                <w:sz w:val="28"/>
                <w:szCs w:val="28"/>
                <w:lang w:val="en-GB" w:eastAsia="en-GB"/>
              </w:rPr>
              <w:t>Riversdale</w:t>
            </w:r>
          </w:p>
        </w:tc>
        <w:tc>
          <w:tcPr>
            <w:tcW w:w="2956"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proofErr w:type="spellStart"/>
            <w:r w:rsidRPr="001677C7">
              <w:rPr>
                <w:rFonts w:ascii="Arial Narrow" w:hAnsi="Arial Narrow" w:cs="Calibri"/>
                <w:color w:val="000000"/>
                <w:sz w:val="28"/>
                <w:szCs w:val="28"/>
                <w:lang w:val="en-GB" w:eastAsia="en-GB"/>
              </w:rPr>
              <w:t>Rivesrdale</w:t>
            </w:r>
            <w:proofErr w:type="spellEnd"/>
          </w:p>
        </w:tc>
        <w:tc>
          <w:tcPr>
            <w:tcW w:w="2409" w:type="dxa"/>
            <w:shd w:val="clear" w:color="auto" w:fill="auto"/>
            <w:noWrap/>
            <w:vAlign w:val="bottom"/>
            <w:hideMark/>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2 001</w:t>
            </w:r>
            <w:r w:rsidRPr="001677C7">
              <w:rPr>
                <w:rFonts w:ascii="Arial Narrow" w:hAnsi="Arial Narrow" w:cs="Calibri"/>
                <w:color w:val="000000"/>
                <w:sz w:val="28"/>
                <w:szCs w:val="28"/>
                <w:lang w:val="en-GB" w:eastAsia="en-GB"/>
              </w:rPr>
              <w:t xml:space="preserve"> M</w:t>
            </w:r>
            <w:r w:rsidRPr="001677C7">
              <w:rPr>
                <w:rFonts w:ascii="Arial Narrow" w:hAnsi="Arial Narrow" w:cs="Calibri"/>
                <w:color w:val="000000"/>
                <w:sz w:val="28"/>
                <w:szCs w:val="28"/>
                <w:vertAlign w:val="superscript"/>
                <w:lang w:val="en-GB" w:eastAsia="en-GB"/>
              </w:rPr>
              <w:t>2</w:t>
            </w:r>
          </w:p>
        </w:tc>
        <w:tc>
          <w:tcPr>
            <w:tcW w:w="3518"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Vacant Stand</w:t>
            </w:r>
          </w:p>
        </w:tc>
      </w:tr>
      <w:tr w:rsidR="00F17E8C" w:rsidRPr="001677C7" w:rsidTr="00685491">
        <w:trPr>
          <w:trHeight w:val="300"/>
        </w:trPr>
        <w:tc>
          <w:tcPr>
            <w:tcW w:w="561" w:type="dxa"/>
            <w:vMerge/>
            <w:shd w:val="clear" w:color="auto" w:fill="auto"/>
            <w:noWrap/>
            <w:vAlign w:val="bottom"/>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 xml:space="preserve">Eleven (11) Properties in </w:t>
            </w:r>
            <w:r w:rsidRPr="001677C7">
              <w:rPr>
                <w:rFonts w:ascii="Arial Narrow" w:hAnsi="Arial Narrow" w:cs="Calibri"/>
                <w:color w:val="000000"/>
                <w:sz w:val="28"/>
                <w:szCs w:val="28"/>
                <w:lang w:val="en-GB" w:eastAsia="en-GB"/>
              </w:rPr>
              <w:t>Springbok</w:t>
            </w:r>
            <w:r>
              <w:rPr>
                <w:rFonts w:ascii="Arial Narrow" w:hAnsi="Arial Narrow" w:cs="Calibri"/>
                <w:color w:val="000000"/>
                <w:sz w:val="28"/>
                <w:szCs w:val="28"/>
                <w:lang w:val="en-GB" w:eastAsia="en-GB"/>
              </w:rPr>
              <w:t xml:space="preserve"> </w:t>
            </w:r>
          </w:p>
        </w:tc>
        <w:tc>
          <w:tcPr>
            <w:tcW w:w="2956"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Springbok</w:t>
            </w:r>
          </w:p>
        </w:tc>
        <w:tc>
          <w:tcPr>
            <w:tcW w:w="2409" w:type="dxa"/>
            <w:shd w:val="clear" w:color="auto" w:fill="auto"/>
            <w:noWrap/>
            <w:vAlign w:val="bottom"/>
            <w:hideMark/>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r>
              <w:rPr>
                <w:rFonts w:ascii="Arial Narrow" w:hAnsi="Arial Narrow" w:cs="Calibri"/>
                <w:color w:val="000000"/>
                <w:sz w:val="28"/>
                <w:szCs w:val="28"/>
                <w:lang w:val="en-GB" w:eastAsia="en-GB"/>
              </w:rPr>
              <w:t>6253</w:t>
            </w:r>
            <w:r w:rsidRPr="001677C7">
              <w:rPr>
                <w:rFonts w:ascii="Arial Narrow" w:hAnsi="Arial Narrow" w:cs="Calibri"/>
                <w:color w:val="000000"/>
                <w:sz w:val="28"/>
                <w:szCs w:val="28"/>
                <w:lang w:val="en-GB" w:eastAsia="en-GB"/>
              </w:rPr>
              <w:t>m2</w:t>
            </w:r>
          </w:p>
        </w:tc>
        <w:tc>
          <w:tcPr>
            <w:tcW w:w="3518" w:type="dxa"/>
            <w:shd w:val="clear" w:color="auto" w:fill="auto"/>
            <w:hideMark/>
          </w:tcPr>
          <w:p w:rsidR="00F17E8C" w:rsidRPr="001677C7" w:rsidRDefault="00F17E8C" w:rsidP="00685491">
            <w:pPr>
              <w:spacing w:after="0" w:line="240" w:lineRule="auto"/>
              <w:rPr>
                <w:rFonts w:ascii="Arial Narrow" w:hAnsi="Arial Narrow" w:cs="Calibri"/>
                <w:bCs/>
                <w:sz w:val="28"/>
                <w:szCs w:val="28"/>
                <w:lang w:val="en-GB" w:eastAsia="en-GB"/>
              </w:rPr>
            </w:pPr>
            <w:r>
              <w:rPr>
                <w:rFonts w:ascii="Arial Narrow" w:hAnsi="Arial Narrow" w:cs="Calibri"/>
                <w:bCs/>
                <w:sz w:val="28"/>
                <w:szCs w:val="28"/>
                <w:lang w:val="en-GB" w:eastAsia="en-GB"/>
              </w:rPr>
              <w:t xml:space="preserve">10 </w:t>
            </w:r>
            <w:r w:rsidRPr="001677C7">
              <w:rPr>
                <w:rFonts w:ascii="Arial Narrow" w:hAnsi="Arial Narrow" w:cs="Calibri"/>
                <w:bCs/>
                <w:sz w:val="28"/>
                <w:szCs w:val="28"/>
                <w:lang w:val="en-GB" w:eastAsia="en-GB"/>
              </w:rPr>
              <w:t xml:space="preserve">Staff Residential </w:t>
            </w:r>
            <w:r>
              <w:rPr>
                <w:rFonts w:ascii="Arial Narrow" w:hAnsi="Arial Narrow" w:cs="Calibri"/>
                <w:bCs/>
                <w:sz w:val="28"/>
                <w:szCs w:val="28"/>
                <w:lang w:val="en-GB" w:eastAsia="en-GB"/>
              </w:rPr>
              <w:t>and 1 Vacant</w:t>
            </w:r>
          </w:p>
        </w:tc>
      </w:tr>
      <w:tr w:rsidR="00F17E8C" w:rsidRPr="001677C7" w:rsidTr="00685491">
        <w:trPr>
          <w:trHeight w:val="725"/>
        </w:trPr>
        <w:tc>
          <w:tcPr>
            <w:tcW w:w="561" w:type="dxa"/>
            <w:vMerge/>
            <w:shd w:val="clear" w:color="auto" w:fill="auto"/>
            <w:noWrap/>
            <w:vAlign w:val="bottom"/>
            <w:hideMark/>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p>
        </w:tc>
        <w:tc>
          <w:tcPr>
            <w:tcW w:w="2057" w:type="dxa"/>
            <w:vMerge/>
          </w:tcPr>
          <w:p w:rsidR="00F17E8C" w:rsidRPr="001677C7" w:rsidRDefault="00F17E8C" w:rsidP="00685491">
            <w:pPr>
              <w:spacing w:after="0" w:line="240" w:lineRule="auto"/>
              <w:rPr>
                <w:rFonts w:ascii="Arial Narrow" w:hAnsi="Arial Narrow" w:cs="Calibri"/>
                <w:color w:val="000000"/>
                <w:sz w:val="28"/>
                <w:szCs w:val="28"/>
                <w:lang w:val="en-GB" w:eastAsia="en-GB"/>
              </w:rPr>
            </w:pPr>
          </w:p>
        </w:tc>
        <w:tc>
          <w:tcPr>
            <w:tcW w:w="3809"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proofErr w:type="spellStart"/>
            <w:r w:rsidRPr="001677C7">
              <w:rPr>
                <w:rFonts w:ascii="Arial Narrow" w:hAnsi="Arial Narrow" w:cs="Calibri"/>
                <w:color w:val="000000"/>
                <w:sz w:val="28"/>
                <w:szCs w:val="28"/>
                <w:lang w:val="en-GB" w:eastAsia="en-GB"/>
              </w:rPr>
              <w:t>Namakwaland</w:t>
            </w:r>
            <w:proofErr w:type="spellEnd"/>
          </w:p>
        </w:tc>
        <w:tc>
          <w:tcPr>
            <w:tcW w:w="2956"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proofErr w:type="spellStart"/>
            <w:r w:rsidRPr="001677C7">
              <w:rPr>
                <w:rFonts w:ascii="Arial Narrow" w:hAnsi="Arial Narrow" w:cs="Calibri"/>
                <w:color w:val="000000"/>
                <w:sz w:val="28"/>
                <w:szCs w:val="28"/>
                <w:lang w:val="en-GB" w:eastAsia="en-GB"/>
              </w:rPr>
              <w:t>Namakwaland</w:t>
            </w:r>
            <w:proofErr w:type="spellEnd"/>
          </w:p>
        </w:tc>
        <w:tc>
          <w:tcPr>
            <w:tcW w:w="2409" w:type="dxa"/>
            <w:shd w:val="clear" w:color="auto" w:fill="auto"/>
            <w:noWrap/>
            <w:vAlign w:val="bottom"/>
            <w:hideMark/>
          </w:tcPr>
          <w:p w:rsidR="00F17E8C" w:rsidRPr="001677C7" w:rsidRDefault="00F17E8C" w:rsidP="00685491">
            <w:pPr>
              <w:spacing w:after="0" w:line="240" w:lineRule="auto"/>
              <w:jc w:val="center"/>
              <w:rPr>
                <w:rFonts w:ascii="Arial Narrow" w:hAnsi="Arial Narrow" w:cs="Calibri"/>
                <w:color w:val="000000"/>
                <w:sz w:val="28"/>
                <w:szCs w:val="28"/>
                <w:lang w:val="en-GB" w:eastAsia="en-GB"/>
              </w:rPr>
            </w:pPr>
            <w:r w:rsidRPr="001677C7">
              <w:rPr>
                <w:rFonts w:ascii="Arial Narrow" w:hAnsi="Arial Narrow" w:cs="Calibri"/>
                <w:color w:val="000000"/>
                <w:sz w:val="28"/>
                <w:szCs w:val="28"/>
                <w:lang w:val="en-GB" w:eastAsia="en-GB"/>
              </w:rPr>
              <w:t>10 869 Hectors</w:t>
            </w:r>
          </w:p>
        </w:tc>
        <w:tc>
          <w:tcPr>
            <w:tcW w:w="3518" w:type="dxa"/>
            <w:shd w:val="clear" w:color="auto" w:fill="auto"/>
            <w:vAlign w:val="bottom"/>
            <w:hideMark/>
          </w:tcPr>
          <w:p w:rsidR="00F17E8C" w:rsidRPr="001677C7" w:rsidRDefault="00F17E8C" w:rsidP="00685491">
            <w:pPr>
              <w:spacing w:after="0" w:line="240" w:lineRule="auto"/>
              <w:rPr>
                <w:rFonts w:ascii="Arial Narrow" w:hAnsi="Arial Narrow" w:cs="Calibri"/>
                <w:color w:val="000000"/>
                <w:sz w:val="28"/>
                <w:szCs w:val="28"/>
                <w:lang w:val="en-GB" w:eastAsia="en-GB"/>
              </w:rPr>
            </w:pPr>
            <w:r w:rsidRPr="001677C7">
              <w:rPr>
                <w:rFonts w:ascii="Arial Narrow" w:hAnsi="Arial Narrow" w:cs="Calibri"/>
                <w:bCs/>
                <w:sz w:val="28"/>
                <w:szCs w:val="28"/>
                <w:lang w:val="en-GB" w:eastAsia="en-GB"/>
              </w:rPr>
              <w:t>Multiple Buildings</w:t>
            </w:r>
            <w:r w:rsidRPr="001677C7">
              <w:rPr>
                <w:rFonts w:ascii="Arial Narrow" w:hAnsi="Arial Narrow" w:cs="Calibri"/>
                <w:color w:val="000000"/>
                <w:sz w:val="28"/>
                <w:szCs w:val="28"/>
                <w:lang w:val="en-GB" w:eastAsia="en-GB"/>
              </w:rPr>
              <w:t xml:space="preserve"> (</w:t>
            </w:r>
            <w:proofErr w:type="spellStart"/>
            <w:r w:rsidRPr="001677C7">
              <w:rPr>
                <w:rFonts w:ascii="Arial Narrow" w:hAnsi="Arial Narrow" w:cs="Calibri"/>
                <w:color w:val="000000"/>
                <w:sz w:val="28"/>
                <w:szCs w:val="28"/>
                <w:lang w:val="en-GB" w:eastAsia="en-GB"/>
              </w:rPr>
              <w:t>Necsa</w:t>
            </w:r>
            <w:proofErr w:type="spellEnd"/>
            <w:r w:rsidRPr="001677C7">
              <w:rPr>
                <w:rFonts w:ascii="Arial Narrow" w:hAnsi="Arial Narrow" w:cs="Calibri"/>
                <w:color w:val="000000"/>
                <w:sz w:val="28"/>
                <w:szCs w:val="28"/>
                <w:lang w:val="en-GB" w:eastAsia="en-GB"/>
              </w:rPr>
              <w:t xml:space="preserve"> Facilities, Offices, And Staff Residential)</w:t>
            </w:r>
          </w:p>
        </w:tc>
      </w:tr>
    </w:tbl>
    <w:p w:rsidR="00F17E8C" w:rsidRDefault="00F17E8C" w:rsidP="00F17E8C">
      <w:pPr>
        <w:spacing w:before="100" w:beforeAutospacing="1" w:after="100" w:afterAutospacing="1" w:line="240" w:lineRule="auto"/>
        <w:ind w:left="720"/>
        <w:jc w:val="both"/>
        <w:outlineLvl w:val="0"/>
        <w:rPr>
          <w:rFonts w:ascii="Times New Roman" w:hAnsi="Times New Roman" w:cs="Times New Roman"/>
          <w:sz w:val="20"/>
          <w:szCs w:val="20"/>
        </w:rPr>
      </w:pPr>
    </w:p>
    <w:p w:rsidR="00F17E8C" w:rsidRPr="00482607" w:rsidRDefault="00F17E8C" w:rsidP="00F17E8C">
      <w:pPr>
        <w:spacing w:before="100" w:beforeAutospacing="1" w:after="100" w:afterAutospacing="1" w:line="240" w:lineRule="auto"/>
        <w:ind w:left="720"/>
        <w:jc w:val="both"/>
        <w:outlineLvl w:val="0"/>
        <w:rPr>
          <w:rFonts w:ascii="Times New Roman" w:hAnsi="Times New Roman" w:cs="Times New Roman"/>
          <w:sz w:val="24"/>
          <w:szCs w:val="24"/>
          <w:lang w:val="en-GB"/>
        </w:rPr>
      </w:pPr>
    </w:p>
    <w:p w:rsidR="00482956" w:rsidRDefault="00482956"/>
    <w:sectPr w:rsidR="00482956" w:rsidSect="00786774">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81EC8"/>
    <w:multiLevelType w:val="hybridMultilevel"/>
    <w:tmpl w:val="544E8FAC"/>
    <w:lvl w:ilvl="0" w:tplc="F42E403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E8C"/>
    <w:rsid w:val="00017DFB"/>
    <w:rsid w:val="00025881"/>
    <w:rsid w:val="00032261"/>
    <w:rsid w:val="000452F4"/>
    <w:rsid w:val="000469FC"/>
    <w:rsid w:val="00046D0A"/>
    <w:rsid w:val="000771B1"/>
    <w:rsid w:val="00082388"/>
    <w:rsid w:val="00085214"/>
    <w:rsid w:val="000941C8"/>
    <w:rsid w:val="00095728"/>
    <w:rsid w:val="000C45E8"/>
    <w:rsid w:val="000D2C59"/>
    <w:rsid w:val="000D6BAE"/>
    <w:rsid w:val="000F3776"/>
    <w:rsid w:val="00102297"/>
    <w:rsid w:val="00110197"/>
    <w:rsid w:val="0011566F"/>
    <w:rsid w:val="00133B44"/>
    <w:rsid w:val="00136633"/>
    <w:rsid w:val="00142327"/>
    <w:rsid w:val="0015526F"/>
    <w:rsid w:val="001732C5"/>
    <w:rsid w:val="001746EA"/>
    <w:rsid w:val="00194C82"/>
    <w:rsid w:val="001A0494"/>
    <w:rsid w:val="001A05CE"/>
    <w:rsid w:val="001C1BCD"/>
    <w:rsid w:val="001C405F"/>
    <w:rsid w:val="001C64D9"/>
    <w:rsid w:val="001D17BC"/>
    <w:rsid w:val="001D194A"/>
    <w:rsid w:val="001E45E9"/>
    <w:rsid w:val="001F05C0"/>
    <w:rsid w:val="001F16E9"/>
    <w:rsid w:val="001F1FEA"/>
    <w:rsid w:val="00201111"/>
    <w:rsid w:val="00206C4F"/>
    <w:rsid w:val="00217C50"/>
    <w:rsid w:val="002220A2"/>
    <w:rsid w:val="00224CC1"/>
    <w:rsid w:val="00233B16"/>
    <w:rsid w:val="00250DD4"/>
    <w:rsid w:val="00282C39"/>
    <w:rsid w:val="00294071"/>
    <w:rsid w:val="00295DBE"/>
    <w:rsid w:val="00297D1D"/>
    <w:rsid w:val="002B51AB"/>
    <w:rsid w:val="002D689B"/>
    <w:rsid w:val="002D7EA2"/>
    <w:rsid w:val="002E6F8B"/>
    <w:rsid w:val="00307208"/>
    <w:rsid w:val="0032225A"/>
    <w:rsid w:val="00331ACC"/>
    <w:rsid w:val="00363F59"/>
    <w:rsid w:val="0037643F"/>
    <w:rsid w:val="00377F93"/>
    <w:rsid w:val="003850E5"/>
    <w:rsid w:val="00385E23"/>
    <w:rsid w:val="003A73CC"/>
    <w:rsid w:val="003B125C"/>
    <w:rsid w:val="003C13CD"/>
    <w:rsid w:val="003C3F54"/>
    <w:rsid w:val="003D1015"/>
    <w:rsid w:val="003D52CE"/>
    <w:rsid w:val="003E3505"/>
    <w:rsid w:val="003F1105"/>
    <w:rsid w:val="003F6541"/>
    <w:rsid w:val="00401AEC"/>
    <w:rsid w:val="00407F80"/>
    <w:rsid w:val="004171D1"/>
    <w:rsid w:val="00430302"/>
    <w:rsid w:val="00434A0D"/>
    <w:rsid w:val="004608C3"/>
    <w:rsid w:val="004679DF"/>
    <w:rsid w:val="00471F16"/>
    <w:rsid w:val="00480787"/>
    <w:rsid w:val="00481249"/>
    <w:rsid w:val="00482956"/>
    <w:rsid w:val="00485BA9"/>
    <w:rsid w:val="004C0D98"/>
    <w:rsid w:val="004E56ED"/>
    <w:rsid w:val="004F0AEA"/>
    <w:rsid w:val="00503D21"/>
    <w:rsid w:val="0050588E"/>
    <w:rsid w:val="005114C1"/>
    <w:rsid w:val="005210B2"/>
    <w:rsid w:val="00523BA0"/>
    <w:rsid w:val="00545191"/>
    <w:rsid w:val="00545489"/>
    <w:rsid w:val="00550079"/>
    <w:rsid w:val="00555E55"/>
    <w:rsid w:val="00570452"/>
    <w:rsid w:val="00580692"/>
    <w:rsid w:val="005864F2"/>
    <w:rsid w:val="00591F4E"/>
    <w:rsid w:val="005A70C4"/>
    <w:rsid w:val="005A7D0A"/>
    <w:rsid w:val="005B1224"/>
    <w:rsid w:val="005C2A16"/>
    <w:rsid w:val="005C56C4"/>
    <w:rsid w:val="005F2E44"/>
    <w:rsid w:val="00603AD2"/>
    <w:rsid w:val="00604215"/>
    <w:rsid w:val="00615252"/>
    <w:rsid w:val="0061549A"/>
    <w:rsid w:val="00631E06"/>
    <w:rsid w:val="00641AE6"/>
    <w:rsid w:val="00645206"/>
    <w:rsid w:val="006546EC"/>
    <w:rsid w:val="00661A96"/>
    <w:rsid w:val="0067771E"/>
    <w:rsid w:val="00686B81"/>
    <w:rsid w:val="00691A23"/>
    <w:rsid w:val="00697924"/>
    <w:rsid w:val="006A146C"/>
    <w:rsid w:val="006A6886"/>
    <w:rsid w:val="006D3D93"/>
    <w:rsid w:val="006E4003"/>
    <w:rsid w:val="006F1252"/>
    <w:rsid w:val="006F1BD0"/>
    <w:rsid w:val="00712B9D"/>
    <w:rsid w:val="007150EF"/>
    <w:rsid w:val="00742C3E"/>
    <w:rsid w:val="00760F92"/>
    <w:rsid w:val="00771A28"/>
    <w:rsid w:val="00774441"/>
    <w:rsid w:val="00786774"/>
    <w:rsid w:val="007A54B2"/>
    <w:rsid w:val="007D0F63"/>
    <w:rsid w:val="007E68C9"/>
    <w:rsid w:val="007E7418"/>
    <w:rsid w:val="007F4938"/>
    <w:rsid w:val="007F5FC1"/>
    <w:rsid w:val="007F74E2"/>
    <w:rsid w:val="00811B23"/>
    <w:rsid w:val="0084028B"/>
    <w:rsid w:val="00861BEC"/>
    <w:rsid w:val="00863804"/>
    <w:rsid w:val="00863F4E"/>
    <w:rsid w:val="00882FDA"/>
    <w:rsid w:val="00894C38"/>
    <w:rsid w:val="008954D9"/>
    <w:rsid w:val="008A5D9A"/>
    <w:rsid w:val="008B6309"/>
    <w:rsid w:val="008D1CB1"/>
    <w:rsid w:val="008D1CF3"/>
    <w:rsid w:val="008D59AB"/>
    <w:rsid w:val="008E401B"/>
    <w:rsid w:val="00906700"/>
    <w:rsid w:val="00913754"/>
    <w:rsid w:val="00917935"/>
    <w:rsid w:val="00917A17"/>
    <w:rsid w:val="00917D3E"/>
    <w:rsid w:val="0092137C"/>
    <w:rsid w:val="0095177E"/>
    <w:rsid w:val="009568CB"/>
    <w:rsid w:val="00963197"/>
    <w:rsid w:val="0096656A"/>
    <w:rsid w:val="00972026"/>
    <w:rsid w:val="009747E2"/>
    <w:rsid w:val="0097624D"/>
    <w:rsid w:val="00976694"/>
    <w:rsid w:val="00990901"/>
    <w:rsid w:val="009A3F40"/>
    <w:rsid w:val="009B3DA5"/>
    <w:rsid w:val="009B5109"/>
    <w:rsid w:val="009E1161"/>
    <w:rsid w:val="009E3306"/>
    <w:rsid w:val="009F1338"/>
    <w:rsid w:val="009F60C2"/>
    <w:rsid w:val="009F75D2"/>
    <w:rsid w:val="00A254DC"/>
    <w:rsid w:val="00A46E5F"/>
    <w:rsid w:val="00A50307"/>
    <w:rsid w:val="00A50508"/>
    <w:rsid w:val="00A50610"/>
    <w:rsid w:val="00A62096"/>
    <w:rsid w:val="00A62997"/>
    <w:rsid w:val="00A85A9F"/>
    <w:rsid w:val="00A85DD3"/>
    <w:rsid w:val="00A96206"/>
    <w:rsid w:val="00AB5463"/>
    <w:rsid w:val="00AC6F0D"/>
    <w:rsid w:val="00AD3517"/>
    <w:rsid w:val="00AD381D"/>
    <w:rsid w:val="00AD5907"/>
    <w:rsid w:val="00AD76A8"/>
    <w:rsid w:val="00AE08B2"/>
    <w:rsid w:val="00AE4BF6"/>
    <w:rsid w:val="00AE4F14"/>
    <w:rsid w:val="00AF79D6"/>
    <w:rsid w:val="00B16014"/>
    <w:rsid w:val="00B16259"/>
    <w:rsid w:val="00B2116C"/>
    <w:rsid w:val="00B2150F"/>
    <w:rsid w:val="00B4159D"/>
    <w:rsid w:val="00B577B5"/>
    <w:rsid w:val="00B57A46"/>
    <w:rsid w:val="00B84C91"/>
    <w:rsid w:val="00B87CBE"/>
    <w:rsid w:val="00B929DB"/>
    <w:rsid w:val="00B97FDD"/>
    <w:rsid w:val="00BA477C"/>
    <w:rsid w:val="00BB5442"/>
    <w:rsid w:val="00BC0264"/>
    <w:rsid w:val="00BE7E11"/>
    <w:rsid w:val="00C11F73"/>
    <w:rsid w:val="00C17808"/>
    <w:rsid w:val="00C2617F"/>
    <w:rsid w:val="00C30A60"/>
    <w:rsid w:val="00C53738"/>
    <w:rsid w:val="00C55031"/>
    <w:rsid w:val="00C777F6"/>
    <w:rsid w:val="00CA10D7"/>
    <w:rsid w:val="00CC761E"/>
    <w:rsid w:val="00CD1DDA"/>
    <w:rsid w:val="00CE0321"/>
    <w:rsid w:val="00CE5CF3"/>
    <w:rsid w:val="00CF0B9B"/>
    <w:rsid w:val="00CF3F58"/>
    <w:rsid w:val="00D048A7"/>
    <w:rsid w:val="00D052CC"/>
    <w:rsid w:val="00D103B2"/>
    <w:rsid w:val="00D311E7"/>
    <w:rsid w:val="00D32B7A"/>
    <w:rsid w:val="00D43115"/>
    <w:rsid w:val="00D4320E"/>
    <w:rsid w:val="00D44047"/>
    <w:rsid w:val="00D440BF"/>
    <w:rsid w:val="00D50A51"/>
    <w:rsid w:val="00D52C48"/>
    <w:rsid w:val="00D54AA7"/>
    <w:rsid w:val="00D64795"/>
    <w:rsid w:val="00D7208E"/>
    <w:rsid w:val="00D73525"/>
    <w:rsid w:val="00D837E0"/>
    <w:rsid w:val="00D902D9"/>
    <w:rsid w:val="00D9656E"/>
    <w:rsid w:val="00DB0609"/>
    <w:rsid w:val="00DB2222"/>
    <w:rsid w:val="00DC5DFE"/>
    <w:rsid w:val="00DD4A3D"/>
    <w:rsid w:val="00DE146E"/>
    <w:rsid w:val="00DF48E2"/>
    <w:rsid w:val="00DF4A50"/>
    <w:rsid w:val="00DF56E8"/>
    <w:rsid w:val="00E05DBA"/>
    <w:rsid w:val="00E110FD"/>
    <w:rsid w:val="00E12551"/>
    <w:rsid w:val="00E20FD2"/>
    <w:rsid w:val="00E7125D"/>
    <w:rsid w:val="00E8600F"/>
    <w:rsid w:val="00EA4779"/>
    <w:rsid w:val="00EB0A89"/>
    <w:rsid w:val="00EB1A71"/>
    <w:rsid w:val="00EB4B63"/>
    <w:rsid w:val="00EB60DB"/>
    <w:rsid w:val="00EB67B3"/>
    <w:rsid w:val="00EC063B"/>
    <w:rsid w:val="00EC17BD"/>
    <w:rsid w:val="00EC3BAA"/>
    <w:rsid w:val="00EC438F"/>
    <w:rsid w:val="00ED7533"/>
    <w:rsid w:val="00EF22E2"/>
    <w:rsid w:val="00EF3FBF"/>
    <w:rsid w:val="00F17E8C"/>
    <w:rsid w:val="00F270AE"/>
    <w:rsid w:val="00F36CB2"/>
    <w:rsid w:val="00F40E00"/>
    <w:rsid w:val="00F66C1A"/>
    <w:rsid w:val="00F70986"/>
    <w:rsid w:val="00F72F18"/>
    <w:rsid w:val="00F732F9"/>
    <w:rsid w:val="00F75EC2"/>
    <w:rsid w:val="00F762EC"/>
    <w:rsid w:val="00F8365F"/>
    <w:rsid w:val="00F92ED1"/>
    <w:rsid w:val="00F9509B"/>
    <w:rsid w:val="00FA15D2"/>
    <w:rsid w:val="00FA3DAF"/>
    <w:rsid w:val="00FC3242"/>
    <w:rsid w:val="00FE3A23"/>
    <w:rsid w:val="00FF57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BA794A-065B-4A8E-AA76-D18B7BD66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E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rsid w:val="00F17E8C"/>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7867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7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2</cp:revision>
  <cp:lastPrinted>2018-04-12T14:06:00Z</cp:lastPrinted>
  <dcterms:created xsi:type="dcterms:W3CDTF">2018-04-12T13:47:00Z</dcterms:created>
  <dcterms:modified xsi:type="dcterms:W3CDTF">2018-04-12T14:10:00Z</dcterms:modified>
</cp:coreProperties>
</file>