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1E27" w14:textId="77777777" w:rsidR="00654594" w:rsidRDefault="00654594" w:rsidP="003B7681">
      <w:pPr>
        <w:jc w:val="both"/>
        <w:rPr>
          <w:rFonts w:ascii="Arial" w:hAnsi="Arial" w:cs="Arial"/>
          <w:b/>
          <w:bCs/>
        </w:rPr>
      </w:pPr>
      <w:r>
        <w:rPr>
          <w:rFonts w:ascii="Arial" w:hAnsi="Arial" w:cs="Arial"/>
          <w:b/>
          <w:bCs/>
          <w:noProof/>
          <w:lang w:val="en-ZA" w:eastAsia="en-ZA"/>
        </w:rPr>
        <w:drawing>
          <wp:inline distT="0" distB="0" distL="0" distR="0" wp14:anchorId="242E7F5D" wp14:editId="203E88D5">
            <wp:extent cx="2170430"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762000"/>
                    </a:xfrm>
                    <a:prstGeom prst="rect">
                      <a:avLst/>
                    </a:prstGeom>
                    <a:noFill/>
                  </pic:spPr>
                </pic:pic>
              </a:graphicData>
            </a:graphic>
          </wp:inline>
        </w:drawing>
      </w:r>
    </w:p>
    <w:p w14:paraId="48A21624" w14:textId="77777777" w:rsidR="00654594" w:rsidRDefault="00654594" w:rsidP="003B7681">
      <w:pPr>
        <w:jc w:val="both"/>
        <w:rPr>
          <w:rFonts w:ascii="Arial" w:hAnsi="Arial" w:cs="Arial"/>
          <w:b/>
          <w:bCs/>
        </w:rPr>
      </w:pPr>
    </w:p>
    <w:p w14:paraId="298FDA5E" w14:textId="77777777" w:rsidR="00A76F63" w:rsidRPr="00A76F63" w:rsidRDefault="00A76F63" w:rsidP="003B7681">
      <w:pPr>
        <w:jc w:val="both"/>
        <w:rPr>
          <w:rFonts w:ascii="Arial" w:hAnsi="Arial" w:cs="Arial"/>
          <w:b/>
          <w:bCs/>
        </w:rPr>
      </w:pPr>
    </w:p>
    <w:p w14:paraId="4C7FD947" w14:textId="77777777" w:rsidR="00654594" w:rsidRPr="003622E0" w:rsidRDefault="00654594" w:rsidP="00654594">
      <w:pPr>
        <w:spacing w:line="276" w:lineRule="auto"/>
        <w:ind w:left="720" w:hanging="720"/>
        <w:jc w:val="center"/>
        <w:outlineLvl w:val="0"/>
        <w:rPr>
          <w:rFonts w:ascii="Arial" w:hAnsi="Arial" w:cs="Arial"/>
          <w:b/>
        </w:rPr>
      </w:pPr>
      <w:r w:rsidRPr="003622E0">
        <w:rPr>
          <w:rFonts w:ascii="Arial" w:hAnsi="Arial" w:cs="Arial"/>
          <w:b/>
        </w:rPr>
        <w:t>THE NATIONAL ASSEMBLY</w:t>
      </w:r>
    </w:p>
    <w:p w14:paraId="5FBF569A" w14:textId="77777777" w:rsidR="00654594" w:rsidRPr="003622E0" w:rsidRDefault="00654594" w:rsidP="00654594">
      <w:pPr>
        <w:spacing w:line="276" w:lineRule="auto"/>
        <w:jc w:val="center"/>
        <w:outlineLvl w:val="0"/>
        <w:rPr>
          <w:rFonts w:ascii="Arial" w:hAnsi="Arial" w:cs="Arial"/>
          <w:b/>
        </w:rPr>
      </w:pPr>
    </w:p>
    <w:p w14:paraId="4A6A3BAB" w14:textId="77777777" w:rsidR="00654594" w:rsidRPr="003622E0" w:rsidRDefault="00654594" w:rsidP="00654594">
      <w:pPr>
        <w:spacing w:line="276" w:lineRule="auto"/>
        <w:jc w:val="center"/>
        <w:outlineLvl w:val="0"/>
        <w:rPr>
          <w:rFonts w:ascii="Arial" w:hAnsi="Arial" w:cs="Arial"/>
          <w:b/>
        </w:rPr>
      </w:pPr>
      <w:r w:rsidRPr="003622E0">
        <w:rPr>
          <w:rFonts w:ascii="Arial" w:hAnsi="Arial" w:cs="Arial"/>
          <w:b/>
        </w:rPr>
        <w:t>QUESTION FOR WRITTEN REPLY</w:t>
      </w:r>
    </w:p>
    <w:p w14:paraId="687FF446" w14:textId="77777777" w:rsidR="00654594" w:rsidRDefault="00654594" w:rsidP="00654594">
      <w:pPr>
        <w:spacing w:line="276" w:lineRule="auto"/>
        <w:jc w:val="both"/>
        <w:outlineLvl w:val="0"/>
        <w:rPr>
          <w:rFonts w:ascii="Arial" w:hAnsi="Arial" w:cs="Arial"/>
          <w:b/>
          <w:bCs/>
        </w:rPr>
      </w:pPr>
    </w:p>
    <w:p w14:paraId="0FCB0384" w14:textId="1C8B0DC3" w:rsidR="00654594" w:rsidRDefault="00654594" w:rsidP="00654594">
      <w:pPr>
        <w:spacing w:line="276" w:lineRule="auto"/>
        <w:jc w:val="both"/>
        <w:outlineLvl w:val="0"/>
        <w:rPr>
          <w:rFonts w:ascii="Arial" w:hAnsi="Arial" w:cs="Arial"/>
          <w:b/>
          <w:bCs/>
        </w:rPr>
      </w:pPr>
      <w:r>
        <w:rPr>
          <w:rFonts w:ascii="Arial" w:hAnsi="Arial" w:cs="Arial"/>
          <w:b/>
          <w:bCs/>
        </w:rPr>
        <w:t>QUESTION NO. 976</w:t>
      </w:r>
      <w:r w:rsidRPr="00B236EF">
        <w:rPr>
          <w:rFonts w:ascii="Arial" w:hAnsi="Arial" w:cs="Arial"/>
          <w:b/>
          <w:bCs/>
        </w:rPr>
        <w:tab/>
      </w:r>
    </w:p>
    <w:p w14:paraId="3B4B4A8D" w14:textId="77777777" w:rsidR="00654594" w:rsidRDefault="00654594" w:rsidP="003B7681">
      <w:pPr>
        <w:jc w:val="both"/>
        <w:rPr>
          <w:rFonts w:ascii="Arial" w:hAnsi="Arial" w:cs="Arial"/>
          <w:b/>
          <w:bCs/>
        </w:rPr>
      </w:pPr>
    </w:p>
    <w:p w14:paraId="126C5574" w14:textId="76EB488D" w:rsidR="00854BA8" w:rsidRPr="00A76F63" w:rsidRDefault="00854BA8" w:rsidP="003B7681">
      <w:pPr>
        <w:jc w:val="both"/>
        <w:rPr>
          <w:rFonts w:ascii="Arial" w:hAnsi="Arial" w:cs="Arial"/>
          <w:b/>
          <w:bCs/>
        </w:rPr>
      </w:pPr>
      <w:bookmarkStart w:id="0" w:name="_GoBack"/>
      <w:bookmarkEnd w:id="0"/>
      <w:r w:rsidRPr="00A76F63">
        <w:rPr>
          <w:rFonts w:ascii="Arial" w:hAnsi="Arial" w:cs="Arial"/>
          <w:b/>
          <w:bCs/>
        </w:rPr>
        <w:t xml:space="preserve">Mr D W Macpherson (DA) to ask the Minister of Trade, Industry and Competition: </w:t>
      </w:r>
    </w:p>
    <w:p w14:paraId="6116F5B7" w14:textId="77777777" w:rsidR="00854BA8" w:rsidRPr="00A76F63" w:rsidRDefault="00854BA8" w:rsidP="003B7681">
      <w:pPr>
        <w:jc w:val="both"/>
        <w:rPr>
          <w:rFonts w:ascii="Arial" w:hAnsi="Arial" w:cs="Arial"/>
        </w:rPr>
      </w:pPr>
    </w:p>
    <w:p w14:paraId="044476C5" w14:textId="77777777" w:rsidR="00854BA8" w:rsidRPr="00A76F63" w:rsidRDefault="00854BA8" w:rsidP="003B7681">
      <w:pPr>
        <w:pStyle w:val="ListParagraph"/>
        <w:numPr>
          <w:ilvl w:val="0"/>
          <w:numId w:val="1"/>
        </w:numPr>
        <w:jc w:val="both"/>
        <w:rPr>
          <w:rFonts w:ascii="Arial" w:hAnsi="Arial" w:cs="Arial"/>
        </w:rPr>
      </w:pPr>
      <w:r w:rsidRPr="00A76F63">
        <w:rPr>
          <w:rFonts w:ascii="Arial" w:hAnsi="Arial" w:cs="Arial"/>
        </w:rPr>
        <w:t xml:space="preserve">What is the name of each person he consulted from the credit and banking sectors regarding the possible enactment of section 11 of the National Credit Amendment Act, Act 7 of 2019; </w:t>
      </w:r>
    </w:p>
    <w:p w14:paraId="2726553F" w14:textId="77777777" w:rsidR="00854BA8" w:rsidRPr="00A76F63" w:rsidRDefault="00854BA8" w:rsidP="003B7681">
      <w:pPr>
        <w:pStyle w:val="ListParagraph"/>
        <w:numPr>
          <w:ilvl w:val="0"/>
          <w:numId w:val="1"/>
        </w:numPr>
        <w:jc w:val="both"/>
        <w:rPr>
          <w:rFonts w:ascii="Arial" w:hAnsi="Arial" w:cs="Arial"/>
        </w:rPr>
      </w:pPr>
      <w:r w:rsidRPr="00A76F63">
        <w:rPr>
          <w:rFonts w:ascii="Arial" w:hAnsi="Arial" w:cs="Arial"/>
        </w:rPr>
        <w:t xml:space="preserve">whether he has found that invoking the specified section will be beneficial to the economy; if not, what is the position in this regard; if so, what are the relevant details; </w:t>
      </w:r>
    </w:p>
    <w:p w14:paraId="7924474D" w14:textId="77777777" w:rsidR="00854BA8" w:rsidRPr="00A76F63" w:rsidRDefault="00854BA8" w:rsidP="003B7681">
      <w:pPr>
        <w:pStyle w:val="ListParagraph"/>
        <w:numPr>
          <w:ilvl w:val="0"/>
          <w:numId w:val="1"/>
        </w:numPr>
        <w:jc w:val="both"/>
        <w:rPr>
          <w:rFonts w:ascii="Arial" w:hAnsi="Arial" w:cs="Arial"/>
        </w:rPr>
      </w:pPr>
      <w:r w:rsidRPr="00A76F63">
        <w:rPr>
          <w:rFonts w:ascii="Arial" w:hAnsi="Arial" w:cs="Arial"/>
        </w:rPr>
        <w:t xml:space="preserve">what processes will be followed in order to invoke the specified section? </w:t>
      </w:r>
    </w:p>
    <w:p w14:paraId="25C7E359" w14:textId="623A7EED" w:rsidR="00E71F15" w:rsidRPr="00A76F63" w:rsidRDefault="00854BA8" w:rsidP="003B7681">
      <w:pPr>
        <w:pStyle w:val="ListParagraph"/>
        <w:jc w:val="both"/>
        <w:rPr>
          <w:rFonts w:ascii="Arial" w:hAnsi="Arial" w:cs="Arial"/>
        </w:rPr>
      </w:pPr>
      <w:r w:rsidRPr="00A76F63">
        <w:rPr>
          <w:rFonts w:ascii="Arial" w:hAnsi="Arial" w:cs="Arial"/>
        </w:rPr>
        <w:t>NW1265E</w:t>
      </w:r>
    </w:p>
    <w:p w14:paraId="661E0382" w14:textId="2C3A271E" w:rsidR="00854BA8" w:rsidRPr="00A76F63" w:rsidRDefault="00854BA8" w:rsidP="003B7681">
      <w:pPr>
        <w:jc w:val="both"/>
        <w:rPr>
          <w:rFonts w:ascii="Arial" w:hAnsi="Arial" w:cs="Arial"/>
        </w:rPr>
      </w:pPr>
    </w:p>
    <w:p w14:paraId="4DFB7DF5" w14:textId="0B35AB6F" w:rsidR="00854BA8" w:rsidRPr="00A76F63" w:rsidRDefault="00854BA8" w:rsidP="003B7681">
      <w:pPr>
        <w:jc w:val="both"/>
        <w:rPr>
          <w:rFonts w:ascii="Arial" w:hAnsi="Arial" w:cs="Arial"/>
          <w:b/>
          <w:bCs/>
        </w:rPr>
      </w:pPr>
      <w:r w:rsidRPr="00A76F63">
        <w:rPr>
          <w:rFonts w:ascii="Arial" w:hAnsi="Arial" w:cs="Arial"/>
          <w:b/>
          <w:bCs/>
        </w:rPr>
        <w:t>REPLY</w:t>
      </w:r>
    </w:p>
    <w:p w14:paraId="44831F43" w14:textId="53D9EE8C" w:rsidR="00854BA8" w:rsidRPr="00A76F63" w:rsidRDefault="00854BA8" w:rsidP="003B7681">
      <w:pPr>
        <w:jc w:val="both"/>
        <w:rPr>
          <w:rFonts w:ascii="Arial" w:hAnsi="Arial" w:cs="Arial"/>
        </w:rPr>
      </w:pPr>
    </w:p>
    <w:p w14:paraId="6AA15D6E" w14:textId="7A5671D2" w:rsidR="00854BA8" w:rsidRPr="00A76F63" w:rsidRDefault="00854BA8" w:rsidP="003B7681">
      <w:pPr>
        <w:jc w:val="both"/>
        <w:rPr>
          <w:rFonts w:ascii="Arial" w:hAnsi="Arial" w:cs="Arial"/>
        </w:rPr>
      </w:pPr>
      <w:r w:rsidRPr="00A76F63">
        <w:rPr>
          <w:rFonts w:ascii="Arial" w:hAnsi="Arial" w:cs="Arial"/>
        </w:rPr>
        <w:t>The pandemic together with the impact that it has on the economy is placing consumers, workers, firms and vulnerable members of society under enormous pressure.</w:t>
      </w:r>
    </w:p>
    <w:p w14:paraId="6159881D" w14:textId="42C7A012" w:rsidR="00854BA8" w:rsidRPr="00A76F63" w:rsidRDefault="00854BA8" w:rsidP="003B7681">
      <w:pPr>
        <w:jc w:val="both"/>
        <w:rPr>
          <w:rFonts w:ascii="Arial" w:hAnsi="Arial" w:cs="Arial"/>
        </w:rPr>
      </w:pPr>
    </w:p>
    <w:p w14:paraId="7F549CB7" w14:textId="162F1EB0" w:rsidR="00854BA8" w:rsidRPr="00314FE5" w:rsidRDefault="00854BA8" w:rsidP="003B7681">
      <w:pPr>
        <w:jc w:val="both"/>
        <w:rPr>
          <w:rFonts w:ascii="Arial" w:hAnsi="Arial" w:cs="Arial"/>
        </w:rPr>
      </w:pPr>
      <w:r w:rsidRPr="00A76F63">
        <w:rPr>
          <w:rFonts w:ascii="Arial" w:hAnsi="Arial" w:cs="Arial"/>
        </w:rPr>
        <w:t xml:space="preserve">In order to combat the </w:t>
      </w:r>
      <w:r w:rsidR="008B0F3E">
        <w:rPr>
          <w:rFonts w:ascii="Arial" w:hAnsi="Arial" w:cs="Arial"/>
        </w:rPr>
        <w:t xml:space="preserve">rapid </w:t>
      </w:r>
      <w:r w:rsidRPr="00A76F63">
        <w:rPr>
          <w:rFonts w:ascii="Arial" w:hAnsi="Arial" w:cs="Arial"/>
        </w:rPr>
        <w:t xml:space="preserve">spread of COVID-19 as effective as possible and limit the damage to the economy, Government </w:t>
      </w:r>
      <w:r w:rsidRPr="00314FE5">
        <w:rPr>
          <w:rFonts w:ascii="Arial" w:hAnsi="Arial" w:cs="Arial"/>
        </w:rPr>
        <w:t>has taken a number of measures that have been publicised</w:t>
      </w:r>
      <w:r w:rsidR="00A76F63" w:rsidRPr="00314FE5">
        <w:rPr>
          <w:rFonts w:ascii="Arial" w:hAnsi="Arial" w:cs="Arial"/>
        </w:rPr>
        <w:t>.</w:t>
      </w:r>
      <w:r w:rsidRPr="00314FE5">
        <w:rPr>
          <w:rFonts w:ascii="Arial" w:hAnsi="Arial" w:cs="Arial"/>
        </w:rPr>
        <w:t xml:space="preserve"> </w:t>
      </w:r>
      <w:r w:rsidR="00A76F63" w:rsidRPr="00314FE5">
        <w:rPr>
          <w:rFonts w:ascii="Arial" w:hAnsi="Arial" w:cs="Arial"/>
        </w:rPr>
        <w:t xml:space="preserve">Further </w:t>
      </w:r>
      <w:r w:rsidRPr="00314FE5">
        <w:rPr>
          <w:rFonts w:ascii="Arial" w:hAnsi="Arial" w:cs="Arial"/>
        </w:rPr>
        <w:t>measures</w:t>
      </w:r>
      <w:r w:rsidR="00A76F63" w:rsidRPr="00314FE5">
        <w:rPr>
          <w:rFonts w:ascii="Arial" w:hAnsi="Arial" w:cs="Arial"/>
        </w:rPr>
        <w:t xml:space="preserve"> continue to be under consideration</w:t>
      </w:r>
      <w:r w:rsidRPr="00314FE5">
        <w:rPr>
          <w:rFonts w:ascii="Arial" w:hAnsi="Arial" w:cs="Arial"/>
        </w:rPr>
        <w:t>.</w:t>
      </w:r>
    </w:p>
    <w:p w14:paraId="48992099" w14:textId="358458E3" w:rsidR="00854BA8" w:rsidRPr="00314FE5" w:rsidRDefault="00854BA8" w:rsidP="003B7681">
      <w:pPr>
        <w:jc w:val="both"/>
        <w:rPr>
          <w:rFonts w:ascii="Arial" w:hAnsi="Arial" w:cs="Arial"/>
        </w:rPr>
      </w:pPr>
    </w:p>
    <w:p w14:paraId="3152C4FF" w14:textId="56283CB3" w:rsidR="00854BA8" w:rsidRPr="00314FE5" w:rsidRDefault="006563DC" w:rsidP="003B7681">
      <w:pPr>
        <w:jc w:val="both"/>
        <w:rPr>
          <w:rFonts w:ascii="Arial" w:hAnsi="Arial" w:cs="Arial"/>
        </w:rPr>
      </w:pPr>
      <w:r w:rsidRPr="00314FE5">
        <w:rPr>
          <w:rFonts w:ascii="Arial" w:hAnsi="Arial" w:cs="Arial"/>
        </w:rPr>
        <w:t xml:space="preserve">During the course of addressing both the pandemic and the </w:t>
      </w:r>
      <w:r w:rsidR="004740A8" w:rsidRPr="00314FE5">
        <w:rPr>
          <w:rFonts w:ascii="Arial" w:hAnsi="Arial" w:cs="Arial"/>
        </w:rPr>
        <w:t>destructive and other effects of the disaster</w:t>
      </w:r>
      <w:r w:rsidRPr="00314FE5">
        <w:rPr>
          <w:rFonts w:ascii="Arial" w:hAnsi="Arial" w:cs="Arial"/>
        </w:rPr>
        <w:t xml:space="preserve">, the </w:t>
      </w:r>
      <w:r w:rsidR="00854BA8" w:rsidRPr="00314FE5">
        <w:rPr>
          <w:rFonts w:ascii="Arial" w:hAnsi="Arial" w:cs="Arial"/>
        </w:rPr>
        <w:t xml:space="preserve">Ministry </w:t>
      </w:r>
      <w:r w:rsidR="00125030" w:rsidRPr="00314FE5">
        <w:rPr>
          <w:rFonts w:ascii="Arial" w:hAnsi="Arial" w:cs="Arial"/>
        </w:rPr>
        <w:t xml:space="preserve">and Department </w:t>
      </w:r>
      <w:r w:rsidR="00854BA8" w:rsidRPr="00314FE5">
        <w:rPr>
          <w:rFonts w:ascii="Arial" w:hAnsi="Arial" w:cs="Arial"/>
        </w:rPr>
        <w:t>has been reviewing provisions of legislation within its mandate, including the Competition Act and the National Credit Act, to identify measures that can be taken responsibly to support families and businesses in distress.</w:t>
      </w:r>
    </w:p>
    <w:p w14:paraId="08004138" w14:textId="0CD2C1C9" w:rsidR="00854BA8" w:rsidRPr="00314FE5" w:rsidRDefault="00854BA8" w:rsidP="003B7681">
      <w:pPr>
        <w:jc w:val="both"/>
        <w:rPr>
          <w:rFonts w:ascii="Arial" w:hAnsi="Arial" w:cs="Arial"/>
        </w:rPr>
      </w:pPr>
    </w:p>
    <w:p w14:paraId="0C60F797" w14:textId="60D78E5E" w:rsidR="00854BA8" w:rsidRPr="00A76F63" w:rsidRDefault="00854BA8" w:rsidP="003B7681">
      <w:pPr>
        <w:jc w:val="both"/>
        <w:rPr>
          <w:rFonts w:ascii="Arial" w:hAnsi="Arial" w:cs="Arial"/>
        </w:rPr>
      </w:pPr>
      <w:r w:rsidRPr="00314FE5">
        <w:rPr>
          <w:rFonts w:ascii="Arial" w:hAnsi="Arial" w:cs="Arial"/>
        </w:rPr>
        <w:t xml:space="preserve">On 20 March 2020, I </w:t>
      </w:r>
      <w:r w:rsidR="006563DC" w:rsidRPr="00314FE5">
        <w:rPr>
          <w:rFonts w:ascii="Arial" w:hAnsi="Arial" w:cs="Arial"/>
        </w:rPr>
        <w:t>gazetted</w:t>
      </w:r>
      <w:r w:rsidRPr="00314FE5">
        <w:rPr>
          <w:rFonts w:ascii="Arial" w:hAnsi="Arial" w:cs="Arial"/>
        </w:rPr>
        <w:t xml:space="preserve"> an exemption from</w:t>
      </w:r>
      <w:r w:rsidRPr="00A76F63">
        <w:rPr>
          <w:rFonts w:ascii="Arial" w:hAnsi="Arial" w:cs="Arial"/>
        </w:rPr>
        <w:t xml:space="preserve"> sections 4 and 5 of the Competition Act, to enable banks to meet and agree on terms to support consumers and small businesses in distress. This includes payment holidays and debt relief for businesses and individuals in financial distress; limitations set on asset repossessions of businesses and individuals in financial distress; and the extension of credit lines to individuals and businesses in financial distress.</w:t>
      </w:r>
    </w:p>
    <w:p w14:paraId="642A3D27" w14:textId="7FD042D0" w:rsidR="00854BA8" w:rsidRPr="00A76F63" w:rsidRDefault="00854BA8" w:rsidP="003B7681">
      <w:pPr>
        <w:jc w:val="both"/>
        <w:rPr>
          <w:rFonts w:ascii="Arial" w:hAnsi="Arial" w:cs="Arial"/>
        </w:rPr>
      </w:pPr>
    </w:p>
    <w:p w14:paraId="0EB8CA6D" w14:textId="15F6C524" w:rsidR="00854BA8" w:rsidRPr="00A76F63" w:rsidRDefault="00854BA8" w:rsidP="003B7681">
      <w:pPr>
        <w:jc w:val="both"/>
        <w:rPr>
          <w:rFonts w:ascii="Arial" w:hAnsi="Arial" w:cs="Arial"/>
        </w:rPr>
      </w:pPr>
      <w:r w:rsidRPr="00A76F63">
        <w:rPr>
          <w:rFonts w:ascii="Arial" w:hAnsi="Arial" w:cs="Arial"/>
        </w:rPr>
        <w:t xml:space="preserve">In respect of the National Credit Act, </w:t>
      </w:r>
      <w:r w:rsidR="00F32764" w:rsidRPr="00A76F63">
        <w:rPr>
          <w:rFonts w:ascii="Arial" w:hAnsi="Arial" w:cs="Arial"/>
        </w:rPr>
        <w:t xml:space="preserve">while the Act imposes prudent measures </w:t>
      </w:r>
      <w:r w:rsidR="00125030">
        <w:rPr>
          <w:rFonts w:ascii="Arial" w:hAnsi="Arial" w:cs="Arial"/>
        </w:rPr>
        <w:t>to mitigate against reckless lending</w:t>
      </w:r>
      <w:r w:rsidR="00F32764" w:rsidRPr="00A76F63">
        <w:rPr>
          <w:rFonts w:ascii="Arial" w:hAnsi="Arial" w:cs="Arial"/>
        </w:rPr>
        <w:t xml:space="preserve"> by credit providers, it </w:t>
      </w:r>
      <w:r w:rsidR="00125030">
        <w:rPr>
          <w:rFonts w:ascii="Arial" w:hAnsi="Arial" w:cs="Arial"/>
        </w:rPr>
        <w:t>also</w:t>
      </w:r>
      <w:r w:rsidR="00F32764" w:rsidRPr="00A76F63">
        <w:rPr>
          <w:rFonts w:ascii="Arial" w:hAnsi="Arial" w:cs="Arial"/>
        </w:rPr>
        <w:t xml:space="preserve"> contain</w:t>
      </w:r>
      <w:r w:rsidR="00227004">
        <w:rPr>
          <w:rFonts w:ascii="Arial" w:hAnsi="Arial" w:cs="Arial"/>
        </w:rPr>
        <w:t>s</w:t>
      </w:r>
      <w:r w:rsidR="00F32764" w:rsidRPr="00A76F63">
        <w:rPr>
          <w:rFonts w:ascii="Arial" w:hAnsi="Arial" w:cs="Arial"/>
        </w:rPr>
        <w:t xml:space="preserve"> provisions that are aimed at assisting distressed consumers in cases of disaster or other unforeseen </w:t>
      </w:r>
      <w:r w:rsidR="00F32764" w:rsidRPr="00A76F63">
        <w:rPr>
          <w:rFonts w:ascii="Arial" w:hAnsi="Arial" w:cs="Arial"/>
        </w:rPr>
        <w:lastRenderedPageBreak/>
        <w:t>emergencies.</w:t>
      </w:r>
      <w:r w:rsidR="006563DC">
        <w:rPr>
          <w:rFonts w:ascii="Arial" w:hAnsi="Arial" w:cs="Arial"/>
        </w:rPr>
        <w:t xml:space="preserve"> </w:t>
      </w:r>
      <w:r w:rsidR="00F32764" w:rsidRPr="00A76F63">
        <w:rPr>
          <w:rFonts w:ascii="Arial" w:hAnsi="Arial" w:cs="Arial"/>
        </w:rPr>
        <w:t xml:space="preserve">These include both the emergency loan provisions; and the public interest loan provisions in the Act. </w:t>
      </w:r>
      <w:r w:rsidR="003B7681" w:rsidRPr="00A76F63">
        <w:rPr>
          <w:rFonts w:ascii="Arial" w:hAnsi="Arial" w:cs="Arial"/>
        </w:rPr>
        <w:t>I am advised that, i</w:t>
      </w:r>
      <w:r w:rsidR="00F32764" w:rsidRPr="00A76F63">
        <w:rPr>
          <w:rFonts w:ascii="Arial" w:hAnsi="Arial" w:cs="Arial"/>
        </w:rPr>
        <w:t>n terms of the Act, the provisions relating to reckless credit equally do not apply to either emergency loans or public interest credit agreements.</w:t>
      </w:r>
      <w:r w:rsidR="00A76F63">
        <w:rPr>
          <w:rFonts w:ascii="Arial" w:hAnsi="Arial" w:cs="Arial"/>
        </w:rPr>
        <w:t xml:space="preserve"> </w:t>
      </w:r>
    </w:p>
    <w:p w14:paraId="1FE36056" w14:textId="70F39224" w:rsidR="00F32764" w:rsidRPr="00A76F63" w:rsidRDefault="00F32764" w:rsidP="003B7681">
      <w:pPr>
        <w:jc w:val="both"/>
        <w:rPr>
          <w:rFonts w:ascii="Arial" w:hAnsi="Arial" w:cs="Arial"/>
        </w:rPr>
      </w:pPr>
    </w:p>
    <w:p w14:paraId="4B3A532F" w14:textId="1420ED79" w:rsidR="00F32764" w:rsidRPr="00A76F63" w:rsidRDefault="006563DC" w:rsidP="003B7681">
      <w:pPr>
        <w:jc w:val="both"/>
        <w:rPr>
          <w:rFonts w:ascii="Arial" w:hAnsi="Arial" w:cs="Arial"/>
        </w:rPr>
      </w:pPr>
      <w:r>
        <w:rPr>
          <w:rFonts w:ascii="Arial" w:hAnsi="Arial" w:cs="Arial"/>
        </w:rPr>
        <w:t xml:space="preserve">In the initial discussion with the Department and the Credit Regulator, there was a recognition of the need for </w:t>
      </w:r>
      <w:r w:rsidR="00F32764" w:rsidRPr="00A76F63">
        <w:rPr>
          <w:rFonts w:ascii="Arial" w:hAnsi="Arial" w:cs="Arial"/>
        </w:rPr>
        <w:t xml:space="preserve">additional finance </w:t>
      </w:r>
      <w:r>
        <w:rPr>
          <w:rFonts w:ascii="Arial" w:hAnsi="Arial" w:cs="Arial"/>
        </w:rPr>
        <w:t xml:space="preserve">and facilities that would </w:t>
      </w:r>
      <w:r w:rsidR="00F32764" w:rsidRPr="00A76F63">
        <w:rPr>
          <w:rFonts w:ascii="Arial" w:hAnsi="Arial" w:cs="Arial"/>
        </w:rPr>
        <w:t>be required over the period of the COVID-19 national disaster</w:t>
      </w:r>
      <w:r>
        <w:rPr>
          <w:rFonts w:ascii="Arial" w:hAnsi="Arial" w:cs="Arial"/>
        </w:rPr>
        <w:t xml:space="preserve">; at the same time, both entities were concerned </w:t>
      </w:r>
      <w:r w:rsidR="00F32764" w:rsidRPr="00A76F63">
        <w:rPr>
          <w:rFonts w:ascii="Arial" w:hAnsi="Arial" w:cs="Arial"/>
        </w:rPr>
        <w:t xml:space="preserve">about the risk </w:t>
      </w:r>
      <w:r w:rsidR="003B7681" w:rsidRPr="00A76F63">
        <w:rPr>
          <w:rFonts w:ascii="Arial" w:hAnsi="Arial" w:cs="Arial"/>
        </w:rPr>
        <w:t xml:space="preserve">of </w:t>
      </w:r>
      <w:r w:rsidR="00F32764" w:rsidRPr="00A76F63">
        <w:rPr>
          <w:rFonts w:ascii="Arial" w:hAnsi="Arial" w:cs="Arial"/>
        </w:rPr>
        <w:t xml:space="preserve">over-indebtedness </w:t>
      </w:r>
      <w:r w:rsidR="00125ACA">
        <w:rPr>
          <w:rFonts w:ascii="Arial" w:hAnsi="Arial" w:cs="Arial"/>
        </w:rPr>
        <w:t xml:space="preserve">to vulnerable consumers </w:t>
      </w:r>
      <w:r w:rsidR="00F32764" w:rsidRPr="00A76F63">
        <w:rPr>
          <w:rFonts w:ascii="Arial" w:hAnsi="Arial" w:cs="Arial"/>
        </w:rPr>
        <w:t>which may result from reckless lending.</w:t>
      </w:r>
    </w:p>
    <w:p w14:paraId="7A606C46" w14:textId="7EEAC648" w:rsidR="00F32764" w:rsidRPr="00A76F63" w:rsidRDefault="00F32764" w:rsidP="003B7681">
      <w:pPr>
        <w:jc w:val="both"/>
        <w:rPr>
          <w:rFonts w:ascii="Arial" w:hAnsi="Arial" w:cs="Arial"/>
        </w:rPr>
      </w:pPr>
    </w:p>
    <w:p w14:paraId="636560A8" w14:textId="16279C13" w:rsidR="00F32764" w:rsidRPr="00A76F63" w:rsidRDefault="00F32764" w:rsidP="003B7681">
      <w:pPr>
        <w:jc w:val="both"/>
        <w:rPr>
          <w:rFonts w:ascii="Arial" w:hAnsi="Arial" w:cs="Arial"/>
        </w:rPr>
      </w:pPr>
      <w:r w:rsidRPr="00A76F63">
        <w:rPr>
          <w:rFonts w:ascii="Arial" w:hAnsi="Arial" w:cs="Arial"/>
        </w:rPr>
        <w:t xml:space="preserve">Officials from the Department thus engaged with </w:t>
      </w:r>
      <w:r w:rsidR="004E1892" w:rsidRPr="00A76F63">
        <w:rPr>
          <w:rFonts w:ascii="Arial" w:hAnsi="Arial" w:cs="Arial"/>
        </w:rPr>
        <w:t xml:space="preserve">a range of </w:t>
      </w:r>
      <w:r w:rsidRPr="00A76F63">
        <w:rPr>
          <w:rFonts w:ascii="Arial" w:hAnsi="Arial" w:cs="Arial"/>
        </w:rPr>
        <w:t>industry stakeholders on the most appropriate measures to provide additional access to finance to consumers in need, while mitigating any risks which may exist.</w:t>
      </w:r>
      <w:r w:rsidR="004E1892" w:rsidRPr="00A76F63">
        <w:rPr>
          <w:rFonts w:ascii="Arial" w:hAnsi="Arial" w:cs="Arial"/>
        </w:rPr>
        <w:t xml:space="preserve"> These engagements included the following:</w:t>
      </w:r>
    </w:p>
    <w:p w14:paraId="7055E8B4" w14:textId="77777777" w:rsidR="004E1892" w:rsidRPr="00A76F63" w:rsidRDefault="004E1892" w:rsidP="003B7681">
      <w:pPr>
        <w:pStyle w:val="ListParagraph"/>
        <w:numPr>
          <w:ilvl w:val="0"/>
          <w:numId w:val="3"/>
        </w:numPr>
        <w:jc w:val="both"/>
        <w:rPr>
          <w:rFonts w:ascii="Arial" w:hAnsi="Arial" w:cs="Arial"/>
        </w:rPr>
      </w:pPr>
      <w:r w:rsidRPr="00A76F63">
        <w:rPr>
          <w:rFonts w:ascii="Arial" w:hAnsi="Arial" w:cs="Arial"/>
        </w:rPr>
        <w:t xml:space="preserve">Ms </w:t>
      </w:r>
      <w:proofErr w:type="spellStart"/>
      <w:r w:rsidRPr="00A76F63">
        <w:rPr>
          <w:rFonts w:ascii="Arial" w:hAnsi="Arial" w:cs="Arial"/>
        </w:rPr>
        <w:t>Nomsa</w:t>
      </w:r>
      <w:proofErr w:type="spellEnd"/>
      <w:r w:rsidRPr="00A76F63">
        <w:rPr>
          <w:rFonts w:ascii="Arial" w:hAnsi="Arial" w:cs="Arial"/>
        </w:rPr>
        <w:t xml:space="preserve"> </w:t>
      </w:r>
      <w:proofErr w:type="spellStart"/>
      <w:r w:rsidRPr="00A76F63">
        <w:rPr>
          <w:rFonts w:ascii="Arial" w:hAnsi="Arial" w:cs="Arial"/>
        </w:rPr>
        <w:t>Motsegare</w:t>
      </w:r>
      <w:proofErr w:type="spellEnd"/>
      <w:r w:rsidRPr="00A76F63">
        <w:rPr>
          <w:rFonts w:ascii="Arial" w:hAnsi="Arial" w:cs="Arial"/>
        </w:rPr>
        <w:t>, CEO of the National Credit Regulator;</w:t>
      </w:r>
      <w:r w:rsidR="00F32764" w:rsidRPr="00A76F63">
        <w:rPr>
          <w:rFonts w:ascii="Arial" w:hAnsi="Arial" w:cs="Arial"/>
        </w:rPr>
        <w:t xml:space="preserve"> </w:t>
      </w:r>
    </w:p>
    <w:p w14:paraId="247B6042" w14:textId="5AC279D8" w:rsidR="004E1892" w:rsidRPr="00A76F63" w:rsidRDefault="004E1892" w:rsidP="003B7681">
      <w:pPr>
        <w:pStyle w:val="ListParagraph"/>
        <w:numPr>
          <w:ilvl w:val="0"/>
          <w:numId w:val="3"/>
        </w:numPr>
        <w:jc w:val="both"/>
        <w:rPr>
          <w:rFonts w:ascii="Arial" w:hAnsi="Arial" w:cs="Arial"/>
        </w:rPr>
      </w:pPr>
      <w:r w:rsidRPr="00A76F63">
        <w:rPr>
          <w:rFonts w:ascii="Arial" w:hAnsi="Arial" w:cs="Arial"/>
        </w:rPr>
        <w:t>Mr Kuben Naidoo, Deputy Governor of the South African Reserve Bank and CEO of the Prudential Authority</w:t>
      </w:r>
      <w:r w:rsidR="003B7681" w:rsidRPr="00A76F63">
        <w:rPr>
          <w:rFonts w:ascii="Arial" w:hAnsi="Arial" w:cs="Arial"/>
        </w:rPr>
        <w:t>;</w:t>
      </w:r>
    </w:p>
    <w:p w14:paraId="476476C8" w14:textId="77777777" w:rsidR="000044B2" w:rsidRPr="00A76F63" w:rsidRDefault="000044B2" w:rsidP="000044B2">
      <w:pPr>
        <w:pStyle w:val="ListParagraph"/>
        <w:numPr>
          <w:ilvl w:val="0"/>
          <w:numId w:val="3"/>
        </w:numPr>
        <w:jc w:val="both"/>
        <w:rPr>
          <w:rFonts w:ascii="Arial" w:hAnsi="Arial" w:cs="Arial"/>
        </w:rPr>
      </w:pPr>
      <w:r>
        <w:rPr>
          <w:rFonts w:ascii="Arial" w:hAnsi="Arial" w:cs="Arial"/>
        </w:rPr>
        <w:t xml:space="preserve">Mr </w:t>
      </w:r>
      <w:proofErr w:type="spellStart"/>
      <w:r>
        <w:rPr>
          <w:rFonts w:ascii="Arial" w:hAnsi="Arial" w:cs="Arial"/>
        </w:rPr>
        <w:t>Lungisa</w:t>
      </w:r>
      <w:proofErr w:type="spellEnd"/>
      <w:r>
        <w:rPr>
          <w:rFonts w:ascii="Arial" w:hAnsi="Arial" w:cs="Arial"/>
        </w:rPr>
        <w:t xml:space="preserve"> </w:t>
      </w:r>
      <w:proofErr w:type="spellStart"/>
      <w:r>
        <w:rPr>
          <w:rFonts w:ascii="Arial" w:hAnsi="Arial" w:cs="Arial"/>
        </w:rPr>
        <w:t>Fuzile</w:t>
      </w:r>
      <w:proofErr w:type="spellEnd"/>
      <w:r>
        <w:rPr>
          <w:rFonts w:ascii="Arial" w:hAnsi="Arial" w:cs="Arial"/>
        </w:rPr>
        <w:t>, CEO of Standard Bank South Africa;</w:t>
      </w:r>
    </w:p>
    <w:p w14:paraId="752BEB1D" w14:textId="5EB0BDB0" w:rsidR="004E1892" w:rsidRPr="00A76F63" w:rsidRDefault="00F32764" w:rsidP="003B7681">
      <w:pPr>
        <w:pStyle w:val="ListParagraph"/>
        <w:numPr>
          <w:ilvl w:val="0"/>
          <w:numId w:val="3"/>
        </w:numPr>
        <w:jc w:val="both"/>
        <w:rPr>
          <w:rFonts w:ascii="Arial" w:hAnsi="Arial" w:cs="Arial"/>
        </w:rPr>
      </w:pPr>
      <w:r w:rsidRPr="00A76F63">
        <w:rPr>
          <w:rFonts w:ascii="Arial" w:hAnsi="Arial" w:cs="Arial"/>
        </w:rPr>
        <w:t xml:space="preserve">Mr. </w:t>
      </w:r>
      <w:proofErr w:type="spellStart"/>
      <w:r w:rsidRPr="00A76F63">
        <w:rPr>
          <w:rFonts w:ascii="Arial" w:hAnsi="Arial" w:cs="Arial"/>
        </w:rPr>
        <w:t>Cas</w:t>
      </w:r>
      <w:proofErr w:type="spellEnd"/>
      <w:r w:rsidRPr="00A76F63">
        <w:rPr>
          <w:rFonts w:ascii="Arial" w:hAnsi="Arial" w:cs="Arial"/>
        </w:rPr>
        <w:t xml:space="preserve"> </w:t>
      </w:r>
      <w:proofErr w:type="spellStart"/>
      <w:r w:rsidRPr="00A76F63">
        <w:rPr>
          <w:rFonts w:ascii="Arial" w:hAnsi="Arial" w:cs="Arial"/>
        </w:rPr>
        <w:t>Coovadia</w:t>
      </w:r>
      <w:proofErr w:type="spellEnd"/>
      <w:r w:rsidR="004E1892" w:rsidRPr="00A76F63">
        <w:rPr>
          <w:rFonts w:ascii="Arial" w:hAnsi="Arial" w:cs="Arial"/>
        </w:rPr>
        <w:t xml:space="preserve">, </w:t>
      </w:r>
      <w:r w:rsidRPr="00A76F63">
        <w:rPr>
          <w:rFonts w:ascii="Arial" w:hAnsi="Arial" w:cs="Arial"/>
        </w:rPr>
        <w:t xml:space="preserve">Managing Director of </w:t>
      </w:r>
      <w:r w:rsidR="003B7681" w:rsidRPr="00A76F63">
        <w:rPr>
          <w:rFonts w:ascii="Arial" w:hAnsi="Arial" w:cs="Arial"/>
        </w:rPr>
        <w:t xml:space="preserve">the </w:t>
      </w:r>
      <w:r w:rsidRPr="00A76F63">
        <w:rPr>
          <w:rFonts w:ascii="Arial" w:hAnsi="Arial" w:cs="Arial"/>
        </w:rPr>
        <w:t>B</w:t>
      </w:r>
      <w:r w:rsidR="003B7681" w:rsidRPr="00A76F63">
        <w:rPr>
          <w:rFonts w:ascii="Arial" w:hAnsi="Arial" w:cs="Arial"/>
        </w:rPr>
        <w:t xml:space="preserve">anking </w:t>
      </w:r>
      <w:r w:rsidRPr="00A76F63">
        <w:rPr>
          <w:rFonts w:ascii="Arial" w:hAnsi="Arial" w:cs="Arial"/>
        </w:rPr>
        <w:t>A</w:t>
      </w:r>
      <w:r w:rsidR="003B7681" w:rsidRPr="00A76F63">
        <w:rPr>
          <w:rFonts w:ascii="Arial" w:hAnsi="Arial" w:cs="Arial"/>
        </w:rPr>
        <w:t xml:space="preserve">ssociation of </w:t>
      </w:r>
      <w:r w:rsidRPr="00A76F63">
        <w:rPr>
          <w:rFonts w:ascii="Arial" w:hAnsi="Arial" w:cs="Arial"/>
        </w:rPr>
        <w:t>S</w:t>
      </w:r>
      <w:r w:rsidR="003B7681" w:rsidRPr="00A76F63">
        <w:rPr>
          <w:rFonts w:ascii="Arial" w:hAnsi="Arial" w:cs="Arial"/>
        </w:rPr>
        <w:t xml:space="preserve">outh </w:t>
      </w:r>
      <w:r w:rsidRPr="00A76F63">
        <w:rPr>
          <w:rFonts w:ascii="Arial" w:hAnsi="Arial" w:cs="Arial"/>
        </w:rPr>
        <w:t>A</w:t>
      </w:r>
      <w:r w:rsidR="003B7681" w:rsidRPr="00A76F63">
        <w:rPr>
          <w:rFonts w:ascii="Arial" w:hAnsi="Arial" w:cs="Arial"/>
        </w:rPr>
        <w:t>frica</w:t>
      </w:r>
      <w:r w:rsidRPr="00A76F63">
        <w:rPr>
          <w:rFonts w:ascii="Arial" w:hAnsi="Arial" w:cs="Arial"/>
        </w:rPr>
        <w:t xml:space="preserve"> </w:t>
      </w:r>
      <w:r w:rsidR="00125ACA">
        <w:rPr>
          <w:rFonts w:ascii="Arial" w:hAnsi="Arial" w:cs="Arial"/>
        </w:rPr>
        <w:t>at the time</w:t>
      </w:r>
      <w:r w:rsidR="004E1892" w:rsidRPr="00A76F63">
        <w:rPr>
          <w:rFonts w:ascii="Arial" w:hAnsi="Arial" w:cs="Arial"/>
        </w:rPr>
        <w:t>;</w:t>
      </w:r>
    </w:p>
    <w:p w14:paraId="730D8F4B" w14:textId="40CC250B" w:rsidR="004E1892" w:rsidRDefault="00F32764" w:rsidP="003B7681">
      <w:pPr>
        <w:pStyle w:val="ListParagraph"/>
        <w:numPr>
          <w:ilvl w:val="0"/>
          <w:numId w:val="3"/>
        </w:numPr>
        <w:jc w:val="both"/>
        <w:rPr>
          <w:rFonts w:ascii="Arial" w:hAnsi="Arial" w:cs="Arial"/>
        </w:rPr>
      </w:pPr>
      <w:r w:rsidRPr="00A76F63">
        <w:rPr>
          <w:rFonts w:ascii="Arial" w:hAnsi="Arial" w:cs="Arial"/>
        </w:rPr>
        <w:t xml:space="preserve">Ms. Marguerite Jacobs, General Manager responsible for Legislation &amp; Regulatory Oversight for </w:t>
      </w:r>
      <w:r w:rsidR="003B7681" w:rsidRPr="00A76F63">
        <w:rPr>
          <w:rFonts w:ascii="Arial" w:hAnsi="Arial" w:cs="Arial"/>
        </w:rPr>
        <w:t>the Banking Association of South Africa;</w:t>
      </w:r>
    </w:p>
    <w:p w14:paraId="18486F6E" w14:textId="39FEC496" w:rsidR="004E1892" w:rsidRPr="00A76F63" w:rsidRDefault="004E1892" w:rsidP="003B7681">
      <w:pPr>
        <w:pStyle w:val="ListParagraph"/>
        <w:numPr>
          <w:ilvl w:val="0"/>
          <w:numId w:val="3"/>
        </w:numPr>
        <w:jc w:val="both"/>
        <w:rPr>
          <w:rFonts w:ascii="Arial" w:hAnsi="Arial" w:cs="Arial"/>
        </w:rPr>
      </w:pPr>
      <w:r w:rsidRPr="00A76F63">
        <w:rPr>
          <w:rFonts w:ascii="Arial" w:hAnsi="Arial" w:cs="Arial"/>
        </w:rPr>
        <w:t xml:space="preserve">Mr Abdul </w:t>
      </w:r>
      <w:proofErr w:type="spellStart"/>
      <w:r w:rsidRPr="00A76F63">
        <w:rPr>
          <w:rFonts w:ascii="Arial" w:hAnsi="Arial" w:cs="Arial"/>
        </w:rPr>
        <w:t>Waheed</w:t>
      </w:r>
      <w:proofErr w:type="spellEnd"/>
      <w:r w:rsidRPr="00A76F63">
        <w:rPr>
          <w:rFonts w:ascii="Arial" w:hAnsi="Arial" w:cs="Arial"/>
        </w:rPr>
        <w:t xml:space="preserve"> Patel of </w:t>
      </w:r>
      <w:proofErr w:type="spellStart"/>
      <w:r w:rsidR="00F32764" w:rsidRPr="00A76F63">
        <w:rPr>
          <w:rFonts w:ascii="Arial" w:hAnsi="Arial" w:cs="Arial"/>
        </w:rPr>
        <w:t>Ethicore</w:t>
      </w:r>
      <w:proofErr w:type="spellEnd"/>
      <w:r w:rsidR="00F32764" w:rsidRPr="00A76F63">
        <w:rPr>
          <w:rFonts w:ascii="Arial" w:hAnsi="Arial" w:cs="Arial"/>
        </w:rPr>
        <w:t xml:space="preserve">, in their capacity </w:t>
      </w:r>
      <w:r w:rsidRPr="00A76F63">
        <w:rPr>
          <w:rFonts w:ascii="Arial" w:hAnsi="Arial" w:cs="Arial"/>
        </w:rPr>
        <w:t xml:space="preserve">as </w:t>
      </w:r>
      <w:r w:rsidR="00F32764" w:rsidRPr="00A76F63">
        <w:rPr>
          <w:rFonts w:ascii="Arial" w:hAnsi="Arial" w:cs="Arial"/>
        </w:rPr>
        <w:t xml:space="preserve">advisors </w:t>
      </w:r>
      <w:r w:rsidR="003B7681" w:rsidRPr="00A76F63">
        <w:rPr>
          <w:rFonts w:ascii="Arial" w:hAnsi="Arial" w:cs="Arial"/>
        </w:rPr>
        <w:t>to</w:t>
      </w:r>
      <w:r w:rsidR="00F32764" w:rsidRPr="00A76F63">
        <w:rPr>
          <w:rFonts w:ascii="Arial" w:hAnsi="Arial" w:cs="Arial"/>
        </w:rPr>
        <w:t xml:space="preserve"> Microfinance South Africa</w:t>
      </w:r>
      <w:r w:rsidRPr="00A76F63">
        <w:rPr>
          <w:rFonts w:ascii="Arial" w:hAnsi="Arial" w:cs="Arial"/>
        </w:rPr>
        <w:t>;</w:t>
      </w:r>
      <w:r w:rsidR="003B7681" w:rsidRPr="00A76F63">
        <w:rPr>
          <w:rFonts w:ascii="Arial" w:hAnsi="Arial" w:cs="Arial"/>
        </w:rPr>
        <w:t xml:space="preserve"> and</w:t>
      </w:r>
    </w:p>
    <w:p w14:paraId="2F85C58F" w14:textId="6F660AA2" w:rsidR="00F32764" w:rsidRPr="00A76F63" w:rsidRDefault="003B7681" w:rsidP="003B7681">
      <w:pPr>
        <w:pStyle w:val="ListParagraph"/>
        <w:numPr>
          <w:ilvl w:val="0"/>
          <w:numId w:val="3"/>
        </w:numPr>
        <w:jc w:val="both"/>
        <w:rPr>
          <w:rFonts w:ascii="Arial" w:hAnsi="Arial" w:cs="Arial"/>
        </w:rPr>
      </w:pPr>
      <w:r w:rsidRPr="00A76F63">
        <w:rPr>
          <w:rFonts w:ascii="Arial" w:hAnsi="Arial" w:cs="Arial"/>
        </w:rPr>
        <w:t xml:space="preserve">Mr </w:t>
      </w:r>
      <w:r w:rsidR="004E1892" w:rsidRPr="00A76F63">
        <w:rPr>
          <w:rFonts w:ascii="Arial" w:hAnsi="Arial" w:cs="Arial"/>
        </w:rPr>
        <w:t>Michael Lawrence</w:t>
      </w:r>
      <w:r w:rsidR="000044B2">
        <w:rPr>
          <w:rFonts w:ascii="Arial" w:hAnsi="Arial" w:cs="Arial"/>
        </w:rPr>
        <w:t>, Executive Director</w:t>
      </w:r>
      <w:r w:rsidR="004E1892" w:rsidRPr="00A76F63">
        <w:rPr>
          <w:rFonts w:ascii="Arial" w:hAnsi="Arial" w:cs="Arial"/>
        </w:rPr>
        <w:t xml:space="preserve"> of the National Clothing Retail Federation. </w:t>
      </w:r>
    </w:p>
    <w:p w14:paraId="58DF9545" w14:textId="77777777" w:rsidR="00314FE5" w:rsidRDefault="00314FE5" w:rsidP="00314FE5">
      <w:pPr>
        <w:jc w:val="both"/>
        <w:rPr>
          <w:rFonts w:ascii="Arial" w:hAnsi="Arial" w:cs="Arial"/>
        </w:rPr>
      </w:pPr>
    </w:p>
    <w:p w14:paraId="7AEE63B6" w14:textId="18463803" w:rsidR="00314FE5" w:rsidRPr="00314FE5" w:rsidRDefault="00314FE5" w:rsidP="00314FE5">
      <w:pPr>
        <w:jc w:val="both"/>
        <w:rPr>
          <w:rFonts w:ascii="Arial" w:hAnsi="Arial" w:cs="Arial"/>
        </w:rPr>
      </w:pPr>
      <w:r w:rsidRPr="00314FE5">
        <w:rPr>
          <w:rFonts w:ascii="Arial" w:hAnsi="Arial" w:cs="Arial"/>
        </w:rPr>
        <w:t>The National Credit Regulator also engaged with the South African Reserve Bank and relevant Government entities on the matter.</w:t>
      </w:r>
    </w:p>
    <w:p w14:paraId="66464E97" w14:textId="77777777" w:rsidR="00314FE5" w:rsidRDefault="00314FE5" w:rsidP="003B7681">
      <w:pPr>
        <w:jc w:val="both"/>
        <w:rPr>
          <w:rFonts w:ascii="Arial" w:hAnsi="Arial" w:cs="Arial"/>
        </w:rPr>
      </w:pPr>
    </w:p>
    <w:p w14:paraId="462E1FA8" w14:textId="146E4B2A" w:rsidR="00125ACA" w:rsidRPr="00314FE5" w:rsidRDefault="00125ACA" w:rsidP="003B7681">
      <w:pPr>
        <w:jc w:val="both"/>
        <w:rPr>
          <w:rFonts w:ascii="Arial" w:hAnsi="Arial" w:cs="Arial"/>
        </w:rPr>
      </w:pPr>
      <w:r>
        <w:rPr>
          <w:rFonts w:ascii="Arial" w:hAnsi="Arial" w:cs="Arial"/>
        </w:rPr>
        <w:t xml:space="preserve">In the </w:t>
      </w:r>
      <w:r w:rsidRPr="00314FE5">
        <w:rPr>
          <w:rFonts w:ascii="Arial" w:hAnsi="Arial" w:cs="Arial"/>
        </w:rPr>
        <w:t xml:space="preserve">course of the discussion with stakeholders, it was clear that the provisions of the National Credit Act were not the only, nor the most important challenge for financial institutions to provide additional credit. Banks in such circumstances are concerned about the repayment of loans advanced. This was a key rationale for the launch of the R200 billion </w:t>
      </w:r>
      <w:r w:rsidR="004740A8" w:rsidRPr="00314FE5">
        <w:rPr>
          <w:rFonts w:ascii="Arial" w:hAnsi="Arial" w:cs="Arial"/>
        </w:rPr>
        <w:t>Loan</w:t>
      </w:r>
      <w:r w:rsidRPr="00314FE5">
        <w:rPr>
          <w:rFonts w:ascii="Arial" w:hAnsi="Arial" w:cs="Arial"/>
        </w:rPr>
        <w:t xml:space="preserve"> Guarantee Scheme, as a joint effort by the Government, the SARB and commercial banks. </w:t>
      </w:r>
    </w:p>
    <w:p w14:paraId="65439E73" w14:textId="77777777" w:rsidR="00125ACA" w:rsidRPr="00314FE5" w:rsidRDefault="00125ACA" w:rsidP="003B7681">
      <w:pPr>
        <w:jc w:val="both"/>
        <w:rPr>
          <w:rFonts w:ascii="Arial" w:hAnsi="Arial" w:cs="Arial"/>
        </w:rPr>
      </w:pPr>
    </w:p>
    <w:p w14:paraId="5BF0B78C" w14:textId="599768E8" w:rsidR="004E1892" w:rsidRPr="00A76F63" w:rsidRDefault="00125030" w:rsidP="003B7681">
      <w:pPr>
        <w:jc w:val="both"/>
        <w:rPr>
          <w:rFonts w:ascii="Arial" w:hAnsi="Arial" w:cs="Arial"/>
        </w:rPr>
      </w:pPr>
      <w:r w:rsidRPr="00314FE5">
        <w:rPr>
          <w:rFonts w:ascii="Arial" w:hAnsi="Arial" w:cs="Arial"/>
        </w:rPr>
        <w:t>During the consultations, i</w:t>
      </w:r>
      <w:r w:rsidR="009B1BBE" w:rsidRPr="00314FE5">
        <w:rPr>
          <w:rFonts w:ascii="Arial" w:hAnsi="Arial" w:cs="Arial"/>
        </w:rPr>
        <w:t>ndustry stakeholders advised that the emergency loan provisions of the Act would achieve similar objectives to the public interest credit agreement provisions</w:t>
      </w:r>
      <w:r w:rsidR="00125ACA" w:rsidRPr="00314FE5">
        <w:rPr>
          <w:rFonts w:ascii="Arial" w:hAnsi="Arial" w:cs="Arial"/>
        </w:rPr>
        <w:t>;</w:t>
      </w:r>
      <w:r w:rsidR="009B1BBE" w:rsidRPr="00314FE5">
        <w:rPr>
          <w:rFonts w:ascii="Arial" w:hAnsi="Arial" w:cs="Arial"/>
        </w:rPr>
        <w:t xml:space="preserve"> however further guidelines on the use of the emergency loan provisions would</w:t>
      </w:r>
      <w:r w:rsidR="009B1BBE" w:rsidRPr="00A76F63">
        <w:rPr>
          <w:rFonts w:ascii="Arial" w:hAnsi="Arial" w:cs="Arial"/>
        </w:rPr>
        <w:t xml:space="preserve"> aid the industry.</w:t>
      </w:r>
    </w:p>
    <w:p w14:paraId="1B5BFB6D" w14:textId="32C94351" w:rsidR="009B1BBE" w:rsidRPr="00A76F63" w:rsidRDefault="009B1BBE" w:rsidP="003B7681">
      <w:pPr>
        <w:jc w:val="both"/>
        <w:rPr>
          <w:rFonts w:ascii="Arial" w:hAnsi="Arial" w:cs="Arial"/>
        </w:rPr>
      </w:pPr>
    </w:p>
    <w:p w14:paraId="6AF6990C" w14:textId="77777777" w:rsidR="009B1BBE" w:rsidRPr="009B1BBE" w:rsidRDefault="009B1BBE" w:rsidP="009B1BBE">
      <w:pPr>
        <w:jc w:val="both"/>
        <w:rPr>
          <w:rFonts w:ascii="Arial" w:hAnsi="Arial" w:cs="Arial"/>
        </w:rPr>
      </w:pPr>
      <w:r w:rsidRPr="009B1BBE">
        <w:rPr>
          <w:rFonts w:ascii="Arial" w:hAnsi="Arial" w:cs="Arial"/>
        </w:rPr>
        <w:t>In terms of the Act, an emergency loan is defined as a credit agreement entered into by a consumer to finance costs arising from or associated with—</w:t>
      </w:r>
    </w:p>
    <w:p w14:paraId="115A3E93" w14:textId="77777777" w:rsidR="009B1BBE" w:rsidRPr="00A76F63" w:rsidRDefault="009B1BBE" w:rsidP="009B1BBE">
      <w:pPr>
        <w:pStyle w:val="ListParagraph"/>
        <w:numPr>
          <w:ilvl w:val="0"/>
          <w:numId w:val="4"/>
        </w:numPr>
        <w:jc w:val="both"/>
        <w:rPr>
          <w:rFonts w:ascii="Arial" w:hAnsi="Arial" w:cs="Arial"/>
        </w:rPr>
      </w:pPr>
      <w:r w:rsidRPr="00A76F63">
        <w:rPr>
          <w:rFonts w:ascii="Arial" w:hAnsi="Arial" w:cs="Arial"/>
        </w:rPr>
        <w:t>a death, illness or medical condition;</w:t>
      </w:r>
    </w:p>
    <w:p w14:paraId="4E1F3F61" w14:textId="77777777" w:rsidR="009B1BBE" w:rsidRPr="00A76F63" w:rsidRDefault="009B1BBE" w:rsidP="009B1BBE">
      <w:pPr>
        <w:pStyle w:val="ListParagraph"/>
        <w:numPr>
          <w:ilvl w:val="0"/>
          <w:numId w:val="4"/>
        </w:numPr>
        <w:jc w:val="both"/>
        <w:rPr>
          <w:rFonts w:ascii="Arial" w:hAnsi="Arial" w:cs="Arial"/>
        </w:rPr>
      </w:pPr>
      <w:r w:rsidRPr="00A76F63">
        <w:rPr>
          <w:rFonts w:ascii="Arial" w:hAnsi="Arial" w:cs="Arial"/>
        </w:rPr>
        <w:t>unexpected loss or interruption of income; or</w:t>
      </w:r>
    </w:p>
    <w:p w14:paraId="6E28462D" w14:textId="2A52580C" w:rsidR="009B1BBE" w:rsidRPr="00A76F63" w:rsidRDefault="009B1BBE" w:rsidP="009B1BBE">
      <w:pPr>
        <w:pStyle w:val="ListParagraph"/>
        <w:numPr>
          <w:ilvl w:val="0"/>
          <w:numId w:val="4"/>
        </w:numPr>
        <w:jc w:val="both"/>
        <w:rPr>
          <w:rFonts w:ascii="Arial" w:hAnsi="Arial" w:cs="Arial"/>
        </w:rPr>
      </w:pPr>
      <w:r w:rsidRPr="00A76F63">
        <w:rPr>
          <w:rFonts w:ascii="Arial" w:hAnsi="Arial" w:cs="Arial"/>
        </w:rPr>
        <w:t>catastrophic loss of or damage to home or property due to fire, theft, or natural disaster</w:t>
      </w:r>
      <w:r w:rsidR="000A23AE" w:rsidRPr="00A76F63">
        <w:rPr>
          <w:rFonts w:ascii="Arial" w:hAnsi="Arial" w:cs="Arial"/>
        </w:rPr>
        <w:t>,</w:t>
      </w:r>
    </w:p>
    <w:p w14:paraId="36586C90" w14:textId="7949A38E" w:rsidR="00A76F63" w:rsidRPr="00A76F63" w:rsidRDefault="000A23AE" w:rsidP="000A23AE">
      <w:pPr>
        <w:jc w:val="both"/>
        <w:rPr>
          <w:rFonts w:ascii="Arial" w:hAnsi="Arial" w:cs="Arial"/>
        </w:rPr>
      </w:pPr>
      <w:r w:rsidRPr="00A76F63">
        <w:rPr>
          <w:rFonts w:ascii="Arial" w:hAnsi="Arial" w:cs="Arial"/>
        </w:rPr>
        <w:lastRenderedPageBreak/>
        <w:t>affecting the consumer, a person who is dependent upon the consumer or a person for whom the consumer is financially responsible.</w:t>
      </w:r>
    </w:p>
    <w:p w14:paraId="14C515D1" w14:textId="57AD732F" w:rsidR="009B1BBE" w:rsidRPr="00A76F63" w:rsidRDefault="009B1BBE" w:rsidP="009B1BBE">
      <w:pPr>
        <w:jc w:val="both"/>
        <w:rPr>
          <w:rFonts w:ascii="Arial" w:hAnsi="Arial" w:cs="Arial"/>
        </w:rPr>
      </w:pPr>
    </w:p>
    <w:p w14:paraId="4C9E540E" w14:textId="30DA592B" w:rsidR="005428DA" w:rsidRPr="00A76F63" w:rsidRDefault="009B1BBE" w:rsidP="009B1BBE">
      <w:pPr>
        <w:jc w:val="both"/>
        <w:rPr>
          <w:rFonts w:ascii="Arial" w:hAnsi="Arial" w:cs="Arial"/>
        </w:rPr>
      </w:pPr>
      <w:r w:rsidRPr="00A76F63">
        <w:rPr>
          <w:rFonts w:ascii="Arial" w:hAnsi="Arial" w:cs="Arial"/>
        </w:rPr>
        <w:t xml:space="preserve">In terms of the Act, no further regulation is required to enable use of the emergency loan provisions, however “reasonable proof of the existence of the emergency” must be obtained and retained by the credit provider. While such “reasonable proof” is not defined in the Act, the National Credit Regulator published a circular on 21 May 2020, to provide guidelines </w:t>
      </w:r>
      <w:r w:rsidR="005428DA" w:rsidRPr="00A76F63">
        <w:rPr>
          <w:rFonts w:ascii="Arial" w:hAnsi="Arial" w:cs="Arial"/>
        </w:rPr>
        <w:t>to credit providers on the issuance of emergency loans</w:t>
      </w:r>
      <w:r w:rsidR="00125030">
        <w:rPr>
          <w:rFonts w:ascii="Arial" w:hAnsi="Arial" w:cs="Arial"/>
        </w:rPr>
        <w:t>, and the documentation which constitute “reasonable proof”</w:t>
      </w:r>
      <w:r w:rsidR="005428DA" w:rsidRPr="00A76F63">
        <w:rPr>
          <w:rFonts w:ascii="Arial" w:hAnsi="Arial" w:cs="Arial"/>
        </w:rPr>
        <w:t xml:space="preserve">. These guidelines can be found on the website of the NCR at </w:t>
      </w:r>
      <w:hyperlink r:id="rId6" w:history="1">
        <w:r w:rsidR="005428DA" w:rsidRPr="00A76F63">
          <w:rPr>
            <w:rStyle w:val="Hyperlink"/>
            <w:rFonts w:ascii="Arial" w:hAnsi="Arial" w:cs="Arial"/>
          </w:rPr>
          <w:t>https://ncr.org.za/documents/Circulars/Circular-05-of-2020-%20Emergency%20Loan%20Guideline.pdf</w:t>
        </w:r>
      </w:hyperlink>
      <w:r w:rsidR="005428DA" w:rsidRPr="00A76F63">
        <w:rPr>
          <w:rFonts w:ascii="Arial" w:hAnsi="Arial" w:cs="Arial"/>
        </w:rPr>
        <w:t xml:space="preserve">. </w:t>
      </w:r>
      <w:r w:rsidR="00A76F63" w:rsidRPr="00A76F63">
        <w:rPr>
          <w:rFonts w:ascii="Arial" w:hAnsi="Arial" w:cs="Arial"/>
        </w:rPr>
        <w:t xml:space="preserve"> </w:t>
      </w:r>
      <w:r w:rsidR="005428DA" w:rsidRPr="00A76F63">
        <w:rPr>
          <w:rFonts w:ascii="Arial" w:hAnsi="Arial" w:cs="Arial"/>
        </w:rPr>
        <w:t xml:space="preserve"> </w:t>
      </w:r>
    </w:p>
    <w:p w14:paraId="32B2EE0F" w14:textId="15639429" w:rsidR="00A76F63" w:rsidRPr="00A76F63" w:rsidRDefault="00A76F63" w:rsidP="009B1BBE">
      <w:pPr>
        <w:jc w:val="both"/>
        <w:rPr>
          <w:rFonts w:ascii="Arial" w:hAnsi="Arial" w:cs="Arial"/>
        </w:rPr>
      </w:pPr>
    </w:p>
    <w:p w14:paraId="2837B326" w14:textId="33F637AB" w:rsidR="00A76F63" w:rsidRPr="00A76F63" w:rsidRDefault="00A76F63" w:rsidP="009B1BBE">
      <w:pPr>
        <w:jc w:val="both"/>
        <w:rPr>
          <w:rFonts w:ascii="Arial" w:hAnsi="Arial" w:cs="Arial"/>
        </w:rPr>
      </w:pPr>
      <w:r w:rsidRPr="00A76F63">
        <w:rPr>
          <w:rFonts w:ascii="Arial" w:hAnsi="Arial" w:cs="Arial"/>
        </w:rPr>
        <w:t>The emergency loan definition provides for relief for many of the challenges which consumers will be experiencing during this Covid-19 national disaster</w:t>
      </w:r>
      <w:r w:rsidR="00E15F57">
        <w:rPr>
          <w:rFonts w:ascii="Arial" w:hAnsi="Arial" w:cs="Arial"/>
        </w:rPr>
        <w:t>, and which may have been specified in any regulation or declaration regarding section 11</w:t>
      </w:r>
      <w:r w:rsidRPr="00A76F63">
        <w:rPr>
          <w:rFonts w:ascii="Arial" w:hAnsi="Arial" w:cs="Arial"/>
        </w:rPr>
        <w:t xml:space="preserve">. Following consultation, </w:t>
      </w:r>
      <w:r w:rsidR="00125ACA">
        <w:rPr>
          <w:rFonts w:ascii="Arial" w:hAnsi="Arial" w:cs="Arial"/>
        </w:rPr>
        <w:t xml:space="preserve">I have accepted advice </w:t>
      </w:r>
      <w:r w:rsidRPr="00A76F63">
        <w:rPr>
          <w:rFonts w:ascii="Arial" w:hAnsi="Arial" w:cs="Arial"/>
        </w:rPr>
        <w:t>that the emergency loan provisions should be utilised as it requires no additional legislation.</w:t>
      </w:r>
    </w:p>
    <w:p w14:paraId="5E6B6473" w14:textId="77777777" w:rsidR="005428DA" w:rsidRPr="00A76F63" w:rsidRDefault="005428DA" w:rsidP="009B1BBE">
      <w:pPr>
        <w:jc w:val="both"/>
        <w:rPr>
          <w:rFonts w:ascii="Arial" w:hAnsi="Arial" w:cs="Arial"/>
        </w:rPr>
      </w:pPr>
    </w:p>
    <w:p w14:paraId="0D0DF4AB" w14:textId="5CD6C62F" w:rsidR="00A76F63" w:rsidRPr="00314FE5" w:rsidRDefault="005428DA" w:rsidP="009B1BBE">
      <w:pPr>
        <w:jc w:val="both"/>
        <w:rPr>
          <w:rFonts w:ascii="Arial" w:hAnsi="Arial" w:cs="Arial"/>
        </w:rPr>
      </w:pPr>
      <w:r w:rsidRPr="00A76F63">
        <w:rPr>
          <w:rFonts w:ascii="Arial" w:hAnsi="Arial" w:cs="Arial"/>
        </w:rPr>
        <w:t xml:space="preserve">Subsequent to the publication of the </w:t>
      </w:r>
      <w:r w:rsidR="00A76F63" w:rsidRPr="00A76F63">
        <w:rPr>
          <w:rFonts w:ascii="Arial" w:hAnsi="Arial" w:cs="Arial"/>
        </w:rPr>
        <w:t xml:space="preserve">emergency loans </w:t>
      </w:r>
      <w:r w:rsidRPr="00A76F63">
        <w:rPr>
          <w:rFonts w:ascii="Arial" w:hAnsi="Arial" w:cs="Arial"/>
        </w:rPr>
        <w:t>guidelines, officials from the Department have further</w:t>
      </w:r>
      <w:r w:rsidR="00A76F63" w:rsidRPr="00A76F63">
        <w:rPr>
          <w:rFonts w:ascii="Arial" w:hAnsi="Arial" w:cs="Arial"/>
        </w:rPr>
        <w:t xml:space="preserve"> engaged with </w:t>
      </w:r>
      <w:r w:rsidR="00E15F57">
        <w:rPr>
          <w:rFonts w:ascii="Arial" w:hAnsi="Arial" w:cs="Arial"/>
        </w:rPr>
        <w:t>credit providers</w:t>
      </w:r>
      <w:r w:rsidR="00A76F63" w:rsidRPr="00A76F63">
        <w:rPr>
          <w:rFonts w:ascii="Arial" w:hAnsi="Arial" w:cs="Arial"/>
        </w:rPr>
        <w:t xml:space="preserve">. I am advised that </w:t>
      </w:r>
      <w:r w:rsidR="00E15F57">
        <w:rPr>
          <w:rFonts w:ascii="Arial" w:hAnsi="Arial" w:cs="Arial"/>
        </w:rPr>
        <w:t>credit providers have welcomed the guidelines published by the NCR</w:t>
      </w:r>
      <w:r w:rsidR="00314FE5">
        <w:rPr>
          <w:rFonts w:ascii="Arial" w:hAnsi="Arial" w:cs="Arial"/>
        </w:rPr>
        <w:t xml:space="preserve"> and that </w:t>
      </w:r>
      <w:r w:rsidR="004740A8" w:rsidRPr="00314FE5">
        <w:rPr>
          <w:rFonts w:ascii="Arial" w:hAnsi="Arial" w:cs="Arial"/>
        </w:rPr>
        <w:t xml:space="preserve">BASA have reported that banks </w:t>
      </w:r>
      <w:r w:rsidR="00A76F63" w:rsidRPr="00314FE5">
        <w:rPr>
          <w:rFonts w:ascii="Arial" w:hAnsi="Arial" w:cs="Arial"/>
        </w:rPr>
        <w:t xml:space="preserve">have begun to use the emergency loan provisions. </w:t>
      </w:r>
    </w:p>
    <w:p w14:paraId="4385A2B7" w14:textId="77777777" w:rsidR="00A76F63" w:rsidRPr="00314FE5" w:rsidRDefault="00A76F63" w:rsidP="009B1BBE">
      <w:pPr>
        <w:jc w:val="both"/>
        <w:rPr>
          <w:rFonts w:ascii="Arial" w:hAnsi="Arial" w:cs="Arial"/>
        </w:rPr>
      </w:pPr>
    </w:p>
    <w:p w14:paraId="78545841" w14:textId="42B4BEB6" w:rsidR="005428DA" w:rsidRDefault="00A76F63" w:rsidP="009B1BBE">
      <w:pPr>
        <w:jc w:val="both"/>
        <w:rPr>
          <w:rFonts w:ascii="Arial" w:hAnsi="Arial" w:cs="Arial"/>
        </w:rPr>
      </w:pPr>
      <w:r w:rsidRPr="00314FE5">
        <w:rPr>
          <w:rFonts w:ascii="Arial" w:hAnsi="Arial" w:cs="Arial"/>
        </w:rPr>
        <w:t>The Department will continue to engage with the sector on the efficac</w:t>
      </w:r>
      <w:r w:rsidRPr="00A76F63">
        <w:rPr>
          <w:rFonts w:ascii="Arial" w:hAnsi="Arial" w:cs="Arial"/>
        </w:rPr>
        <w:t xml:space="preserve">y on these measures. Should </w:t>
      </w:r>
      <w:r>
        <w:rPr>
          <w:rFonts w:ascii="Arial" w:hAnsi="Arial" w:cs="Arial"/>
        </w:rPr>
        <w:t xml:space="preserve">the emergency loan provisions in the Act fail to address the challenges which consumers are facing, I may consider </w:t>
      </w:r>
      <w:r w:rsidR="00125ACA">
        <w:rPr>
          <w:rFonts w:ascii="Arial" w:hAnsi="Arial" w:cs="Arial"/>
        </w:rPr>
        <w:t xml:space="preserve">which other measures would contribute, and this may include relooking the value of </w:t>
      </w:r>
      <w:r>
        <w:rPr>
          <w:rFonts w:ascii="Arial" w:hAnsi="Arial" w:cs="Arial"/>
        </w:rPr>
        <w:t>invoking section 11 of the Act to define certain credit agreements as public interest credit agreements.</w:t>
      </w:r>
    </w:p>
    <w:p w14:paraId="240F607D" w14:textId="7CF55660" w:rsidR="00125030" w:rsidRDefault="00125030" w:rsidP="009B1BBE">
      <w:pPr>
        <w:jc w:val="both"/>
        <w:rPr>
          <w:rFonts w:ascii="Arial" w:hAnsi="Arial" w:cs="Arial"/>
        </w:rPr>
      </w:pPr>
    </w:p>
    <w:p w14:paraId="6AFF9F34" w14:textId="06E07DF5" w:rsidR="00125030" w:rsidRPr="00A76F63" w:rsidRDefault="00125030" w:rsidP="00125030">
      <w:pPr>
        <w:jc w:val="center"/>
        <w:rPr>
          <w:rFonts w:ascii="Arial" w:hAnsi="Arial" w:cs="Arial"/>
        </w:rPr>
      </w:pPr>
      <w:r>
        <w:rPr>
          <w:rFonts w:ascii="Arial" w:hAnsi="Arial" w:cs="Arial"/>
        </w:rPr>
        <w:t>-- END --</w:t>
      </w:r>
    </w:p>
    <w:sectPr w:rsidR="00125030" w:rsidRPr="00A76F63" w:rsidSect="00BE5E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466"/>
    <w:multiLevelType w:val="hybridMultilevel"/>
    <w:tmpl w:val="404ABD3C"/>
    <w:lvl w:ilvl="0" w:tplc="86ECA436">
      <w:start w:val="9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7F30"/>
    <w:multiLevelType w:val="hybridMultilevel"/>
    <w:tmpl w:val="F7C04824"/>
    <w:lvl w:ilvl="0" w:tplc="0FB4CD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6526E6"/>
    <w:multiLevelType w:val="hybridMultilevel"/>
    <w:tmpl w:val="509CCDEA"/>
    <w:lvl w:ilvl="0" w:tplc="86ECA436">
      <w:start w:val="9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2C650E"/>
    <w:multiLevelType w:val="hybridMultilevel"/>
    <w:tmpl w:val="45E616EC"/>
    <w:lvl w:ilvl="0" w:tplc="BEDEF35A">
      <w:start w:val="9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A8"/>
    <w:rsid w:val="000044B2"/>
    <w:rsid w:val="000A23AE"/>
    <w:rsid w:val="00125030"/>
    <w:rsid w:val="00125ACA"/>
    <w:rsid w:val="00227004"/>
    <w:rsid w:val="002460E6"/>
    <w:rsid w:val="00314FE5"/>
    <w:rsid w:val="003B7681"/>
    <w:rsid w:val="004740A8"/>
    <w:rsid w:val="004E1892"/>
    <w:rsid w:val="005428DA"/>
    <w:rsid w:val="00654594"/>
    <w:rsid w:val="006563DC"/>
    <w:rsid w:val="006C1ABD"/>
    <w:rsid w:val="00854BA8"/>
    <w:rsid w:val="008B0F3E"/>
    <w:rsid w:val="009B1BBE"/>
    <w:rsid w:val="00A76F63"/>
    <w:rsid w:val="00B85AF2"/>
    <w:rsid w:val="00BE5E8B"/>
    <w:rsid w:val="00C31441"/>
    <w:rsid w:val="00D0312E"/>
    <w:rsid w:val="00DF7C99"/>
    <w:rsid w:val="00E15F57"/>
    <w:rsid w:val="00E71F15"/>
    <w:rsid w:val="00F04834"/>
    <w:rsid w:val="00F327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B32D"/>
  <w15:chartTrackingRefBased/>
  <w15:docId w15:val="{6D406703-026D-B74A-9BF2-79EB1D6E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A8"/>
    <w:pPr>
      <w:ind w:left="720"/>
      <w:contextualSpacing/>
    </w:pPr>
  </w:style>
  <w:style w:type="paragraph" w:styleId="BalloonText">
    <w:name w:val="Balloon Text"/>
    <w:basedOn w:val="Normal"/>
    <w:link w:val="BalloonTextChar"/>
    <w:uiPriority w:val="99"/>
    <w:semiHidden/>
    <w:unhideWhenUsed/>
    <w:rsid w:val="00F327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2764"/>
    <w:rPr>
      <w:rFonts w:ascii="Times New Roman" w:hAnsi="Times New Roman" w:cs="Times New Roman"/>
      <w:sz w:val="18"/>
      <w:szCs w:val="18"/>
      <w:lang w:val="en-GB"/>
    </w:rPr>
  </w:style>
  <w:style w:type="character" w:styleId="Hyperlink">
    <w:name w:val="Hyperlink"/>
    <w:basedOn w:val="DefaultParagraphFont"/>
    <w:uiPriority w:val="99"/>
    <w:unhideWhenUsed/>
    <w:rsid w:val="005428DA"/>
    <w:rPr>
      <w:color w:val="0563C1" w:themeColor="hyperlink"/>
      <w:u w:val="single"/>
    </w:rPr>
  </w:style>
  <w:style w:type="character" w:customStyle="1" w:styleId="UnresolvedMention">
    <w:name w:val="Unresolved Mention"/>
    <w:basedOn w:val="DefaultParagraphFont"/>
    <w:uiPriority w:val="99"/>
    <w:semiHidden/>
    <w:unhideWhenUsed/>
    <w:rsid w:val="00542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r.org.za/documents/Circulars/Circular-05-of-2020-%20Emergency%20Loan%20Guidelin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Tsholofelo Mushi</cp:lastModifiedBy>
  <cp:revision>2</cp:revision>
  <dcterms:created xsi:type="dcterms:W3CDTF">2020-06-08T08:48:00Z</dcterms:created>
  <dcterms:modified xsi:type="dcterms:W3CDTF">2020-06-08T08:48:00Z</dcterms:modified>
</cp:coreProperties>
</file>