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05" w:rsidRDefault="00E42C05">
      <w:pPr>
        <w:jc w:val="left"/>
        <w:rPr>
          <w:rFonts w:cs="Arial"/>
          <w:b/>
          <w:sz w:val="24"/>
          <w:szCs w:val="24"/>
          <w:lang w:val="en-US" w:eastAsia="en-US"/>
        </w:rPr>
      </w:pPr>
      <w:bookmarkStart w:id="0" w:name="_GoBack"/>
      <w:bookmarkEnd w:id="0"/>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573035A" wp14:editId="68546105">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93780E">
        <w:rPr>
          <w:rFonts w:cs="Arial"/>
          <w:b/>
          <w:sz w:val="24"/>
          <w:szCs w:val="24"/>
          <w:lang w:val="en-US" w:eastAsia="en-US"/>
        </w:rPr>
        <w:tab/>
      </w:r>
      <w:r w:rsidR="0093780E">
        <w:rPr>
          <w:rFonts w:cs="Arial"/>
          <w:b/>
          <w:sz w:val="24"/>
          <w:szCs w:val="24"/>
          <w:lang w:val="af-ZA" w:eastAsia="en-US"/>
        </w:rPr>
        <w:t>972</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93780E" w:rsidRPr="0093780E">
        <w:rPr>
          <w:rFonts w:cs="Arial"/>
          <w:b/>
          <w:sz w:val="24"/>
          <w:szCs w:val="24"/>
        </w:rPr>
        <w:t>NW1100E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93780E">
        <w:rPr>
          <w:rFonts w:cs="Arial"/>
          <w:b/>
          <w:sz w:val="24"/>
          <w:szCs w:val="24"/>
          <w:lang w:val="en-US" w:eastAsia="en-US"/>
        </w:rPr>
        <w:tab/>
        <w:t xml:space="preserve">  No. 15</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93780E">
        <w:rPr>
          <w:rFonts w:cs="Arial"/>
          <w:b/>
          <w:sz w:val="24"/>
          <w:szCs w:val="24"/>
          <w:lang w:val="en-US" w:eastAsia="en-US"/>
        </w:rPr>
        <w:tab/>
        <w:t xml:space="preserve">    </w:t>
      </w:r>
      <w:r w:rsidR="0093780E">
        <w:rPr>
          <w:rFonts w:cs="Arial"/>
          <w:b/>
          <w:sz w:val="24"/>
          <w:szCs w:val="24"/>
        </w:rPr>
        <w:t>05 MAY</w:t>
      </w:r>
      <w:r w:rsidR="00DA2189">
        <w:rPr>
          <w:rFonts w:cs="Arial"/>
          <w:b/>
          <w:sz w:val="24"/>
          <w:szCs w:val="24"/>
        </w:rPr>
        <w:t xml:space="preserve">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93780E">
        <w:rPr>
          <w:rFonts w:cs="Arial"/>
          <w:b/>
          <w:sz w:val="24"/>
          <w:szCs w:val="24"/>
          <w:lang w:val="en-US" w:eastAsia="en-US"/>
        </w:rPr>
        <w:tab/>
        <w:t xml:space="preserve">         MAY</w:t>
      </w:r>
      <w:r w:rsidR="00DA2189">
        <w:rPr>
          <w:rFonts w:cs="Arial"/>
          <w:b/>
          <w:sz w:val="24"/>
          <w:szCs w:val="24"/>
          <w:lang w:val="en-US" w:eastAsia="en-US"/>
        </w:rPr>
        <w:t xml:space="preserve"> 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93780E" w:rsidRPr="0093780E" w:rsidRDefault="0093780E" w:rsidP="0093780E">
      <w:pPr>
        <w:spacing w:after="267" w:line="249" w:lineRule="auto"/>
        <w:rPr>
          <w:rFonts w:cs="Arial"/>
          <w:b/>
          <w:sz w:val="24"/>
          <w:szCs w:val="24"/>
        </w:rPr>
      </w:pPr>
      <w:r>
        <w:rPr>
          <w:rFonts w:cs="Arial"/>
          <w:b/>
          <w:sz w:val="24"/>
          <w:szCs w:val="24"/>
          <w:lang w:val="af-ZA" w:eastAsia="en-US"/>
        </w:rPr>
        <w:t>972</w:t>
      </w:r>
      <w:r w:rsidR="009776AC" w:rsidRPr="009776AC">
        <w:rPr>
          <w:rFonts w:cs="Arial"/>
          <w:b/>
          <w:sz w:val="24"/>
          <w:szCs w:val="24"/>
          <w:lang w:val="af-ZA" w:eastAsia="en-US"/>
        </w:rPr>
        <w:t>.</w:t>
      </w:r>
      <w:r w:rsidR="009776AC" w:rsidRPr="003D7908">
        <w:rPr>
          <w:rFonts w:cs="Arial"/>
          <w:b/>
          <w:sz w:val="24"/>
          <w:szCs w:val="24"/>
          <w:lang w:val="af-ZA" w:eastAsia="en-US"/>
        </w:rPr>
        <w:tab/>
      </w:r>
      <w:r>
        <w:rPr>
          <w:rFonts w:cs="Arial"/>
          <w:b/>
          <w:sz w:val="24"/>
          <w:szCs w:val="24"/>
        </w:rPr>
        <w:t>Mr B R Topham (DA</w:t>
      </w:r>
      <w:r w:rsidRPr="0093780E">
        <w:rPr>
          <w:rFonts w:cs="Arial"/>
          <w:b/>
          <w:sz w:val="24"/>
          <w:szCs w:val="24"/>
        </w:rPr>
        <w:t xml:space="preserve"> ask</w:t>
      </w:r>
      <w:r>
        <w:rPr>
          <w:rFonts w:cs="Arial"/>
          <w:b/>
          <w:sz w:val="24"/>
          <w:szCs w:val="24"/>
        </w:rPr>
        <w:t>ed</w:t>
      </w:r>
      <w:r w:rsidRPr="0093780E">
        <w:rPr>
          <w:rFonts w:cs="Arial"/>
          <w:b/>
          <w:sz w:val="24"/>
          <w:szCs w:val="24"/>
        </w:rPr>
        <w:t xml:space="preserve"> the Minister of Public Works:</w:t>
      </w:r>
    </w:p>
    <w:p w:rsidR="0093780E" w:rsidRPr="0093780E" w:rsidRDefault="0093780E" w:rsidP="0093780E">
      <w:pPr>
        <w:spacing w:before="100" w:beforeAutospacing="1" w:after="100" w:afterAutospacing="1"/>
        <w:ind w:left="1440" w:hanging="720"/>
        <w:rPr>
          <w:rFonts w:cs="Arial"/>
          <w:sz w:val="24"/>
          <w:szCs w:val="24"/>
        </w:rPr>
      </w:pPr>
      <w:r w:rsidRPr="0093780E">
        <w:rPr>
          <w:rFonts w:cs="Arial"/>
          <w:sz w:val="24"/>
          <w:szCs w:val="24"/>
        </w:rPr>
        <w:t>(1)</w:t>
      </w:r>
      <w:r>
        <w:rPr>
          <w:rFonts w:cs="Arial"/>
          <w:sz w:val="24"/>
          <w:szCs w:val="24"/>
        </w:rPr>
        <w:tab/>
      </w:r>
      <w:r w:rsidRPr="0093780E">
        <w:rPr>
          <w:rFonts w:cs="Arial"/>
          <w:sz w:val="24"/>
          <w:szCs w:val="24"/>
        </w:rPr>
        <w:t>With reference to the reply to question 71 on 24 February 2017 regarding the abandoned and vandalised property situated at 18 Market Street, Stellenbosch, (a) what is the breakdown of the total costs to his department (details furnished) since the property was handed back to his department, (b) on what date was the property handed back to his department and (c) has the property rendered any income during the specified period;</w:t>
      </w:r>
    </w:p>
    <w:p w:rsidR="0093780E" w:rsidRPr="0093780E" w:rsidRDefault="0093780E" w:rsidP="0093780E">
      <w:pPr>
        <w:tabs>
          <w:tab w:val="left" w:pos="317"/>
        </w:tabs>
        <w:spacing w:before="100" w:beforeAutospacing="1" w:after="100" w:afterAutospacing="1"/>
        <w:ind w:left="1440" w:hanging="720"/>
        <w:rPr>
          <w:rFonts w:cs="Arial"/>
          <w:sz w:val="24"/>
          <w:szCs w:val="24"/>
        </w:rPr>
      </w:pPr>
      <w:r>
        <w:rPr>
          <w:rFonts w:cs="Arial"/>
          <w:sz w:val="24"/>
          <w:szCs w:val="24"/>
        </w:rPr>
        <w:t>(2)</w:t>
      </w:r>
      <w:r>
        <w:rPr>
          <w:rFonts w:cs="Arial"/>
          <w:sz w:val="24"/>
          <w:szCs w:val="24"/>
        </w:rPr>
        <w:tab/>
      </w:r>
      <w:r w:rsidRPr="0093780E">
        <w:rPr>
          <w:rFonts w:cs="Arial"/>
          <w:sz w:val="24"/>
          <w:szCs w:val="24"/>
        </w:rPr>
        <w:t>has the envisaged condition assessment and feasibility study already commenced; if so, (a) what is the progress in this regard and (b) what are the estimated costs to restore the property to its former condition;</w:t>
      </w:r>
    </w:p>
    <w:p w:rsidR="0093780E" w:rsidRPr="0093780E" w:rsidRDefault="0093780E" w:rsidP="0093780E">
      <w:pPr>
        <w:spacing w:before="100" w:beforeAutospacing="1" w:after="100" w:afterAutospacing="1"/>
        <w:ind w:left="1440" w:hanging="720"/>
        <w:rPr>
          <w:rFonts w:cs="Arial"/>
          <w:sz w:val="24"/>
          <w:szCs w:val="24"/>
        </w:rPr>
      </w:pPr>
      <w:r>
        <w:rPr>
          <w:rFonts w:cs="Arial"/>
          <w:sz w:val="24"/>
          <w:szCs w:val="24"/>
        </w:rPr>
        <w:t>(3)</w:t>
      </w:r>
      <w:r>
        <w:rPr>
          <w:rFonts w:cs="Arial"/>
          <w:sz w:val="24"/>
          <w:szCs w:val="24"/>
        </w:rPr>
        <w:tab/>
      </w:r>
      <w:r w:rsidRPr="0093780E">
        <w:rPr>
          <w:rFonts w:cs="Arial"/>
          <w:sz w:val="24"/>
          <w:szCs w:val="24"/>
        </w:rPr>
        <w:t>has his department received and considered the request by the Stellenbosch Local Municipality to transfer the property to the municipality as one of the options regarding the future of the property; if so, what is the response of his department to this request;</w:t>
      </w:r>
    </w:p>
    <w:p w:rsidR="0093780E" w:rsidRDefault="0093780E" w:rsidP="0093780E">
      <w:pPr>
        <w:spacing w:before="100" w:beforeAutospacing="1" w:after="100" w:afterAutospacing="1"/>
        <w:ind w:left="1440" w:hanging="720"/>
        <w:outlineLvl w:val="0"/>
        <w:rPr>
          <w:rFonts w:eastAsiaTheme="minorHAnsi" w:cs="Arial"/>
          <w:sz w:val="24"/>
          <w:szCs w:val="24"/>
          <w:lang w:val="en-GB" w:eastAsia="en-US"/>
        </w:rPr>
      </w:pPr>
      <w:r>
        <w:rPr>
          <w:rFonts w:cs="Arial"/>
          <w:sz w:val="24"/>
          <w:szCs w:val="24"/>
        </w:rPr>
        <w:t>(4)</w:t>
      </w:r>
      <w:r>
        <w:rPr>
          <w:rFonts w:cs="Arial"/>
          <w:sz w:val="24"/>
          <w:szCs w:val="24"/>
        </w:rPr>
        <w:tab/>
      </w:r>
      <w:r w:rsidRPr="0093780E">
        <w:rPr>
          <w:rFonts w:cs="Arial"/>
          <w:sz w:val="24"/>
          <w:szCs w:val="24"/>
        </w:rPr>
        <w:t>has a decision regarding the long-term future of the property been taken; if not, when will such a decision be expected; if so, what are the d</w:t>
      </w:r>
      <w:r>
        <w:rPr>
          <w:rFonts w:cs="Arial"/>
          <w:sz w:val="24"/>
          <w:szCs w:val="24"/>
        </w:rPr>
        <w:t>etails of the decision?</w:t>
      </w:r>
      <w:r>
        <w:rPr>
          <w:rFonts w:cs="Arial"/>
          <w:sz w:val="24"/>
          <w:szCs w:val="24"/>
        </w:rPr>
        <w:tab/>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3780E">
        <w:rPr>
          <w:rFonts w:cs="Arial"/>
          <w:b/>
          <w:sz w:val="24"/>
          <w:szCs w:val="24"/>
        </w:rPr>
        <w:t>NW1100E</w:t>
      </w:r>
    </w:p>
    <w:p w:rsidR="004D2F24" w:rsidRPr="001C6CA1" w:rsidRDefault="004D2F24" w:rsidP="0093780E">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E42C05" w:rsidRDefault="00E42C05">
      <w:pPr>
        <w:jc w:val="left"/>
        <w:rPr>
          <w:rFonts w:cs="Arial"/>
          <w:b/>
          <w:sz w:val="24"/>
          <w:szCs w:val="24"/>
          <w:lang w:eastAsia="en-US"/>
        </w:rPr>
      </w:pPr>
      <w:r>
        <w:rPr>
          <w:rFonts w:cs="Arial"/>
          <w:b/>
          <w:sz w:val="24"/>
          <w:szCs w:val="24"/>
          <w:lang w:eastAsia="en-US"/>
        </w:rPr>
        <w:br w:type="page"/>
      </w:r>
    </w:p>
    <w:p w:rsidR="004D2F24" w:rsidRPr="00EF25FA" w:rsidRDefault="00B44E3D" w:rsidP="006049D3">
      <w:pPr>
        <w:rPr>
          <w:rFonts w:cs="Arial"/>
          <w:b/>
          <w:sz w:val="24"/>
          <w:szCs w:val="24"/>
          <w:lang w:eastAsia="en-US"/>
        </w:rPr>
      </w:pPr>
      <w:r w:rsidRPr="00EF25FA">
        <w:rPr>
          <w:rFonts w:cs="Arial"/>
          <w:b/>
          <w:sz w:val="24"/>
          <w:szCs w:val="24"/>
          <w:lang w:eastAsia="en-US"/>
        </w:rPr>
        <w:lastRenderedPageBreak/>
        <w:t>The Minister of Public Works</w:t>
      </w:r>
      <w:r w:rsidR="00E808B7" w:rsidRPr="00EF25FA">
        <w:rPr>
          <w:rFonts w:cs="Arial"/>
          <w:b/>
          <w:sz w:val="24"/>
          <w:szCs w:val="24"/>
          <w:lang w:eastAsia="en-US"/>
        </w:rPr>
        <w:t>:</w:t>
      </w:r>
    </w:p>
    <w:p w:rsidR="00E919D6" w:rsidRDefault="00E919D6">
      <w:pPr>
        <w:jc w:val="left"/>
        <w:rPr>
          <w:rFonts w:cs="Arial"/>
          <w:b/>
          <w:sz w:val="24"/>
          <w:szCs w:val="24"/>
          <w:lang w:eastAsia="en-US"/>
        </w:rPr>
      </w:pPr>
    </w:p>
    <w:p w:rsidR="00610BA6" w:rsidRDefault="00610BA6" w:rsidP="00591850">
      <w:pPr>
        <w:rPr>
          <w:rFonts w:cs="Arial"/>
          <w:b/>
          <w:sz w:val="24"/>
          <w:szCs w:val="24"/>
          <w:lang w:eastAsia="en-US"/>
        </w:rPr>
      </w:pPr>
      <w:r>
        <w:rPr>
          <w:rFonts w:cs="Arial"/>
          <w:b/>
          <w:sz w:val="24"/>
          <w:szCs w:val="24"/>
          <w:lang w:eastAsia="en-US"/>
        </w:rPr>
        <w:t>REPLY:</w:t>
      </w:r>
    </w:p>
    <w:p w:rsidR="00FF0C94" w:rsidRDefault="00FF0C94" w:rsidP="00591850">
      <w:pPr>
        <w:rPr>
          <w:rFonts w:cs="Arial"/>
          <w:b/>
          <w:sz w:val="24"/>
          <w:szCs w:val="24"/>
          <w:lang w:eastAsia="en-US"/>
        </w:rPr>
      </w:pPr>
    </w:p>
    <w:p w:rsidR="00FF0C94" w:rsidRPr="00F94F64" w:rsidRDefault="00FF0C94" w:rsidP="008D586E">
      <w:pPr>
        <w:pStyle w:val="ListParagraph"/>
        <w:numPr>
          <w:ilvl w:val="0"/>
          <w:numId w:val="4"/>
        </w:numPr>
        <w:spacing w:before="100" w:beforeAutospacing="1" w:after="100" w:afterAutospacing="1"/>
        <w:ind w:left="567" w:hanging="567"/>
        <w:rPr>
          <w:rFonts w:cs="Arial"/>
          <w:szCs w:val="22"/>
        </w:rPr>
      </w:pPr>
      <w:r w:rsidRPr="00F94F64">
        <w:rPr>
          <w:rFonts w:cs="Arial"/>
          <w:szCs w:val="22"/>
        </w:rPr>
        <w:t>(a)</w:t>
      </w:r>
      <w:r>
        <w:rPr>
          <w:rFonts w:cs="Arial"/>
          <w:szCs w:val="22"/>
        </w:rPr>
        <w:t xml:space="preserve"> Breakdown of total costs from date of handover of 18 Mark Street, Stellenbosch</w:t>
      </w:r>
    </w:p>
    <w:tbl>
      <w:tblPr>
        <w:tblStyle w:val="TableGrid"/>
        <w:tblW w:w="0" w:type="auto"/>
        <w:tblInd w:w="896" w:type="dxa"/>
        <w:tblLook w:val="04A0" w:firstRow="1" w:lastRow="0" w:firstColumn="1" w:lastColumn="0" w:noHBand="0" w:noVBand="1"/>
      </w:tblPr>
      <w:tblGrid>
        <w:gridCol w:w="792"/>
        <w:gridCol w:w="1607"/>
        <w:gridCol w:w="1595"/>
        <w:gridCol w:w="1875"/>
        <w:gridCol w:w="1497"/>
      </w:tblGrid>
      <w:tr w:rsidR="00FF0C94" w:rsidRPr="006129A1" w:rsidTr="009811A9">
        <w:tc>
          <w:tcPr>
            <w:tcW w:w="792" w:type="dxa"/>
          </w:tcPr>
          <w:p w:rsidR="00FF0C94" w:rsidRPr="006129A1" w:rsidRDefault="00FF0C94" w:rsidP="009811A9">
            <w:pPr>
              <w:spacing w:before="100" w:beforeAutospacing="1" w:after="100" w:afterAutospacing="1"/>
              <w:rPr>
                <w:rFonts w:cs="Arial"/>
                <w:b/>
                <w:szCs w:val="22"/>
              </w:rPr>
            </w:pPr>
            <w:r w:rsidRPr="006129A1">
              <w:rPr>
                <w:rFonts w:cs="Arial"/>
                <w:b/>
                <w:szCs w:val="22"/>
              </w:rPr>
              <w:t>Year</w:t>
            </w:r>
          </w:p>
        </w:tc>
        <w:tc>
          <w:tcPr>
            <w:tcW w:w="1607" w:type="dxa"/>
          </w:tcPr>
          <w:p w:rsidR="00FF0C94" w:rsidRPr="006129A1" w:rsidRDefault="00FF0C94" w:rsidP="009811A9">
            <w:pPr>
              <w:spacing w:before="100" w:beforeAutospacing="1" w:after="100" w:afterAutospacing="1"/>
              <w:rPr>
                <w:rFonts w:cs="Arial"/>
                <w:b/>
                <w:szCs w:val="22"/>
              </w:rPr>
            </w:pPr>
            <w:r w:rsidRPr="006129A1">
              <w:rPr>
                <w:rFonts w:cs="Arial"/>
                <w:b/>
                <w:szCs w:val="22"/>
              </w:rPr>
              <w:t>Security</w:t>
            </w:r>
          </w:p>
        </w:tc>
        <w:tc>
          <w:tcPr>
            <w:tcW w:w="1595" w:type="dxa"/>
          </w:tcPr>
          <w:p w:rsidR="00FF0C94" w:rsidRPr="006129A1" w:rsidRDefault="00FF0C94" w:rsidP="009811A9">
            <w:pPr>
              <w:spacing w:before="100" w:beforeAutospacing="1" w:after="100" w:afterAutospacing="1"/>
              <w:rPr>
                <w:rFonts w:cs="Arial"/>
                <w:b/>
                <w:szCs w:val="22"/>
              </w:rPr>
            </w:pPr>
            <w:r w:rsidRPr="006129A1">
              <w:rPr>
                <w:rFonts w:cs="Arial"/>
                <w:b/>
                <w:szCs w:val="22"/>
              </w:rPr>
              <w:t>Clearing of the property</w:t>
            </w:r>
          </w:p>
        </w:tc>
        <w:tc>
          <w:tcPr>
            <w:tcW w:w="1875" w:type="dxa"/>
          </w:tcPr>
          <w:p w:rsidR="00FF0C94" w:rsidRPr="006129A1" w:rsidRDefault="00FF0C94" w:rsidP="009811A9">
            <w:pPr>
              <w:spacing w:before="100" w:beforeAutospacing="1" w:after="100" w:afterAutospacing="1"/>
              <w:rPr>
                <w:rFonts w:cs="Arial"/>
                <w:b/>
                <w:szCs w:val="22"/>
              </w:rPr>
            </w:pPr>
            <w:r w:rsidRPr="006129A1">
              <w:rPr>
                <w:rFonts w:cs="Arial"/>
                <w:b/>
                <w:szCs w:val="22"/>
              </w:rPr>
              <w:t>Municipal Services</w:t>
            </w:r>
          </w:p>
        </w:tc>
        <w:tc>
          <w:tcPr>
            <w:tcW w:w="1497" w:type="dxa"/>
          </w:tcPr>
          <w:p w:rsidR="00FF0C94" w:rsidRPr="006129A1" w:rsidRDefault="00FF0C94" w:rsidP="009811A9">
            <w:pPr>
              <w:spacing w:before="100" w:beforeAutospacing="1" w:after="100" w:afterAutospacing="1"/>
              <w:rPr>
                <w:rFonts w:cs="Arial"/>
                <w:b/>
                <w:szCs w:val="22"/>
              </w:rPr>
            </w:pPr>
            <w:r w:rsidRPr="006129A1">
              <w:rPr>
                <w:rFonts w:cs="Arial"/>
                <w:b/>
                <w:szCs w:val="22"/>
              </w:rPr>
              <w:t>TOTAL</w:t>
            </w:r>
          </w:p>
        </w:tc>
      </w:tr>
      <w:tr w:rsidR="00FF0C94" w:rsidRPr="00F94F64" w:rsidTr="009811A9">
        <w:tc>
          <w:tcPr>
            <w:tcW w:w="792" w:type="dxa"/>
          </w:tcPr>
          <w:p w:rsidR="00FF0C94" w:rsidRPr="00F94F64" w:rsidRDefault="00FF0C94" w:rsidP="009811A9">
            <w:pPr>
              <w:spacing w:before="100" w:beforeAutospacing="1" w:after="100" w:afterAutospacing="1"/>
              <w:rPr>
                <w:rFonts w:cs="Arial"/>
                <w:szCs w:val="22"/>
              </w:rPr>
            </w:pPr>
            <w:r w:rsidRPr="00F94F64">
              <w:rPr>
                <w:rFonts w:cs="Arial"/>
                <w:szCs w:val="22"/>
              </w:rPr>
              <w:t>2014</w:t>
            </w:r>
          </w:p>
        </w:tc>
        <w:tc>
          <w:tcPr>
            <w:tcW w:w="1607" w:type="dxa"/>
          </w:tcPr>
          <w:p w:rsidR="00FF0C94" w:rsidRPr="00F94F64" w:rsidRDefault="00FF0C94" w:rsidP="009811A9">
            <w:pPr>
              <w:spacing w:before="100" w:beforeAutospacing="1" w:after="100" w:afterAutospacing="1"/>
              <w:rPr>
                <w:rFonts w:cs="Arial"/>
                <w:szCs w:val="22"/>
              </w:rPr>
            </w:pPr>
            <w:r w:rsidRPr="00F94F64">
              <w:rPr>
                <w:rFonts w:cs="Arial"/>
                <w:szCs w:val="22"/>
              </w:rPr>
              <w:t>R25 792.90</w:t>
            </w:r>
          </w:p>
        </w:tc>
        <w:tc>
          <w:tcPr>
            <w:tcW w:w="1595" w:type="dxa"/>
          </w:tcPr>
          <w:p w:rsidR="00FF0C94" w:rsidRPr="00F94F64" w:rsidRDefault="00FF0C94" w:rsidP="009811A9">
            <w:pPr>
              <w:spacing w:before="100" w:beforeAutospacing="1" w:after="100" w:afterAutospacing="1"/>
              <w:rPr>
                <w:rFonts w:cs="Arial"/>
                <w:szCs w:val="22"/>
              </w:rPr>
            </w:pPr>
            <w:r w:rsidRPr="00F94F64">
              <w:rPr>
                <w:rFonts w:cs="Arial"/>
                <w:szCs w:val="22"/>
              </w:rPr>
              <w:t>R2 207.80</w:t>
            </w:r>
          </w:p>
        </w:tc>
        <w:tc>
          <w:tcPr>
            <w:tcW w:w="1875" w:type="dxa"/>
          </w:tcPr>
          <w:p w:rsidR="00FF0C94" w:rsidRPr="00F94F64" w:rsidRDefault="00FF0C94" w:rsidP="009811A9">
            <w:pPr>
              <w:spacing w:before="100" w:beforeAutospacing="1" w:after="100" w:afterAutospacing="1"/>
              <w:rPr>
                <w:rFonts w:cs="Arial"/>
                <w:szCs w:val="22"/>
              </w:rPr>
            </w:pPr>
            <w:r w:rsidRPr="00F94F64">
              <w:rPr>
                <w:rFonts w:cs="Arial"/>
                <w:szCs w:val="22"/>
              </w:rPr>
              <w:t>R27 955.98</w:t>
            </w:r>
          </w:p>
        </w:tc>
        <w:tc>
          <w:tcPr>
            <w:tcW w:w="1497" w:type="dxa"/>
          </w:tcPr>
          <w:p w:rsidR="00FF0C94" w:rsidRPr="006129A1" w:rsidRDefault="00FF0C94" w:rsidP="009811A9">
            <w:pPr>
              <w:spacing w:before="100" w:beforeAutospacing="1" w:after="100" w:afterAutospacing="1"/>
              <w:rPr>
                <w:rFonts w:cs="Arial"/>
                <w:b/>
                <w:szCs w:val="22"/>
              </w:rPr>
            </w:pPr>
            <w:r w:rsidRPr="006129A1">
              <w:rPr>
                <w:rFonts w:cs="Arial"/>
                <w:b/>
                <w:szCs w:val="22"/>
              </w:rPr>
              <w:t>R55 956.68</w:t>
            </w:r>
          </w:p>
        </w:tc>
      </w:tr>
      <w:tr w:rsidR="00FF0C94" w:rsidRPr="00F94F64" w:rsidTr="009811A9">
        <w:tc>
          <w:tcPr>
            <w:tcW w:w="792" w:type="dxa"/>
          </w:tcPr>
          <w:p w:rsidR="00FF0C94" w:rsidRPr="00F94F64" w:rsidRDefault="00FF0C94" w:rsidP="009811A9">
            <w:pPr>
              <w:spacing w:before="100" w:beforeAutospacing="1" w:after="100" w:afterAutospacing="1"/>
              <w:rPr>
                <w:rFonts w:cs="Arial"/>
                <w:szCs w:val="22"/>
              </w:rPr>
            </w:pPr>
            <w:r w:rsidRPr="00F94F64">
              <w:rPr>
                <w:rFonts w:cs="Arial"/>
                <w:szCs w:val="22"/>
              </w:rPr>
              <w:t>2015</w:t>
            </w:r>
          </w:p>
        </w:tc>
        <w:tc>
          <w:tcPr>
            <w:tcW w:w="1607" w:type="dxa"/>
          </w:tcPr>
          <w:p w:rsidR="00FF0C94" w:rsidRPr="00F94F64" w:rsidRDefault="00FF0C94" w:rsidP="009811A9">
            <w:pPr>
              <w:spacing w:before="100" w:beforeAutospacing="1" w:after="100" w:afterAutospacing="1"/>
              <w:rPr>
                <w:rFonts w:cs="Arial"/>
                <w:szCs w:val="22"/>
              </w:rPr>
            </w:pPr>
            <w:r w:rsidRPr="00F94F64">
              <w:rPr>
                <w:rFonts w:cs="Arial"/>
                <w:szCs w:val="22"/>
              </w:rPr>
              <w:t>R136 060.32</w:t>
            </w:r>
          </w:p>
        </w:tc>
        <w:tc>
          <w:tcPr>
            <w:tcW w:w="1595" w:type="dxa"/>
          </w:tcPr>
          <w:p w:rsidR="00FF0C94" w:rsidRPr="00F94F64" w:rsidRDefault="00FF0C94" w:rsidP="009811A9">
            <w:pPr>
              <w:spacing w:before="100" w:beforeAutospacing="1" w:after="100" w:afterAutospacing="1"/>
              <w:rPr>
                <w:rFonts w:cs="Arial"/>
                <w:szCs w:val="22"/>
              </w:rPr>
            </w:pPr>
          </w:p>
        </w:tc>
        <w:tc>
          <w:tcPr>
            <w:tcW w:w="1875" w:type="dxa"/>
          </w:tcPr>
          <w:p w:rsidR="00FF0C94" w:rsidRPr="00F94F64" w:rsidRDefault="00FF0C94" w:rsidP="009811A9">
            <w:pPr>
              <w:spacing w:before="100" w:beforeAutospacing="1" w:after="100" w:afterAutospacing="1"/>
              <w:rPr>
                <w:rFonts w:cs="Arial"/>
                <w:szCs w:val="22"/>
              </w:rPr>
            </w:pPr>
            <w:r w:rsidRPr="00F94F64">
              <w:rPr>
                <w:rFonts w:cs="Arial"/>
                <w:szCs w:val="22"/>
              </w:rPr>
              <w:t>R29 194.85</w:t>
            </w:r>
          </w:p>
        </w:tc>
        <w:tc>
          <w:tcPr>
            <w:tcW w:w="1497" w:type="dxa"/>
          </w:tcPr>
          <w:p w:rsidR="00FF0C94" w:rsidRPr="006129A1" w:rsidRDefault="00FF0C94" w:rsidP="009811A9">
            <w:pPr>
              <w:spacing w:before="100" w:beforeAutospacing="1" w:after="100" w:afterAutospacing="1"/>
              <w:rPr>
                <w:rFonts w:cs="Arial"/>
                <w:b/>
                <w:szCs w:val="22"/>
              </w:rPr>
            </w:pPr>
            <w:r w:rsidRPr="006129A1">
              <w:rPr>
                <w:rFonts w:cs="Arial"/>
                <w:b/>
                <w:szCs w:val="22"/>
              </w:rPr>
              <w:t>R165 255.17</w:t>
            </w:r>
          </w:p>
        </w:tc>
      </w:tr>
      <w:tr w:rsidR="00FF0C94" w:rsidRPr="00F94F64" w:rsidTr="009811A9">
        <w:tc>
          <w:tcPr>
            <w:tcW w:w="792" w:type="dxa"/>
          </w:tcPr>
          <w:p w:rsidR="00FF0C94" w:rsidRPr="00F94F64" w:rsidRDefault="00FF0C94" w:rsidP="009811A9">
            <w:pPr>
              <w:spacing w:before="100" w:beforeAutospacing="1" w:after="100" w:afterAutospacing="1"/>
              <w:rPr>
                <w:rFonts w:cs="Arial"/>
                <w:szCs w:val="22"/>
              </w:rPr>
            </w:pPr>
            <w:r w:rsidRPr="00F94F64">
              <w:rPr>
                <w:rFonts w:cs="Arial"/>
                <w:szCs w:val="22"/>
              </w:rPr>
              <w:t>2016</w:t>
            </w:r>
          </w:p>
        </w:tc>
        <w:tc>
          <w:tcPr>
            <w:tcW w:w="1607" w:type="dxa"/>
          </w:tcPr>
          <w:p w:rsidR="00FF0C94" w:rsidRPr="00F94F64" w:rsidRDefault="00FF0C94" w:rsidP="009811A9">
            <w:pPr>
              <w:spacing w:before="100" w:beforeAutospacing="1" w:after="100" w:afterAutospacing="1"/>
              <w:rPr>
                <w:rFonts w:cs="Arial"/>
                <w:szCs w:val="22"/>
              </w:rPr>
            </w:pPr>
            <w:r w:rsidRPr="00F94F64">
              <w:rPr>
                <w:rFonts w:cs="Arial"/>
                <w:szCs w:val="22"/>
              </w:rPr>
              <w:t>R271 804.00</w:t>
            </w:r>
          </w:p>
        </w:tc>
        <w:tc>
          <w:tcPr>
            <w:tcW w:w="1595" w:type="dxa"/>
          </w:tcPr>
          <w:p w:rsidR="00FF0C94" w:rsidRPr="00F94F64" w:rsidRDefault="00FF0C94" w:rsidP="009811A9">
            <w:pPr>
              <w:spacing w:before="100" w:beforeAutospacing="1" w:after="100" w:afterAutospacing="1"/>
              <w:rPr>
                <w:rFonts w:cs="Arial"/>
                <w:szCs w:val="22"/>
              </w:rPr>
            </w:pPr>
          </w:p>
        </w:tc>
        <w:tc>
          <w:tcPr>
            <w:tcW w:w="1875" w:type="dxa"/>
          </w:tcPr>
          <w:p w:rsidR="00FF0C94" w:rsidRPr="00F94F64" w:rsidRDefault="00FF0C94" w:rsidP="009811A9">
            <w:pPr>
              <w:spacing w:before="100" w:beforeAutospacing="1" w:after="100" w:afterAutospacing="1"/>
              <w:rPr>
                <w:rFonts w:cs="Arial"/>
                <w:szCs w:val="22"/>
              </w:rPr>
            </w:pPr>
            <w:r w:rsidRPr="00F94F64">
              <w:rPr>
                <w:rFonts w:cs="Arial"/>
                <w:szCs w:val="22"/>
              </w:rPr>
              <w:t>R30 037.87</w:t>
            </w:r>
          </w:p>
        </w:tc>
        <w:tc>
          <w:tcPr>
            <w:tcW w:w="1497" w:type="dxa"/>
          </w:tcPr>
          <w:p w:rsidR="00FF0C94" w:rsidRPr="006129A1" w:rsidRDefault="00FF0C94" w:rsidP="009811A9">
            <w:pPr>
              <w:spacing w:before="100" w:beforeAutospacing="1" w:after="100" w:afterAutospacing="1"/>
              <w:rPr>
                <w:rFonts w:cs="Arial"/>
                <w:b/>
                <w:szCs w:val="22"/>
              </w:rPr>
            </w:pPr>
            <w:r w:rsidRPr="006129A1">
              <w:rPr>
                <w:rFonts w:cs="Arial"/>
                <w:b/>
                <w:szCs w:val="22"/>
              </w:rPr>
              <w:t>R301 841.87</w:t>
            </w:r>
          </w:p>
        </w:tc>
      </w:tr>
      <w:tr w:rsidR="00FF0C94" w:rsidRPr="00F94F64" w:rsidTr="009811A9">
        <w:tc>
          <w:tcPr>
            <w:tcW w:w="792" w:type="dxa"/>
          </w:tcPr>
          <w:p w:rsidR="00FF0C94" w:rsidRPr="00F94F64" w:rsidRDefault="00FF0C94" w:rsidP="009811A9">
            <w:pPr>
              <w:spacing w:before="100" w:beforeAutospacing="1" w:after="100" w:afterAutospacing="1"/>
              <w:rPr>
                <w:rFonts w:cs="Arial"/>
                <w:szCs w:val="22"/>
              </w:rPr>
            </w:pPr>
            <w:r w:rsidRPr="00F94F64">
              <w:rPr>
                <w:rFonts w:cs="Arial"/>
                <w:szCs w:val="22"/>
              </w:rPr>
              <w:t>2017</w:t>
            </w:r>
          </w:p>
        </w:tc>
        <w:tc>
          <w:tcPr>
            <w:tcW w:w="1607" w:type="dxa"/>
          </w:tcPr>
          <w:p w:rsidR="00FF0C94" w:rsidRPr="00F94F64" w:rsidRDefault="00FF0C94" w:rsidP="009811A9">
            <w:pPr>
              <w:spacing w:before="100" w:beforeAutospacing="1" w:after="100" w:afterAutospacing="1"/>
              <w:rPr>
                <w:rFonts w:cs="Arial"/>
                <w:szCs w:val="22"/>
              </w:rPr>
            </w:pPr>
            <w:r>
              <w:rPr>
                <w:rFonts w:cs="Arial"/>
                <w:szCs w:val="22"/>
              </w:rPr>
              <w:t>R17 329.00</w:t>
            </w:r>
          </w:p>
        </w:tc>
        <w:tc>
          <w:tcPr>
            <w:tcW w:w="1595" w:type="dxa"/>
          </w:tcPr>
          <w:p w:rsidR="00FF0C94" w:rsidRPr="00F94F64" w:rsidRDefault="00FF0C94" w:rsidP="009811A9">
            <w:pPr>
              <w:spacing w:before="100" w:beforeAutospacing="1" w:after="100" w:afterAutospacing="1"/>
              <w:rPr>
                <w:rFonts w:cs="Arial"/>
                <w:szCs w:val="22"/>
              </w:rPr>
            </w:pPr>
            <w:r w:rsidRPr="00F94F64">
              <w:rPr>
                <w:rFonts w:cs="Arial"/>
                <w:szCs w:val="22"/>
              </w:rPr>
              <w:t>R30 453.50</w:t>
            </w:r>
          </w:p>
        </w:tc>
        <w:tc>
          <w:tcPr>
            <w:tcW w:w="1875" w:type="dxa"/>
          </w:tcPr>
          <w:p w:rsidR="00FF0C94" w:rsidRPr="00F94F64" w:rsidRDefault="00FF0C94" w:rsidP="009811A9">
            <w:pPr>
              <w:spacing w:before="100" w:beforeAutospacing="1" w:after="100" w:afterAutospacing="1"/>
              <w:rPr>
                <w:rFonts w:cs="Arial"/>
                <w:szCs w:val="22"/>
              </w:rPr>
            </w:pPr>
          </w:p>
        </w:tc>
        <w:tc>
          <w:tcPr>
            <w:tcW w:w="1497" w:type="dxa"/>
          </w:tcPr>
          <w:p w:rsidR="00FF0C94" w:rsidRPr="006129A1" w:rsidRDefault="00FF0C94" w:rsidP="009811A9">
            <w:pPr>
              <w:spacing w:before="100" w:beforeAutospacing="1" w:after="100" w:afterAutospacing="1"/>
              <w:rPr>
                <w:rFonts w:cs="Arial"/>
                <w:b/>
                <w:szCs w:val="22"/>
              </w:rPr>
            </w:pPr>
            <w:r w:rsidRPr="006129A1">
              <w:rPr>
                <w:rFonts w:cs="Arial"/>
                <w:b/>
                <w:szCs w:val="22"/>
              </w:rPr>
              <w:t>R47 782.50</w:t>
            </w:r>
          </w:p>
        </w:tc>
      </w:tr>
      <w:tr w:rsidR="00FF0C94" w:rsidRPr="00F94F64" w:rsidTr="009811A9">
        <w:tc>
          <w:tcPr>
            <w:tcW w:w="792" w:type="dxa"/>
          </w:tcPr>
          <w:p w:rsidR="00FF0C94" w:rsidRPr="00836BDA" w:rsidRDefault="00FF0C94" w:rsidP="009811A9">
            <w:pPr>
              <w:spacing w:before="100" w:beforeAutospacing="1" w:after="100" w:afterAutospacing="1"/>
              <w:rPr>
                <w:rFonts w:cs="Arial"/>
                <w:b/>
                <w:szCs w:val="22"/>
              </w:rPr>
            </w:pPr>
            <w:r w:rsidRPr="00836BDA">
              <w:rPr>
                <w:rFonts w:cs="Arial"/>
                <w:b/>
                <w:szCs w:val="22"/>
              </w:rPr>
              <w:t>YTD</w:t>
            </w:r>
          </w:p>
        </w:tc>
        <w:tc>
          <w:tcPr>
            <w:tcW w:w="1607" w:type="dxa"/>
          </w:tcPr>
          <w:p w:rsidR="00FF0C94" w:rsidRPr="00836BDA" w:rsidRDefault="00FF0C94" w:rsidP="009811A9">
            <w:pPr>
              <w:spacing w:before="100" w:beforeAutospacing="1" w:after="100" w:afterAutospacing="1"/>
              <w:rPr>
                <w:rFonts w:cs="Arial"/>
                <w:b/>
                <w:szCs w:val="22"/>
              </w:rPr>
            </w:pPr>
            <w:r>
              <w:rPr>
                <w:rFonts w:cs="Arial"/>
                <w:b/>
                <w:szCs w:val="22"/>
              </w:rPr>
              <w:t>R450 986.22</w:t>
            </w:r>
          </w:p>
        </w:tc>
        <w:tc>
          <w:tcPr>
            <w:tcW w:w="1595" w:type="dxa"/>
          </w:tcPr>
          <w:p w:rsidR="00FF0C94" w:rsidRPr="00836BDA" w:rsidRDefault="00FF0C94" w:rsidP="009811A9">
            <w:pPr>
              <w:spacing w:before="100" w:beforeAutospacing="1" w:after="100" w:afterAutospacing="1"/>
              <w:rPr>
                <w:rFonts w:cs="Arial"/>
                <w:b/>
                <w:szCs w:val="22"/>
              </w:rPr>
            </w:pPr>
            <w:r w:rsidRPr="00836BDA">
              <w:rPr>
                <w:rFonts w:cs="Arial"/>
                <w:b/>
                <w:szCs w:val="22"/>
              </w:rPr>
              <w:t>R32</w:t>
            </w:r>
            <w:r>
              <w:rPr>
                <w:rFonts w:cs="Arial"/>
                <w:b/>
                <w:szCs w:val="22"/>
              </w:rPr>
              <w:t xml:space="preserve"> </w:t>
            </w:r>
            <w:r w:rsidRPr="00836BDA">
              <w:rPr>
                <w:rFonts w:cs="Arial"/>
                <w:b/>
                <w:szCs w:val="22"/>
              </w:rPr>
              <w:t>661.30</w:t>
            </w:r>
          </w:p>
        </w:tc>
        <w:tc>
          <w:tcPr>
            <w:tcW w:w="1875" w:type="dxa"/>
          </w:tcPr>
          <w:p w:rsidR="00FF0C94" w:rsidRPr="00836BDA" w:rsidRDefault="00FF0C94" w:rsidP="009811A9">
            <w:pPr>
              <w:spacing w:before="100" w:beforeAutospacing="1" w:after="100" w:afterAutospacing="1"/>
              <w:rPr>
                <w:rFonts w:cs="Arial"/>
                <w:b/>
                <w:szCs w:val="22"/>
              </w:rPr>
            </w:pPr>
            <w:r w:rsidRPr="00836BDA">
              <w:rPr>
                <w:rFonts w:cs="Arial"/>
                <w:b/>
                <w:szCs w:val="22"/>
              </w:rPr>
              <w:t>R87</w:t>
            </w:r>
            <w:r>
              <w:rPr>
                <w:rFonts w:cs="Arial"/>
                <w:b/>
                <w:szCs w:val="22"/>
              </w:rPr>
              <w:t xml:space="preserve"> </w:t>
            </w:r>
            <w:r w:rsidRPr="00836BDA">
              <w:rPr>
                <w:rFonts w:cs="Arial"/>
                <w:b/>
                <w:szCs w:val="22"/>
              </w:rPr>
              <w:t>188.7</w:t>
            </w:r>
            <w:r>
              <w:rPr>
                <w:rFonts w:cs="Arial"/>
                <w:b/>
                <w:szCs w:val="22"/>
              </w:rPr>
              <w:t>0</w:t>
            </w:r>
          </w:p>
        </w:tc>
        <w:tc>
          <w:tcPr>
            <w:tcW w:w="1497" w:type="dxa"/>
          </w:tcPr>
          <w:p w:rsidR="00FF0C94" w:rsidRPr="006129A1" w:rsidRDefault="00FF0C94" w:rsidP="009811A9">
            <w:pPr>
              <w:spacing w:before="100" w:beforeAutospacing="1" w:after="100" w:afterAutospacing="1"/>
              <w:rPr>
                <w:rFonts w:cs="Arial"/>
                <w:b/>
                <w:szCs w:val="22"/>
              </w:rPr>
            </w:pPr>
            <w:r w:rsidRPr="006129A1">
              <w:rPr>
                <w:rFonts w:cs="Arial"/>
                <w:b/>
                <w:szCs w:val="22"/>
              </w:rPr>
              <w:t>R570 836.22</w:t>
            </w:r>
          </w:p>
        </w:tc>
      </w:tr>
    </w:tbl>
    <w:p w:rsidR="00D86420" w:rsidRPr="00372E38" w:rsidRDefault="00D86420" w:rsidP="00D86420">
      <w:pPr>
        <w:spacing w:before="100" w:beforeAutospacing="1" w:after="100" w:afterAutospacing="1" w:line="276" w:lineRule="auto"/>
        <w:ind w:left="709" w:firstLine="11"/>
        <w:rPr>
          <w:rFonts w:cs="Arial"/>
          <w:sz w:val="24"/>
          <w:szCs w:val="24"/>
          <w:lang w:val="en-US"/>
        </w:rPr>
      </w:pPr>
      <w:r>
        <w:rPr>
          <w:rFonts w:cs="Arial"/>
          <w:szCs w:val="22"/>
        </w:rPr>
        <w:t xml:space="preserve">  </w:t>
      </w:r>
      <w:r>
        <w:rPr>
          <w:rFonts w:cs="Arial"/>
          <w:sz w:val="24"/>
          <w:szCs w:val="24"/>
          <w:lang w:val="en-US"/>
        </w:rPr>
        <w:t xml:space="preserve">Since the handover, </w:t>
      </w:r>
      <w:r w:rsidRPr="00372E38">
        <w:rPr>
          <w:rFonts w:cs="Arial"/>
          <w:sz w:val="24"/>
          <w:szCs w:val="24"/>
          <w:lang w:val="en-US"/>
        </w:rPr>
        <w:t xml:space="preserve">the property </w:t>
      </w:r>
      <w:r>
        <w:rPr>
          <w:rFonts w:cs="Arial"/>
          <w:sz w:val="24"/>
          <w:szCs w:val="24"/>
          <w:lang w:val="en-US"/>
        </w:rPr>
        <w:t>has been s</w:t>
      </w:r>
      <w:r w:rsidRPr="00372E38">
        <w:rPr>
          <w:rFonts w:cs="Arial"/>
          <w:sz w:val="24"/>
          <w:szCs w:val="24"/>
          <w:lang w:val="en-US"/>
        </w:rPr>
        <w:t>ecured with shutter boards</w:t>
      </w:r>
      <w:r>
        <w:rPr>
          <w:rFonts w:cs="Arial"/>
          <w:sz w:val="24"/>
          <w:szCs w:val="24"/>
          <w:lang w:val="en-US"/>
        </w:rPr>
        <w:t xml:space="preserve"> and the   </w:t>
      </w:r>
      <w:r>
        <w:rPr>
          <w:rFonts w:cs="Arial"/>
          <w:sz w:val="24"/>
          <w:szCs w:val="24"/>
          <w:lang w:val="en-US"/>
        </w:rPr>
        <w:br/>
        <w:t xml:space="preserve">  </w:t>
      </w:r>
      <w:r w:rsidRPr="00372E38">
        <w:rPr>
          <w:rFonts w:cs="Arial"/>
          <w:sz w:val="24"/>
          <w:szCs w:val="24"/>
          <w:lang w:val="en-US"/>
        </w:rPr>
        <w:t xml:space="preserve">rubble </w:t>
      </w:r>
      <w:r>
        <w:rPr>
          <w:rFonts w:cs="Arial"/>
          <w:sz w:val="24"/>
          <w:szCs w:val="24"/>
          <w:lang w:val="en-US"/>
        </w:rPr>
        <w:t xml:space="preserve">that was present on the property has been removed. </w:t>
      </w:r>
      <w:r w:rsidRPr="00372E38">
        <w:rPr>
          <w:rFonts w:cs="Arial"/>
          <w:sz w:val="24"/>
          <w:szCs w:val="24"/>
          <w:lang w:val="en-US"/>
        </w:rPr>
        <w:t xml:space="preserve"> </w:t>
      </w:r>
    </w:p>
    <w:p w:rsidR="00FF0C94" w:rsidRDefault="00FF0C94" w:rsidP="00FF0C94">
      <w:pPr>
        <w:spacing w:before="100" w:beforeAutospacing="1" w:after="100" w:afterAutospacing="1"/>
        <w:ind w:left="709" w:hanging="142"/>
        <w:rPr>
          <w:rFonts w:cs="Arial"/>
          <w:szCs w:val="22"/>
        </w:rPr>
      </w:pPr>
      <w:r w:rsidRPr="0050395B">
        <w:rPr>
          <w:rFonts w:cs="Arial"/>
          <w:szCs w:val="22"/>
        </w:rPr>
        <w:t xml:space="preserve">(b) </w:t>
      </w:r>
      <w:r>
        <w:rPr>
          <w:rFonts w:cs="Arial"/>
          <w:szCs w:val="22"/>
        </w:rPr>
        <w:t xml:space="preserve">The property was handed back to the Department on </w:t>
      </w:r>
      <w:r w:rsidRPr="0050395B">
        <w:rPr>
          <w:rFonts w:cs="Arial"/>
          <w:szCs w:val="22"/>
        </w:rPr>
        <w:t>10 July 2014</w:t>
      </w:r>
      <w:r w:rsidR="00AC22C0">
        <w:rPr>
          <w:rFonts w:cs="Arial"/>
          <w:szCs w:val="22"/>
        </w:rPr>
        <w:t>’</w:t>
      </w:r>
      <w:r>
        <w:rPr>
          <w:rFonts w:cs="Arial"/>
          <w:szCs w:val="22"/>
        </w:rPr>
        <w:t>.</w:t>
      </w:r>
    </w:p>
    <w:p w:rsidR="00FF0C94" w:rsidRPr="0050395B" w:rsidRDefault="00FF0C94" w:rsidP="00FF0C94">
      <w:pPr>
        <w:spacing w:before="100" w:beforeAutospacing="1" w:after="100" w:afterAutospacing="1"/>
        <w:ind w:left="567"/>
        <w:rPr>
          <w:rFonts w:cs="Arial"/>
          <w:szCs w:val="22"/>
        </w:rPr>
      </w:pPr>
      <w:r w:rsidRPr="0050395B">
        <w:rPr>
          <w:rFonts w:cs="Arial"/>
          <w:szCs w:val="22"/>
        </w:rPr>
        <w:t>(c) No</w:t>
      </w:r>
      <w:r>
        <w:rPr>
          <w:rFonts w:cs="Arial"/>
          <w:szCs w:val="22"/>
        </w:rPr>
        <w:t>, given the condition of the property, it has not rendered any income during the period.</w:t>
      </w:r>
    </w:p>
    <w:p w:rsidR="00FF0C94" w:rsidRPr="00F94F64" w:rsidRDefault="00FF0C94" w:rsidP="00FF0C94">
      <w:pPr>
        <w:pStyle w:val="ListParagraph"/>
        <w:spacing w:before="100" w:beforeAutospacing="1" w:after="100" w:afterAutospacing="1"/>
        <w:rPr>
          <w:rFonts w:cs="Arial"/>
          <w:szCs w:val="22"/>
        </w:rPr>
      </w:pPr>
    </w:p>
    <w:p w:rsidR="009657F6" w:rsidRPr="00F94F64" w:rsidRDefault="009657F6" w:rsidP="009657F6">
      <w:pPr>
        <w:pStyle w:val="ListParagraph"/>
        <w:spacing w:before="100" w:beforeAutospacing="1" w:after="100" w:afterAutospacing="1"/>
        <w:rPr>
          <w:rFonts w:cs="Arial"/>
          <w:szCs w:val="22"/>
        </w:rPr>
      </w:pPr>
    </w:p>
    <w:p w:rsidR="009657F6" w:rsidRDefault="009657F6" w:rsidP="008D586E">
      <w:pPr>
        <w:pStyle w:val="ListParagraph"/>
        <w:numPr>
          <w:ilvl w:val="0"/>
          <w:numId w:val="5"/>
        </w:numPr>
        <w:spacing w:before="100" w:beforeAutospacing="1" w:after="100" w:afterAutospacing="1"/>
        <w:ind w:left="567" w:hanging="501"/>
        <w:jc w:val="left"/>
        <w:rPr>
          <w:rFonts w:cs="Arial"/>
          <w:szCs w:val="22"/>
        </w:rPr>
      </w:pPr>
      <w:r>
        <w:rPr>
          <w:rFonts w:cs="Arial"/>
          <w:szCs w:val="22"/>
        </w:rPr>
        <w:t xml:space="preserve">(a) The Department has received offers for the use of the property and is currently in the </w:t>
      </w:r>
      <w:r>
        <w:rPr>
          <w:rFonts w:cs="Arial"/>
          <w:szCs w:val="22"/>
        </w:rPr>
        <w:br/>
        <w:t xml:space="preserve">      process of evaluating the offers. As part of evaluating the offers received, the Department </w:t>
      </w:r>
      <w:r>
        <w:rPr>
          <w:rFonts w:cs="Arial"/>
          <w:szCs w:val="22"/>
        </w:rPr>
        <w:br/>
        <w:t xml:space="preserve">      will have concluded the condition assessment of the property by 15 May 2017.  </w:t>
      </w:r>
      <w:r w:rsidRPr="00284900">
        <w:rPr>
          <w:rFonts w:cs="Arial"/>
          <w:szCs w:val="22"/>
        </w:rPr>
        <w:t xml:space="preserve"> </w:t>
      </w:r>
      <w:r>
        <w:rPr>
          <w:rFonts w:cs="Arial"/>
          <w:szCs w:val="22"/>
        </w:rPr>
        <w:br/>
        <w:t xml:space="preserve"> </w:t>
      </w:r>
      <w:r>
        <w:rPr>
          <w:rFonts w:cs="Arial"/>
          <w:szCs w:val="22"/>
        </w:rPr>
        <w:tab/>
        <w:t xml:space="preserve">   </w:t>
      </w:r>
    </w:p>
    <w:p w:rsidR="009657F6" w:rsidRPr="00EE53A2" w:rsidRDefault="009657F6" w:rsidP="00EE53A2">
      <w:pPr>
        <w:pStyle w:val="ListParagraph"/>
        <w:numPr>
          <w:ilvl w:val="0"/>
          <w:numId w:val="7"/>
        </w:numPr>
        <w:spacing w:before="100" w:beforeAutospacing="1" w:after="100" w:afterAutospacing="1"/>
        <w:rPr>
          <w:rFonts w:cs="Arial"/>
          <w:szCs w:val="22"/>
        </w:rPr>
      </w:pPr>
      <w:r w:rsidRPr="00EE53A2">
        <w:rPr>
          <w:rFonts w:cs="Arial"/>
          <w:szCs w:val="22"/>
        </w:rPr>
        <w:t xml:space="preserve">The estimated cost to restore the property will be available following the conclusion of the condition assessment. </w:t>
      </w:r>
    </w:p>
    <w:p w:rsidR="009657F6" w:rsidRPr="00284900" w:rsidRDefault="009657F6" w:rsidP="009657F6">
      <w:pPr>
        <w:pStyle w:val="ListParagraph"/>
        <w:spacing w:before="100" w:beforeAutospacing="1" w:after="100" w:afterAutospacing="1"/>
        <w:ind w:left="927"/>
        <w:rPr>
          <w:rFonts w:cs="Arial"/>
          <w:szCs w:val="22"/>
        </w:rPr>
      </w:pPr>
    </w:p>
    <w:p w:rsidR="009657F6" w:rsidRPr="00EE53A2" w:rsidRDefault="009657F6" w:rsidP="00EE53A2">
      <w:pPr>
        <w:pStyle w:val="ListParagraph"/>
        <w:numPr>
          <w:ilvl w:val="0"/>
          <w:numId w:val="6"/>
        </w:numPr>
        <w:spacing w:before="100" w:beforeAutospacing="1" w:after="100" w:afterAutospacing="1"/>
        <w:ind w:left="567" w:hanging="567"/>
        <w:rPr>
          <w:rFonts w:cs="Arial"/>
          <w:szCs w:val="22"/>
        </w:rPr>
      </w:pPr>
      <w:r w:rsidRPr="00EE53A2">
        <w:rPr>
          <w:rFonts w:cs="Arial"/>
          <w:szCs w:val="22"/>
        </w:rPr>
        <w:t>No request has been received from the Stellenbosch Municipality for transfer of the property.</w:t>
      </w:r>
    </w:p>
    <w:p w:rsidR="009657F6" w:rsidRPr="006A7527" w:rsidRDefault="009657F6" w:rsidP="009657F6">
      <w:pPr>
        <w:pStyle w:val="ListParagraph"/>
        <w:spacing w:before="100" w:beforeAutospacing="1" w:after="100" w:afterAutospacing="1"/>
        <w:ind w:left="1080"/>
        <w:rPr>
          <w:rFonts w:cs="Arial"/>
          <w:szCs w:val="22"/>
        </w:rPr>
      </w:pPr>
    </w:p>
    <w:p w:rsidR="00111BEE" w:rsidRDefault="00111BEE" w:rsidP="008D586E">
      <w:pPr>
        <w:pStyle w:val="ListParagraph"/>
        <w:numPr>
          <w:ilvl w:val="0"/>
          <w:numId w:val="6"/>
        </w:numPr>
        <w:spacing w:before="100" w:beforeAutospacing="1" w:after="100" w:afterAutospacing="1"/>
        <w:ind w:left="567" w:hanging="567"/>
        <w:rPr>
          <w:rFonts w:cs="Arial"/>
          <w:szCs w:val="22"/>
        </w:rPr>
      </w:pPr>
      <w:r>
        <w:rPr>
          <w:rFonts w:cs="Arial"/>
          <w:szCs w:val="22"/>
        </w:rPr>
        <w:t>The Department has received offers for the use of the property and is curren</w:t>
      </w:r>
      <w:r w:rsidR="006A3E21">
        <w:rPr>
          <w:rFonts w:cs="Arial"/>
          <w:szCs w:val="22"/>
        </w:rPr>
        <w:t>tly in the process of evaluating</w:t>
      </w:r>
      <w:r>
        <w:rPr>
          <w:rFonts w:cs="Arial"/>
          <w:szCs w:val="22"/>
        </w:rPr>
        <w:t xml:space="preserve"> the offers. The Department is aiming to have a decision made on the offers by 31 May 2017.  </w:t>
      </w:r>
    </w:p>
    <w:p w:rsidR="00FF0C94" w:rsidRDefault="00FF0C94" w:rsidP="00591850">
      <w:pPr>
        <w:rPr>
          <w:rFonts w:cs="Arial"/>
          <w:b/>
          <w:sz w:val="24"/>
          <w:szCs w:val="24"/>
          <w:lang w:eastAsia="en-US"/>
        </w:rPr>
      </w:pPr>
    </w:p>
    <w:sectPr w:rsidR="00FF0C94"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B3" w:rsidRDefault="007821B3" w:rsidP="00B01072">
      <w:r>
        <w:separator/>
      </w:r>
    </w:p>
  </w:endnote>
  <w:endnote w:type="continuationSeparator" w:id="0">
    <w:p w:rsidR="007821B3" w:rsidRDefault="007821B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473F50">
      <w:rPr>
        <w:rFonts w:cs="Arial"/>
        <w:b/>
        <w:sz w:val="20"/>
        <w:lang w:val="af-ZA" w:eastAsia="en-US"/>
      </w:rPr>
      <w:t>972</w:t>
    </w:r>
    <w:r w:rsidR="00B5707E">
      <w:rPr>
        <w:rFonts w:cs="Arial"/>
        <w:b/>
        <w:sz w:val="20"/>
        <w:lang w:val="af-ZA" w:eastAsia="en-US"/>
      </w:rPr>
      <w:t xml:space="preserve"> </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88219E">
      <w:rPr>
        <w:rFonts w:eastAsiaTheme="majorEastAsia" w:cs="Arial"/>
        <w:b/>
        <w:sz w:val="18"/>
        <w:szCs w:val="18"/>
      </w:rPr>
      <w:t xml:space="preserve">– </w:t>
    </w:r>
    <w:r w:rsidR="00473F50" w:rsidRPr="00473F50">
      <w:rPr>
        <w:rFonts w:cs="Arial"/>
        <w:b/>
        <w:sz w:val="20"/>
      </w:rPr>
      <w:t xml:space="preserve">Mr B R Topham </w:t>
    </w:r>
    <w:r w:rsidR="00473F50" w:rsidRPr="00473F50">
      <w:rPr>
        <w:rFonts w:eastAsiaTheme="minorHAnsi" w:cs="Arial"/>
        <w:b/>
        <w:sz w:val="20"/>
        <w:lang w:val="en-GB" w:eastAsia="en-US"/>
      </w:rPr>
      <w:t>(DA)</w:t>
    </w:r>
    <w:r w:rsidR="00473F50" w:rsidRPr="0088219E">
      <w:rPr>
        <w:rFonts w:cs="Arial"/>
        <w:b/>
        <w:sz w:val="24"/>
        <w:lang w:val="en-GB" w:eastAsia="en-US"/>
      </w:rPr>
      <w:t xml:space="preserve"> </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901C79" w:rsidRPr="00901C79">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7821B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B3" w:rsidRDefault="007821B3" w:rsidP="00B01072">
      <w:r>
        <w:separator/>
      </w:r>
    </w:p>
  </w:footnote>
  <w:footnote w:type="continuationSeparator" w:id="0">
    <w:p w:rsidR="007821B3" w:rsidRDefault="007821B3"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280A"/>
    <w:multiLevelType w:val="hybridMultilevel"/>
    <w:tmpl w:val="70C0E582"/>
    <w:lvl w:ilvl="0" w:tplc="78C6E7D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7D1718"/>
    <w:multiLevelType w:val="hybridMultilevel"/>
    <w:tmpl w:val="5E0EC0DA"/>
    <w:lvl w:ilvl="0" w:tplc="71ECEAF6">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214B73FD"/>
    <w:multiLevelType w:val="hybridMultilevel"/>
    <w:tmpl w:val="171CDE9E"/>
    <w:lvl w:ilvl="0" w:tplc="143C9F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2704266"/>
    <w:multiLevelType w:val="hybridMultilevel"/>
    <w:tmpl w:val="BA1AF06E"/>
    <w:lvl w:ilvl="0" w:tplc="7E4CBBE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79347DA"/>
    <w:multiLevelType w:val="hybridMultilevel"/>
    <w:tmpl w:val="FC2CB98C"/>
    <w:lvl w:ilvl="0" w:tplc="4F34CF22">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7AC65878"/>
    <w:multiLevelType w:val="hybridMultilevel"/>
    <w:tmpl w:val="DEBE9A6C"/>
    <w:lvl w:ilvl="0" w:tplc="12BE71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9BF"/>
    <w:rsid w:val="000012D9"/>
    <w:rsid w:val="00006F15"/>
    <w:rsid w:val="00012499"/>
    <w:rsid w:val="00012BEB"/>
    <w:rsid w:val="00015EFE"/>
    <w:rsid w:val="000173E2"/>
    <w:rsid w:val="000205FB"/>
    <w:rsid w:val="00020C71"/>
    <w:rsid w:val="00020EBB"/>
    <w:rsid w:val="00021C96"/>
    <w:rsid w:val="00021CD9"/>
    <w:rsid w:val="00022D2D"/>
    <w:rsid w:val="000327B9"/>
    <w:rsid w:val="00041696"/>
    <w:rsid w:val="00045D9F"/>
    <w:rsid w:val="000528E1"/>
    <w:rsid w:val="00053EB2"/>
    <w:rsid w:val="000574C9"/>
    <w:rsid w:val="00063548"/>
    <w:rsid w:val="00064FF2"/>
    <w:rsid w:val="000656CA"/>
    <w:rsid w:val="00070C8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E0C57"/>
    <w:rsid w:val="000E5E4F"/>
    <w:rsid w:val="00107822"/>
    <w:rsid w:val="00107CA5"/>
    <w:rsid w:val="00110781"/>
    <w:rsid w:val="00111AB1"/>
    <w:rsid w:val="00111BEE"/>
    <w:rsid w:val="00123E02"/>
    <w:rsid w:val="00125195"/>
    <w:rsid w:val="00131356"/>
    <w:rsid w:val="001340CE"/>
    <w:rsid w:val="00140E93"/>
    <w:rsid w:val="001449BF"/>
    <w:rsid w:val="00152C01"/>
    <w:rsid w:val="00162A0F"/>
    <w:rsid w:val="001651D8"/>
    <w:rsid w:val="001729E9"/>
    <w:rsid w:val="00175497"/>
    <w:rsid w:val="00177367"/>
    <w:rsid w:val="001833AC"/>
    <w:rsid w:val="00186B9A"/>
    <w:rsid w:val="001A22C6"/>
    <w:rsid w:val="001B6906"/>
    <w:rsid w:val="001B77CD"/>
    <w:rsid w:val="001C2A53"/>
    <w:rsid w:val="001C2B34"/>
    <w:rsid w:val="001C602F"/>
    <w:rsid w:val="001C6CA1"/>
    <w:rsid w:val="001E486F"/>
    <w:rsid w:val="001F0D11"/>
    <w:rsid w:val="001F1F16"/>
    <w:rsid w:val="001F45A2"/>
    <w:rsid w:val="00203E0F"/>
    <w:rsid w:val="00206C11"/>
    <w:rsid w:val="002229B7"/>
    <w:rsid w:val="002265CB"/>
    <w:rsid w:val="002309FD"/>
    <w:rsid w:val="0023195F"/>
    <w:rsid w:val="00232D48"/>
    <w:rsid w:val="0023448E"/>
    <w:rsid w:val="00243357"/>
    <w:rsid w:val="00275F2F"/>
    <w:rsid w:val="00284900"/>
    <w:rsid w:val="00287969"/>
    <w:rsid w:val="00291BC2"/>
    <w:rsid w:val="00294275"/>
    <w:rsid w:val="002A5D13"/>
    <w:rsid w:val="002B2F32"/>
    <w:rsid w:val="002C175C"/>
    <w:rsid w:val="002C603A"/>
    <w:rsid w:val="002C629D"/>
    <w:rsid w:val="002C734E"/>
    <w:rsid w:val="002C7394"/>
    <w:rsid w:val="002D3568"/>
    <w:rsid w:val="002D4F46"/>
    <w:rsid w:val="003074FB"/>
    <w:rsid w:val="00307BEC"/>
    <w:rsid w:val="00311142"/>
    <w:rsid w:val="00321FAA"/>
    <w:rsid w:val="003241F6"/>
    <w:rsid w:val="00325E8F"/>
    <w:rsid w:val="003269D6"/>
    <w:rsid w:val="00330E0B"/>
    <w:rsid w:val="00343207"/>
    <w:rsid w:val="00351A07"/>
    <w:rsid w:val="00352AC2"/>
    <w:rsid w:val="003563FA"/>
    <w:rsid w:val="00363AE5"/>
    <w:rsid w:val="003647DC"/>
    <w:rsid w:val="003718A9"/>
    <w:rsid w:val="00372E38"/>
    <w:rsid w:val="003731CC"/>
    <w:rsid w:val="003827CF"/>
    <w:rsid w:val="00382C94"/>
    <w:rsid w:val="00393240"/>
    <w:rsid w:val="003B0590"/>
    <w:rsid w:val="003B152A"/>
    <w:rsid w:val="003B2662"/>
    <w:rsid w:val="003B783C"/>
    <w:rsid w:val="003D262F"/>
    <w:rsid w:val="003D3867"/>
    <w:rsid w:val="003D7908"/>
    <w:rsid w:val="003E5694"/>
    <w:rsid w:val="003F3ABB"/>
    <w:rsid w:val="003F628A"/>
    <w:rsid w:val="004061E6"/>
    <w:rsid w:val="00413C62"/>
    <w:rsid w:val="004168AC"/>
    <w:rsid w:val="00426848"/>
    <w:rsid w:val="00432C4E"/>
    <w:rsid w:val="004342FE"/>
    <w:rsid w:val="00435691"/>
    <w:rsid w:val="0044149F"/>
    <w:rsid w:val="0044580C"/>
    <w:rsid w:val="00451E9D"/>
    <w:rsid w:val="00453445"/>
    <w:rsid w:val="004739D7"/>
    <w:rsid w:val="00473F50"/>
    <w:rsid w:val="00481037"/>
    <w:rsid w:val="0049133C"/>
    <w:rsid w:val="00493FB3"/>
    <w:rsid w:val="0049710C"/>
    <w:rsid w:val="004B3AF9"/>
    <w:rsid w:val="004C3C1E"/>
    <w:rsid w:val="004C5597"/>
    <w:rsid w:val="004C6EB7"/>
    <w:rsid w:val="004D2F24"/>
    <w:rsid w:val="004D48E8"/>
    <w:rsid w:val="004D6D3A"/>
    <w:rsid w:val="004E4337"/>
    <w:rsid w:val="00501775"/>
    <w:rsid w:val="00515D7F"/>
    <w:rsid w:val="00520FFE"/>
    <w:rsid w:val="0052239F"/>
    <w:rsid w:val="0053382B"/>
    <w:rsid w:val="0053543D"/>
    <w:rsid w:val="005449EC"/>
    <w:rsid w:val="00560E8F"/>
    <w:rsid w:val="00563D73"/>
    <w:rsid w:val="0057746F"/>
    <w:rsid w:val="00591850"/>
    <w:rsid w:val="005940D1"/>
    <w:rsid w:val="005A552D"/>
    <w:rsid w:val="005B1A94"/>
    <w:rsid w:val="005B1E2B"/>
    <w:rsid w:val="005B2F46"/>
    <w:rsid w:val="005C08E8"/>
    <w:rsid w:val="005C570C"/>
    <w:rsid w:val="005D1762"/>
    <w:rsid w:val="005D477F"/>
    <w:rsid w:val="005E0046"/>
    <w:rsid w:val="005E2D86"/>
    <w:rsid w:val="005E535A"/>
    <w:rsid w:val="005E6AF1"/>
    <w:rsid w:val="005F4C62"/>
    <w:rsid w:val="0060047A"/>
    <w:rsid w:val="006049D3"/>
    <w:rsid w:val="00610BA6"/>
    <w:rsid w:val="00611F40"/>
    <w:rsid w:val="006129A1"/>
    <w:rsid w:val="00616097"/>
    <w:rsid w:val="00623007"/>
    <w:rsid w:val="00623053"/>
    <w:rsid w:val="00624A4D"/>
    <w:rsid w:val="00625573"/>
    <w:rsid w:val="006324C3"/>
    <w:rsid w:val="00632CC5"/>
    <w:rsid w:val="006343C2"/>
    <w:rsid w:val="006462D7"/>
    <w:rsid w:val="00670BA5"/>
    <w:rsid w:val="00675570"/>
    <w:rsid w:val="00680CEE"/>
    <w:rsid w:val="00684BB6"/>
    <w:rsid w:val="00685646"/>
    <w:rsid w:val="00697546"/>
    <w:rsid w:val="006A027A"/>
    <w:rsid w:val="006A05C9"/>
    <w:rsid w:val="006A3E21"/>
    <w:rsid w:val="006B79CB"/>
    <w:rsid w:val="006C0BAE"/>
    <w:rsid w:val="006C3E5B"/>
    <w:rsid w:val="006D0841"/>
    <w:rsid w:val="006D1A51"/>
    <w:rsid w:val="006D4597"/>
    <w:rsid w:val="006D64EC"/>
    <w:rsid w:val="006D689A"/>
    <w:rsid w:val="006E54EA"/>
    <w:rsid w:val="006F2930"/>
    <w:rsid w:val="006F36F8"/>
    <w:rsid w:val="006F37FB"/>
    <w:rsid w:val="006F490A"/>
    <w:rsid w:val="007010E9"/>
    <w:rsid w:val="00705DD0"/>
    <w:rsid w:val="00712D78"/>
    <w:rsid w:val="0071352F"/>
    <w:rsid w:val="007144AF"/>
    <w:rsid w:val="00721E9A"/>
    <w:rsid w:val="0073270F"/>
    <w:rsid w:val="007422B3"/>
    <w:rsid w:val="0074630B"/>
    <w:rsid w:val="007467C9"/>
    <w:rsid w:val="00755071"/>
    <w:rsid w:val="00760875"/>
    <w:rsid w:val="007814B6"/>
    <w:rsid w:val="007821B3"/>
    <w:rsid w:val="0078679A"/>
    <w:rsid w:val="00794233"/>
    <w:rsid w:val="007950DA"/>
    <w:rsid w:val="007A03D5"/>
    <w:rsid w:val="007D66B8"/>
    <w:rsid w:val="007E0072"/>
    <w:rsid w:val="007E3B7C"/>
    <w:rsid w:val="007E4E3E"/>
    <w:rsid w:val="007E63B3"/>
    <w:rsid w:val="008039CD"/>
    <w:rsid w:val="00816548"/>
    <w:rsid w:val="008232E5"/>
    <w:rsid w:val="00831485"/>
    <w:rsid w:val="00836EA6"/>
    <w:rsid w:val="00846C06"/>
    <w:rsid w:val="00850A5D"/>
    <w:rsid w:val="00853F14"/>
    <w:rsid w:val="008717E7"/>
    <w:rsid w:val="00873D00"/>
    <w:rsid w:val="0088064A"/>
    <w:rsid w:val="00881A28"/>
    <w:rsid w:val="0088219E"/>
    <w:rsid w:val="008845A5"/>
    <w:rsid w:val="00895B01"/>
    <w:rsid w:val="008A5DCC"/>
    <w:rsid w:val="008A7CC3"/>
    <w:rsid w:val="008B3660"/>
    <w:rsid w:val="008B3B1D"/>
    <w:rsid w:val="008C472C"/>
    <w:rsid w:val="008D1494"/>
    <w:rsid w:val="008D586E"/>
    <w:rsid w:val="008E0858"/>
    <w:rsid w:val="008F177A"/>
    <w:rsid w:val="008F24D2"/>
    <w:rsid w:val="00901C79"/>
    <w:rsid w:val="009148F7"/>
    <w:rsid w:val="00914A41"/>
    <w:rsid w:val="00916D71"/>
    <w:rsid w:val="00926BCD"/>
    <w:rsid w:val="0093780E"/>
    <w:rsid w:val="00940E46"/>
    <w:rsid w:val="00942804"/>
    <w:rsid w:val="009657F6"/>
    <w:rsid w:val="00970F77"/>
    <w:rsid w:val="00976436"/>
    <w:rsid w:val="009776AC"/>
    <w:rsid w:val="00980BB4"/>
    <w:rsid w:val="00997315"/>
    <w:rsid w:val="009A121F"/>
    <w:rsid w:val="009A34AE"/>
    <w:rsid w:val="009B418A"/>
    <w:rsid w:val="009B5534"/>
    <w:rsid w:val="009B7DB2"/>
    <w:rsid w:val="009D72B9"/>
    <w:rsid w:val="009F425B"/>
    <w:rsid w:val="009F4EFA"/>
    <w:rsid w:val="00A213AD"/>
    <w:rsid w:val="00A232B5"/>
    <w:rsid w:val="00A23D03"/>
    <w:rsid w:val="00A4432D"/>
    <w:rsid w:val="00A46014"/>
    <w:rsid w:val="00A50E27"/>
    <w:rsid w:val="00A5375C"/>
    <w:rsid w:val="00A70E0E"/>
    <w:rsid w:val="00A7275E"/>
    <w:rsid w:val="00A74C8E"/>
    <w:rsid w:val="00A82594"/>
    <w:rsid w:val="00A83487"/>
    <w:rsid w:val="00A852C4"/>
    <w:rsid w:val="00A91F96"/>
    <w:rsid w:val="00AA56F8"/>
    <w:rsid w:val="00AB05F6"/>
    <w:rsid w:val="00AC22C0"/>
    <w:rsid w:val="00AC436F"/>
    <w:rsid w:val="00AD001F"/>
    <w:rsid w:val="00AD0F40"/>
    <w:rsid w:val="00AD36D1"/>
    <w:rsid w:val="00AE2E32"/>
    <w:rsid w:val="00AE3D8F"/>
    <w:rsid w:val="00AF1E6E"/>
    <w:rsid w:val="00B00665"/>
    <w:rsid w:val="00B00D22"/>
    <w:rsid w:val="00B01072"/>
    <w:rsid w:val="00B016B6"/>
    <w:rsid w:val="00B04A42"/>
    <w:rsid w:val="00B04C0E"/>
    <w:rsid w:val="00B32F50"/>
    <w:rsid w:val="00B33547"/>
    <w:rsid w:val="00B40287"/>
    <w:rsid w:val="00B44E3D"/>
    <w:rsid w:val="00B54E1A"/>
    <w:rsid w:val="00B5707E"/>
    <w:rsid w:val="00B62437"/>
    <w:rsid w:val="00B6462A"/>
    <w:rsid w:val="00B7336E"/>
    <w:rsid w:val="00B76EA0"/>
    <w:rsid w:val="00B7781B"/>
    <w:rsid w:val="00B80EC0"/>
    <w:rsid w:val="00BD53C1"/>
    <w:rsid w:val="00BD6CA5"/>
    <w:rsid w:val="00BE153C"/>
    <w:rsid w:val="00C13BCD"/>
    <w:rsid w:val="00C143AE"/>
    <w:rsid w:val="00C143C0"/>
    <w:rsid w:val="00C16434"/>
    <w:rsid w:val="00C2072D"/>
    <w:rsid w:val="00C25117"/>
    <w:rsid w:val="00C438C9"/>
    <w:rsid w:val="00C55CF0"/>
    <w:rsid w:val="00C734C8"/>
    <w:rsid w:val="00C94B70"/>
    <w:rsid w:val="00CA1ED8"/>
    <w:rsid w:val="00CA7B2C"/>
    <w:rsid w:val="00CB4CE0"/>
    <w:rsid w:val="00CC07E1"/>
    <w:rsid w:val="00CC255F"/>
    <w:rsid w:val="00CC2ECC"/>
    <w:rsid w:val="00CC69B7"/>
    <w:rsid w:val="00CD428A"/>
    <w:rsid w:val="00CE2E81"/>
    <w:rsid w:val="00CE34B4"/>
    <w:rsid w:val="00CE70D6"/>
    <w:rsid w:val="00D00A7D"/>
    <w:rsid w:val="00D14B85"/>
    <w:rsid w:val="00D26A6A"/>
    <w:rsid w:val="00D377B6"/>
    <w:rsid w:val="00D41166"/>
    <w:rsid w:val="00D42FF6"/>
    <w:rsid w:val="00D43797"/>
    <w:rsid w:val="00D437F5"/>
    <w:rsid w:val="00D51778"/>
    <w:rsid w:val="00D74A2D"/>
    <w:rsid w:val="00D82B08"/>
    <w:rsid w:val="00D857EF"/>
    <w:rsid w:val="00D86420"/>
    <w:rsid w:val="00DA2189"/>
    <w:rsid w:val="00DA5567"/>
    <w:rsid w:val="00DC0282"/>
    <w:rsid w:val="00DC10B2"/>
    <w:rsid w:val="00DC270A"/>
    <w:rsid w:val="00DC4E5A"/>
    <w:rsid w:val="00DC5378"/>
    <w:rsid w:val="00DC716A"/>
    <w:rsid w:val="00DC7EE3"/>
    <w:rsid w:val="00DD25EB"/>
    <w:rsid w:val="00DD2E6A"/>
    <w:rsid w:val="00DD5FC2"/>
    <w:rsid w:val="00DE05AF"/>
    <w:rsid w:val="00DE24CD"/>
    <w:rsid w:val="00DF1799"/>
    <w:rsid w:val="00DF6074"/>
    <w:rsid w:val="00E0095B"/>
    <w:rsid w:val="00E01F45"/>
    <w:rsid w:val="00E0385B"/>
    <w:rsid w:val="00E123EB"/>
    <w:rsid w:val="00E16F8D"/>
    <w:rsid w:val="00E23474"/>
    <w:rsid w:val="00E272CB"/>
    <w:rsid w:val="00E275CB"/>
    <w:rsid w:val="00E36049"/>
    <w:rsid w:val="00E3748A"/>
    <w:rsid w:val="00E40AA0"/>
    <w:rsid w:val="00E42C05"/>
    <w:rsid w:val="00E44ADB"/>
    <w:rsid w:val="00E5230C"/>
    <w:rsid w:val="00E526CF"/>
    <w:rsid w:val="00E60FD3"/>
    <w:rsid w:val="00E66692"/>
    <w:rsid w:val="00E74EEE"/>
    <w:rsid w:val="00E779E4"/>
    <w:rsid w:val="00E808B7"/>
    <w:rsid w:val="00E8666B"/>
    <w:rsid w:val="00E919D6"/>
    <w:rsid w:val="00EA26C6"/>
    <w:rsid w:val="00EB2C0B"/>
    <w:rsid w:val="00EC4636"/>
    <w:rsid w:val="00EC4852"/>
    <w:rsid w:val="00ED01CA"/>
    <w:rsid w:val="00ED18ED"/>
    <w:rsid w:val="00ED4290"/>
    <w:rsid w:val="00EE2AEC"/>
    <w:rsid w:val="00EE3B3E"/>
    <w:rsid w:val="00EE465F"/>
    <w:rsid w:val="00EE53A2"/>
    <w:rsid w:val="00EF1C60"/>
    <w:rsid w:val="00EF2079"/>
    <w:rsid w:val="00EF25FA"/>
    <w:rsid w:val="00EF3E7D"/>
    <w:rsid w:val="00EF608A"/>
    <w:rsid w:val="00EF7DE9"/>
    <w:rsid w:val="00F07CC1"/>
    <w:rsid w:val="00F13561"/>
    <w:rsid w:val="00F26CF4"/>
    <w:rsid w:val="00F26E1D"/>
    <w:rsid w:val="00F318FF"/>
    <w:rsid w:val="00F3566A"/>
    <w:rsid w:val="00F35DFD"/>
    <w:rsid w:val="00F43075"/>
    <w:rsid w:val="00F50930"/>
    <w:rsid w:val="00F5621E"/>
    <w:rsid w:val="00F57765"/>
    <w:rsid w:val="00F6092F"/>
    <w:rsid w:val="00F63F16"/>
    <w:rsid w:val="00F73C7B"/>
    <w:rsid w:val="00F8042B"/>
    <w:rsid w:val="00F809F4"/>
    <w:rsid w:val="00F84401"/>
    <w:rsid w:val="00F84A5B"/>
    <w:rsid w:val="00F909F1"/>
    <w:rsid w:val="00F930FA"/>
    <w:rsid w:val="00FA039D"/>
    <w:rsid w:val="00FA5EB0"/>
    <w:rsid w:val="00FC336B"/>
    <w:rsid w:val="00FD6ED3"/>
    <w:rsid w:val="00FE516A"/>
    <w:rsid w:val="00FF0C94"/>
    <w:rsid w:val="00FF2624"/>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CF57-E82D-42DB-B968-78A97CA8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2017-05-10T13:21:00Z</cp:lastPrinted>
  <dcterms:created xsi:type="dcterms:W3CDTF">2017-05-22T08:04:00Z</dcterms:created>
  <dcterms:modified xsi:type="dcterms:W3CDTF">2017-05-22T08:04:00Z</dcterms:modified>
</cp:coreProperties>
</file>