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6D" w:rsidRPr="00CA656D" w:rsidRDefault="00CA656D" w:rsidP="00CA656D">
      <w:pPr>
        <w:tabs>
          <w:tab w:val="left" w:pos="576"/>
          <w:tab w:val="left" w:pos="1296"/>
          <w:tab w:val="left" w:pos="6336"/>
        </w:tabs>
        <w:spacing w:after="0" w:line="360" w:lineRule="auto"/>
        <w:ind w:left="70"/>
        <w:jc w:val="center"/>
        <w:rPr>
          <w:rFonts w:ascii="Arial" w:eastAsia="Calibri" w:hAnsi="Arial" w:cs="Arial"/>
          <w:b/>
          <w:sz w:val="32"/>
          <w:szCs w:val="32"/>
        </w:rPr>
      </w:pPr>
      <w:r w:rsidRPr="00CA656D">
        <w:rPr>
          <w:rFonts w:ascii="Arial" w:eastAsia="Calibri" w:hAnsi="Arial" w:cs="Arial"/>
          <w:b/>
          <w:sz w:val="32"/>
          <w:szCs w:val="32"/>
        </w:rPr>
        <w:t>NATIONAL ASSEMBLY</w:t>
      </w:r>
    </w:p>
    <w:p w:rsidR="00CA656D" w:rsidRPr="00CA656D" w:rsidRDefault="00CA656D" w:rsidP="00CA656D">
      <w:pPr>
        <w:spacing w:after="0" w:line="276" w:lineRule="auto"/>
        <w:rPr>
          <w:rFonts w:ascii="Arial" w:eastAsia="Calibri" w:hAnsi="Arial" w:cs="Arial"/>
          <w:b/>
          <w:bCs/>
          <w:color w:val="FF0000"/>
          <w:sz w:val="32"/>
          <w:szCs w:val="32"/>
          <w:u w:val="single"/>
          <w:lang w:eastAsia="en-ZA"/>
        </w:rPr>
      </w:pPr>
    </w:p>
    <w:p w:rsidR="00CA656D" w:rsidRPr="00CA656D" w:rsidRDefault="00CA656D" w:rsidP="00CA656D">
      <w:pPr>
        <w:spacing w:after="0" w:line="276" w:lineRule="auto"/>
        <w:rPr>
          <w:rFonts w:ascii="Arial" w:eastAsia="Calibri" w:hAnsi="Arial" w:cs="Arial"/>
          <w:b/>
          <w:sz w:val="32"/>
          <w:szCs w:val="32"/>
          <w:u w:val="single"/>
        </w:rPr>
      </w:pPr>
      <w:r w:rsidRPr="00CA656D">
        <w:rPr>
          <w:rFonts w:ascii="Arial" w:eastAsia="Calibri" w:hAnsi="Arial" w:cs="Arial"/>
          <w:b/>
          <w:sz w:val="32"/>
          <w:szCs w:val="32"/>
          <w:u w:val="single"/>
        </w:rPr>
        <w:t xml:space="preserve">QUESTION No. 970-2019 </w:t>
      </w:r>
    </w:p>
    <w:p w:rsidR="00CA656D" w:rsidRPr="00CA656D" w:rsidRDefault="00CA656D" w:rsidP="00CA656D">
      <w:pPr>
        <w:tabs>
          <w:tab w:val="left" w:pos="576"/>
          <w:tab w:val="left" w:pos="1296"/>
          <w:tab w:val="left" w:pos="6336"/>
        </w:tabs>
        <w:spacing w:after="0" w:line="360" w:lineRule="auto"/>
        <w:ind w:left="70"/>
        <w:jc w:val="both"/>
        <w:rPr>
          <w:rFonts w:ascii="Arial" w:eastAsia="Calibri" w:hAnsi="Arial" w:cs="Arial"/>
          <w:b/>
          <w:sz w:val="32"/>
          <w:szCs w:val="32"/>
        </w:rPr>
      </w:pPr>
      <w:r w:rsidRPr="00CA656D">
        <w:rPr>
          <w:rFonts w:ascii="Arial" w:eastAsia="Calibri" w:hAnsi="Arial" w:cs="Arial"/>
          <w:b/>
          <w:sz w:val="32"/>
          <w:szCs w:val="32"/>
          <w:u w:val="single"/>
        </w:rPr>
        <w:t>FOR WRITTEN REPLY</w:t>
      </w:r>
    </w:p>
    <w:p w:rsidR="00CA656D" w:rsidRPr="00CA656D" w:rsidRDefault="00CA656D" w:rsidP="00CA656D">
      <w:pPr>
        <w:spacing w:after="0" w:line="276" w:lineRule="auto"/>
        <w:ind w:left="90"/>
        <w:rPr>
          <w:rFonts w:ascii="Arial" w:eastAsia="Calibri" w:hAnsi="Arial" w:cs="Arial"/>
          <w:b/>
          <w:sz w:val="32"/>
          <w:szCs w:val="32"/>
        </w:rPr>
      </w:pPr>
      <w:r w:rsidRPr="00CA656D">
        <w:rPr>
          <w:rFonts w:ascii="Arial" w:eastAsia="Calibri" w:hAnsi="Arial" w:cs="Arial"/>
          <w:b/>
          <w:sz w:val="32"/>
          <w:szCs w:val="32"/>
        </w:rPr>
        <w:t xml:space="preserve">INTERNAL QUESTION PAPER No.16-2019: DATE OF PUBLICATION - 13 September 2019: “Ms V van </w:t>
      </w:r>
      <w:proofErr w:type="spellStart"/>
      <w:r w:rsidRPr="00CA656D">
        <w:rPr>
          <w:rFonts w:ascii="Arial" w:eastAsia="Calibri" w:hAnsi="Arial" w:cs="Arial"/>
          <w:b/>
          <w:sz w:val="32"/>
          <w:szCs w:val="32"/>
        </w:rPr>
        <w:t>Dyk</w:t>
      </w:r>
      <w:proofErr w:type="spellEnd"/>
      <w:r w:rsidRPr="00CA656D">
        <w:rPr>
          <w:rFonts w:ascii="Arial" w:eastAsia="Calibri" w:hAnsi="Arial" w:cs="Arial"/>
          <w:b/>
          <w:sz w:val="32"/>
          <w:szCs w:val="32"/>
        </w:rPr>
        <w:t xml:space="preserve"> (DA) to ask the Minister of Sports, Arts and Culture”</w:t>
      </w:r>
    </w:p>
    <w:p w:rsidR="00CA656D" w:rsidRPr="00CA656D" w:rsidRDefault="00CA656D" w:rsidP="00CA656D">
      <w:pPr>
        <w:tabs>
          <w:tab w:val="left" w:pos="990"/>
        </w:tabs>
        <w:spacing w:after="0" w:line="276" w:lineRule="auto"/>
        <w:ind w:left="70"/>
        <w:jc w:val="both"/>
        <w:rPr>
          <w:rFonts w:ascii="Arial" w:eastAsia="Calibri" w:hAnsi="Arial" w:cs="Arial"/>
          <w:sz w:val="32"/>
          <w:szCs w:val="32"/>
        </w:rPr>
      </w:pPr>
      <w:r w:rsidRPr="00CA656D">
        <w:rPr>
          <w:rFonts w:ascii="Arial" w:eastAsia="Calibri" w:hAnsi="Arial" w:cs="Arial"/>
          <w:sz w:val="32"/>
          <w:szCs w:val="32"/>
        </w:rPr>
        <w:t>Whether he has identified any governance issues at the National Arts Council (a) in each of the past three financial years and/or (b) since 1 April 2019; if so, what (</w:t>
      </w:r>
      <w:proofErr w:type="spellStart"/>
      <w:r w:rsidRPr="00CA656D">
        <w:rPr>
          <w:rFonts w:ascii="Arial" w:eastAsia="Calibri" w:hAnsi="Arial" w:cs="Arial"/>
          <w:sz w:val="32"/>
          <w:szCs w:val="32"/>
        </w:rPr>
        <w:t>i</w:t>
      </w:r>
      <w:proofErr w:type="spellEnd"/>
      <w:r w:rsidRPr="00CA656D">
        <w:rPr>
          <w:rFonts w:ascii="Arial" w:eastAsia="Calibri" w:hAnsi="Arial" w:cs="Arial"/>
          <w:sz w:val="32"/>
          <w:szCs w:val="32"/>
        </w:rPr>
        <w:t xml:space="preserve">) are the relevant details and (ii) steps </w:t>
      </w:r>
      <w:proofErr w:type="gramStart"/>
      <w:r w:rsidRPr="00CA656D">
        <w:rPr>
          <w:rFonts w:ascii="Arial" w:eastAsia="Calibri" w:hAnsi="Arial" w:cs="Arial"/>
          <w:sz w:val="32"/>
          <w:szCs w:val="32"/>
        </w:rPr>
        <w:t>have been taken</w:t>
      </w:r>
      <w:proofErr w:type="gramEnd"/>
      <w:r w:rsidRPr="00CA656D">
        <w:rPr>
          <w:rFonts w:ascii="Arial" w:eastAsia="Calibri" w:hAnsi="Arial" w:cs="Arial"/>
          <w:sz w:val="32"/>
          <w:szCs w:val="32"/>
        </w:rPr>
        <w:t xml:space="preserve"> to address the governance issues?</w:t>
      </w:r>
      <w:r w:rsidRPr="00CA656D">
        <w:rPr>
          <w:rFonts w:ascii="Arial" w:eastAsia="Calibri" w:hAnsi="Arial" w:cs="Arial"/>
          <w:sz w:val="32"/>
          <w:szCs w:val="32"/>
        </w:rPr>
        <w:tab/>
      </w:r>
      <w:r w:rsidRPr="00CA656D">
        <w:rPr>
          <w:rFonts w:ascii="Arial" w:eastAsia="Calibri" w:hAnsi="Arial" w:cs="Arial"/>
          <w:sz w:val="32"/>
          <w:szCs w:val="32"/>
        </w:rPr>
        <w:tab/>
        <w:t xml:space="preserve">                                                        </w:t>
      </w:r>
      <w:r w:rsidRPr="00CA656D">
        <w:rPr>
          <w:rFonts w:ascii="Arial" w:eastAsia="Calibri" w:hAnsi="Arial" w:cs="Arial"/>
          <w:b/>
          <w:sz w:val="32"/>
          <w:szCs w:val="32"/>
        </w:rPr>
        <w:t>NW2124E</w:t>
      </w:r>
    </w:p>
    <w:p w:rsidR="00CA656D" w:rsidRPr="00CA656D" w:rsidRDefault="00CA656D" w:rsidP="00CA656D">
      <w:pPr>
        <w:tabs>
          <w:tab w:val="left" w:pos="990"/>
        </w:tabs>
        <w:spacing w:after="0" w:line="276" w:lineRule="auto"/>
        <w:ind w:left="70"/>
        <w:jc w:val="both"/>
        <w:rPr>
          <w:rFonts w:ascii="Arial" w:eastAsia="Calibri" w:hAnsi="Arial" w:cs="Arial"/>
          <w:sz w:val="32"/>
          <w:szCs w:val="32"/>
        </w:rPr>
      </w:pPr>
    </w:p>
    <w:p w:rsidR="00CA656D" w:rsidRPr="00CA656D" w:rsidRDefault="00CA656D" w:rsidP="00CA656D">
      <w:pPr>
        <w:tabs>
          <w:tab w:val="left" w:pos="8931"/>
        </w:tabs>
        <w:spacing w:after="0" w:line="276" w:lineRule="auto"/>
        <w:ind w:left="70"/>
        <w:jc w:val="both"/>
        <w:rPr>
          <w:rFonts w:ascii="Arial" w:eastAsia="Calibri" w:hAnsi="Arial" w:cs="Arial"/>
          <w:b/>
          <w:sz w:val="32"/>
          <w:szCs w:val="32"/>
        </w:rPr>
      </w:pPr>
      <w:r w:rsidRPr="00CA656D">
        <w:rPr>
          <w:rFonts w:ascii="Arial" w:eastAsia="Calibri" w:hAnsi="Arial" w:cs="Arial"/>
          <w:b/>
          <w:sz w:val="32"/>
          <w:szCs w:val="32"/>
        </w:rPr>
        <w:t>REPLY:</w:t>
      </w:r>
    </w:p>
    <w:p w:rsidR="00CA656D" w:rsidRPr="00CA656D" w:rsidRDefault="00CA656D" w:rsidP="00CA656D">
      <w:pPr>
        <w:tabs>
          <w:tab w:val="left" w:pos="720"/>
          <w:tab w:val="left" w:pos="8931"/>
        </w:tabs>
        <w:spacing w:after="0" w:line="276" w:lineRule="auto"/>
        <w:jc w:val="both"/>
        <w:rPr>
          <w:rFonts w:ascii="Arial" w:eastAsia="Calibri" w:hAnsi="Arial" w:cs="Arial"/>
          <w:sz w:val="32"/>
          <w:szCs w:val="32"/>
        </w:rPr>
      </w:pPr>
      <w:r w:rsidRPr="00CA656D">
        <w:rPr>
          <w:rFonts w:ascii="Arial" w:eastAsia="Calibri" w:hAnsi="Arial" w:cs="Arial"/>
          <w:sz w:val="32"/>
          <w:szCs w:val="32"/>
        </w:rPr>
        <w:t>(</w:t>
      </w:r>
      <w:proofErr w:type="gramStart"/>
      <w:r w:rsidRPr="00CA656D">
        <w:rPr>
          <w:rFonts w:ascii="Arial" w:eastAsia="Calibri" w:hAnsi="Arial" w:cs="Arial"/>
          <w:sz w:val="32"/>
          <w:szCs w:val="32"/>
        </w:rPr>
        <w:t>a</w:t>
      </w:r>
      <w:proofErr w:type="gramEnd"/>
      <w:r w:rsidRPr="00CA656D">
        <w:rPr>
          <w:rFonts w:ascii="Arial" w:eastAsia="Calibri" w:hAnsi="Arial" w:cs="Arial"/>
          <w:sz w:val="32"/>
          <w:szCs w:val="32"/>
        </w:rPr>
        <w:t>).</w:t>
      </w:r>
      <w:r w:rsidRPr="00CA656D">
        <w:rPr>
          <w:rFonts w:ascii="Arial" w:eastAsia="Calibri" w:hAnsi="Arial" w:cs="Arial"/>
          <w:sz w:val="32"/>
          <w:szCs w:val="32"/>
        </w:rPr>
        <w:tab/>
        <w:t xml:space="preserve">I appointed the Council of the National Arts Council (NAC) on 2 October 2015. The initial term of office of the Council </w:t>
      </w:r>
      <w:proofErr w:type="gramStart"/>
      <w:r w:rsidRPr="00CA656D">
        <w:rPr>
          <w:rFonts w:ascii="Arial" w:eastAsia="Calibri" w:hAnsi="Arial" w:cs="Arial"/>
          <w:sz w:val="32"/>
          <w:szCs w:val="32"/>
        </w:rPr>
        <w:t>was expected</w:t>
      </w:r>
      <w:proofErr w:type="gramEnd"/>
      <w:r w:rsidRPr="00CA656D">
        <w:rPr>
          <w:rFonts w:ascii="Arial" w:eastAsia="Calibri" w:hAnsi="Arial" w:cs="Arial"/>
          <w:sz w:val="32"/>
          <w:szCs w:val="32"/>
        </w:rPr>
        <w:t xml:space="preserve"> to expire on 31 August 2019. Subsequent to the appointment of the Council of the National Arts Council, the Department received complaints from the members of the Arts sector pertaining to the process followed in appointing the Council. The concerns of the sector related to the two steps of the appointment process that </w:t>
      </w:r>
      <w:proofErr w:type="gramStart"/>
      <w:r w:rsidRPr="00CA656D">
        <w:rPr>
          <w:rFonts w:ascii="Arial" w:eastAsia="Calibri" w:hAnsi="Arial" w:cs="Arial"/>
          <w:sz w:val="32"/>
          <w:szCs w:val="32"/>
        </w:rPr>
        <w:t>were not followed</w:t>
      </w:r>
      <w:proofErr w:type="gramEnd"/>
      <w:r w:rsidRPr="00CA656D">
        <w:rPr>
          <w:rFonts w:ascii="Arial" w:eastAsia="Calibri" w:hAnsi="Arial" w:cs="Arial"/>
          <w:sz w:val="32"/>
          <w:szCs w:val="32"/>
        </w:rPr>
        <w:t xml:space="preserve"> namely:</w:t>
      </w:r>
    </w:p>
    <w:p w:rsidR="00CA656D" w:rsidRPr="00CA656D" w:rsidRDefault="00CA656D" w:rsidP="00CA656D">
      <w:pPr>
        <w:numPr>
          <w:ilvl w:val="0"/>
          <w:numId w:val="1"/>
        </w:numPr>
        <w:tabs>
          <w:tab w:val="left" w:pos="720"/>
          <w:tab w:val="left" w:pos="8931"/>
        </w:tabs>
        <w:spacing w:after="0" w:line="276" w:lineRule="auto"/>
        <w:contextualSpacing/>
        <w:jc w:val="both"/>
        <w:rPr>
          <w:rFonts w:ascii="Arial" w:eastAsia="Calibri" w:hAnsi="Arial" w:cs="Arial"/>
          <w:sz w:val="32"/>
          <w:szCs w:val="32"/>
        </w:rPr>
      </w:pPr>
      <w:r w:rsidRPr="00CA656D">
        <w:rPr>
          <w:rFonts w:ascii="Arial" w:eastAsia="Calibri" w:hAnsi="Arial" w:cs="Arial"/>
          <w:sz w:val="32"/>
          <w:szCs w:val="32"/>
        </w:rPr>
        <w:tab/>
      </w:r>
      <w:proofErr w:type="gramStart"/>
      <w:r w:rsidRPr="00CA656D">
        <w:rPr>
          <w:rFonts w:ascii="Arial" w:eastAsia="Calibri" w:hAnsi="Arial" w:cs="Arial"/>
          <w:sz w:val="32"/>
          <w:szCs w:val="32"/>
        </w:rPr>
        <w:t>publishing</w:t>
      </w:r>
      <w:proofErr w:type="gramEnd"/>
      <w:r w:rsidRPr="00CA656D">
        <w:rPr>
          <w:rFonts w:ascii="Arial" w:eastAsia="Calibri" w:hAnsi="Arial" w:cs="Arial"/>
          <w:sz w:val="32"/>
          <w:szCs w:val="32"/>
        </w:rPr>
        <w:t xml:space="preserve"> of the names of the nominated candidates to allow the members of the public comment with regards to the names of the potential Board members of the NAC.</w:t>
      </w:r>
    </w:p>
    <w:p w:rsidR="00CA656D" w:rsidRPr="00CA656D" w:rsidRDefault="00CA656D" w:rsidP="00CA656D">
      <w:pPr>
        <w:numPr>
          <w:ilvl w:val="0"/>
          <w:numId w:val="1"/>
        </w:numPr>
        <w:tabs>
          <w:tab w:val="left" w:pos="720"/>
          <w:tab w:val="left" w:pos="8931"/>
        </w:tabs>
        <w:spacing w:after="0" w:line="276" w:lineRule="auto"/>
        <w:contextualSpacing/>
        <w:jc w:val="both"/>
        <w:rPr>
          <w:rFonts w:ascii="Arial" w:eastAsia="Calibri" w:hAnsi="Arial" w:cs="Arial"/>
          <w:sz w:val="32"/>
          <w:szCs w:val="32"/>
        </w:rPr>
      </w:pPr>
      <w:proofErr w:type="gramStart"/>
      <w:r w:rsidRPr="00CA656D">
        <w:rPr>
          <w:rFonts w:ascii="Arial" w:eastAsia="Calibri" w:hAnsi="Arial" w:cs="Arial"/>
          <w:sz w:val="32"/>
          <w:szCs w:val="32"/>
        </w:rPr>
        <w:t>publishing</w:t>
      </w:r>
      <w:proofErr w:type="gramEnd"/>
      <w:r w:rsidRPr="00CA656D">
        <w:rPr>
          <w:rFonts w:ascii="Arial" w:eastAsia="Calibri" w:hAnsi="Arial" w:cs="Arial"/>
          <w:sz w:val="32"/>
          <w:szCs w:val="32"/>
        </w:rPr>
        <w:t xml:space="preserve"> of the date (s) of the interviews to enable members of the public participate in the appointment process as provided for in the National Arts Council Act, 1997 (Act No. 56 of 1997).</w:t>
      </w:r>
    </w:p>
    <w:p w:rsidR="00CA656D" w:rsidRPr="00CA656D" w:rsidRDefault="00CA656D" w:rsidP="00CA656D">
      <w:pPr>
        <w:tabs>
          <w:tab w:val="left" w:pos="720"/>
          <w:tab w:val="left" w:pos="8931"/>
        </w:tabs>
        <w:spacing w:after="0" w:line="276" w:lineRule="auto"/>
        <w:jc w:val="both"/>
        <w:rPr>
          <w:rFonts w:ascii="Arial" w:eastAsia="Calibri" w:hAnsi="Arial" w:cs="Arial"/>
          <w:sz w:val="32"/>
          <w:szCs w:val="32"/>
        </w:rPr>
      </w:pPr>
    </w:p>
    <w:p w:rsidR="00CA656D" w:rsidRPr="00CA656D" w:rsidRDefault="00CA656D" w:rsidP="00CA656D">
      <w:pPr>
        <w:tabs>
          <w:tab w:val="left" w:pos="720"/>
          <w:tab w:val="left" w:pos="8931"/>
        </w:tabs>
        <w:spacing w:after="0" w:line="276" w:lineRule="auto"/>
        <w:jc w:val="both"/>
        <w:rPr>
          <w:rFonts w:ascii="Arial" w:eastAsia="Calibri" w:hAnsi="Arial" w:cs="Arial"/>
          <w:sz w:val="32"/>
          <w:szCs w:val="32"/>
        </w:rPr>
      </w:pPr>
      <w:r w:rsidRPr="00CA656D">
        <w:rPr>
          <w:rFonts w:ascii="Arial" w:eastAsia="Calibri" w:hAnsi="Arial" w:cs="Arial"/>
          <w:sz w:val="32"/>
          <w:szCs w:val="32"/>
        </w:rPr>
        <w:tab/>
        <w:t xml:space="preserve">Subsequent to the concerns raised, I issued an instruction that the </w:t>
      </w:r>
      <w:r w:rsidRPr="00CA656D">
        <w:rPr>
          <w:rFonts w:ascii="Arial" w:eastAsia="Calibri" w:hAnsi="Arial" w:cs="Arial"/>
          <w:sz w:val="32"/>
          <w:szCs w:val="32"/>
        </w:rPr>
        <w:lastRenderedPageBreak/>
        <w:tab/>
        <w:t xml:space="preserve">process of appointing the Council of the NAC </w:t>
      </w:r>
      <w:proofErr w:type="gramStart"/>
      <w:r w:rsidRPr="00CA656D">
        <w:rPr>
          <w:rFonts w:ascii="Arial" w:eastAsia="Calibri" w:hAnsi="Arial" w:cs="Arial"/>
          <w:sz w:val="32"/>
          <w:szCs w:val="32"/>
        </w:rPr>
        <w:t>be started</w:t>
      </w:r>
      <w:proofErr w:type="gramEnd"/>
      <w:r w:rsidRPr="00CA656D">
        <w:rPr>
          <w:rFonts w:ascii="Arial" w:eastAsia="Calibri" w:hAnsi="Arial" w:cs="Arial"/>
          <w:sz w:val="32"/>
          <w:szCs w:val="32"/>
        </w:rPr>
        <w:t xml:space="preserve"> afresh. Consequently, indicated my intentions to dissolve the Council of the NAC on 27 May 2016 to give way for the process to appoint a new Council.</w:t>
      </w:r>
    </w:p>
    <w:p w:rsidR="00CA656D" w:rsidRPr="00CA656D" w:rsidRDefault="00CA656D" w:rsidP="00CA656D">
      <w:pPr>
        <w:spacing w:after="200" w:line="276" w:lineRule="auto"/>
        <w:ind w:left="993"/>
        <w:jc w:val="both"/>
        <w:rPr>
          <w:rFonts w:ascii="Arial" w:eastAsia="Calibri" w:hAnsi="Arial" w:cs="Arial"/>
          <w:sz w:val="32"/>
          <w:szCs w:val="32"/>
        </w:rPr>
      </w:pPr>
    </w:p>
    <w:p w:rsidR="00CA656D" w:rsidRPr="00CA656D" w:rsidRDefault="00CA656D" w:rsidP="00CA656D">
      <w:pPr>
        <w:spacing w:after="200" w:line="276" w:lineRule="auto"/>
        <w:jc w:val="both"/>
        <w:rPr>
          <w:rFonts w:ascii="Arial" w:eastAsia="Calibri" w:hAnsi="Arial" w:cs="Arial"/>
          <w:sz w:val="32"/>
          <w:szCs w:val="32"/>
        </w:rPr>
      </w:pPr>
      <w:r w:rsidRPr="00CA656D">
        <w:rPr>
          <w:rFonts w:ascii="Arial" w:eastAsia="Calibri" w:hAnsi="Arial" w:cs="Arial"/>
          <w:sz w:val="32"/>
          <w:szCs w:val="32"/>
        </w:rPr>
        <w:t>To avoid governance vacuum at the National Arts Council, I applied section 49(1) of the Public Finance Management Act (PFMA). In terms of section 49(1), if the public entity does not have a controlling body, the CEO is the Accounting Authority for that public entity. Consequently, the CEO of the National Arts Council is the Accounting Authority of the entity until a new Board is appointed.</w:t>
      </w:r>
    </w:p>
    <w:p w:rsidR="00CA656D" w:rsidRPr="00CA656D" w:rsidRDefault="00CA656D" w:rsidP="00CA656D">
      <w:pPr>
        <w:spacing w:after="200" w:line="276" w:lineRule="auto"/>
        <w:jc w:val="both"/>
        <w:rPr>
          <w:rFonts w:ascii="Arial" w:eastAsia="Calibri" w:hAnsi="Arial" w:cs="Arial"/>
          <w:sz w:val="32"/>
          <w:szCs w:val="32"/>
        </w:rPr>
      </w:pPr>
      <w:r w:rsidRPr="00CA656D">
        <w:rPr>
          <w:rFonts w:ascii="Arial" w:eastAsia="Calibri" w:hAnsi="Arial" w:cs="Arial"/>
          <w:sz w:val="32"/>
          <w:szCs w:val="32"/>
        </w:rPr>
        <w:t xml:space="preserve">In December 2017, a new Council </w:t>
      </w:r>
      <w:proofErr w:type="gramStart"/>
      <w:r w:rsidRPr="00CA656D">
        <w:rPr>
          <w:rFonts w:ascii="Arial" w:eastAsia="Calibri" w:hAnsi="Arial" w:cs="Arial"/>
          <w:sz w:val="32"/>
          <w:szCs w:val="32"/>
        </w:rPr>
        <w:t>was appointed</w:t>
      </w:r>
      <w:proofErr w:type="gramEnd"/>
      <w:r w:rsidRPr="00CA656D">
        <w:rPr>
          <w:rFonts w:ascii="Arial" w:eastAsia="Calibri" w:hAnsi="Arial" w:cs="Arial"/>
          <w:sz w:val="32"/>
          <w:szCs w:val="32"/>
        </w:rPr>
        <w:t xml:space="preserve">, the new Council is appointed until November 2021. </w:t>
      </w:r>
    </w:p>
    <w:p w:rsidR="00CA656D" w:rsidRPr="00CA656D" w:rsidRDefault="00CA656D" w:rsidP="00CA656D">
      <w:pPr>
        <w:spacing w:after="200" w:line="276" w:lineRule="auto"/>
        <w:jc w:val="both"/>
        <w:rPr>
          <w:rFonts w:ascii="Arial" w:eastAsia="Calibri" w:hAnsi="Arial" w:cs="Arial"/>
          <w:sz w:val="32"/>
          <w:szCs w:val="32"/>
        </w:rPr>
      </w:pPr>
      <w:r w:rsidRPr="00CA656D">
        <w:rPr>
          <w:rFonts w:ascii="Arial" w:eastAsia="Calibri" w:hAnsi="Arial" w:cs="Arial"/>
          <w:sz w:val="32"/>
          <w:szCs w:val="32"/>
        </w:rPr>
        <w:t>(b)(</w:t>
      </w:r>
      <w:proofErr w:type="spellStart"/>
      <w:r w:rsidRPr="00CA656D">
        <w:rPr>
          <w:rFonts w:ascii="Arial" w:eastAsia="Calibri" w:hAnsi="Arial" w:cs="Arial"/>
          <w:sz w:val="32"/>
          <w:szCs w:val="32"/>
        </w:rPr>
        <w:t>i</w:t>
      </w:r>
      <w:proofErr w:type="spellEnd"/>
      <w:r w:rsidRPr="00CA656D">
        <w:rPr>
          <w:rFonts w:ascii="Arial" w:eastAsia="Calibri" w:hAnsi="Arial" w:cs="Arial"/>
          <w:sz w:val="32"/>
          <w:szCs w:val="32"/>
        </w:rPr>
        <w:t>).Since 1 April 2019, the Department has delegated Departmental senior officials to all the entities to provide support to the entities to strengthen governance.</w:t>
      </w:r>
    </w:p>
    <w:p w:rsidR="00CA656D" w:rsidRPr="00CA656D" w:rsidRDefault="00CA656D" w:rsidP="00CA656D">
      <w:pPr>
        <w:spacing w:after="200" w:line="276" w:lineRule="auto"/>
        <w:jc w:val="both"/>
        <w:rPr>
          <w:rFonts w:ascii="Arial" w:eastAsia="Calibri" w:hAnsi="Arial" w:cs="Arial"/>
          <w:sz w:val="32"/>
          <w:szCs w:val="32"/>
        </w:rPr>
      </w:pPr>
      <w:r w:rsidRPr="00CA656D">
        <w:rPr>
          <w:rFonts w:ascii="Arial" w:eastAsia="Calibri" w:hAnsi="Arial" w:cs="Arial"/>
          <w:sz w:val="32"/>
          <w:szCs w:val="32"/>
        </w:rPr>
        <w:t xml:space="preserve">   (ii).</w:t>
      </w:r>
      <w:r w:rsidRPr="00CA656D">
        <w:rPr>
          <w:rFonts w:ascii="Arial" w:eastAsia="Calibri" w:hAnsi="Arial" w:cs="Arial"/>
          <w:sz w:val="32"/>
          <w:szCs w:val="32"/>
        </w:rPr>
        <w:tab/>
        <w:t xml:space="preserve"> The Department developed a governance framework which will provide guidance and standardise some of the governance principles </w:t>
      </w:r>
      <w:proofErr w:type="gramStart"/>
      <w:r w:rsidRPr="00CA656D">
        <w:rPr>
          <w:rFonts w:ascii="Arial" w:eastAsia="Calibri" w:hAnsi="Arial" w:cs="Arial"/>
          <w:sz w:val="32"/>
          <w:szCs w:val="32"/>
        </w:rPr>
        <w:t>for  the</w:t>
      </w:r>
      <w:proofErr w:type="gramEnd"/>
      <w:r w:rsidRPr="00CA656D">
        <w:rPr>
          <w:rFonts w:ascii="Arial" w:eastAsia="Calibri" w:hAnsi="Arial" w:cs="Arial"/>
          <w:sz w:val="32"/>
          <w:szCs w:val="32"/>
        </w:rPr>
        <w:t xml:space="preserve"> entities. </w:t>
      </w:r>
    </w:p>
    <w:p w:rsidR="00CA656D" w:rsidRPr="00CA656D" w:rsidRDefault="00CA656D" w:rsidP="00CA656D">
      <w:pPr>
        <w:spacing w:after="200" w:line="276" w:lineRule="auto"/>
        <w:jc w:val="both"/>
        <w:rPr>
          <w:rFonts w:ascii="Arial" w:eastAsia="Calibri" w:hAnsi="Arial" w:cs="Arial"/>
          <w:sz w:val="32"/>
          <w:szCs w:val="32"/>
        </w:rPr>
      </w:pPr>
      <w:r w:rsidRPr="00CA656D">
        <w:rPr>
          <w:rFonts w:ascii="Arial" w:eastAsia="Calibri" w:hAnsi="Arial" w:cs="Arial"/>
          <w:sz w:val="32"/>
          <w:szCs w:val="32"/>
        </w:rPr>
        <w:t xml:space="preserve">The Department has started implementing some of the elements of the governance principles including the induction workshops of all the newly appointed Councils. Further, the Department forged a partnership with the Institute of Directors of South Africa (IODSA) as part of the efforts to professionalise membership to Councils or Boards. This partnership will ensure that all the DAC Council or Board members formally register as Directors of Boards in line with best practice on good governance.  </w:t>
      </w:r>
    </w:p>
    <w:p w:rsidR="006E1EA7" w:rsidRDefault="006E1EA7">
      <w:bookmarkStart w:id="0" w:name="_GoBack"/>
      <w:bookmarkEnd w:id="0"/>
    </w:p>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C306C"/>
    <w:multiLevelType w:val="hybridMultilevel"/>
    <w:tmpl w:val="1B700248"/>
    <w:lvl w:ilvl="0" w:tplc="1C090001">
      <w:start w:val="1"/>
      <w:numFmt w:val="bullet"/>
      <w:lvlText w:val=""/>
      <w:lvlJc w:val="left"/>
      <w:pPr>
        <w:ind w:left="792" w:hanging="360"/>
      </w:pPr>
      <w:rPr>
        <w:rFonts w:ascii="Symbol" w:hAnsi="Symbol" w:hint="default"/>
      </w:rPr>
    </w:lvl>
    <w:lvl w:ilvl="1" w:tplc="1C090003">
      <w:start w:val="1"/>
      <w:numFmt w:val="bullet"/>
      <w:lvlText w:val="o"/>
      <w:lvlJc w:val="left"/>
      <w:pPr>
        <w:ind w:left="1512" w:hanging="360"/>
      </w:pPr>
      <w:rPr>
        <w:rFonts w:ascii="Courier New" w:hAnsi="Courier New" w:cs="Courier New" w:hint="default"/>
      </w:rPr>
    </w:lvl>
    <w:lvl w:ilvl="2" w:tplc="1C090005">
      <w:start w:val="1"/>
      <w:numFmt w:val="bullet"/>
      <w:lvlText w:val=""/>
      <w:lvlJc w:val="left"/>
      <w:pPr>
        <w:ind w:left="2232" w:hanging="360"/>
      </w:pPr>
      <w:rPr>
        <w:rFonts w:ascii="Wingdings" w:hAnsi="Wingdings" w:hint="default"/>
      </w:rPr>
    </w:lvl>
    <w:lvl w:ilvl="3" w:tplc="1C090001">
      <w:start w:val="1"/>
      <w:numFmt w:val="bullet"/>
      <w:lvlText w:val=""/>
      <w:lvlJc w:val="left"/>
      <w:pPr>
        <w:ind w:left="2952" w:hanging="360"/>
      </w:pPr>
      <w:rPr>
        <w:rFonts w:ascii="Symbol" w:hAnsi="Symbol" w:hint="default"/>
      </w:rPr>
    </w:lvl>
    <w:lvl w:ilvl="4" w:tplc="1C090003">
      <w:start w:val="1"/>
      <w:numFmt w:val="bullet"/>
      <w:lvlText w:val="o"/>
      <w:lvlJc w:val="left"/>
      <w:pPr>
        <w:ind w:left="3672" w:hanging="360"/>
      </w:pPr>
      <w:rPr>
        <w:rFonts w:ascii="Courier New" w:hAnsi="Courier New" w:cs="Courier New" w:hint="default"/>
      </w:rPr>
    </w:lvl>
    <w:lvl w:ilvl="5" w:tplc="1C090005">
      <w:start w:val="1"/>
      <w:numFmt w:val="bullet"/>
      <w:lvlText w:val=""/>
      <w:lvlJc w:val="left"/>
      <w:pPr>
        <w:ind w:left="4392" w:hanging="360"/>
      </w:pPr>
      <w:rPr>
        <w:rFonts w:ascii="Wingdings" w:hAnsi="Wingdings" w:hint="default"/>
      </w:rPr>
    </w:lvl>
    <w:lvl w:ilvl="6" w:tplc="1C090001">
      <w:start w:val="1"/>
      <w:numFmt w:val="bullet"/>
      <w:lvlText w:val=""/>
      <w:lvlJc w:val="left"/>
      <w:pPr>
        <w:ind w:left="5112" w:hanging="360"/>
      </w:pPr>
      <w:rPr>
        <w:rFonts w:ascii="Symbol" w:hAnsi="Symbol" w:hint="default"/>
      </w:rPr>
    </w:lvl>
    <w:lvl w:ilvl="7" w:tplc="1C090003">
      <w:start w:val="1"/>
      <w:numFmt w:val="bullet"/>
      <w:lvlText w:val="o"/>
      <w:lvlJc w:val="left"/>
      <w:pPr>
        <w:ind w:left="5832" w:hanging="360"/>
      </w:pPr>
      <w:rPr>
        <w:rFonts w:ascii="Courier New" w:hAnsi="Courier New" w:cs="Courier New" w:hint="default"/>
      </w:rPr>
    </w:lvl>
    <w:lvl w:ilvl="8" w:tplc="1C0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6D"/>
    <w:rsid w:val="006E1EA7"/>
    <w:rsid w:val="00CA6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B608-E4F2-45D4-852D-CAF7952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2019-10-04T13:36:00Z</dcterms:created>
  <dcterms:modified xsi:type="dcterms:W3CDTF">2019-10-04T13:36:00Z</dcterms:modified>
</cp:coreProperties>
</file>