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B5840">
        <w:rPr>
          <w:b/>
          <w:bCs/>
          <w:sz w:val="24"/>
          <w:u w:val="single"/>
        </w:rPr>
        <w:t>9</w:t>
      </w:r>
      <w:r w:rsidR="00375719">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023BF4">
        <w:rPr>
          <w:b/>
          <w:bCs/>
          <w:sz w:val="24"/>
          <w:u w:val="single"/>
        </w:rPr>
        <w:t>2</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375719" w:rsidRPr="00375719" w:rsidRDefault="00375719" w:rsidP="00375719">
      <w:pPr>
        <w:spacing w:before="100" w:beforeAutospacing="1" w:after="100" w:afterAutospacing="1"/>
        <w:ind w:left="11"/>
        <w:jc w:val="both"/>
        <w:rPr>
          <w:sz w:val="24"/>
          <w:u w:val="single"/>
          <w:lang w:val="en-ZA"/>
        </w:rPr>
      </w:pPr>
      <w:r w:rsidRPr="00375719">
        <w:rPr>
          <w:b/>
          <w:sz w:val="24"/>
          <w:u w:val="single"/>
          <w:lang w:val="en-ZA"/>
        </w:rPr>
        <w:t>Dr M M Gondwe (DA) to ask the Minister of Health</w:t>
      </w:r>
      <w:r w:rsidRPr="00375719">
        <w:rPr>
          <w:b/>
          <w:sz w:val="24"/>
          <w:u w:val="single"/>
          <w:lang w:val="en-ZA"/>
        </w:rPr>
        <w:fldChar w:fldCharType="begin"/>
      </w:r>
      <w:r w:rsidRPr="00375719">
        <w:rPr>
          <w:sz w:val="24"/>
          <w:u w:val="single"/>
          <w:lang w:val="en-ZA"/>
        </w:rPr>
        <w:instrText xml:space="preserve"> XE "</w:instrText>
      </w:r>
      <w:r w:rsidRPr="00375719">
        <w:rPr>
          <w:b/>
          <w:bCs/>
          <w:sz w:val="24"/>
          <w:u w:val="single"/>
          <w:lang w:val="en-ZA"/>
        </w:rPr>
        <w:instrText>Health</w:instrText>
      </w:r>
      <w:r w:rsidRPr="00375719">
        <w:rPr>
          <w:sz w:val="24"/>
          <w:u w:val="single"/>
          <w:lang w:val="en-ZA"/>
        </w:rPr>
        <w:instrText xml:space="preserve">" </w:instrText>
      </w:r>
      <w:r w:rsidRPr="00375719">
        <w:rPr>
          <w:b/>
          <w:sz w:val="24"/>
          <w:u w:val="single"/>
          <w:lang w:val="en-ZA"/>
        </w:rPr>
        <w:fldChar w:fldCharType="end"/>
      </w:r>
      <w:r w:rsidRPr="00375719">
        <w:rPr>
          <w:b/>
          <w:sz w:val="24"/>
          <w:u w:val="single"/>
          <w:lang w:val="en-ZA"/>
        </w:rPr>
        <w:t>:</w:t>
      </w:r>
    </w:p>
    <w:p w:rsidR="00375719" w:rsidRPr="00375719" w:rsidRDefault="00375719" w:rsidP="00375719">
      <w:pPr>
        <w:spacing w:before="100" w:beforeAutospacing="1" w:after="100" w:afterAutospacing="1"/>
        <w:ind w:left="709" w:hanging="698"/>
        <w:jc w:val="both"/>
        <w:rPr>
          <w:sz w:val="24"/>
          <w:lang w:val="en-ZA"/>
        </w:rPr>
      </w:pPr>
      <w:r w:rsidRPr="00375719">
        <w:rPr>
          <w:sz w:val="24"/>
          <w:lang w:val="en-ZA"/>
        </w:rPr>
        <w:t>(1)</w:t>
      </w:r>
      <w:r w:rsidRPr="00375719">
        <w:rPr>
          <w:sz w:val="24"/>
          <w:lang w:val="en-ZA"/>
        </w:rPr>
        <w:tab/>
        <w:t>What processes has his department followed in order to assess the impact of climate change on health needs and services;</w:t>
      </w:r>
    </w:p>
    <w:p w:rsidR="00375719" w:rsidRPr="00375719" w:rsidRDefault="00375719" w:rsidP="00375719">
      <w:pPr>
        <w:spacing w:before="100" w:beforeAutospacing="1" w:after="100" w:afterAutospacing="1"/>
        <w:ind w:left="709" w:hanging="698"/>
        <w:jc w:val="both"/>
        <w:rPr>
          <w:sz w:val="24"/>
          <w:lang w:val="en-ZA"/>
        </w:rPr>
      </w:pPr>
      <w:r w:rsidRPr="00375719">
        <w:rPr>
          <w:sz w:val="24"/>
          <w:lang w:val="en-ZA"/>
        </w:rPr>
        <w:t>(2)</w:t>
      </w:r>
      <w:r w:rsidRPr="00375719">
        <w:rPr>
          <w:sz w:val="24"/>
          <w:lang w:val="en-ZA"/>
        </w:rPr>
        <w:tab/>
        <w:t>what progress has his department made in addressing the challenges facing forensic chemistry laboratories relating to backlogs, low staff morale and infrastructure;</w:t>
      </w:r>
    </w:p>
    <w:p w:rsidR="00786C98" w:rsidRPr="00360D5F" w:rsidRDefault="00375719" w:rsidP="00375719">
      <w:pPr>
        <w:spacing w:before="100" w:beforeAutospacing="1" w:after="100" w:afterAutospacing="1"/>
        <w:ind w:left="11"/>
        <w:jc w:val="both"/>
        <w:rPr>
          <w:noProof/>
          <w:sz w:val="24"/>
          <w:lang w:val="af-ZA"/>
        </w:rPr>
      </w:pPr>
      <w:r w:rsidRPr="00375719">
        <w:rPr>
          <w:sz w:val="24"/>
          <w:lang w:val="en-ZA"/>
        </w:rPr>
        <w:t>(3)</w:t>
      </w:r>
      <w:r w:rsidRPr="00375719">
        <w:rPr>
          <w:sz w:val="24"/>
          <w:lang w:val="en-ZA"/>
        </w:rPr>
        <w:tab/>
        <w:t xml:space="preserve">what progress has his department made in rolling out ideal </w:t>
      </w:r>
      <w:r>
        <w:rPr>
          <w:sz w:val="24"/>
          <w:lang w:val="en-ZA"/>
        </w:rPr>
        <w:t>clinics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375719">
        <w:rPr>
          <w:color w:val="000000"/>
        </w:rPr>
        <w:t>09</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34705D">
        <w:rPr>
          <w:b/>
          <w:bCs/>
          <w:sz w:val="24"/>
          <w:u w:val="single"/>
          <w:lang w:val="en-US"/>
        </w:rPr>
        <w:t>REPLY:</w:t>
      </w:r>
    </w:p>
    <w:p w:rsidR="002F43C3" w:rsidRDefault="002F43C3" w:rsidP="002F43C3">
      <w:pPr>
        <w:rPr>
          <w:b/>
          <w:bCs/>
          <w:sz w:val="24"/>
          <w:u w:val="single"/>
          <w:lang w:val="en-US"/>
        </w:rPr>
      </w:pPr>
    </w:p>
    <w:p w:rsidR="002F43C3" w:rsidRPr="002F43C3" w:rsidRDefault="002F43C3" w:rsidP="002F43C3">
      <w:pPr>
        <w:pStyle w:val="ListParagraph"/>
        <w:numPr>
          <w:ilvl w:val="0"/>
          <w:numId w:val="49"/>
        </w:numPr>
        <w:ind w:hanging="720"/>
        <w:contextualSpacing w:val="0"/>
        <w:jc w:val="both"/>
        <w:outlineLvl w:val="0"/>
        <w:rPr>
          <w:noProof/>
          <w:sz w:val="24"/>
          <w:lang w:val="af-ZA"/>
        </w:rPr>
      </w:pPr>
      <w:r w:rsidRPr="002F43C3">
        <w:rPr>
          <w:noProof/>
          <w:sz w:val="24"/>
          <w:lang w:val="af-ZA"/>
        </w:rPr>
        <w:t xml:space="preserve">The Department has embarked on a project to develop a risk and vulnerability assessment framework to be used for assessing the impact of climate change on health needs and services. This project was started in May 2019 after appointment of a service provider, this follows a number of engagements since July 2018 between the National Department of Health and </w:t>
      </w:r>
      <w:r>
        <w:rPr>
          <w:noProof/>
          <w:sz w:val="24"/>
          <w:lang w:val="af-ZA"/>
        </w:rPr>
        <w:t xml:space="preserve">the </w:t>
      </w:r>
      <w:r w:rsidRPr="002F43C3">
        <w:rPr>
          <w:noProof/>
          <w:sz w:val="24"/>
          <w:lang w:val="af-ZA"/>
        </w:rPr>
        <w:t xml:space="preserve">Department of Environment, Forestry and Fisheries. Funding for the project was sourced from the Department of Environment, Forestry and Fisheries (DEFF) through The Federal Ministry of the Environment, Nature Conservation and Nuclear Safety  (BMU). The project managers are </w:t>
      </w:r>
      <w:r>
        <w:rPr>
          <w:noProof/>
          <w:sz w:val="24"/>
          <w:lang w:val="af-ZA"/>
        </w:rPr>
        <w:t xml:space="preserve">the </w:t>
      </w:r>
      <w:r w:rsidRPr="002F43C3">
        <w:rPr>
          <w:noProof/>
          <w:sz w:val="24"/>
          <w:lang w:val="af-ZA"/>
        </w:rPr>
        <w:t xml:space="preserve">Department of Environment, Forestry and Fisheries and the </w:t>
      </w:r>
      <w:r w:rsidRPr="002F43C3">
        <w:rPr>
          <w:sz w:val="24"/>
          <w:shd w:val="clear" w:color="auto" w:fill="FFFFFF"/>
        </w:rPr>
        <w:t xml:space="preserve">Deutsche Gesellschaft für Internationale Zusammenarbeit (GIZ) who contracted </w:t>
      </w:r>
      <w:r>
        <w:rPr>
          <w:sz w:val="24"/>
          <w:shd w:val="clear" w:color="auto" w:fill="FFFFFF"/>
        </w:rPr>
        <w:t xml:space="preserve">the </w:t>
      </w:r>
      <w:r w:rsidRPr="002F43C3">
        <w:rPr>
          <w:sz w:val="24"/>
          <w:shd w:val="clear" w:color="auto" w:fill="FFFFFF"/>
        </w:rPr>
        <w:t xml:space="preserve">University of South Africa to  develop the risk and vulnerability assessment framework. The final product is expected to be delivered </w:t>
      </w:r>
      <w:r>
        <w:rPr>
          <w:sz w:val="24"/>
          <w:shd w:val="clear" w:color="auto" w:fill="FFFFFF"/>
        </w:rPr>
        <w:t xml:space="preserve">at the </w:t>
      </w:r>
      <w:r w:rsidRPr="002F43C3">
        <w:rPr>
          <w:sz w:val="24"/>
          <w:shd w:val="clear" w:color="auto" w:fill="FFFFFF"/>
        </w:rPr>
        <w:t>end of February 2020. T</w:t>
      </w:r>
      <w:r>
        <w:rPr>
          <w:sz w:val="24"/>
          <w:shd w:val="clear" w:color="auto" w:fill="FFFFFF"/>
        </w:rPr>
        <w:t>he framework will assist the D</w:t>
      </w:r>
      <w:r w:rsidRPr="002F43C3">
        <w:rPr>
          <w:sz w:val="24"/>
          <w:shd w:val="clear" w:color="auto" w:fill="FFFFFF"/>
        </w:rPr>
        <w:t>epartment in conducting the assessment on health needs and services.</w:t>
      </w:r>
    </w:p>
    <w:p w:rsidR="002F43C3" w:rsidRPr="002F43C3" w:rsidRDefault="002F43C3" w:rsidP="002F43C3">
      <w:pPr>
        <w:tabs>
          <w:tab w:val="left" w:pos="709"/>
        </w:tabs>
        <w:ind w:left="1418" w:hanging="1418"/>
        <w:rPr>
          <w:color w:val="000000" w:themeColor="text1"/>
          <w:sz w:val="24"/>
        </w:rPr>
      </w:pPr>
      <w:r w:rsidRPr="002F43C3">
        <w:rPr>
          <w:color w:val="000000" w:themeColor="text1"/>
          <w:sz w:val="24"/>
        </w:rPr>
        <w:t xml:space="preserve"> </w:t>
      </w:r>
    </w:p>
    <w:p w:rsidR="002F43C3" w:rsidRPr="002F43C3" w:rsidRDefault="002F43C3" w:rsidP="002F43C3">
      <w:pPr>
        <w:pStyle w:val="ListParagraph"/>
        <w:numPr>
          <w:ilvl w:val="0"/>
          <w:numId w:val="50"/>
        </w:numPr>
        <w:ind w:left="709" w:hanging="709"/>
        <w:jc w:val="both"/>
        <w:rPr>
          <w:color w:val="000000" w:themeColor="text1"/>
          <w:sz w:val="24"/>
        </w:rPr>
      </w:pPr>
      <w:r w:rsidRPr="002F43C3">
        <w:rPr>
          <w:color w:val="000000" w:themeColor="text1"/>
          <w:sz w:val="24"/>
        </w:rPr>
        <w:t>Backlogs:</w:t>
      </w:r>
    </w:p>
    <w:p w:rsidR="002F43C3" w:rsidRPr="002F43C3" w:rsidRDefault="002F43C3" w:rsidP="002F43C3">
      <w:pPr>
        <w:pStyle w:val="ListParagraph"/>
        <w:ind w:left="709"/>
        <w:jc w:val="both"/>
        <w:rPr>
          <w:b/>
          <w:color w:val="000000" w:themeColor="text1"/>
          <w:sz w:val="24"/>
        </w:rPr>
      </w:pPr>
    </w:p>
    <w:p w:rsidR="002F43C3" w:rsidRPr="002F43C3" w:rsidRDefault="002F43C3" w:rsidP="002F43C3">
      <w:pPr>
        <w:pStyle w:val="ListParagraph"/>
        <w:ind w:left="709"/>
        <w:jc w:val="both"/>
        <w:rPr>
          <w:sz w:val="24"/>
        </w:rPr>
      </w:pPr>
      <w:r w:rsidRPr="002F43C3">
        <w:rPr>
          <w:sz w:val="24"/>
        </w:rPr>
        <w:t>Following a meeting of the National Forensic Pathology Services Committee (NFPSC) with the previous Minister of Health on 25 February 2016, it was decided not to destroy the approximately 12,000 backlogged cases (multiple samples per case) without Case Administration System (CAS) numbers.  A decision has been made to group the backlogged cases in certain year categories and to analyse them.</w:t>
      </w:r>
    </w:p>
    <w:p w:rsidR="002F43C3" w:rsidRPr="002F43C3" w:rsidRDefault="002F43C3" w:rsidP="002F43C3">
      <w:pPr>
        <w:pStyle w:val="ListParagraph"/>
        <w:ind w:left="709"/>
        <w:jc w:val="both"/>
        <w:rPr>
          <w:sz w:val="24"/>
        </w:rPr>
      </w:pPr>
    </w:p>
    <w:p w:rsidR="002F43C3" w:rsidRDefault="002F43C3" w:rsidP="002F43C3">
      <w:pPr>
        <w:pStyle w:val="ListParagraph"/>
        <w:ind w:left="709"/>
        <w:jc w:val="both"/>
        <w:rPr>
          <w:sz w:val="24"/>
        </w:rPr>
      </w:pPr>
      <w:r w:rsidRPr="002F43C3">
        <w:rPr>
          <w:sz w:val="24"/>
        </w:rPr>
        <w:t>Resulting from this meeting, the Criminal Justice System Reform Committee (CJSRC) was tasked to perform an audit of all outstanding toxicology cases. Following this decision, during a third full audit of all outstanding cases during 2016 and 2017, they have provided the Forensic Chemistry Laboratories (FCLs) with a list of cases with SAPS CAS numbers where prosecution, and thus analysis, is still required. The list has been signed off by the Chair of the CJSRC on 31 March 2017. This list contained 3</w:t>
      </w:r>
      <w:r>
        <w:rPr>
          <w:sz w:val="24"/>
        </w:rPr>
        <w:t>,</w:t>
      </w:r>
      <w:r w:rsidRPr="002F43C3">
        <w:rPr>
          <w:sz w:val="24"/>
        </w:rPr>
        <w:t>112 cases before verification at the FCLs. Of these 3</w:t>
      </w:r>
      <w:r>
        <w:rPr>
          <w:sz w:val="24"/>
        </w:rPr>
        <w:t>,</w:t>
      </w:r>
      <w:r w:rsidRPr="002F43C3">
        <w:rPr>
          <w:sz w:val="24"/>
        </w:rPr>
        <w:t>112 cases, the FCL’s could only verify 754 cases that were still outstanding as at 31 March 2017.</w:t>
      </w:r>
    </w:p>
    <w:p w:rsidR="002F43C3" w:rsidRDefault="002F43C3" w:rsidP="002F43C3">
      <w:pPr>
        <w:pStyle w:val="ListParagraph"/>
        <w:ind w:left="709"/>
        <w:jc w:val="both"/>
        <w:rPr>
          <w:sz w:val="24"/>
        </w:rPr>
      </w:pPr>
    </w:p>
    <w:p w:rsidR="002F43C3" w:rsidRDefault="002F43C3" w:rsidP="002F43C3">
      <w:pPr>
        <w:pStyle w:val="ListParagraph"/>
        <w:ind w:left="709"/>
        <w:jc w:val="both"/>
        <w:rPr>
          <w:sz w:val="24"/>
        </w:rPr>
      </w:pPr>
    </w:p>
    <w:p w:rsidR="002F43C3" w:rsidRPr="002F43C3" w:rsidRDefault="002F43C3" w:rsidP="002F43C3">
      <w:pPr>
        <w:pStyle w:val="ListParagraph"/>
        <w:ind w:left="709"/>
        <w:jc w:val="both"/>
        <w:rPr>
          <w:sz w:val="24"/>
        </w:rPr>
      </w:pPr>
      <w:r w:rsidRPr="002F43C3">
        <w:rPr>
          <w:sz w:val="24"/>
        </w:rPr>
        <w:lastRenderedPageBreak/>
        <w:t>Another verification in April 2019 has reduced the number of outstanding cases on the list to 705, which is used as the baseline list to monitor performance. The FCLs only analyse cases from this list, newly received cases to prevent them from becoming backlogged (as all have CAS numbers), as well as all urgent request</w:t>
      </w:r>
      <w:r>
        <w:rPr>
          <w:sz w:val="24"/>
        </w:rPr>
        <w:t>s</w:t>
      </w:r>
      <w:r w:rsidRPr="002F43C3">
        <w:rPr>
          <w:sz w:val="24"/>
        </w:rPr>
        <w:t xml:space="preserve"> from pathologists (including insurance matters). The balance of cases without CAS numbers will only be tested once CAS numbers have been linked to them.</w:t>
      </w:r>
    </w:p>
    <w:p w:rsidR="002F43C3" w:rsidRPr="002F43C3" w:rsidRDefault="002F43C3" w:rsidP="002F43C3">
      <w:pPr>
        <w:pStyle w:val="ListParagraph"/>
        <w:ind w:left="709"/>
        <w:jc w:val="both"/>
        <w:rPr>
          <w:sz w:val="24"/>
        </w:rPr>
      </w:pPr>
    </w:p>
    <w:p w:rsidR="002F43C3" w:rsidRPr="002F43C3" w:rsidRDefault="002F43C3" w:rsidP="002F43C3">
      <w:pPr>
        <w:pStyle w:val="NoSpacing"/>
        <w:ind w:left="709"/>
        <w:jc w:val="both"/>
        <w:rPr>
          <w:sz w:val="24"/>
        </w:rPr>
      </w:pPr>
      <w:r w:rsidRPr="002F43C3">
        <w:rPr>
          <w:sz w:val="24"/>
        </w:rPr>
        <w:t xml:space="preserve">Table 1 below indicates the performance of the FCLs against reduction of the CJSRC baseline backlog list of cases where prosecution is still required.  [APP target: </w:t>
      </w:r>
      <w:r w:rsidRPr="002F43C3">
        <w:rPr>
          <w:color w:val="000000"/>
          <w:sz w:val="24"/>
        </w:rPr>
        <w:t>Eliminate the backlog of toxicology tests by 2019/20 (70% by 31 March 2020)]</w:t>
      </w:r>
    </w:p>
    <w:p w:rsidR="002F43C3" w:rsidRPr="002F43C3" w:rsidRDefault="002F43C3" w:rsidP="002F43C3">
      <w:pPr>
        <w:pStyle w:val="NoSpacing"/>
        <w:rPr>
          <w:sz w:val="24"/>
        </w:rPr>
      </w:pPr>
    </w:p>
    <w:tbl>
      <w:tblPr>
        <w:tblStyle w:val="TableGrid"/>
        <w:tblW w:w="9497" w:type="dxa"/>
        <w:tblInd w:w="704" w:type="dxa"/>
        <w:tblLook w:val="04A0" w:firstRow="1" w:lastRow="0" w:firstColumn="1" w:lastColumn="0" w:noHBand="0" w:noVBand="1"/>
      </w:tblPr>
      <w:tblGrid>
        <w:gridCol w:w="2732"/>
        <w:gridCol w:w="3319"/>
        <w:gridCol w:w="3446"/>
      </w:tblGrid>
      <w:tr w:rsidR="002F43C3" w:rsidRPr="002F43C3" w:rsidTr="002F43C3">
        <w:trPr>
          <w:trHeight w:val="737"/>
        </w:trPr>
        <w:tc>
          <w:tcPr>
            <w:tcW w:w="9497" w:type="dxa"/>
            <w:gridSpan w:val="3"/>
          </w:tcPr>
          <w:p w:rsidR="002F43C3" w:rsidRPr="002F43C3" w:rsidRDefault="002F43C3" w:rsidP="002F43C3">
            <w:pPr>
              <w:jc w:val="both"/>
              <w:rPr>
                <w:sz w:val="24"/>
              </w:rPr>
            </w:pPr>
          </w:p>
          <w:p w:rsidR="002F43C3" w:rsidRPr="002F43C3" w:rsidRDefault="002F43C3" w:rsidP="002F43C3">
            <w:pPr>
              <w:jc w:val="center"/>
              <w:rPr>
                <w:b/>
                <w:sz w:val="24"/>
              </w:rPr>
            </w:pPr>
            <w:r w:rsidRPr="002F43C3">
              <w:rPr>
                <w:b/>
                <w:sz w:val="24"/>
              </w:rPr>
              <w:t>TABLE 1</w:t>
            </w:r>
          </w:p>
          <w:p w:rsidR="002F43C3" w:rsidRPr="002F43C3" w:rsidRDefault="002F43C3" w:rsidP="002F43C3">
            <w:pPr>
              <w:jc w:val="both"/>
              <w:rPr>
                <w:sz w:val="24"/>
              </w:rPr>
            </w:pPr>
          </w:p>
        </w:tc>
      </w:tr>
      <w:tr w:rsidR="002F43C3" w:rsidRPr="002F43C3" w:rsidTr="002F43C3">
        <w:trPr>
          <w:trHeight w:val="926"/>
        </w:trPr>
        <w:tc>
          <w:tcPr>
            <w:tcW w:w="2732" w:type="dxa"/>
          </w:tcPr>
          <w:p w:rsidR="002F43C3" w:rsidRPr="002F43C3" w:rsidRDefault="002F43C3" w:rsidP="002F43C3">
            <w:pPr>
              <w:jc w:val="both"/>
              <w:rPr>
                <w:sz w:val="24"/>
              </w:rPr>
            </w:pPr>
          </w:p>
          <w:p w:rsidR="002F43C3" w:rsidRPr="002F43C3" w:rsidRDefault="002F43C3" w:rsidP="002F43C3">
            <w:pPr>
              <w:jc w:val="both"/>
              <w:rPr>
                <w:b/>
                <w:sz w:val="24"/>
              </w:rPr>
            </w:pPr>
            <w:r w:rsidRPr="002F43C3">
              <w:rPr>
                <w:b/>
                <w:sz w:val="24"/>
              </w:rPr>
              <w:t>2019/20 Financial Year</w:t>
            </w:r>
          </w:p>
        </w:tc>
        <w:tc>
          <w:tcPr>
            <w:tcW w:w="3319" w:type="dxa"/>
          </w:tcPr>
          <w:p w:rsidR="002F43C3" w:rsidRPr="002F43C3" w:rsidRDefault="002F43C3" w:rsidP="002F43C3">
            <w:pPr>
              <w:jc w:val="both"/>
              <w:rPr>
                <w:sz w:val="24"/>
              </w:rPr>
            </w:pPr>
          </w:p>
          <w:p w:rsidR="002F43C3" w:rsidRPr="002F43C3" w:rsidRDefault="002F43C3" w:rsidP="002F43C3">
            <w:pPr>
              <w:jc w:val="both"/>
              <w:rPr>
                <w:b/>
                <w:sz w:val="24"/>
              </w:rPr>
            </w:pPr>
            <w:r w:rsidRPr="002F43C3">
              <w:rPr>
                <w:b/>
                <w:sz w:val="24"/>
              </w:rPr>
              <w:t>% Decrease in Toxicology backlog</w:t>
            </w:r>
          </w:p>
          <w:p w:rsidR="002F43C3" w:rsidRPr="002F43C3" w:rsidRDefault="002F43C3" w:rsidP="002F43C3">
            <w:pPr>
              <w:jc w:val="both"/>
              <w:rPr>
                <w:sz w:val="24"/>
              </w:rPr>
            </w:pPr>
          </w:p>
        </w:tc>
        <w:tc>
          <w:tcPr>
            <w:tcW w:w="3446" w:type="dxa"/>
          </w:tcPr>
          <w:p w:rsidR="002F43C3" w:rsidRPr="002F43C3" w:rsidRDefault="002F43C3" w:rsidP="002F43C3">
            <w:pPr>
              <w:jc w:val="both"/>
              <w:rPr>
                <w:sz w:val="24"/>
              </w:rPr>
            </w:pPr>
          </w:p>
          <w:p w:rsidR="002F43C3" w:rsidRPr="002F43C3" w:rsidRDefault="002F43C3" w:rsidP="002F43C3">
            <w:pPr>
              <w:jc w:val="both"/>
              <w:rPr>
                <w:b/>
                <w:sz w:val="24"/>
              </w:rPr>
            </w:pPr>
            <w:r w:rsidRPr="002F43C3">
              <w:rPr>
                <w:b/>
                <w:sz w:val="24"/>
              </w:rPr>
              <w:t>APP Target (%)</w:t>
            </w:r>
          </w:p>
          <w:p w:rsidR="002F43C3" w:rsidRPr="002F43C3" w:rsidRDefault="002F43C3" w:rsidP="002F43C3">
            <w:pPr>
              <w:jc w:val="both"/>
              <w:rPr>
                <w:sz w:val="24"/>
              </w:rPr>
            </w:pPr>
          </w:p>
        </w:tc>
      </w:tr>
      <w:tr w:rsidR="002F43C3" w:rsidRPr="002F43C3" w:rsidTr="002F43C3">
        <w:trPr>
          <w:trHeight w:val="531"/>
        </w:trPr>
        <w:tc>
          <w:tcPr>
            <w:tcW w:w="2732" w:type="dxa"/>
          </w:tcPr>
          <w:p w:rsidR="002F43C3" w:rsidRPr="002F43C3" w:rsidRDefault="002F43C3" w:rsidP="002F43C3">
            <w:pPr>
              <w:rPr>
                <w:b/>
                <w:sz w:val="24"/>
              </w:rPr>
            </w:pPr>
            <w:r w:rsidRPr="002F43C3">
              <w:rPr>
                <w:b/>
                <w:sz w:val="24"/>
              </w:rPr>
              <w:t>Quarter 1</w:t>
            </w:r>
          </w:p>
        </w:tc>
        <w:tc>
          <w:tcPr>
            <w:tcW w:w="3319" w:type="dxa"/>
          </w:tcPr>
          <w:p w:rsidR="002F43C3" w:rsidRPr="002F43C3" w:rsidRDefault="002F43C3" w:rsidP="002F43C3">
            <w:pPr>
              <w:jc w:val="center"/>
              <w:rPr>
                <w:sz w:val="24"/>
              </w:rPr>
            </w:pPr>
            <w:r w:rsidRPr="002F43C3">
              <w:rPr>
                <w:sz w:val="24"/>
              </w:rPr>
              <w:t>42.98</w:t>
            </w:r>
          </w:p>
        </w:tc>
        <w:tc>
          <w:tcPr>
            <w:tcW w:w="3446" w:type="dxa"/>
          </w:tcPr>
          <w:p w:rsidR="002F43C3" w:rsidRPr="002F43C3" w:rsidRDefault="002F43C3" w:rsidP="002F43C3">
            <w:pPr>
              <w:jc w:val="center"/>
              <w:rPr>
                <w:sz w:val="24"/>
              </w:rPr>
            </w:pPr>
            <w:r w:rsidRPr="002F43C3">
              <w:rPr>
                <w:sz w:val="24"/>
              </w:rPr>
              <w:t>63</w:t>
            </w:r>
          </w:p>
          <w:p w:rsidR="002F43C3" w:rsidRPr="002F43C3" w:rsidRDefault="002F43C3" w:rsidP="002F43C3">
            <w:pPr>
              <w:jc w:val="center"/>
              <w:rPr>
                <w:sz w:val="24"/>
              </w:rPr>
            </w:pPr>
          </w:p>
        </w:tc>
      </w:tr>
      <w:tr w:rsidR="002F43C3" w:rsidRPr="002F43C3" w:rsidTr="002F43C3">
        <w:trPr>
          <w:trHeight w:val="525"/>
        </w:trPr>
        <w:tc>
          <w:tcPr>
            <w:tcW w:w="2732" w:type="dxa"/>
          </w:tcPr>
          <w:p w:rsidR="002F43C3" w:rsidRPr="002F43C3" w:rsidRDefault="002F43C3" w:rsidP="002F43C3">
            <w:pPr>
              <w:rPr>
                <w:b/>
                <w:sz w:val="24"/>
              </w:rPr>
            </w:pPr>
            <w:r w:rsidRPr="002F43C3">
              <w:rPr>
                <w:b/>
                <w:sz w:val="24"/>
              </w:rPr>
              <w:t>Quarter 2</w:t>
            </w:r>
          </w:p>
        </w:tc>
        <w:tc>
          <w:tcPr>
            <w:tcW w:w="3319" w:type="dxa"/>
          </w:tcPr>
          <w:p w:rsidR="002F43C3" w:rsidRPr="002F43C3" w:rsidRDefault="002F43C3" w:rsidP="002F43C3">
            <w:pPr>
              <w:jc w:val="center"/>
              <w:rPr>
                <w:sz w:val="24"/>
              </w:rPr>
            </w:pPr>
            <w:r w:rsidRPr="002F43C3">
              <w:rPr>
                <w:sz w:val="24"/>
              </w:rPr>
              <w:t>43.26</w:t>
            </w:r>
          </w:p>
        </w:tc>
        <w:tc>
          <w:tcPr>
            <w:tcW w:w="3446" w:type="dxa"/>
          </w:tcPr>
          <w:p w:rsidR="002F43C3" w:rsidRPr="002F43C3" w:rsidRDefault="002F43C3" w:rsidP="002F43C3">
            <w:pPr>
              <w:jc w:val="center"/>
              <w:rPr>
                <w:sz w:val="24"/>
              </w:rPr>
            </w:pPr>
            <w:r w:rsidRPr="002F43C3">
              <w:rPr>
                <w:sz w:val="24"/>
              </w:rPr>
              <w:t>65</w:t>
            </w:r>
          </w:p>
          <w:p w:rsidR="002F43C3" w:rsidRPr="002F43C3" w:rsidRDefault="002F43C3" w:rsidP="002F43C3">
            <w:pPr>
              <w:jc w:val="center"/>
              <w:rPr>
                <w:sz w:val="24"/>
              </w:rPr>
            </w:pPr>
          </w:p>
        </w:tc>
      </w:tr>
      <w:tr w:rsidR="002F43C3" w:rsidRPr="002F43C3" w:rsidTr="002F43C3">
        <w:trPr>
          <w:trHeight w:val="533"/>
        </w:trPr>
        <w:tc>
          <w:tcPr>
            <w:tcW w:w="2732" w:type="dxa"/>
          </w:tcPr>
          <w:p w:rsidR="002F43C3" w:rsidRPr="002F43C3" w:rsidRDefault="002F43C3" w:rsidP="002F43C3">
            <w:pPr>
              <w:rPr>
                <w:b/>
                <w:sz w:val="24"/>
              </w:rPr>
            </w:pPr>
            <w:r w:rsidRPr="002F43C3">
              <w:rPr>
                <w:b/>
                <w:sz w:val="24"/>
              </w:rPr>
              <w:t>Quarter 3</w:t>
            </w:r>
          </w:p>
        </w:tc>
        <w:tc>
          <w:tcPr>
            <w:tcW w:w="3319" w:type="dxa"/>
          </w:tcPr>
          <w:p w:rsidR="002F43C3" w:rsidRPr="002F43C3" w:rsidRDefault="002F43C3" w:rsidP="002F43C3">
            <w:pPr>
              <w:jc w:val="center"/>
              <w:rPr>
                <w:sz w:val="24"/>
              </w:rPr>
            </w:pPr>
            <w:r w:rsidRPr="002F43C3">
              <w:rPr>
                <w:sz w:val="24"/>
              </w:rPr>
              <w:t>44.11</w:t>
            </w:r>
          </w:p>
        </w:tc>
        <w:tc>
          <w:tcPr>
            <w:tcW w:w="3446" w:type="dxa"/>
          </w:tcPr>
          <w:p w:rsidR="002F43C3" w:rsidRPr="002F43C3" w:rsidRDefault="002F43C3" w:rsidP="002F43C3">
            <w:pPr>
              <w:jc w:val="center"/>
              <w:rPr>
                <w:sz w:val="24"/>
              </w:rPr>
            </w:pPr>
            <w:r w:rsidRPr="002F43C3">
              <w:rPr>
                <w:sz w:val="24"/>
              </w:rPr>
              <w:t>67</w:t>
            </w:r>
          </w:p>
          <w:p w:rsidR="002F43C3" w:rsidRPr="002F43C3" w:rsidRDefault="002F43C3" w:rsidP="002F43C3">
            <w:pPr>
              <w:jc w:val="center"/>
              <w:rPr>
                <w:sz w:val="24"/>
              </w:rPr>
            </w:pPr>
          </w:p>
        </w:tc>
      </w:tr>
      <w:tr w:rsidR="002F43C3" w:rsidRPr="002F43C3" w:rsidTr="002F43C3">
        <w:trPr>
          <w:trHeight w:val="399"/>
        </w:trPr>
        <w:tc>
          <w:tcPr>
            <w:tcW w:w="2732" w:type="dxa"/>
          </w:tcPr>
          <w:p w:rsidR="002F43C3" w:rsidRPr="002F43C3" w:rsidRDefault="002F43C3" w:rsidP="002F43C3">
            <w:pPr>
              <w:rPr>
                <w:b/>
                <w:sz w:val="24"/>
              </w:rPr>
            </w:pPr>
            <w:r w:rsidRPr="002F43C3">
              <w:rPr>
                <w:b/>
                <w:sz w:val="24"/>
              </w:rPr>
              <w:t>Quarter 4</w:t>
            </w:r>
          </w:p>
          <w:p w:rsidR="002F43C3" w:rsidRPr="002F43C3" w:rsidRDefault="002F43C3" w:rsidP="002F43C3">
            <w:pPr>
              <w:rPr>
                <w:b/>
                <w:sz w:val="24"/>
              </w:rPr>
            </w:pPr>
          </w:p>
        </w:tc>
        <w:tc>
          <w:tcPr>
            <w:tcW w:w="3319" w:type="dxa"/>
          </w:tcPr>
          <w:p w:rsidR="002F43C3" w:rsidRPr="002F43C3" w:rsidRDefault="002F43C3" w:rsidP="002F43C3">
            <w:pPr>
              <w:jc w:val="center"/>
              <w:rPr>
                <w:sz w:val="24"/>
              </w:rPr>
            </w:pPr>
          </w:p>
        </w:tc>
        <w:tc>
          <w:tcPr>
            <w:tcW w:w="3446" w:type="dxa"/>
          </w:tcPr>
          <w:p w:rsidR="002F43C3" w:rsidRPr="002F43C3" w:rsidRDefault="002F43C3" w:rsidP="002F43C3">
            <w:pPr>
              <w:jc w:val="center"/>
              <w:rPr>
                <w:sz w:val="24"/>
              </w:rPr>
            </w:pPr>
            <w:r w:rsidRPr="002F43C3">
              <w:rPr>
                <w:sz w:val="24"/>
              </w:rPr>
              <w:t>70</w:t>
            </w:r>
          </w:p>
        </w:tc>
      </w:tr>
    </w:tbl>
    <w:p w:rsidR="002F43C3" w:rsidRPr="002F43C3" w:rsidRDefault="002F43C3" w:rsidP="002F43C3">
      <w:pPr>
        <w:jc w:val="both"/>
        <w:rPr>
          <w:sz w:val="24"/>
        </w:rPr>
      </w:pPr>
    </w:p>
    <w:p w:rsidR="002F43C3" w:rsidRPr="002F43C3" w:rsidRDefault="002F43C3" w:rsidP="002F43C3">
      <w:pPr>
        <w:pStyle w:val="NoSpacing"/>
        <w:ind w:left="709"/>
        <w:jc w:val="both"/>
        <w:rPr>
          <w:sz w:val="24"/>
        </w:rPr>
      </w:pPr>
      <w:r w:rsidRPr="002F43C3">
        <w:rPr>
          <w:sz w:val="24"/>
        </w:rPr>
        <w:t xml:space="preserve">The total number of blood alcohol samples older than 90 days for the four FCL’s that have not been analysed as at 31 March 2019, was 8,210. </w:t>
      </w:r>
    </w:p>
    <w:p w:rsidR="002F43C3" w:rsidRPr="002F43C3" w:rsidRDefault="002F43C3" w:rsidP="002F43C3">
      <w:pPr>
        <w:pStyle w:val="NoSpacing"/>
        <w:ind w:left="709"/>
        <w:jc w:val="both"/>
        <w:rPr>
          <w:sz w:val="24"/>
        </w:rPr>
      </w:pPr>
    </w:p>
    <w:p w:rsidR="002F43C3" w:rsidRPr="002F43C3" w:rsidRDefault="002F43C3" w:rsidP="002F43C3">
      <w:pPr>
        <w:pStyle w:val="NoSpacing"/>
        <w:ind w:left="709"/>
        <w:jc w:val="both"/>
        <w:rPr>
          <w:sz w:val="24"/>
        </w:rPr>
      </w:pPr>
      <w:r w:rsidRPr="002F43C3">
        <w:rPr>
          <w:sz w:val="24"/>
        </w:rPr>
        <w:t>The cumulative total backlogged samples completed for 2019/20, Quarter 1, 2 and 3 was 7,513 (91.51%) of the list of 8,210. The FCL’s have also tested newly incoming samples in order to prevent these samples from forming a backlog.  Table 2 below reflects the FCL progress regarding the 2019/20 APP target [</w:t>
      </w:r>
      <w:r w:rsidRPr="002F43C3">
        <w:rPr>
          <w:color w:val="000000"/>
          <w:sz w:val="24"/>
        </w:rPr>
        <w:t>Eliminate the backlog of blood alcohol tests by 2019/20]</w:t>
      </w:r>
      <w:r w:rsidRPr="002F43C3">
        <w:rPr>
          <w:sz w:val="24"/>
        </w:rPr>
        <w:t>.</w:t>
      </w:r>
    </w:p>
    <w:p w:rsidR="002F43C3" w:rsidRPr="002F43C3" w:rsidRDefault="002F43C3" w:rsidP="002F43C3">
      <w:pPr>
        <w:pStyle w:val="ListParagraph"/>
        <w:ind w:left="709"/>
        <w:jc w:val="both"/>
        <w:rPr>
          <w:color w:val="000000" w:themeColor="text1"/>
          <w:sz w:val="24"/>
        </w:rPr>
      </w:pPr>
    </w:p>
    <w:tbl>
      <w:tblPr>
        <w:tblW w:w="9514" w:type="dxa"/>
        <w:tblInd w:w="687" w:type="dxa"/>
        <w:tblLook w:val="04A0" w:firstRow="1" w:lastRow="0" w:firstColumn="1" w:lastColumn="0" w:noHBand="0" w:noVBand="1"/>
      </w:tblPr>
      <w:tblGrid>
        <w:gridCol w:w="2852"/>
        <w:gridCol w:w="3544"/>
        <w:gridCol w:w="3118"/>
      </w:tblGrid>
      <w:tr w:rsidR="002F43C3" w:rsidRPr="002F43C3" w:rsidTr="00F10839">
        <w:trPr>
          <w:trHeight w:val="407"/>
        </w:trPr>
        <w:tc>
          <w:tcPr>
            <w:tcW w:w="9514" w:type="dxa"/>
            <w:gridSpan w:val="3"/>
            <w:tcBorders>
              <w:top w:val="single" w:sz="4" w:space="0" w:color="auto"/>
              <w:left w:val="single" w:sz="4" w:space="0" w:color="auto"/>
              <w:bottom w:val="nil"/>
              <w:right w:val="single" w:sz="4" w:space="0" w:color="auto"/>
            </w:tcBorders>
            <w:shd w:val="clear" w:color="auto" w:fill="auto"/>
            <w:noWrap/>
          </w:tcPr>
          <w:p w:rsidR="002F43C3" w:rsidRPr="002F43C3" w:rsidRDefault="002F43C3" w:rsidP="002F43C3">
            <w:pPr>
              <w:jc w:val="center"/>
              <w:rPr>
                <w:b/>
                <w:bCs/>
                <w:color w:val="000000"/>
                <w:sz w:val="24"/>
                <w:lang w:val="en-US"/>
              </w:rPr>
            </w:pPr>
            <w:r w:rsidRPr="002F43C3">
              <w:rPr>
                <w:b/>
                <w:bCs/>
                <w:color w:val="000000"/>
                <w:sz w:val="24"/>
                <w:lang w:val="en-US"/>
              </w:rPr>
              <w:t>TABLE 2</w:t>
            </w:r>
          </w:p>
        </w:tc>
      </w:tr>
      <w:tr w:rsidR="002F43C3" w:rsidRPr="002F43C3" w:rsidTr="00F10839">
        <w:trPr>
          <w:trHeight w:val="660"/>
        </w:trPr>
        <w:tc>
          <w:tcPr>
            <w:tcW w:w="2852" w:type="dxa"/>
            <w:tcBorders>
              <w:top w:val="single" w:sz="4" w:space="0" w:color="auto"/>
              <w:left w:val="single" w:sz="4" w:space="0" w:color="auto"/>
              <w:bottom w:val="nil"/>
              <w:right w:val="single" w:sz="4" w:space="0" w:color="auto"/>
            </w:tcBorders>
            <w:shd w:val="clear" w:color="auto" w:fill="auto"/>
            <w:noWrap/>
            <w:vAlign w:val="center"/>
            <w:hideMark/>
          </w:tcPr>
          <w:p w:rsidR="002F43C3" w:rsidRPr="002F43C3" w:rsidRDefault="002F43C3" w:rsidP="002F43C3">
            <w:pPr>
              <w:jc w:val="center"/>
              <w:rPr>
                <w:b/>
                <w:bCs/>
                <w:color w:val="000000"/>
                <w:sz w:val="24"/>
                <w:lang w:val="en-US"/>
              </w:rPr>
            </w:pPr>
            <w:r w:rsidRPr="002F43C3">
              <w:rPr>
                <w:b/>
                <w:bCs/>
                <w:color w:val="000000"/>
                <w:sz w:val="24"/>
                <w:lang w:val="en-US"/>
              </w:rPr>
              <w:t>2019/20</w:t>
            </w:r>
          </w:p>
        </w:tc>
        <w:tc>
          <w:tcPr>
            <w:tcW w:w="3544" w:type="dxa"/>
            <w:tcBorders>
              <w:top w:val="single" w:sz="4" w:space="0" w:color="auto"/>
              <w:left w:val="nil"/>
              <w:bottom w:val="nil"/>
              <w:right w:val="single" w:sz="4" w:space="0" w:color="auto"/>
            </w:tcBorders>
            <w:shd w:val="clear" w:color="auto" w:fill="auto"/>
            <w:vAlign w:val="center"/>
            <w:hideMark/>
          </w:tcPr>
          <w:p w:rsidR="002F43C3" w:rsidRPr="002F43C3" w:rsidRDefault="002F43C3" w:rsidP="002F43C3">
            <w:pPr>
              <w:jc w:val="center"/>
              <w:rPr>
                <w:b/>
                <w:bCs/>
                <w:color w:val="000000"/>
                <w:sz w:val="24"/>
                <w:lang w:val="en-US"/>
              </w:rPr>
            </w:pPr>
          </w:p>
        </w:tc>
        <w:tc>
          <w:tcPr>
            <w:tcW w:w="3118" w:type="dxa"/>
            <w:tcBorders>
              <w:top w:val="single" w:sz="4" w:space="0" w:color="auto"/>
              <w:left w:val="nil"/>
              <w:bottom w:val="nil"/>
              <w:right w:val="single" w:sz="4" w:space="0" w:color="auto"/>
            </w:tcBorders>
            <w:shd w:val="clear" w:color="auto" w:fill="auto"/>
            <w:vAlign w:val="center"/>
            <w:hideMark/>
          </w:tcPr>
          <w:p w:rsidR="002F43C3" w:rsidRPr="002F43C3" w:rsidRDefault="002F43C3" w:rsidP="002F43C3">
            <w:pPr>
              <w:jc w:val="center"/>
              <w:rPr>
                <w:b/>
                <w:bCs/>
                <w:color w:val="000000"/>
                <w:sz w:val="24"/>
                <w:lang w:val="en-US"/>
              </w:rPr>
            </w:pPr>
            <w:r w:rsidRPr="002F43C3">
              <w:rPr>
                <w:b/>
                <w:bCs/>
                <w:color w:val="000000"/>
                <w:sz w:val="24"/>
                <w:lang w:val="en-US"/>
              </w:rPr>
              <w:t>APP TARGET</w:t>
            </w:r>
          </w:p>
        </w:tc>
      </w:tr>
      <w:tr w:rsidR="002F43C3" w:rsidRPr="002F43C3" w:rsidTr="00F10839">
        <w:trPr>
          <w:trHeight w:val="80"/>
        </w:trPr>
        <w:tc>
          <w:tcPr>
            <w:tcW w:w="2852" w:type="dxa"/>
            <w:tcBorders>
              <w:top w:val="nil"/>
              <w:left w:val="single" w:sz="4" w:space="0" w:color="auto"/>
              <w:bottom w:val="single" w:sz="4" w:space="0" w:color="auto"/>
              <w:right w:val="single" w:sz="4" w:space="0" w:color="auto"/>
            </w:tcBorders>
            <w:shd w:val="clear" w:color="auto" w:fill="auto"/>
            <w:noWrap/>
            <w:vAlign w:val="center"/>
            <w:hideMark/>
          </w:tcPr>
          <w:p w:rsidR="002F43C3" w:rsidRPr="002F43C3" w:rsidRDefault="002F43C3" w:rsidP="002F43C3">
            <w:pPr>
              <w:jc w:val="center"/>
              <w:rPr>
                <w:b/>
                <w:bCs/>
                <w:color w:val="000000"/>
                <w:sz w:val="24"/>
                <w:lang w:val="en-US"/>
              </w:rPr>
            </w:pPr>
          </w:p>
        </w:tc>
        <w:tc>
          <w:tcPr>
            <w:tcW w:w="3544" w:type="dxa"/>
            <w:tcBorders>
              <w:top w:val="nil"/>
              <w:left w:val="nil"/>
              <w:bottom w:val="single" w:sz="4" w:space="0" w:color="auto"/>
              <w:right w:val="single" w:sz="4" w:space="0" w:color="auto"/>
            </w:tcBorders>
            <w:shd w:val="clear" w:color="auto" w:fill="auto"/>
            <w:vAlign w:val="center"/>
            <w:hideMark/>
          </w:tcPr>
          <w:p w:rsidR="002F43C3" w:rsidRPr="002F43C3" w:rsidRDefault="002F43C3" w:rsidP="002F43C3">
            <w:pPr>
              <w:jc w:val="center"/>
              <w:rPr>
                <w:b/>
                <w:bCs/>
                <w:color w:val="000000"/>
                <w:sz w:val="24"/>
                <w:lang w:val="en-US"/>
              </w:rPr>
            </w:pPr>
            <w:r w:rsidRPr="002F43C3">
              <w:rPr>
                <w:b/>
                <w:bCs/>
                <w:color w:val="000000"/>
                <w:sz w:val="24"/>
                <w:lang w:val="en-US"/>
              </w:rPr>
              <w:t>% DECREASE IN BA BACKLOG</w:t>
            </w:r>
          </w:p>
        </w:tc>
        <w:tc>
          <w:tcPr>
            <w:tcW w:w="3118" w:type="dxa"/>
            <w:tcBorders>
              <w:top w:val="nil"/>
              <w:left w:val="nil"/>
              <w:bottom w:val="single" w:sz="4" w:space="0" w:color="auto"/>
              <w:right w:val="single" w:sz="4" w:space="0" w:color="auto"/>
            </w:tcBorders>
            <w:shd w:val="clear" w:color="auto" w:fill="auto"/>
            <w:vAlign w:val="center"/>
            <w:hideMark/>
          </w:tcPr>
          <w:p w:rsidR="002F43C3" w:rsidRPr="002F43C3" w:rsidRDefault="002F43C3" w:rsidP="002F43C3">
            <w:pPr>
              <w:jc w:val="center"/>
              <w:rPr>
                <w:b/>
                <w:bCs/>
                <w:color w:val="000000"/>
                <w:sz w:val="24"/>
                <w:lang w:val="en-US"/>
              </w:rPr>
            </w:pPr>
            <w:r w:rsidRPr="002F43C3">
              <w:rPr>
                <w:b/>
                <w:bCs/>
                <w:color w:val="000000"/>
                <w:sz w:val="24"/>
                <w:lang w:val="en-US"/>
              </w:rPr>
              <w:t>% DECREASE IN BA BACKLOG</w:t>
            </w:r>
          </w:p>
        </w:tc>
      </w:tr>
      <w:tr w:rsidR="002F43C3" w:rsidRPr="002F43C3" w:rsidTr="00F10839">
        <w:trPr>
          <w:trHeight w:val="330"/>
        </w:trPr>
        <w:tc>
          <w:tcPr>
            <w:tcW w:w="2852" w:type="dxa"/>
            <w:tcBorders>
              <w:top w:val="nil"/>
              <w:left w:val="single" w:sz="4" w:space="0" w:color="auto"/>
              <w:bottom w:val="single" w:sz="4" w:space="0" w:color="auto"/>
              <w:right w:val="single" w:sz="4" w:space="0" w:color="auto"/>
            </w:tcBorders>
            <w:shd w:val="clear" w:color="auto" w:fill="auto"/>
            <w:noWrap/>
            <w:hideMark/>
          </w:tcPr>
          <w:p w:rsidR="002F43C3" w:rsidRPr="002F43C3" w:rsidRDefault="002F43C3" w:rsidP="002F43C3">
            <w:pPr>
              <w:rPr>
                <w:b/>
                <w:sz w:val="24"/>
              </w:rPr>
            </w:pPr>
            <w:r w:rsidRPr="002F43C3">
              <w:rPr>
                <w:b/>
                <w:sz w:val="24"/>
              </w:rPr>
              <w:t>Quarter 1</w:t>
            </w:r>
          </w:p>
        </w:tc>
        <w:tc>
          <w:tcPr>
            <w:tcW w:w="3544" w:type="dxa"/>
            <w:tcBorders>
              <w:top w:val="nil"/>
              <w:left w:val="nil"/>
              <w:bottom w:val="single" w:sz="4" w:space="0" w:color="auto"/>
              <w:right w:val="single" w:sz="4" w:space="0" w:color="auto"/>
            </w:tcBorders>
            <w:shd w:val="clear" w:color="auto" w:fill="auto"/>
            <w:noWrap/>
            <w:vAlign w:val="bottom"/>
          </w:tcPr>
          <w:p w:rsidR="002F43C3" w:rsidRPr="002F43C3" w:rsidRDefault="002F43C3" w:rsidP="002F43C3">
            <w:pPr>
              <w:jc w:val="center"/>
              <w:rPr>
                <w:color w:val="000000"/>
                <w:sz w:val="24"/>
                <w:lang w:val="en-US"/>
              </w:rPr>
            </w:pPr>
            <w:r w:rsidRPr="002F43C3">
              <w:rPr>
                <w:color w:val="000000"/>
                <w:sz w:val="24"/>
                <w:lang w:val="en-US"/>
              </w:rPr>
              <w:t>75.42</w:t>
            </w:r>
          </w:p>
        </w:tc>
        <w:tc>
          <w:tcPr>
            <w:tcW w:w="3118" w:type="dxa"/>
            <w:tcBorders>
              <w:top w:val="nil"/>
              <w:left w:val="nil"/>
              <w:bottom w:val="single" w:sz="4" w:space="0" w:color="auto"/>
              <w:right w:val="single" w:sz="4" w:space="0" w:color="auto"/>
            </w:tcBorders>
            <w:shd w:val="clear" w:color="auto" w:fill="auto"/>
            <w:noWrap/>
            <w:vAlign w:val="bottom"/>
          </w:tcPr>
          <w:p w:rsidR="002F43C3" w:rsidRPr="002F43C3" w:rsidRDefault="002F43C3" w:rsidP="002F43C3">
            <w:pPr>
              <w:jc w:val="center"/>
              <w:rPr>
                <w:color w:val="000000"/>
                <w:sz w:val="24"/>
                <w:lang w:val="en-US"/>
              </w:rPr>
            </w:pPr>
            <w:r w:rsidRPr="002F43C3">
              <w:rPr>
                <w:color w:val="000000"/>
                <w:sz w:val="24"/>
                <w:lang w:val="en-US"/>
              </w:rPr>
              <w:t>25</w:t>
            </w:r>
          </w:p>
        </w:tc>
      </w:tr>
      <w:tr w:rsidR="002F43C3" w:rsidRPr="002F43C3" w:rsidTr="00F10839">
        <w:trPr>
          <w:trHeight w:val="330"/>
        </w:trPr>
        <w:tc>
          <w:tcPr>
            <w:tcW w:w="2852" w:type="dxa"/>
            <w:tcBorders>
              <w:top w:val="nil"/>
              <w:left w:val="single" w:sz="4" w:space="0" w:color="auto"/>
              <w:bottom w:val="single" w:sz="4" w:space="0" w:color="auto"/>
              <w:right w:val="single" w:sz="4" w:space="0" w:color="auto"/>
            </w:tcBorders>
            <w:shd w:val="clear" w:color="auto" w:fill="auto"/>
            <w:noWrap/>
            <w:hideMark/>
          </w:tcPr>
          <w:p w:rsidR="002F43C3" w:rsidRPr="002F43C3" w:rsidRDefault="002F43C3" w:rsidP="002F43C3">
            <w:pPr>
              <w:rPr>
                <w:b/>
                <w:sz w:val="24"/>
              </w:rPr>
            </w:pPr>
            <w:r w:rsidRPr="002F43C3">
              <w:rPr>
                <w:b/>
                <w:sz w:val="24"/>
              </w:rPr>
              <w:t>Quarter 2</w:t>
            </w:r>
          </w:p>
        </w:tc>
        <w:tc>
          <w:tcPr>
            <w:tcW w:w="3544" w:type="dxa"/>
            <w:tcBorders>
              <w:top w:val="nil"/>
              <w:left w:val="nil"/>
              <w:bottom w:val="single" w:sz="4" w:space="0" w:color="auto"/>
              <w:right w:val="single" w:sz="4" w:space="0" w:color="auto"/>
            </w:tcBorders>
            <w:shd w:val="clear" w:color="auto" w:fill="auto"/>
            <w:noWrap/>
            <w:vAlign w:val="bottom"/>
          </w:tcPr>
          <w:p w:rsidR="002F43C3" w:rsidRPr="002F43C3" w:rsidRDefault="002F43C3" w:rsidP="002F43C3">
            <w:pPr>
              <w:jc w:val="center"/>
              <w:rPr>
                <w:color w:val="000000"/>
                <w:sz w:val="24"/>
                <w:lang w:val="en-US"/>
              </w:rPr>
            </w:pPr>
            <w:r w:rsidRPr="002F43C3">
              <w:rPr>
                <w:color w:val="000000"/>
                <w:sz w:val="24"/>
                <w:lang w:val="en-US"/>
              </w:rPr>
              <w:t>90.17</w:t>
            </w:r>
          </w:p>
        </w:tc>
        <w:tc>
          <w:tcPr>
            <w:tcW w:w="3118" w:type="dxa"/>
            <w:tcBorders>
              <w:top w:val="nil"/>
              <w:left w:val="nil"/>
              <w:bottom w:val="single" w:sz="4" w:space="0" w:color="auto"/>
              <w:right w:val="single" w:sz="4" w:space="0" w:color="auto"/>
            </w:tcBorders>
            <w:shd w:val="clear" w:color="auto" w:fill="auto"/>
            <w:noWrap/>
            <w:vAlign w:val="bottom"/>
          </w:tcPr>
          <w:p w:rsidR="002F43C3" w:rsidRPr="002F43C3" w:rsidRDefault="002F43C3" w:rsidP="002F43C3">
            <w:pPr>
              <w:jc w:val="center"/>
              <w:rPr>
                <w:color w:val="000000"/>
                <w:sz w:val="24"/>
                <w:lang w:val="en-US"/>
              </w:rPr>
            </w:pPr>
            <w:r w:rsidRPr="002F43C3">
              <w:rPr>
                <w:color w:val="000000"/>
                <w:sz w:val="24"/>
                <w:lang w:val="en-US"/>
              </w:rPr>
              <w:t>50</w:t>
            </w:r>
          </w:p>
        </w:tc>
      </w:tr>
      <w:tr w:rsidR="002F43C3" w:rsidRPr="002F43C3" w:rsidTr="00F10839">
        <w:trPr>
          <w:trHeight w:val="330"/>
        </w:trPr>
        <w:tc>
          <w:tcPr>
            <w:tcW w:w="2852" w:type="dxa"/>
            <w:tcBorders>
              <w:top w:val="nil"/>
              <w:left w:val="single" w:sz="4" w:space="0" w:color="auto"/>
              <w:bottom w:val="single" w:sz="4" w:space="0" w:color="auto"/>
              <w:right w:val="single" w:sz="4" w:space="0" w:color="auto"/>
            </w:tcBorders>
            <w:shd w:val="clear" w:color="auto" w:fill="auto"/>
            <w:noWrap/>
            <w:hideMark/>
          </w:tcPr>
          <w:p w:rsidR="002F43C3" w:rsidRPr="002F43C3" w:rsidRDefault="002F43C3" w:rsidP="002F43C3">
            <w:pPr>
              <w:rPr>
                <w:b/>
                <w:sz w:val="24"/>
              </w:rPr>
            </w:pPr>
            <w:r w:rsidRPr="002F43C3">
              <w:rPr>
                <w:b/>
                <w:sz w:val="24"/>
              </w:rPr>
              <w:t>Quarter 3</w:t>
            </w:r>
          </w:p>
        </w:tc>
        <w:tc>
          <w:tcPr>
            <w:tcW w:w="3544" w:type="dxa"/>
            <w:tcBorders>
              <w:top w:val="nil"/>
              <w:left w:val="nil"/>
              <w:bottom w:val="single" w:sz="4" w:space="0" w:color="auto"/>
              <w:right w:val="single" w:sz="4" w:space="0" w:color="auto"/>
            </w:tcBorders>
            <w:shd w:val="clear" w:color="auto" w:fill="auto"/>
            <w:noWrap/>
            <w:vAlign w:val="bottom"/>
          </w:tcPr>
          <w:p w:rsidR="002F43C3" w:rsidRPr="002F43C3" w:rsidRDefault="002F43C3" w:rsidP="002F43C3">
            <w:pPr>
              <w:jc w:val="center"/>
              <w:rPr>
                <w:color w:val="000000"/>
                <w:sz w:val="24"/>
                <w:lang w:val="en-US"/>
              </w:rPr>
            </w:pPr>
            <w:r w:rsidRPr="002F43C3">
              <w:rPr>
                <w:color w:val="000000"/>
                <w:sz w:val="24"/>
                <w:lang w:val="en-US"/>
              </w:rPr>
              <w:t>91.51</w:t>
            </w:r>
          </w:p>
        </w:tc>
        <w:tc>
          <w:tcPr>
            <w:tcW w:w="3118" w:type="dxa"/>
            <w:tcBorders>
              <w:top w:val="nil"/>
              <w:left w:val="nil"/>
              <w:bottom w:val="single" w:sz="4" w:space="0" w:color="auto"/>
              <w:right w:val="single" w:sz="4" w:space="0" w:color="auto"/>
            </w:tcBorders>
            <w:shd w:val="clear" w:color="auto" w:fill="auto"/>
            <w:noWrap/>
            <w:vAlign w:val="bottom"/>
          </w:tcPr>
          <w:p w:rsidR="002F43C3" w:rsidRPr="002F43C3" w:rsidRDefault="002F43C3" w:rsidP="002F43C3">
            <w:pPr>
              <w:jc w:val="center"/>
              <w:rPr>
                <w:color w:val="000000"/>
                <w:sz w:val="24"/>
                <w:lang w:val="en-US"/>
              </w:rPr>
            </w:pPr>
            <w:r w:rsidRPr="002F43C3">
              <w:rPr>
                <w:color w:val="000000"/>
                <w:sz w:val="24"/>
                <w:lang w:val="en-US"/>
              </w:rPr>
              <w:t>75</w:t>
            </w:r>
          </w:p>
        </w:tc>
      </w:tr>
      <w:tr w:rsidR="002F43C3" w:rsidRPr="002F43C3" w:rsidTr="00F10839">
        <w:trPr>
          <w:trHeight w:val="327"/>
        </w:trPr>
        <w:tc>
          <w:tcPr>
            <w:tcW w:w="2852" w:type="dxa"/>
            <w:tcBorders>
              <w:top w:val="single" w:sz="4" w:space="0" w:color="auto"/>
              <w:left w:val="single" w:sz="4" w:space="0" w:color="auto"/>
              <w:bottom w:val="single" w:sz="4" w:space="0" w:color="auto"/>
              <w:right w:val="single" w:sz="4" w:space="0" w:color="auto"/>
            </w:tcBorders>
            <w:shd w:val="clear" w:color="auto" w:fill="auto"/>
            <w:noWrap/>
          </w:tcPr>
          <w:p w:rsidR="002F43C3" w:rsidRPr="002F43C3" w:rsidRDefault="002F43C3" w:rsidP="002F43C3">
            <w:pPr>
              <w:rPr>
                <w:b/>
                <w:sz w:val="24"/>
              </w:rPr>
            </w:pPr>
            <w:r w:rsidRPr="002F43C3">
              <w:rPr>
                <w:b/>
                <w:sz w:val="24"/>
              </w:rPr>
              <w:t>Quarter 4</w:t>
            </w:r>
          </w:p>
        </w:tc>
        <w:tc>
          <w:tcPr>
            <w:tcW w:w="3544" w:type="dxa"/>
            <w:tcBorders>
              <w:top w:val="single" w:sz="4" w:space="0" w:color="auto"/>
              <w:left w:val="nil"/>
              <w:bottom w:val="single" w:sz="4" w:space="0" w:color="auto"/>
              <w:right w:val="single" w:sz="4" w:space="0" w:color="auto"/>
            </w:tcBorders>
            <w:shd w:val="clear" w:color="auto" w:fill="auto"/>
            <w:noWrap/>
          </w:tcPr>
          <w:p w:rsidR="002F43C3" w:rsidRPr="002F43C3" w:rsidRDefault="002F43C3" w:rsidP="002F43C3">
            <w:pPr>
              <w:jc w:val="center"/>
              <w:rPr>
                <w:color w:val="000000"/>
                <w:sz w:val="24"/>
                <w:lang w:val="en-US"/>
              </w:rPr>
            </w:pPr>
            <w:r w:rsidRPr="002F43C3">
              <w:rPr>
                <w:color w:val="000000"/>
                <w:sz w:val="24"/>
                <w:lang w:val="en-US"/>
              </w:rPr>
              <w:t>-</w:t>
            </w:r>
          </w:p>
        </w:tc>
        <w:tc>
          <w:tcPr>
            <w:tcW w:w="3118" w:type="dxa"/>
            <w:tcBorders>
              <w:top w:val="single" w:sz="4" w:space="0" w:color="auto"/>
              <w:left w:val="nil"/>
              <w:bottom w:val="single" w:sz="4" w:space="0" w:color="auto"/>
              <w:right w:val="single" w:sz="4" w:space="0" w:color="auto"/>
            </w:tcBorders>
            <w:shd w:val="clear" w:color="auto" w:fill="auto"/>
            <w:noWrap/>
          </w:tcPr>
          <w:p w:rsidR="002F43C3" w:rsidRPr="002F43C3" w:rsidRDefault="002F43C3" w:rsidP="002F43C3">
            <w:pPr>
              <w:jc w:val="center"/>
              <w:rPr>
                <w:color w:val="000000"/>
                <w:sz w:val="24"/>
                <w:lang w:val="en-US"/>
              </w:rPr>
            </w:pPr>
            <w:r w:rsidRPr="002F43C3">
              <w:rPr>
                <w:color w:val="000000"/>
                <w:sz w:val="24"/>
                <w:lang w:val="en-US"/>
              </w:rPr>
              <w:t>100</w:t>
            </w:r>
          </w:p>
        </w:tc>
      </w:tr>
    </w:tbl>
    <w:p w:rsidR="002F43C3" w:rsidRPr="002F43C3" w:rsidRDefault="002F43C3" w:rsidP="002F43C3">
      <w:pPr>
        <w:pStyle w:val="ListParagraph"/>
        <w:ind w:left="709"/>
        <w:jc w:val="both"/>
        <w:rPr>
          <w:color w:val="000000" w:themeColor="text1"/>
          <w:sz w:val="24"/>
        </w:rPr>
      </w:pPr>
    </w:p>
    <w:p w:rsidR="002F43C3" w:rsidRPr="002F43C3" w:rsidRDefault="002F43C3" w:rsidP="002F43C3">
      <w:pPr>
        <w:ind w:left="709"/>
        <w:jc w:val="both"/>
        <w:rPr>
          <w:color w:val="000000" w:themeColor="text1"/>
          <w:sz w:val="24"/>
        </w:rPr>
      </w:pPr>
      <w:r>
        <w:rPr>
          <w:color w:val="000000" w:themeColor="text1"/>
          <w:sz w:val="24"/>
        </w:rPr>
        <w:t xml:space="preserve">The </w:t>
      </w:r>
      <w:r w:rsidRPr="002F43C3">
        <w:rPr>
          <w:color w:val="000000" w:themeColor="text1"/>
          <w:sz w:val="24"/>
        </w:rPr>
        <w:t>Toxicology and blood alcohol analysis output has been negatively affected by procurement system problems during quarter three of this financial year, causing delays in equipment repairs and procurement of consumables and chemicals required for the analysis processes. The FCL’s also currently have 30 vacancies out of a total establishment of 174.</w:t>
      </w:r>
    </w:p>
    <w:p w:rsidR="002F43C3" w:rsidRDefault="002F43C3" w:rsidP="002F43C3">
      <w:pPr>
        <w:ind w:left="709"/>
        <w:jc w:val="both"/>
        <w:rPr>
          <w:b/>
          <w:color w:val="000000" w:themeColor="text1"/>
          <w:sz w:val="24"/>
        </w:rPr>
      </w:pPr>
    </w:p>
    <w:p w:rsidR="002F43C3" w:rsidRPr="002F43C3" w:rsidRDefault="002F43C3" w:rsidP="002F43C3">
      <w:pPr>
        <w:ind w:left="709"/>
        <w:jc w:val="both"/>
        <w:rPr>
          <w:b/>
          <w:color w:val="000000" w:themeColor="text1"/>
          <w:sz w:val="24"/>
        </w:rPr>
      </w:pPr>
      <w:r w:rsidRPr="002F43C3">
        <w:rPr>
          <w:b/>
          <w:color w:val="000000" w:themeColor="text1"/>
          <w:sz w:val="24"/>
        </w:rPr>
        <w:lastRenderedPageBreak/>
        <w:t>Low staff morale:</w:t>
      </w:r>
    </w:p>
    <w:p w:rsidR="002F43C3" w:rsidRDefault="002F43C3" w:rsidP="002F43C3">
      <w:pPr>
        <w:ind w:left="709"/>
        <w:jc w:val="both"/>
        <w:rPr>
          <w:color w:val="000000" w:themeColor="text1"/>
          <w:sz w:val="24"/>
        </w:rPr>
      </w:pPr>
    </w:p>
    <w:p w:rsidR="002F43C3" w:rsidRPr="002F43C3" w:rsidRDefault="002F43C3" w:rsidP="002F43C3">
      <w:pPr>
        <w:ind w:left="709"/>
        <w:jc w:val="both"/>
        <w:rPr>
          <w:color w:val="000000" w:themeColor="text1"/>
          <w:sz w:val="24"/>
        </w:rPr>
      </w:pPr>
      <w:r w:rsidRPr="002F43C3">
        <w:rPr>
          <w:color w:val="000000" w:themeColor="text1"/>
          <w:sz w:val="24"/>
        </w:rPr>
        <w:t xml:space="preserve">Low staff morale in </w:t>
      </w:r>
      <w:r>
        <w:rPr>
          <w:color w:val="000000" w:themeColor="text1"/>
          <w:sz w:val="24"/>
        </w:rPr>
        <w:t xml:space="preserve">the </w:t>
      </w:r>
      <w:r w:rsidRPr="002F43C3">
        <w:rPr>
          <w:color w:val="000000" w:themeColor="text1"/>
          <w:sz w:val="24"/>
        </w:rPr>
        <w:t xml:space="preserve">Pretoria Laboratory is as a result of the poor building conditions. Progress is made in terms of obtaining alternative work accommodation. </w:t>
      </w:r>
    </w:p>
    <w:p w:rsidR="002F43C3" w:rsidRPr="002F43C3" w:rsidRDefault="002F43C3" w:rsidP="002F43C3">
      <w:pPr>
        <w:ind w:left="709"/>
        <w:jc w:val="both"/>
        <w:rPr>
          <w:color w:val="000000" w:themeColor="text1"/>
          <w:sz w:val="24"/>
        </w:rPr>
      </w:pPr>
    </w:p>
    <w:p w:rsidR="002F43C3" w:rsidRPr="002F43C3" w:rsidRDefault="002F43C3" w:rsidP="002F43C3">
      <w:pPr>
        <w:ind w:left="709"/>
        <w:rPr>
          <w:b/>
          <w:color w:val="000000" w:themeColor="text1"/>
          <w:sz w:val="24"/>
        </w:rPr>
      </w:pPr>
      <w:r w:rsidRPr="002F43C3">
        <w:rPr>
          <w:b/>
          <w:color w:val="000000" w:themeColor="text1"/>
          <w:sz w:val="24"/>
        </w:rPr>
        <w:t>Infrastructure:</w:t>
      </w:r>
    </w:p>
    <w:p w:rsidR="002F43C3" w:rsidRDefault="002F43C3" w:rsidP="002F43C3">
      <w:pPr>
        <w:autoSpaceDE w:val="0"/>
        <w:autoSpaceDN w:val="0"/>
        <w:adjustRightInd w:val="0"/>
        <w:ind w:left="720"/>
        <w:jc w:val="both"/>
        <w:rPr>
          <w:bCs/>
          <w:sz w:val="24"/>
          <w:lang w:eastAsia="en-GB"/>
        </w:rPr>
      </w:pPr>
    </w:p>
    <w:p w:rsidR="002F43C3" w:rsidRPr="002F43C3" w:rsidRDefault="002F43C3" w:rsidP="002F43C3">
      <w:pPr>
        <w:autoSpaceDE w:val="0"/>
        <w:autoSpaceDN w:val="0"/>
        <w:adjustRightInd w:val="0"/>
        <w:ind w:left="720"/>
        <w:jc w:val="both"/>
        <w:rPr>
          <w:bCs/>
          <w:sz w:val="24"/>
          <w:lang w:eastAsia="en-GB"/>
        </w:rPr>
      </w:pPr>
      <w:r w:rsidRPr="002F43C3">
        <w:rPr>
          <w:bCs/>
          <w:sz w:val="24"/>
          <w:lang w:eastAsia="en-GB"/>
        </w:rPr>
        <w:t>Only the Forensic Chemist</w:t>
      </w:r>
      <w:r>
        <w:rPr>
          <w:bCs/>
          <w:sz w:val="24"/>
          <w:lang w:eastAsia="en-GB"/>
        </w:rPr>
        <w:t>ry Laboratory (FCL) in Visagie S</w:t>
      </w:r>
      <w:r w:rsidRPr="002F43C3">
        <w:rPr>
          <w:bCs/>
          <w:sz w:val="24"/>
          <w:lang w:eastAsia="en-GB"/>
        </w:rPr>
        <w:t xml:space="preserve">treet, Pretoria, has challenges with regards to accommodation. The FCL in Durban is new (established in 2015), and housed in </w:t>
      </w:r>
      <w:r>
        <w:rPr>
          <w:bCs/>
          <w:sz w:val="24"/>
          <w:lang w:eastAsia="en-GB"/>
        </w:rPr>
        <w:t xml:space="preserve">the </w:t>
      </w:r>
      <w:r w:rsidRPr="002F43C3">
        <w:rPr>
          <w:bCs/>
          <w:sz w:val="24"/>
          <w:lang w:eastAsia="en-GB"/>
        </w:rPr>
        <w:t>Kwa-Zulu Natal Department of Health building. The FCL in Cape Town is accommodated in a private building that has been recently renovated. They also have sufficient space for staff and equipment. The FCL in Johannesburg has been extensively renovated, with the project completed around 2011/12.</w:t>
      </w:r>
    </w:p>
    <w:p w:rsidR="002F43C3" w:rsidRPr="002F43C3" w:rsidRDefault="002F43C3" w:rsidP="002F43C3">
      <w:pPr>
        <w:autoSpaceDE w:val="0"/>
        <w:autoSpaceDN w:val="0"/>
        <w:adjustRightInd w:val="0"/>
        <w:ind w:left="720"/>
        <w:jc w:val="both"/>
        <w:rPr>
          <w:bCs/>
          <w:sz w:val="24"/>
          <w:lang w:eastAsia="en-GB"/>
        </w:rPr>
      </w:pPr>
    </w:p>
    <w:p w:rsidR="002F43C3" w:rsidRPr="002F43C3" w:rsidRDefault="002F43C3" w:rsidP="002F43C3">
      <w:pPr>
        <w:autoSpaceDE w:val="0"/>
        <w:autoSpaceDN w:val="0"/>
        <w:adjustRightInd w:val="0"/>
        <w:ind w:left="720"/>
        <w:jc w:val="both"/>
        <w:rPr>
          <w:bCs/>
          <w:sz w:val="24"/>
          <w:lang w:eastAsia="en-GB"/>
        </w:rPr>
      </w:pPr>
      <w:r w:rsidRPr="002F43C3">
        <w:rPr>
          <w:sz w:val="24"/>
        </w:rPr>
        <w:t>Two previous tender processes initiated by the Department of Public Works (DPW) ha</w:t>
      </w:r>
      <w:r>
        <w:rPr>
          <w:sz w:val="24"/>
        </w:rPr>
        <w:t>ve</w:t>
      </w:r>
      <w:r w:rsidRPr="002F43C3">
        <w:rPr>
          <w:sz w:val="24"/>
        </w:rPr>
        <w:t xml:space="preserve"> failed. An offer for accommodation by the Department of Water Affairs and Forestry, as well as an offer by the South African Bureau of Standards, have not been successful.</w:t>
      </w:r>
    </w:p>
    <w:p w:rsidR="002F43C3" w:rsidRDefault="002F43C3" w:rsidP="002F43C3">
      <w:pPr>
        <w:autoSpaceDE w:val="0"/>
        <w:autoSpaceDN w:val="0"/>
        <w:adjustRightInd w:val="0"/>
        <w:ind w:left="720"/>
        <w:jc w:val="both"/>
        <w:rPr>
          <w:sz w:val="24"/>
        </w:rPr>
      </w:pPr>
    </w:p>
    <w:p w:rsidR="002F43C3" w:rsidRPr="002F43C3" w:rsidRDefault="002F43C3" w:rsidP="002F43C3">
      <w:pPr>
        <w:autoSpaceDE w:val="0"/>
        <w:autoSpaceDN w:val="0"/>
        <w:adjustRightInd w:val="0"/>
        <w:ind w:left="720"/>
        <w:jc w:val="both"/>
        <w:rPr>
          <w:rFonts w:eastAsia="Calibri"/>
          <w:sz w:val="24"/>
        </w:rPr>
      </w:pPr>
      <w:r>
        <w:rPr>
          <w:sz w:val="24"/>
        </w:rPr>
        <w:t>The DPW</w:t>
      </w:r>
      <w:r w:rsidRPr="002F43C3">
        <w:rPr>
          <w:sz w:val="24"/>
        </w:rPr>
        <w:t xml:space="preserve"> advertised a tender in June 2013. </w:t>
      </w:r>
      <w:r>
        <w:rPr>
          <w:sz w:val="24"/>
        </w:rPr>
        <w:t>This process has however</w:t>
      </w:r>
      <w:r w:rsidRPr="002F43C3">
        <w:rPr>
          <w:sz w:val="24"/>
        </w:rPr>
        <w:t xml:space="preserve"> not been successful, as no suitable building could be located. In late 2013 the National Department of Health informed the DPW about </w:t>
      </w:r>
      <w:r>
        <w:rPr>
          <w:sz w:val="24"/>
        </w:rPr>
        <w:t xml:space="preserve">the </w:t>
      </w:r>
      <w:r w:rsidRPr="002F43C3">
        <w:rPr>
          <w:sz w:val="24"/>
        </w:rPr>
        <w:t>Department of Water Affairs and Forestry (DWAF) building (Material Laboratory) in Carl Street in Pretoria West that has not been utilized since 2009.  Initially the DWAF was willing to allow the NDOH to utilize this building for the FCL Pretoria activities, but withdr</w:t>
      </w:r>
      <w:r>
        <w:rPr>
          <w:sz w:val="24"/>
        </w:rPr>
        <w:t>e</w:t>
      </w:r>
      <w:r w:rsidRPr="002F43C3">
        <w:rPr>
          <w:sz w:val="24"/>
        </w:rPr>
        <w:t xml:space="preserve">w the offer in June 2014. </w:t>
      </w:r>
      <w:r>
        <w:rPr>
          <w:sz w:val="24"/>
        </w:rPr>
        <w:t xml:space="preserve">The DPW </w:t>
      </w:r>
      <w:r w:rsidRPr="002F43C3">
        <w:rPr>
          <w:sz w:val="24"/>
        </w:rPr>
        <w:t xml:space="preserve">then informed the National Department of Health (NDoH) that they did not have any other buildings available that would meet the FCL requirements and that the initial space requirements needed to be decreased. </w:t>
      </w:r>
      <w:r w:rsidRPr="002F43C3">
        <w:rPr>
          <w:rFonts w:eastAsia="Calibri"/>
          <w:sz w:val="24"/>
        </w:rPr>
        <w:t xml:space="preserve">A second tender was advertised in December 2014, and that was also not successful. </w:t>
      </w:r>
    </w:p>
    <w:p w:rsidR="002F43C3" w:rsidRPr="002F43C3" w:rsidRDefault="002F43C3" w:rsidP="002F43C3">
      <w:pPr>
        <w:autoSpaceDE w:val="0"/>
        <w:autoSpaceDN w:val="0"/>
        <w:adjustRightInd w:val="0"/>
        <w:ind w:left="720"/>
        <w:jc w:val="both"/>
        <w:rPr>
          <w:rFonts w:eastAsia="Calibri"/>
          <w:sz w:val="24"/>
        </w:rPr>
      </w:pPr>
    </w:p>
    <w:p w:rsidR="002F43C3" w:rsidRPr="002F43C3" w:rsidRDefault="002F43C3" w:rsidP="002F43C3">
      <w:pPr>
        <w:autoSpaceDE w:val="0"/>
        <w:autoSpaceDN w:val="0"/>
        <w:adjustRightInd w:val="0"/>
        <w:ind w:left="720"/>
        <w:jc w:val="both"/>
        <w:rPr>
          <w:color w:val="000000"/>
          <w:sz w:val="24"/>
        </w:rPr>
      </w:pPr>
      <w:r w:rsidRPr="002F43C3">
        <w:rPr>
          <w:rFonts w:eastAsia="Calibri"/>
          <w:sz w:val="24"/>
        </w:rPr>
        <w:t xml:space="preserve">In January 2015 </w:t>
      </w:r>
      <w:r w:rsidRPr="002F43C3">
        <w:rPr>
          <w:color w:val="000000"/>
          <w:sz w:val="24"/>
        </w:rPr>
        <w:t>the Chief Director: Trauma, Violence, Emergency Medical Services and Forensic Pathology Services (as it was previously called) came in contact with the office of Mr Govender,</w:t>
      </w:r>
      <w:r w:rsidRPr="002F43C3">
        <w:rPr>
          <w:sz w:val="24"/>
        </w:rPr>
        <w:t xml:space="preserve"> Deputy Director-General and Head of Real Estate and Facilities Management</w:t>
      </w:r>
      <w:r w:rsidRPr="002F43C3">
        <w:rPr>
          <w:color w:val="000000"/>
          <w:sz w:val="24"/>
        </w:rPr>
        <w:t xml:space="preserve"> at the Department of Public Works (DPW). The DPW subsequently undertook to prioritize this matter.  Shortly thereafter space </w:t>
      </w:r>
      <w:r w:rsidR="007B39FB">
        <w:rPr>
          <w:color w:val="000000"/>
          <w:sz w:val="24"/>
        </w:rPr>
        <w:t>was</w:t>
      </w:r>
      <w:r w:rsidRPr="002F43C3">
        <w:rPr>
          <w:color w:val="000000"/>
          <w:sz w:val="24"/>
        </w:rPr>
        <w:t xml:space="preserve"> identified at the South African Bureau of Standards (SABS) in Groenkloof, Pretoria. This facility was well situated, had ample parking space and had sufficient vacant floor space to be able to accommodate the FCL staff and equipment. In a meeting on 31 August 2016 where the Chief Financial Officer of </w:t>
      </w:r>
      <w:r w:rsidR="007B39FB">
        <w:rPr>
          <w:color w:val="000000"/>
          <w:sz w:val="24"/>
        </w:rPr>
        <w:t xml:space="preserve">the </w:t>
      </w:r>
      <w:r w:rsidRPr="002F43C3">
        <w:rPr>
          <w:color w:val="000000"/>
          <w:sz w:val="24"/>
        </w:rPr>
        <w:t>SABS was present, she informed all present that they were intending to commercialize the Groenkloof Campus, and that they might not be able to accommodate the FCL. This was followed by the DPW informing the NDoH team that they have been dealing with the wrong Department at the DPW from 2014 to 2016, and that the process had to be started from scratch.</w:t>
      </w:r>
    </w:p>
    <w:p w:rsidR="002F43C3" w:rsidRPr="002F43C3" w:rsidRDefault="002F43C3" w:rsidP="002F43C3">
      <w:pPr>
        <w:autoSpaceDE w:val="0"/>
        <w:autoSpaceDN w:val="0"/>
        <w:adjustRightInd w:val="0"/>
        <w:ind w:left="720"/>
        <w:jc w:val="both"/>
        <w:rPr>
          <w:rFonts w:eastAsia="Calibri"/>
          <w:sz w:val="24"/>
        </w:rPr>
      </w:pPr>
    </w:p>
    <w:p w:rsidR="007B39FB" w:rsidRDefault="002F43C3" w:rsidP="002F43C3">
      <w:pPr>
        <w:autoSpaceDE w:val="0"/>
        <w:autoSpaceDN w:val="0"/>
        <w:adjustRightInd w:val="0"/>
        <w:ind w:left="720"/>
        <w:jc w:val="both"/>
        <w:rPr>
          <w:sz w:val="24"/>
        </w:rPr>
      </w:pPr>
      <w:r w:rsidRPr="002F43C3">
        <w:rPr>
          <w:sz w:val="24"/>
        </w:rPr>
        <w:t xml:space="preserve">In August 2017 a new needs and cost analysis </w:t>
      </w:r>
      <w:r w:rsidR="007B39FB">
        <w:rPr>
          <w:sz w:val="24"/>
        </w:rPr>
        <w:t xml:space="preserve">were </w:t>
      </w:r>
      <w:r w:rsidRPr="002F43C3">
        <w:rPr>
          <w:sz w:val="24"/>
        </w:rPr>
        <w:t xml:space="preserve">submitted to the DPW. Advertising of the needs for a new building has not proceeded, as the NDoH Infrastructure unit proposed to move the FCL into the CIVITAS building as an alternative. With current infrastructure challenges at CIVITAS, </w:t>
      </w:r>
      <w:r w:rsidR="007B39FB">
        <w:rPr>
          <w:sz w:val="24"/>
        </w:rPr>
        <w:t xml:space="preserve">this </w:t>
      </w:r>
      <w:r w:rsidRPr="002F43C3">
        <w:rPr>
          <w:sz w:val="24"/>
        </w:rPr>
        <w:t>is</w:t>
      </w:r>
      <w:r w:rsidR="007B39FB">
        <w:rPr>
          <w:sz w:val="24"/>
        </w:rPr>
        <w:t xml:space="preserve"> </w:t>
      </w:r>
      <w:r w:rsidRPr="002F43C3">
        <w:rPr>
          <w:sz w:val="24"/>
        </w:rPr>
        <w:t>however no longer an option.</w:t>
      </w:r>
    </w:p>
    <w:p w:rsidR="002F43C3" w:rsidRPr="002F43C3" w:rsidRDefault="002F43C3" w:rsidP="002F43C3">
      <w:pPr>
        <w:autoSpaceDE w:val="0"/>
        <w:autoSpaceDN w:val="0"/>
        <w:adjustRightInd w:val="0"/>
        <w:ind w:left="720"/>
        <w:jc w:val="both"/>
        <w:rPr>
          <w:bCs/>
          <w:sz w:val="24"/>
          <w:lang w:eastAsia="en-GB"/>
        </w:rPr>
      </w:pPr>
    </w:p>
    <w:p w:rsidR="002F43C3" w:rsidRPr="002F43C3" w:rsidRDefault="002F43C3" w:rsidP="002F43C3">
      <w:pPr>
        <w:autoSpaceDE w:val="0"/>
        <w:autoSpaceDN w:val="0"/>
        <w:adjustRightInd w:val="0"/>
        <w:ind w:left="720"/>
        <w:jc w:val="both"/>
        <w:rPr>
          <w:bCs/>
          <w:sz w:val="24"/>
          <w:lang w:eastAsia="en-GB"/>
        </w:rPr>
      </w:pPr>
      <w:r w:rsidRPr="002F43C3">
        <w:rPr>
          <w:sz w:val="24"/>
        </w:rPr>
        <w:t>It has been established that there is laboratory, as well as office space available at the CSIR (Centre for Scientific and Industrial Research) campus on Meiring Naudé Road in Pretoria. T</w:t>
      </w:r>
      <w:r w:rsidRPr="002F43C3">
        <w:rPr>
          <w:color w:val="000000"/>
          <w:sz w:val="24"/>
        </w:rPr>
        <w:t xml:space="preserve">he space will be suitable for the relocation of the Forensic Chemistry Laboratory, Pretoria – with the understanding that the space will have to be prepared accordingly. This will have cost implications.  </w:t>
      </w:r>
    </w:p>
    <w:p w:rsidR="002F43C3" w:rsidRPr="002F43C3" w:rsidRDefault="002F43C3" w:rsidP="002F43C3">
      <w:pPr>
        <w:ind w:left="709"/>
        <w:rPr>
          <w:color w:val="000000" w:themeColor="text1"/>
          <w:sz w:val="24"/>
        </w:rPr>
      </w:pPr>
    </w:p>
    <w:p w:rsidR="002F43C3" w:rsidRPr="002F43C3" w:rsidRDefault="002F43C3" w:rsidP="002F43C3">
      <w:pPr>
        <w:pStyle w:val="ListParagraph"/>
        <w:numPr>
          <w:ilvl w:val="0"/>
          <w:numId w:val="50"/>
        </w:numPr>
        <w:ind w:hanging="720"/>
        <w:contextualSpacing w:val="0"/>
        <w:jc w:val="both"/>
        <w:textAlignment w:val="baseline"/>
        <w:rPr>
          <w:sz w:val="24"/>
          <w:lang w:val="en-US" w:eastAsia="en-ZA"/>
        </w:rPr>
      </w:pPr>
      <w:r w:rsidRPr="002F43C3">
        <w:rPr>
          <w:sz w:val="24"/>
          <w:lang w:eastAsia="en-ZA"/>
        </w:rPr>
        <w:lastRenderedPageBreak/>
        <w:t>The Ideal Clinic Realization and Maintenance (ICRM) program</w:t>
      </w:r>
      <w:r w:rsidR="007B39FB">
        <w:rPr>
          <w:sz w:val="24"/>
          <w:lang w:eastAsia="en-ZA"/>
        </w:rPr>
        <w:t>me</w:t>
      </w:r>
      <w:r w:rsidRPr="002F43C3">
        <w:rPr>
          <w:sz w:val="24"/>
          <w:lang w:eastAsia="en-ZA"/>
        </w:rPr>
        <w:t xml:space="preserve"> is completing its fifth year of implementation in </w:t>
      </w:r>
      <w:r w:rsidR="007B39FB">
        <w:rPr>
          <w:sz w:val="24"/>
          <w:lang w:eastAsia="en-ZA"/>
        </w:rPr>
        <w:t xml:space="preserve">the </w:t>
      </w:r>
      <w:r w:rsidRPr="002F43C3">
        <w:rPr>
          <w:sz w:val="24"/>
          <w:lang w:eastAsia="en-ZA"/>
        </w:rPr>
        <w:t>2019/20 financial year. The program is implemented in all the Primary Health Care facilities in the country. In the beginning of each year, the baseline status determination is conducted by Facility Managers in all facilities and confirmed by the District Perfect Permanent Team of the ICRM (PPTICRM).</w:t>
      </w:r>
      <w:r w:rsidRPr="002F43C3">
        <w:rPr>
          <w:sz w:val="24"/>
          <w:lang w:val="en-US" w:eastAsia="en-ZA"/>
        </w:rPr>
        <w:t> </w:t>
      </w:r>
    </w:p>
    <w:p w:rsidR="002F43C3" w:rsidRPr="002F43C3" w:rsidRDefault="002F43C3" w:rsidP="002F43C3">
      <w:pPr>
        <w:jc w:val="both"/>
        <w:textAlignment w:val="baseline"/>
        <w:rPr>
          <w:sz w:val="24"/>
          <w:lang w:val="en-US" w:eastAsia="en-ZA"/>
        </w:rPr>
      </w:pPr>
      <w:r w:rsidRPr="002F43C3">
        <w:rPr>
          <w:sz w:val="24"/>
          <w:lang w:val="en-US" w:eastAsia="en-ZA"/>
        </w:rPr>
        <w:t> </w:t>
      </w:r>
    </w:p>
    <w:p w:rsidR="002F43C3" w:rsidRPr="002F43C3" w:rsidRDefault="002F43C3" w:rsidP="002F43C3">
      <w:pPr>
        <w:ind w:left="630"/>
        <w:jc w:val="both"/>
        <w:textAlignment w:val="baseline"/>
        <w:rPr>
          <w:sz w:val="24"/>
          <w:lang w:eastAsia="en-ZA"/>
        </w:rPr>
      </w:pPr>
      <w:r w:rsidRPr="002F43C3">
        <w:rPr>
          <w:sz w:val="24"/>
          <w:lang w:eastAsia="en-ZA"/>
        </w:rPr>
        <w:t>Since 2015/2016 to 2018/2019 the Department of Health had turned 1</w:t>
      </w:r>
      <w:r w:rsidR="007B39FB">
        <w:rPr>
          <w:sz w:val="24"/>
          <w:lang w:eastAsia="en-ZA"/>
        </w:rPr>
        <w:t>,</w:t>
      </w:r>
      <w:r w:rsidRPr="002F43C3">
        <w:rPr>
          <w:sz w:val="24"/>
          <w:lang w:eastAsia="en-ZA"/>
        </w:rPr>
        <w:t>920 primary health care facilities ideal. The preliminary results for 2019/2020 3</w:t>
      </w:r>
      <w:r w:rsidRPr="002F43C3">
        <w:rPr>
          <w:sz w:val="24"/>
          <w:vertAlign w:val="superscript"/>
          <w:lang w:eastAsia="en-ZA"/>
        </w:rPr>
        <w:t>rd</w:t>
      </w:r>
      <w:r w:rsidRPr="002F43C3">
        <w:rPr>
          <w:sz w:val="24"/>
          <w:lang w:eastAsia="en-ZA"/>
        </w:rPr>
        <w:t xml:space="preserve"> quarter is 76 facilities that have achieve status. The breakdown per province is indicate in the table below.</w:t>
      </w:r>
    </w:p>
    <w:p w:rsidR="002F43C3" w:rsidRPr="002F43C3" w:rsidRDefault="002F43C3" w:rsidP="002F43C3">
      <w:pPr>
        <w:ind w:left="630" w:hanging="630"/>
        <w:jc w:val="both"/>
        <w:textAlignment w:val="baseline"/>
        <w:rPr>
          <w:sz w:val="24"/>
          <w:lang w:val="en-US" w:eastAsia="en-ZA"/>
        </w:rPr>
      </w:pPr>
      <w:r w:rsidRPr="002F43C3">
        <w:rPr>
          <w:sz w:val="24"/>
          <w:lang w:val="en-US" w:eastAsia="en-ZA"/>
        </w:rPr>
        <w:t> </w:t>
      </w:r>
    </w:p>
    <w:p w:rsidR="002F43C3" w:rsidRPr="002F43C3" w:rsidRDefault="002F43C3" w:rsidP="002F43C3">
      <w:pPr>
        <w:ind w:left="630"/>
        <w:jc w:val="both"/>
        <w:textAlignment w:val="baseline"/>
        <w:rPr>
          <w:color w:val="000000"/>
          <w:sz w:val="24"/>
          <w:lang w:eastAsia="en-ZA"/>
        </w:rPr>
      </w:pPr>
      <w:r w:rsidRPr="002F43C3">
        <w:rPr>
          <w:color w:val="000000"/>
          <w:sz w:val="24"/>
          <w:lang w:eastAsia="en-ZA"/>
        </w:rPr>
        <w:t>Health facilities inspection tools for both Ideal Clinic and Office of Health Standards Compliance were recently aligned to ensure that they request same evidence for compliance with Norms and Standards by the health facilities. Provincial workshops were also conducted on the aligned tools. The effective date of implementation for aligned tools is the 1</w:t>
      </w:r>
      <w:r w:rsidRPr="002F43C3">
        <w:rPr>
          <w:color w:val="000000"/>
          <w:sz w:val="24"/>
          <w:vertAlign w:val="superscript"/>
          <w:lang w:eastAsia="en-ZA"/>
        </w:rPr>
        <w:t>st</w:t>
      </w:r>
      <w:r w:rsidRPr="002F43C3">
        <w:rPr>
          <w:color w:val="000000"/>
          <w:sz w:val="24"/>
          <w:lang w:eastAsia="en-ZA"/>
        </w:rPr>
        <w:t xml:space="preserve"> of April 2020.</w:t>
      </w:r>
    </w:p>
    <w:p w:rsidR="002F43C3" w:rsidRPr="002F43C3" w:rsidRDefault="002F43C3" w:rsidP="002F43C3">
      <w:pPr>
        <w:ind w:left="630" w:hanging="630"/>
        <w:jc w:val="both"/>
        <w:textAlignment w:val="baseline"/>
        <w:rPr>
          <w:sz w:val="24"/>
          <w:lang w:val="en-US" w:eastAsia="en-ZA"/>
        </w:rPr>
      </w:pPr>
      <w:r w:rsidRPr="002F43C3">
        <w:rPr>
          <w:sz w:val="24"/>
          <w:lang w:val="en-US" w:eastAsia="en-ZA"/>
        </w:rPr>
        <w:t> </w:t>
      </w:r>
      <w:r w:rsidRPr="002F43C3">
        <w:rPr>
          <w:sz w:val="24"/>
          <w:lang w:val="en-US" w:eastAsia="en-ZA"/>
        </w:rPr>
        <w:tab/>
      </w:r>
    </w:p>
    <w:p w:rsidR="002F43C3" w:rsidRPr="002F43C3" w:rsidRDefault="002F43C3" w:rsidP="002F43C3">
      <w:pPr>
        <w:ind w:left="630"/>
        <w:jc w:val="both"/>
        <w:textAlignment w:val="baseline"/>
        <w:rPr>
          <w:color w:val="2E74B5"/>
          <w:sz w:val="24"/>
          <w:lang w:val="en-US" w:eastAsia="en-ZA"/>
        </w:rPr>
      </w:pPr>
      <w:r w:rsidRPr="002F43C3">
        <w:rPr>
          <w:b/>
          <w:bCs/>
          <w:sz w:val="24"/>
          <w:lang w:eastAsia="en-ZA"/>
        </w:rPr>
        <w:t>Table 1: Ideal Clinic Achievement by Province for 2015/16 to 2018/2019 and 2019/2020 (Quarter 3) </w:t>
      </w:r>
      <w:r w:rsidRPr="002F43C3">
        <w:rPr>
          <w:color w:val="2E74B5"/>
          <w:sz w:val="24"/>
          <w:lang w:val="en-US" w:eastAsia="en-ZA"/>
        </w:rPr>
        <w:t> </w:t>
      </w:r>
    </w:p>
    <w:p w:rsidR="002F43C3" w:rsidRPr="002F43C3" w:rsidRDefault="002F43C3" w:rsidP="002F43C3">
      <w:pPr>
        <w:ind w:left="630"/>
        <w:jc w:val="both"/>
        <w:textAlignment w:val="baseline"/>
        <w:rPr>
          <w:color w:val="2E74B5"/>
          <w:sz w:val="24"/>
          <w:lang w:val="en-US" w:eastAsia="en-ZA"/>
        </w:rPr>
      </w:pPr>
    </w:p>
    <w:p w:rsidR="002F43C3" w:rsidRPr="002F43C3" w:rsidRDefault="002F43C3" w:rsidP="002F43C3">
      <w:pPr>
        <w:ind w:left="630"/>
        <w:jc w:val="both"/>
        <w:textAlignment w:val="baseline"/>
        <w:rPr>
          <w:color w:val="2E74B5"/>
          <w:sz w:val="24"/>
          <w:lang w:val="en-US" w:eastAsia="en-ZA"/>
        </w:rPr>
      </w:pPr>
      <w:r w:rsidRPr="002F43C3">
        <w:rPr>
          <w:b/>
          <w:bCs/>
          <w:sz w:val="24"/>
          <w:lang w:eastAsia="en-ZA"/>
        </w:rPr>
        <w:t>Financial Years</w:t>
      </w:r>
      <w:r w:rsidRPr="002F43C3">
        <w:rPr>
          <w:color w:val="2E74B5"/>
          <w:sz w:val="24"/>
          <w:lang w:val="en-US" w:eastAsia="en-ZA"/>
        </w:rPr>
        <w:t> </w:t>
      </w:r>
    </w:p>
    <w:tbl>
      <w:tblPr>
        <w:tblpPr w:leftFromText="180" w:rightFromText="180" w:vertAnchor="text" w:horzAnchor="margin" w:tblpX="701" w:tblpY="134"/>
        <w:tblW w:w="94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3"/>
        <w:gridCol w:w="1551"/>
        <w:gridCol w:w="1560"/>
        <w:gridCol w:w="1417"/>
        <w:gridCol w:w="1559"/>
        <w:gridCol w:w="1567"/>
      </w:tblGrid>
      <w:tr w:rsidR="007B39FB" w:rsidRPr="002F43C3" w:rsidTr="007B39FB">
        <w:trPr>
          <w:trHeight w:val="393"/>
        </w:trPr>
        <w:tc>
          <w:tcPr>
            <w:tcW w:w="1843" w:type="dxa"/>
            <w:tcBorders>
              <w:top w:val="single" w:sz="6" w:space="0" w:color="A5A5A5"/>
              <w:left w:val="single" w:sz="6" w:space="0" w:color="A5A5A5"/>
              <w:bottom w:val="single" w:sz="6" w:space="0" w:color="A5A5A5"/>
              <w:right w:val="single" w:sz="6" w:space="0" w:color="A5A5A5"/>
            </w:tcBorders>
            <w:shd w:val="clear" w:color="auto" w:fill="DBDBDB"/>
            <w:vAlign w:val="center"/>
            <w:hideMark/>
          </w:tcPr>
          <w:p w:rsidR="002F43C3" w:rsidRPr="002F43C3" w:rsidRDefault="002F43C3" w:rsidP="007B39FB">
            <w:pPr>
              <w:jc w:val="center"/>
              <w:textAlignment w:val="baseline"/>
              <w:rPr>
                <w:sz w:val="24"/>
                <w:lang w:eastAsia="en-ZA"/>
              </w:rPr>
            </w:pPr>
            <w:r w:rsidRPr="002F43C3">
              <w:rPr>
                <w:b/>
                <w:bCs/>
                <w:sz w:val="24"/>
                <w:lang w:val="en-US" w:eastAsia="en-ZA"/>
              </w:rPr>
              <w:t>Province</w:t>
            </w:r>
            <w:r w:rsidRPr="002F43C3">
              <w:rPr>
                <w:sz w:val="24"/>
                <w:lang w:eastAsia="en-ZA"/>
              </w:rPr>
              <w:t> </w:t>
            </w:r>
          </w:p>
        </w:tc>
        <w:tc>
          <w:tcPr>
            <w:tcW w:w="1551" w:type="dxa"/>
            <w:tcBorders>
              <w:top w:val="single" w:sz="6" w:space="0" w:color="auto"/>
              <w:left w:val="nil"/>
              <w:bottom w:val="single" w:sz="6" w:space="0" w:color="auto"/>
              <w:right w:val="nil"/>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val="en-US" w:eastAsia="en-ZA"/>
              </w:rPr>
              <w:t>2015/2016</w:t>
            </w:r>
            <w:r w:rsidRPr="002F43C3">
              <w:rPr>
                <w:sz w:val="24"/>
                <w:lang w:eastAsia="en-ZA"/>
              </w:rPr>
              <w:t> </w:t>
            </w:r>
          </w:p>
        </w:tc>
        <w:tc>
          <w:tcPr>
            <w:tcW w:w="1560" w:type="dxa"/>
            <w:tcBorders>
              <w:top w:val="single" w:sz="6" w:space="0" w:color="A5A5A5"/>
              <w:left w:val="single" w:sz="6" w:space="0" w:color="A5A5A5"/>
              <w:bottom w:val="single" w:sz="6" w:space="0" w:color="A5A5A5"/>
              <w:right w:val="single" w:sz="6" w:space="0" w:color="A5A5A5"/>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val="en-US" w:eastAsia="en-ZA"/>
              </w:rPr>
              <w:t>2016/2017</w:t>
            </w:r>
            <w:r w:rsidRPr="002F43C3">
              <w:rPr>
                <w:sz w:val="24"/>
                <w:lang w:eastAsia="en-ZA"/>
              </w:rPr>
              <w:t> </w:t>
            </w:r>
          </w:p>
        </w:tc>
        <w:tc>
          <w:tcPr>
            <w:tcW w:w="1417" w:type="dxa"/>
            <w:tcBorders>
              <w:top w:val="single" w:sz="6" w:space="0" w:color="auto"/>
              <w:left w:val="nil"/>
              <w:bottom w:val="single" w:sz="6" w:space="0" w:color="auto"/>
              <w:right w:val="nil"/>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val="en-US" w:eastAsia="en-ZA"/>
              </w:rPr>
              <w:t>2017/2018</w:t>
            </w:r>
            <w:r w:rsidRPr="002F43C3">
              <w:rPr>
                <w:sz w:val="24"/>
                <w:lang w:eastAsia="en-ZA"/>
              </w:rPr>
              <w:t> </w:t>
            </w:r>
          </w:p>
        </w:tc>
        <w:tc>
          <w:tcPr>
            <w:tcW w:w="1559" w:type="dxa"/>
            <w:tcBorders>
              <w:top w:val="single" w:sz="6" w:space="0" w:color="A5A5A5"/>
              <w:left w:val="single" w:sz="6" w:space="0" w:color="A5A5A5"/>
              <w:bottom w:val="single" w:sz="6" w:space="0" w:color="A5A5A5"/>
              <w:right w:val="single" w:sz="6" w:space="0" w:color="A5A5A5"/>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val="en-US" w:eastAsia="en-ZA"/>
              </w:rPr>
              <w:t>2018/2019</w:t>
            </w:r>
            <w:r w:rsidRPr="002F43C3">
              <w:rPr>
                <w:sz w:val="24"/>
                <w:lang w:eastAsia="en-ZA"/>
              </w:rPr>
              <w:t> </w:t>
            </w:r>
          </w:p>
        </w:tc>
        <w:tc>
          <w:tcPr>
            <w:tcW w:w="1567" w:type="dxa"/>
            <w:tcBorders>
              <w:top w:val="single" w:sz="6" w:space="0" w:color="auto"/>
              <w:left w:val="nil"/>
              <w:bottom w:val="single" w:sz="6" w:space="0" w:color="auto"/>
              <w:right w:val="single" w:sz="6" w:space="0" w:color="auto"/>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val="en-US" w:eastAsia="en-ZA"/>
              </w:rPr>
              <w:t>2019/2020 (Preliminary results)</w:t>
            </w:r>
            <w:r w:rsidRPr="002F43C3">
              <w:rPr>
                <w:sz w:val="24"/>
                <w:lang w:eastAsia="en-ZA"/>
              </w:rPr>
              <w:t> </w:t>
            </w:r>
          </w:p>
        </w:tc>
      </w:tr>
      <w:tr w:rsidR="007B39FB" w:rsidRPr="002F43C3" w:rsidTr="007B39FB">
        <w:trPr>
          <w:trHeight w:val="209"/>
        </w:trPr>
        <w:tc>
          <w:tcPr>
            <w:tcW w:w="1843" w:type="dxa"/>
            <w:tcBorders>
              <w:top w:val="nil"/>
              <w:left w:val="single" w:sz="6" w:space="0" w:color="auto"/>
              <w:bottom w:val="nil"/>
              <w:right w:val="single" w:sz="6" w:space="0" w:color="auto"/>
            </w:tcBorders>
            <w:shd w:val="clear" w:color="auto" w:fill="auto"/>
            <w:hideMark/>
          </w:tcPr>
          <w:p w:rsidR="002F43C3" w:rsidRPr="002F43C3" w:rsidRDefault="002F43C3" w:rsidP="007B39FB">
            <w:pPr>
              <w:textAlignment w:val="baseline"/>
              <w:rPr>
                <w:sz w:val="24"/>
                <w:lang w:eastAsia="en-ZA"/>
              </w:rPr>
            </w:pPr>
            <w:r w:rsidRPr="002F43C3">
              <w:rPr>
                <w:b/>
                <w:bCs/>
                <w:sz w:val="24"/>
                <w:lang w:eastAsia="en-ZA"/>
              </w:rPr>
              <w:t>Eastern Cape</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14</w:t>
            </w:r>
            <w:r w:rsidRPr="002F43C3">
              <w:rPr>
                <w:sz w:val="24"/>
                <w:lang w:eastAsia="en-ZA"/>
              </w:rPr>
              <w:t> </w:t>
            </w:r>
          </w:p>
        </w:tc>
        <w:tc>
          <w:tcPr>
            <w:tcW w:w="1560"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139</w:t>
            </w:r>
            <w:r w:rsidRPr="002F43C3">
              <w:rPr>
                <w:sz w:val="24"/>
                <w:lang w:eastAsia="en-ZA"/>
              </w:rPr>
              <w:t> </w:t>
            </w:r>
          </w:p>
        </w:tc>
        <w:tc>
          <w:tcPr>
            <w:tcW w:w="1417"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157</w:t>
            </w:r>
            <w:r w:rsidRPr="002F43C3">
              <w:rPr>
                <w:sz w:val="24"/>
                <w:lang w:eastAsia="en-ZA"/>
              </w:rPr>
              <w:t> </w:t>
            </w:r>
          </w:p>
        </w:tc>
        <w:tc>
          <w:tcPr>
            <w:tcW w:w="1559"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249</w:t>
            </w:r>
            <w:r w:rsidRPr="002F43C3">
              <w:rPr>
                <w:sz w:val="24"/>
                <w:lang w:eastAsia="en-ZA"/>
              </w:rPr>
              <w:t> </w:t>
            </w:r>
          </w:p>
        </w:tc>
        <w:tc>
          <w:tcPr>
            <w:tcW w:w="1567" w:type="dxa"/>
            <w:tcBorders>
              <w:top w:val="nil"/>
              <w:left w:val="nil"/>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15</w:t>
            </w:r>
            <w:r w:rsidRPr="002F43C3">
              <w:rPr>
                <w:sz w:val="24"/>
                <w:lang w:eastAsia="en-ZA"/>
              </w:rPr>
              <w:t> </w:t>
            </w:r>
          </w:p>
        </w:tc>
      </w:tr>
      <w:tr w:rsidR="007B39FB" w:rsidRPr="002F43C3" w:rsidTr="007B39FB">
        <w:trPr>
          <w:trHeight w:val="131"/>
        </w:trPr>
        <w:tc>
          <w:tcPr>
            <w:tcW w:w="1843"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textAlignment w:val="baseline"/>
              <w:rPr>
                <w:sz w:val="24"/>
                <w:lang w:eastAsia="en-ZA"/>
              </w:rPr>
            </w:pPr>
            <w:r w:rsidRPr="002F43C3">
              <w:rPr>
                <w:b/>
                <w:bCs/>
                <w:sz w:val="24"/>
                <w:lang w:eastAsia="en-ZA"/>
              </w:rPr>
              <w:t>Free State</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22</w:t>
            </w:r>
            <w:r w:rsidRPr="002F43C3">
              <w:rPr>
                <w:sz w:val="24"/>
                <w:lang w:eastAsia="en-ZA"/>
              </w:rPr>
              <w:t> </w:t>
            </w:r>
          </w:p>
        </w:tc>
        <w:tc>
          <w:tcPr>
            <w:tcW w:w="1560"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78</w:t>
            </w:r>
            <w:r w:rsidRPr="002F43C3">
              <w:rPr>
                <w:sz w:val="24"/>
                <w:lang w:eastAsia="en-ZA"/>
              </w:rPr>
              <w:t> </w:t>
            </w:r>
          </w:p>
        </w:tc>
        <w:tc>
          <w:tcPr>
            <w:tcW w:w="1417"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114</w:t>
            </w:r>
            <w:r w:rsidRPr="002F43C3">
              <w:rPr>
                <w:sz w:val="24"/>
                <w:lang w:eastAsia="en-ZA"/>
              </w:rPr>
              <w:t> </w:t>
            </w:r>
          </w:p>
        </w:tc>
        <w:tc>
          <w:tcPr>
            <w:tcW w:w="1559"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168</w:t>
            </w:r>
            <w:r w:rsidRPr="002F43C3">
              <w:rPr>
                <w:sz w:val="24"/>
                <w:lang w:eastAsia="en-ZA"/>
              </w:rPr>
              <w:t> </w:t>
            </w:r>
          </w:p>
        </w:tc>
        <w:tc>
          <w:tcPr>
            <w:tcW w:w="1567" w:type="dxa"/>
            <w:tcBorders>
              <w:top w:val="single" w:sz="6" w:space="0" w:color="auto"/>
              <w:left w:val="nil"/>
              <w:bottom w:val="single" w:sz="6" w:space="0" w:color="auto"/>
              <w:right w:val="single" w:sz="6" w:space="0" w:color="auto"/>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0</w:t>
            </w:r>
            <w:r w:rsidRPr="002F43C3">
              <w:rPr>
                <w:sz w:val="24"/>
                <w:lang w:eastAsia="en-ZA"/>
              </w:rPr>
              <w:t> </w:t>
            </w:r>
          </w:p>
        </w:tc>
      </w:tr>
      <w:tr w:rsidR="007B39FB" w:rsidRPr="002F43C3" w:rsidTr="007B39FB">
        <w:trPr>
          <w:trHeight w:val="120"/>
        </w:trPr>
        <w:tc>
          <w:tcPr>
            <w:tcW w:w="1843" w:type="dxa"/>
            <w:tcBorders>
              <w:top w:val="nil"/>
              <w:left w:val="single" w:sz="6" w:space="0" w:color="auto"/>
              <w:bottom w:val="nil"/>
              <w:right w:val="single" w:sz="6" w:space="0" w:color="auto"/>
            </w:tcBorders>
            <w:shd w:val="clear" w:color="auto" w:fill="auto"/>
            <w:hideMark/>
          </w:tcPr>
          <w:p w:rsidR="002F43C3" w:rsidRPr="002F43C3" w:rsidRDefault="002F43C3" w:rsidP="007B39FB">
            <w:pPr>
              <w:textAlignment w:val="baseline"/>
              <w:rPr>
                <w:sz w:val="24"/>
                <w:lang w:eastAsia="en-ZA"/>
              </w:rPr>
            </w:pPr>
            <w:r w:rsidRPr="002F43C3">
              <w:rPr>
                <w:b/>
                <w:bCs/>
                <w:sz w:val="24"/>
                <w:lang w:eastAsia="en-ZA"/>
              </w:rPr>
              <w:t>Gauteng</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89</w:t>
            </w:r>
            <w:r w:rsidRPr="002F43C3">
              <w:rPr>
                <w:sz w:val="24"/>
                <w:lang w:eastAsia="en-ZA"/>
              </w:rPr>
              <w:t> </w:t>
            </w:r>
          </w:p>
        </w:tc>
        <w:tc>
          <w:tcPr>
            <w:tcW w:w="1560"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215</w:t>
            </w:r>
            <w:r w:rsidRPr="002F43C3">
              <w:rPr>
                <w:sz w:val="24"/>
                <w:lang w:eastAsia="en-ZA"/>
              </w:rPr>
              <w:t> </w:t>
            </w:r>
          </w:p>
        </w:tc>
        <w:tc>
          <w:tcPr>
            <w:tcW w:w="1417"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291</w:t>
            </w:r>
            <w:r w:rsidRPr="002F43C3">
              <w:rPr>
                <w:sz w:val="24"/>
                <w:lang w:eastAsia="en-ZA"/>
              </w:rPr>
              <w:t> </w:t>
            </w:r>
          </w:p>
        </w:tc>
        <w:tc>
          <w:tcPr>
            <w:tcW w:w="1559"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330</w:t>
            </w:r>
            <w:r w:rsidRPr="002F43C3">
              <w:rPr>
                <w:sz w:val="24"/>
                <w:lang w:eastAsia="en-ZA"/>
              </w:rPr>
              <w:t> </w:t>
            </w:r>
          </w:p>
        </w:tc>
        <w:tc>
          <w:tcPr>
            <w:tcW w:w="1567" w:type="dxa"/>
            <w:tcBorders>
              <w:top w:val="nil"/>
              <w:left w:val="nil"/>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6</w:t>
            </w:r>
            <w:r w:rsidRPr="002F43C3">
              <w:rPr>
                <w:sz w:val="24"/>
                <w:lang w:eastAsia="en-ZA"/>
              </w:rPr>
              <w:t> </w:t>
            </w:r>
          </w:p>
        </w:tc>
      </w:tr>
      <w:tr w:rsidR="007B39FB" w:rsidRPr="002F43C3" w:rsidTr="007B39FB">
        <w:trPr>
          <w:trHeight w:val="120"/>
        </w:trPr>
        <w:tc>
          <w:tcPr>
            <w:tcW w:w="1843"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textAlignment w:val="baseline"/>
              <w:rPr>
                <w:sz w:val="24"/>
                <w:lang w:eastAsia="en-ZA"/>
              </w:rPr>
            </w:pPr>
            <w:r w:rsidRPr="002F43C3">
              <w:rPr>
                <w:b/>
                <w:bCs/>
                <w:sz w:val="24"/>
                <w:lang w:eastAsia="en-ZA"/>
              </w:rPr>
              <w:t>KwaZulu-Natal</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141</w:t>
            </w:r>
            <w:r w:rsidRPr="002F43C3">
              <w:rPr>
                <w:sz w:val="24"/>
                <w:lang w:eastAsia="en-ZA"/>
              </w:rPr>
              <w:t> </w:t>
            </w:r>
          </w:p>
        </w:tc>
        <w:tc>
          <w:tcPr>
            <w:tcW w:w="1560"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288</w:t>
            </w:r>
            <w:r w:rsidRPr="002F43C3">
              <w:rPr>
                <w:sz w:val="24"/>
                <w:lang w:eastAsia="en-ZA"/>
              </w:rPr>
              <w:t> </w:t>
            </w:r>
          </w:p>
        </w:tc>
        <w:tc>
          <w:tcPr>
            <w:tcW w:w="1417"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383</w:t>
            </w:r>
            <w:r w:rsidRPr="002F43C3">
              <w:rPr>
                <w:sz w:val="24"/>
                <w:lang w:eastAsia="en-ZA"/>
              </w:rPr>
              <w:t> </w:t>
            </w:r>
          </w:p>
        </w:tc>
        <w:tc>
          <w:tcPr>
            <w:tcW w:w="1559"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461</w:t>
            </w:r>
            <w:r w:rsidRPr="002F43C3">
              <w:rPr>
                <w:sz w:val="24"/>
                <w:lang w:eastAsia="en-ZA"/>
              </w:rPr>
              <w:t> </w:t>
            </w:r>
          </w:p>
        </w:tc>
        <w:tc>
          <w:tcPr>
            <w:tcW w:w="1567" w:type="dxa"/>
            <w:tcBorders>
              <w:top w:val="single" w:sz="6" w:space="0" w:color="auto"/>
              <w:left w:val="nil"/>
              <w:bottom w:val="single" w:sz="6" w:space="0" w:color="auto"/>
              <w:right w:val="single" w:sz="6" w:space="0" w:color="auto"/>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19</w:t>
            </w:r>
            <w:r w:rsidRPr="002F43C3">
              <w:rPr>
                <w:sz w:val="24"/>
                <w:lang w:eastAsia="en-ZA"/>
              </w:rPr>
              <w:t> </w:t>
            </w:r>
          </w:p>
        </w:tc>
      </w:tr>
      <w:tr w:rsidR="007B39FB" w:rsidRPr="002F43C3" w:rsidTr="007B39FB">
        <w:trPr>
          <w:trHeight w:val="131"/>
        </w:trPr>
        <w:tc>
          <w:tcPr>
            <w:tcW w:w="1843" w:type="dxa"/>
            <w:tcBorders>
              <w:top w:val="nil"/>
              <w:left w:val="single" w:sz="6" w:space="0" w:color="auto"/>
              <w:bottom w:val="nil"/>
              <w:right w:val="single" w:sz="6" w:space="0" w:color="auto"/>
            </w:tcBorders>
            <w:shd w:val="clear" w:color="auto" w:fill="auto"/>
            <w:hideMark/>
          </w:tcPr>
          <w:p w:rsidR="002F43C3" w:rsidRPr="002F43C3" w:rsidRDefault="002F43C3" w:rsidP="007B39FB">
            <w:pPr>
              <w:textAlignment w:val="baseline"/>
              <w:rPr>
                <w:sz w:val="24"/>
                <w:lang w:eastAsia="en-ZA"/>
              </w:rPr>
            </w:pPr>
            <w:r w:rsidRPr="002F43C3">
              <w:rPr>
                <w:b/>
                <w:bCs/>
                <w:sz w:val="24"/>
                <w:lang w:eastAsia="en-ZA"/>
              </w:rPr>
              <w:t>Limpopo</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27</w:t>
            </w:r>
            <w:r w:rsidRPr="002F43C3">
              <w:rPr>
                <w:sz w:val="24"/>
                <w:lang w:eastAsia="en-ZA"/>
              </w:rPr>
              <w:t> </w:t>
            </w:r>
          </w:p>
        </w:tc>
        <w:tc>
          <w:tcPr>
            <w:tcW w:w="1560"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51</w:t>
            </w:r>
            <w:r w:rsidRPr="002F43C3">
              <w:rPr>
                <w:sz w:val="24"/>
                <w:lang w:eastAsia="en-ZA"/>
              </w:rPr>
              <w:t> </w:t>
            </w:r>
          </w:p>
        </w:tc>
        <w:tc>
          <w:tcPr>
            <w:tcW w:w="1417"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121</w:t>
            </w:r>
            <w:r w:rsidRPr="002F43C3">
              <w:rPr>
                <w:sz w:val="24"/>
                <w:lang w:eastAsia="en-ZA"/>
              </w:rPr>
              <w:t> </w:t>
            </w:r>
          </w:p>
        </w:tc>
        <w:tc>
          <w:tcPr>
            <w:tcW w:w="1559"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165</w:t>
            </w:r>
            <w:r w:rsidRPr="002F43C3">
              <w:rPr>
                <w:sz w:val="24"/>
                <w:lang w:eastAsia="en-ZA"/>
              </w:rPr>
              <w:t> </w:t>
            </w:r>
          </w:p>
        </w:tc>
        <w:tc>
          <w:tcPr>
            <w:tcW w:w="1567" w:type="dxa"/>
            <w:tcBorders>
              <w:top w:val="nil"/>
              <w:left w:val="nil"/>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w:t>
            </w:r>
            <w:r w:rsidRPr="002F43C3">
              <w:rPr>
                <w:sz w:val="24"/>
                <w:lang w:eastAsia="en-ZA"/>
              </w:rPr>
              <w:t> </w:t>
            </w:r>
          </w:p>
        </w:tc>
      </w:tr>
      <w:tr w:rsidR="007B39FB" w:rsidRPr="002F43C3" w:rsidTr="007B39FB">
        <w:trPr>
          <w:trHeight w:val="120"/>
        </w:trPr>
        <w:tc>
          <w:tcPr>
            <w:tcW w:w="1843"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textAlignment w:val="baseline"/>
              <w:rPr>
                <w:sz w:val="24"/>
                <w:lang w:eastAsia="en-ZA"/>
              </w:rPr>
            </w:pPr>
            <w:r w:rsidRPr="002F43C3">
              <w:rPr>
                <w:b/>
                <w:bCs/>
                <w:sz w:val="24"/>
                <w:lang w:eastAsia="en-ZA"/>
              </w:rPr>
              <w:t>Mpumalanga</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19</w:t>
            </w:r>
            <w:r w:rsidRPr="002F43C3">
              <w:rPr>
                <w:sz w:val="24"/>
                <w:lang w:eastAsia="en-ZA"/>
              </w:rPr>
              <w:t> </w:t>
            </w:r>
          </w:p>
        </w:tc>
        <w:tc>
          <w:tcPr>
            <w:tcW w:w="1560"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66</w:t>
            </w:r>
            <w:r w:rsidRPr="002F43C3">
              <w:rPr>
                <w:sz w:val="24"/>
                <w:lang w:eastAsia="en-ZA"/>
              </w:rPr>
              <w:t> </w:t>
            </w:r>
          </w:p>
        </w:tc>
        <w:tc>
          <w:tcPr>
            <w:tcW w:w="1417"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87</w:t>
            </w:r>
            <w:r w:rsidRPr="002F43C3">
              <w:rPr>
                <w:sz w:val="24"/>
                <w:lang w:eastAsia="en-ZA"/>
              </w:rPr>
              <w:t> </w:t>
            </w:r>
          </w:p>
        </w:tc>
        <w:tc>
          <w:tcPr>
            <w:tcW w:w="1559"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133</w:t>
            </w:r>
            <w:r w:rsidRPr="002F43C3">
              <w:rPr>
                <w:sz w:val="24"/>
                <w:lang w:eastAsia="en-ZA"/>
              </w:rPr>
              <w:t> </w:t>
            </w:r>
          </w:p>
        </w:tc>
        <w:tc>
          <w:tcPr>
            <w:tcW w:w="1567" w:type="dxa"/>
            <w:tcBorders>
              <w:top w:val="single" w:sz="6" w:space="0" w:color="auto"/>
              <w:left w:val="nil"/>
              <w:bottom w:val="single" w:sz="6" w:space="0" w:color="auto"/>
              <w:right w:val="single" w:sz="6" w:space="0" w:color="auto"/>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3</w:t>
            </w:r>
            <w:r w:rsidRPr="002F43C3">
              <w:rPr>
                <w:sz w:val="24"/>
                <w:lang w:eastAsia="en-ZA"/>
              </w:rPr>
              <w:t> </w:t>
            </w:r>
          </w:p>
        </w:tc>
      </w:tr>
      <w:tr w:rsidR="007B39FB" w:rsidRPr="002F43C3" w:rsidTr="007B39FB">
        <w:trPr>
          <w:trHeight w:val="131"/>
        </w:trPr>
        <w:tc>
          <w:tcPr>
            <w:tcW w:w="1843" w:type="dxa"/>
            <w:tcBorders>
              <w:top w:val="nil"/>
              <w:left w:val="single" w:sz="6" w:space="0" w:color="auto"/>
              <w:bottom w:val="nil"/>
              <w:right w:val="single" w:sz="6" w:space="0" w:color="auto"/>
            </w:tcBorders>
            <w:shd w:val="clear" w:color="auto" w:fill="auto"/>
            <w:hideMark/>
          </w:tcPr>
          <w:p w:rsidR="002F43C3" w:rsidRPr="002F43C3" w:rsidRDefault="002F43C3" w:rsidP="007B39FB">
            <w:pPr>
              <w:textAlignment w:val="baseline"/>
              <w:rPr>
                <w:sz w:val="24"/>
                <w:lang w:eastAsia="en-ZA"/>
              </w:rPr>
            </w:pPr>
            <w:r w:rsidRPr="002F43C3">
              <w:rPr>
                <w:b/>
                <w:bCs/>
                <w:sz w:val="24"/>
                <w:lang w:eastAsia="en-ZA"/>
              </w:rPr>
              <w:t>Northern Cape</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3</w:t>
            </w:r>
            <w:r w:rsidRPr="002F43C3">
              <w:rPr>
                <w:sz w:val="24"/>
                <w:lang w:eastAsia="en-ZA"/>
              </w:rPr>
              <w:t> </w:t>
            </w:r>
          </w:p>
        </w:tc>
        <w:tc>
          <w:tcPr>
            <w:tcW w:w="1560"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67</w:t>
            </w:r>
            <w:r w:rsidRPr="002F43C3">
              <w:rPr>
                <w:sz w:val="24"/>
                <w:lang w:eastAsia="en-ZA"/>
              </w:rPr>
              <w:t> </w:t>
            </w:r>
          </w:p>
        </w:tc>
        <w:tc>
          <w:tcPr>
            <w:tcW w:w="1417"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89</w:t>
            </w:r>
            <w:r w:rsidRPr="002F43C3">
              <w:rPr>
                <w:sz w:val="24"/>
                <w:lang w:eastAsia="en-ZA"/>
              </w:rPr>
              <w:t> </w:t>
            </w:r>
          </w:p>
        </w:tc>
        <w:tc>
          <w:tcPr>
            <w:tcW w:w="1559"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92</w:t>
            </w:r>
            <w:r w:rsidRPr="002F43C3">
              <w:rPr>
                <w:sz w:val="24"/>
                <w:lang w:eastAsia="en-ZA"/>
              </w:rPr>
              <w:t> </w:t>
            </w:r>
          </w:p>
        </w:tc>
        <w:tc>
          <w:tcPr>
            <w:tcW w:w="1567" w:type="dxa"/>
            <w:tcBorders>
              <w:top w:val="nil"/>
              <w:left w:val="nil"/>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0</w:t>
            </w:r>
            <w:r w:rsidRPr="002F43C3">
              <w:rPr>
                <w:sz w:val="24"/>
                <w:lang w:eastAsia="en-ZA"/>
              </w:rPr>
              <w:t> </w:t>
            </w:r>
          </w:p>
        </w:tc>
      </w:tr>
      <w:tr w:rsidR="007B39FB" w:rsidRPr="002F43C3" w:rsidTr="007B39FB">
        <w:trPr>
          <w:trHeight w:val="120"/>
        </w:trPr>
        <w:tc>
          <w:tcPr>
            <w:tcW w:w="1843"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textAlignment w:val="baseline"/>
              <w:rPr>
                <w:sz w:val="24"/>
                <w:lang w:eastAsia="en-ZA"/>
              </w:rPr>
            </w:pPr>
            <w:r w:rsidRPr="002F43C3">
              <w:rPr>
                <w:b/>
                <w:bCs/>
                <w:sz w:val="24"/>
                <w:lang w:eastAsia="en-ZA"/>
              </w:rPr>
              <w:t>North West</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7</w:t>
            </w:r>
            <w:r w:rsidRPr="002F43C3">
              <w:rPr>
                <w:sz w:val="24"/>
                <w:lang w:eastAsia="en-ZA"/>
              </w:rPr>
              <w:t> </w:t>
            </w:r>
          </w:p>
        </w:tc>
        <w:tc>
          <w:tcPr>
            <w:tcW w:w="1560"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92</w:t>
            </w:r>
            <w:r w:rsidRPr="002F43C3">
              <w:rPr>
                <w:sz w:val="24"/>
                <w:lang w:eastAsia="en-ZA"/>
              </w:rPr>
              <w:t> </w:t>
            </w:r>
          </w:p>
        </w:tc>
        <w:tc>
          <w:tcPr>
            <w:tcW w:w="1417" w:type="dxa"/>
            <w:tcBorders>
              <w:top w:val="single" w:sz="6" w:space="0" w:color="auto"/>
              <w:left w:val="nil"/>
              <w:bottom w:val="single" w:sz="6" w:space="0" w:color="auto"/>
              <w:right w:val="nil"/>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121</w:t>
            </w:r>
            <w:r w:rsidRPr="002F43C3">
              <w:rPr>
                <w:sz w:val="24"/>
                <w:lang w:eastAsia="en-ZA"/>
              </w:rPr>
              <w:t> </w:t>
            </w:r>
          </w:p>
        </w:tc>
        <w:tc>
          <w:tcPr>
            <w:tcW w:w="1559" w:type="dxa"/>
            <w:tcBorders>
              <w:top w:val="single" w:sz="6" w:space="0" w:color="A5A5A5"/>
              <w:left w:val="single" w:sz="6" w:space="0" w:color="A5A5A5"/>
              <w:bottom w:val="single" w:sz="6" w:space="0" w:color="A5A5A5"/>
              <w:right w:val="single" w:sz="6" w:space="0" w:color="A5A5A5"/>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141</w:t>
            </w:r>
            <w:r w:rsidRPr="002F43C3">
              <w:rPr>
                <w:sz w:val="24"/>
                <w:lang w:eastAsia="en-ZA"/>
              </w:rPr>
              <w:t> </w:t>
            </w:r>
          </w:p>
        </w:tc>
        <w:tc>
          <w:tcPr>
            <w:tcW w:w="1567" w:type="dxa"/>
            <w:tcBorders>
              <w:top w:val="single" w:sz="6" w:space="0" w:color="auto"/>
              <w:left w:val="nil"/>
              <w:bottom w:val="single" w:sz="6" w:space="0" w:color="auto"/>
              <w:right w:val="single" w:sz="6" w:space="0" w:color="auto"/>
            </w:tcBorders>
            <w:shd w:val="clear" w:color="auto" w:fill="EDEDED"/>
            <w:hideMark/>
          </w:tcPr>
          <w:p w:rsidR="002F43C3" w:rsidRPr="002F43C3" w:rsidRDefault="002F43C3" w:rsidP="007B39FB">
            <w:pPr>
              <w:jc w:val="center"/>
              <w:textAlignment w:val="baseline"/>
              <w:rPr>
                <w:sz w:val="24"/>
                <w:lang w:eastAsia="en-ZA"/>
              </w:rPr>
            </w:pPr>
            <w:r w:rsidRPr="002F43C3">
              <w:rPr>
                <w:b/>
                <w:bCs/>
                <w:sz w:val="24"/>
                <w:lang w:eastAsia="en-ZA"/>
              </w:rPr>
              <w:t>9</w:t>
            </w:r>
            <w:r w:rsidRPr="002F43C3">
              <w:rPr>
                <w:sz w:val="24"/>
                <w:lang w:eastAsia="en-ZA"/>
              </w:rPr>
              <w:t> </w:t>
            </w:r>
          </w:p>
        </w:tc>
      </w:tr>
      <w:tr w:rsidR="007B39FB" w:rsidRPr="002F43C3" w:rsidTr="007B39FB">
        <w:trPr>
          <w:trHeight w:val="131"/>
        </w:trPr>
        <w:tc>
          <w:tcPr>
            <w:tcW w:w="1843" w:type="dxa"/>
            <w:tcBorders>
              <w:top w:val="nil"/>
              <w:left w:val="single" w:sz="6" w:space="0" w:color="auto"/>
              <w:bottom w:val="nil"/>
              <w:right w:val="single" w:sz="6" w:space="0" w:color="auto"/>
            </w:tcBorders>
            <w:shd w:val="clear" w:color="auto" w:fill="auto"/>
            <w:hideMark/>
          </w:tcPr>
          <w:p w:rsidR="002F43C3" w:rsidRPr="002F43C3" w:rsidRDefault="002F43C3" w:rsidP="007B39FB">
            <w:pPr>
              <w:textAlignment w:val="baseline"/>
              <w:rPr>
                <w:sz w:val="24"/>
                <w:lang w:eastAsia="en-ZA"/>
              </w:rPr>
            </w:pPr>
            <w:r w:rsidRPr="002F43C3">
              <w:rPr>
                <w:b/>
                <w:bCs/>
                <w:sz w:val="24"/>
                <w:lang w:eastAsia="en-ZA"/>
              </w:rPr>
              <w:t>Western Cape</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w:t>
            </w:r>
            <w:r w:rsidRPr="002F43C3">
              <w:rPr>
                <w:sz w:val="24"/>
                <w:lang w:eastAsia="en-ZA"/>
              </w:rPr>
              <w:t> </w:t>
            </w:r>
          </w:p>
        </w:tc>
        <w:tc>
          <w:tcPr>
            <w:tcW w:w="1560"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41</w:t>
            </w:r>
            <w:r w:rsidRPr="002F43C3">
              <w:rPr>
                <w:sz w:val="24"/>
                <w:lang w:eastAsia="en-ZA"/>
              </w:rPr>
              <w:t> </w:t>
            </w:r>
          </w:p>
        </w:tc>
        <w:tc>
          <w:tcPr>
            <w:tcW w:w="1417" w:type="dxa"/>
            <w:tcBorders>
              <w:top w:val="nil"/>
              <w:left w:val="nil"/>
              <w:bottom w:val="nil"/>
              <w:right w:val="nil"/>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144</w:t>
            </w:r>
            <w:r w:rsidRPr="002F43C3">
              <w:rPr>
                <w:sz w:val="24"/>
                <w:lang w:eastAsia="en-ZA"/>
              </w:rPr>
              <w:t> </w:t>
            </w:r>
          </w:p>
        </w:tc>
        <w:tc>
          <w:tcPr>
            <w:tcW w:w="1559" w:type="dxa"/>
            <w:tcBorders>
              <w:top w:val="nil"/>
              <w:left w:val="single" w:sz="6" w:space="0" w:color="auto"/>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181</w:t>
            </w:r>
            <w:r w:rsidRPr="002F43C3">
              <w:rPr>
                <w:sz w:val="24"/>
                <w:lang w:eastAsia="en-ZA"/>
              </w:rPr>
              <w:t> </w:t>
            </w:r>
          </w:p>
        </w:tc>
        <w:tc>
          <w:tcPr>
            <w:tcW w:w="1567" w:type="dxa"/>
            <w:tcBorders>
              <w:top w:val="nil"/>
              <w:left w:val="nil"/>
              <w:bottom w:val="nil"/>
              <w:right w:val="single" w:sz="6" w:space="0" w:color="auto"/>
            </w:tcBorders>
            <w:shd w:val="clear" w:color="auto" w:fill="auto"/>
            <w:hideMark/>
          </w:tcPr>
          <w:p w:rsidR="002F43C3" w:rsidRPr="002F43C3" w:rsidRDefault="002F43C3" w:rsidP="007B39FB">
            <w:pPr>
              <w:jc w:val="center"/>
              <w:textAlignment w:val="baseline"/>
              <w:rPr>
                <w:sz w:val="24"/>
                <w:lang w:eastAsia="en-ZA"/>
              </w:rPr>
            </w:pPr>
            <w:r w:rsidRPr="002F43C3">
              <w:rPr>
                <w:b/>
                <w:bCs/>
                <w:sz w:val="24"/>
                <w:lang w:eastAsia="en-ZA"/>
              </w:rPr>
              <w:t>23</w:t>
            </w:r>
            <w:r w:rsidRPr="002F43C3">
              <w:rPr>
                <w:sz w:val="24"/>
                <w:lang w:eastAsia="en-ZA"/>
              </w:rPr>
              <w:t> </w:t>
            </w:r>
          </w:p>
        </w:tc>
      </w:tr>
      <w:tr w:rsidR="007B39FB" w:rsidRPr="002F43C3" w:rsidTr="007B39FB">
        <w:trPr>
          <w:trHeight w:val="120"/>
        </w:trPr>
        <w:tc>
          <w:tcPr>
            <w:tcW w:w="1843" w:type="dxa"/>
            <w:tcBorders>
              <w:top w:val="single" w:sz="6" w:space="0" w:color="A5A5A5"/>
              <w:left w:val="single" w:sz="6" w:space="0" w:color="A5A5A5"/>
              <w:bottom w:val="single" w:sz="6" w:space="0" w:color="A5A5A5"/>
              <w:right w:val="single" w:sz="6" w:space="0" w:color="A5A5A5"/>
            </w:tcBorders>
            <w:shd w:val="clear" w:color="auto" w:fill="DBDBDB"/>
            <w:hideMark/>
          </w:tcPr>
          <w:p w:rsidR="002F43C3" w:rsidRPr="002F43C3" w:rsidRDefault="002F43C3" w:rsidP="007B39FB">
            <w:pPr>
              <w:textAlignment w:val="baseline"/>
              <w:rPr>
                <w:sz w:val="24"/>
                <w:lang w:eastAsia="en-ZA"/>
              </w:rPr>
            </w:pPr>
            <w:r w:rsidRPr="002F43C3">
              <w:rPr>
                <w:b/>
                <w:bCs/>
                <w:sz w:val="24"/>
                <w:lang w:eastAsia="en-ZA"/>
              </w:rPr>
              <w:t>TOTAL</w:t>
            </w:r>
            <w:r w:rsidRPr="002F43C3">
              <w:rPr>
                <w:sz w:val="24"/>
                <w:lang w:eastAsia="en-ZA"/>
              </w:rPr>
              <w:t> </w:t>
            </w:r>
          </w:p>
          <w:p w:rsidR="002F43C3" w:rsidRPr="002F43C3" w:rsidRDefault="002F43C3" w:rsidP="007B39FB">
            <w:pPr>
              <w:textAlignment w:val="baseline"/>
              <w:rPr>
                <w:sz w:val="24"/>
                <w:lang w:eastAsia="en-ZA"/>
              </w:rPr>
            </w:pPr>
            <w:r w:rsidRPr="002F43C3">
              <w:rPr>
                <w:sz w:val="24"/>
                <w:lang w:eastAsia="en-ZA"/>
              </w:rPr>
              <w:t> </w:t>
            </w:r>
          </w:p>
        </w:tc>
        <w:tc>
          <w:tcPr>
            <w:tcW w:w="1551" w:type="dxa"/>
            <w:tcBorders>
              <w:top w:val="single" w:sz="6" w:space="0" w:color="auto"/>
              <w:left w:val="nil"/>
              <w:bottom w:val="single" w:sz="6" w:space="0" w:color="auto"/>
              <w:right w:val="nil"/>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eastAsia="en-ZA"/>
              </w:rPr>
              <w:t>322</w:t>
            </w:r>
            <w:r w:rsidRPr="002F43C3">
              <w:rPr>
                <w:sz w:val="24"/>
                <w:lang w:eastAsia="en-ZA"/>
              </w:rPr>
              <w:t> </w:t>
            </w:r>
          </w:p>
        </w:tc>
        <w:tc>
          <w:tcPr>
            <w:tcW w:w="1560" w:type="dxa"/>
            <w:tcBorders>
              <w:top w:val="single" w:sz="6" w:space="0" w:color="A5A5A5"/>
              <w:left w:val="single" w:sz="6" w:space="0" w:color="A5A5A5"/>
              <w:bottom w:val="single" w:sz="6" w:space="0" w:color="A5A5A5"/>
              <w:right w:val="single" w:sz="6" w:space="0" w:color="A5A5A5"/>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eastAsia="en-ZA"/>
              </w:rPr>
              <w:t>1037</w:t>
            </w:r>
            <w:r w:rsidRPr="002F43C3">
              <w:rPr>
                <w:sz w:val="24"/>
                <w:lang w:eastAsia="en-ZA"/>
              </w:rPr>
              <w:t> </w:t>
            </w:r>
          </w:p>
        </w:tc>
        <w:tc>
          <w:tcPr>
            <w:tcW w:w="1417" w:type="dxa"/>
            <w:tcBorders>
              <w:top w:val="single" w:sz="6" w:space="0" w:color="auto"/>
              <w:left w:val="nil"/>
              <w:bottom w:val="single" w:sz="6" w:space="0" w:color="auto"/>
              <w:right w:val="nil"/>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eastAsia="en-ZA"/>
              </w:rPr>
              <w:t>1507</w:t>
            </w:r>
            <w:r w:rsidRPr="002F43C3">
              <w:rPr>
                <w:sz w:val="24"/>
                <w:lang w:eastAsia="en-ZA"/>
              </w:rPr>
              <w:t> </w:t>
            </w:r>
          </w:p>
        </w:tc>
        <w:tc>
          <w:tcPr>
            <w:tcW w:w="1559" w:type="dxa"/>
            <w:tcBorders>
              <w:top w:val="single" w:sz="6" w:space="0" w:color="A5A5A5"/>
              <w:left w:val="single" w:sz="6" w:space="0" w:color="A5A5A5"/>
              <w:bottom w:val="single" w:sz="6" w:space="0" w:color="A5A5A5"/>
              <w:right w:val="single" w:sz="6" w:space="0" w:color="A5A5A5"/>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eastAsia="en-ZA"/>
              </w:rPr>
              <w:t>1920</w:t>
            </w:r>
            <w:r w:rsidRPr="002F43C3">
              <w:rPr>
                <w:sz w:val="24"/>
                <w:lang w:eastAsia="en-ZA"/>
              </w:rPr>
              <w:t> </w:t>
            </w:r>
          </w:p>
        </w:tc>
        <w:tc>
          <w:tcPr>
            <w:tcW w:w="1567" w:type="dxa"/>
            <w:tcBorders>
              <w:top w:val="single" w:sz="6" w:space="0" w:color="auto"/>
              <w:left w:val="nil"/>
              <w:bottom w:val="single" w:sz="6" w:space="0" w:color="auto"/>
              <w:right w:val="single" w:sz="6" w:space="0" w:color="auto"/>
            </w:tcBorders>
            <w:shd w:val="clear" w:color="auto" w:fill="DBDBDB"/>
            <w:hideMark/>
          </w:tcPr>
          <w:p w:rsidR="002F43C3" w:rsidRPr="002F43C3" w:rsidRDefault="002F43C3" w:rsidP="007B39FB">
            <w:pPr>
              <w:jc w:val="center"/>
              <w:textAlignment w:val="baseline"/>
              <w:rPr>
                <w:sz w:val="24"/>
                <w:lang w:eastAsia="en-ZA"/>
              </w:rPr>
            </w:pPr>
            <w:r w:rsidRPr="002F43C3">
              <w:rPr>
                <w:b/>
                <w:bCs/>
                <w:sz w:val="24"/>
                <w:lang w:eastAsia="en-ZA"/>
              </w:rPr>
              <w:t>76</w:t>
            </w:r>
          </w:p>
        </w:tc>
      </w:tr>
    </w:tbl>
    <w:p w:rsidR="007B39FB" w:rsidRDefault="007B39FB"/>
    <w:tbl>
      <w:tblPr>
        <w:tblpPr w:leftFromText="180" w:rightFromText="180" w:vertAnchor="text" w:horzAnchor="margin" w:tblpX="701" w:tblpY="134"/>
        <w:tblW w:w="94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3"/>
        <w:gridCol w:w="1551"/>
        <w:gridCol w:w="1560"/>
        <w:gridCol w:w="1417"/>
        <w:gridCol w:w="1559"/>
        <w:gridCol w:w="1567"/>
      </w:tblGrid>
      <w:tr w:rsidR="007B39FB" w:rsidRPr="002F43C3" w:rsidTr="007B39FB">
        <w:trPr>
          <w:trHeight w:val="120"/>
        </w:trPr>
        <w:tc>
          <w:tcPr>
            <w:tcW w:w="1843" w:type="dxa"/>
            <w:tcBorders>
              <w:top w:val="single" w:sz="6" w:space="0" w:color="A5A5A5"/>
              <w:left w:val="single" w:sz="6" w:space="0" w:color="A5A5A5"/>
              <w:bottom w:val="single" w:sz="6" w:space="0" w:color="A5A5A5"/>
              <w:right w:val="single" w:sz="6" w:space="0" w:color="A5A5A5"/>
            </w:tcBorders>
            <w:shd w:val="clear" w:color="auto" w:fill="DBDBDB"/>
          </w:tcPr>
          <w:p w:rsidR="002F43C3" w:rsidRPr="002F43C3" w:rsidRDefault="002F43C3" w:rsidP="007B39FB">
            <w:pPr>
              <w:textAlignment w:val="baseline"/>
              <w:rPr>
                <w:b/>
                <w:bCs/>
                <w:sz w:val="24"/>
                <w:lang w:eastAsia="en-ZA"/>
              </w:rPr>
            </w:pPr>
          </w:p>
        </w:tc>
        <w:tc>
          <w:tcPr>
            <w:tcW w:w="1551" w:type="dxa"/>
            <w:tcBorders>
              <w:top w:val="single" w:sz="6" w:space="0" w:color="auto"/>
              <w:left w:val="nil"/>
              <w:bottom w:val="single" w:sz="6" w:space="0" w:color="auto"/>
              <w:right w:val="nil"/>
            </w:tcBorders>
            <w:shd w:val="clear" w:color="auto" w:fill="DBDBDB"/>
          </w:tcPr>
          <w:p w:rsidR="002F43C3" w:rsidRPr="002F43C3" w:rsidRDefault="002F43C3" w:rsidP="007B39FB">
            <w:pPr>
              <w:jc w:val="center"/>
              <w:textAlignment w:val="baseline"/>
              <w:rPr>
                <w:b/>
                <w:bCs/>
                <w:sz w:val="24"/>
                <w:lang w:eastAsia="en-ZA"/>
              </w:rPr>
            </w:pPr>
          </w:p>
        </w:tc>
        <w:tc>
          <w:tcPr>
            <w:tcW w:w="1560" w:type="dxa"/>
            <w:tcBorders>
              <w:top w:val="single" w:sz="6" w:space="0" w:color="A5A5A5"/>
              <w:left w:val="single" w:sz="6" w:space="0" w:color="A5A5A5"/>
              <w:bottom w:val="single" w:sz="6" w:space="0" w:color="A5A5A5"/>
              <w:right w:val="single" w:sz="6" w:space="0" w:color="A5A5A5"/>
            </w:tcBorders>
            <w:shd w:val="clear" w:color="auto" w:fill="DBDBDB"/>
          </w:tcPr>
          <w:p w:rsidR="002F43C3" w:rsidRPr="002F43C3" w:rsidRDefault="002F43C3" w:rsidP="007B39FB">
            <w:pPr>
              <w:jc w:val="center"/>
              <w:textAlignment w:val="baseline"/>
              <w:rPr>
                <w:b/>
                <w:bCs/>
                <w:sz w:val="24"/>
                <w:lang w:eastAsia="en-ZA"/>
              </w:rPr>
            </w:pPr>
          </w:p>
        </w:tc>
        <w:tc>
          <w:tcPr>
            <w:tcW w:w="1417" w:type="dxa"/>
            <w:tcBorders>
              <w:top w:val="single" w:sz="6" w:space="0" w:color="auto"/>
              <w:left w:val="nil"/>
              <w:bottom w:val="single" w:sz="6" w:space="0" w:color="auto"/>
              <w:right w:val="nil"/>
            </w:tcBorders>
            <w:shd w:val="clear" w:color="auto" w:fill="DBDBDB"/>
          </w:tcPr>
          <w:p w:rsidR="002F43C3" w:rsidRPr="002F43C3" w:rsidRDefault="002F43C3" w:rsidP="007B39FB">
            <w:pPr>
              <w:jc w:val="center"/>
              <w:textAlignment w:val="baseline"/>
              <w:rPr>
                <w:b/>
                <w:bCs/>
                <w:sz w:val="24"/>
                <w:lang w:eastAsia="en-ZA"/>
              </w:rPr>
            </w:pPr>
          </w:p>
        </w:tc>
        <w:tc>
          <w:tcPr>
            <w:tcW w:w="1559" w:type="dxa"/>
            <w:tcBorders>
              <w:top w:val="single" w:sz="6" w:space="0" w:color="A5A5A5"/>
              <w:left w:val="single" w:sz="6" w:space="0" w:color="A5A5A5"/>
              <w:bottom w:val="single" w:sz="6" w:space="0" w:color="A5A5A5"/>
              <w:right w:val="single" w:sz="6" w:space="0" w:color="A5A5A5"/>
            </w:tcBorders>
            <w:shd w:val="clear" w:color="auto" w:fill="DBDBDB"/>
          </w:tcPr>
          <w:p w:rsidR="002F43C3" w:rsidRPr="002F43C3" w:rsidRDefault="002F43C3" w:rsidP="007B39FB">
            <w:pPr>
              <w:jc w:val="center"/>
              <w:textAlignment w:val="baseline"/>
              <w:rPr>
                <w:b/>
                <w:bCs/>
                <w:sz w:val="24"/>
                <w:lang w:eastAsia="en-ZA"/>
              </w:rPr>
            </w:pPr>
          </w:p>
        </w:tc>
        <w:tc>
          <w:tcPr>
            <w:tcW w:w="1567" w:type="dxa"/>
            <w:tcBorders>
              <w:top w:val="single" w:sz="6" w:space="0" w:color="auto"/>
              <w:left w:val="nil"/>
              <w:bottom w:val="single" w:sz="6" w:space="0" w:color="auto"/>
              <w:right w:val="single" w:sz="6" w:space="0" w:color="auto"/>
            </w:tcBorders>
            <w:shd w:val="clear" w:color="auto" w:fill="DBDBDB"/>
          </w:tcPr>
          <w:p w:rsidR="002F43C3" w:rsidRPr="002F43C3" w:rsidRDefault="002F43C3" w:rsidP="007B39FB">
            <w:pPr>
              <w:jc w:val="center"/>
              <w:textAlignment w:val="baseline"/>
              <w:rPr>
                <w:b/>
                <w:bCs/>
                <w:sz w:val="24"/>
                <w:lang w:eastAsia="en-ZA"/>
              </w:rPr>
            </w:pPr>
          </w:p>
        </w:tc>
      </w:tr>
      <w:tr w:rsidR="007B39FB" w:rsidRPr="002F43C3" w:rsidTr="007B39FB">
        <w:trPr>
          <w:trHeight w:val="120"/>
        </w:trPr>
        <w:tc>
          <w:tcPr>
            <w:tcW w:w="1843" w:type="dxa"/>
            <w:tcBorders>
              <w:top w:val="single" w:sz="6" w:space="0" w:color="A5A5A5"/>
              <w:left w:val="single" w:sz="6" w:space="0" w:color="A5A5A5"/>
              <w:bottom w:val="single" w:sz="6" w:space="0" w:color="A5A5A5"/>
              <w:right w:val="single" w:sz="6" w:space="0" w:color="A5A5A5"/>
            </w:tcBorders>
            <w:shd w:val="clear" w:color="auto" w:fill="DBDBDB"/>
          </w:tcPr>
          <w:p w:rsidR="002F43C3" w:rsidRPr="002F43C3" w:rsidRDefault="002F43C3" w:rsidP="007B39FB">
            <w:pPr>
              <w:textAlignment w:val="baseline"/>
              <w:rPr>
                <w:b/>
                <w:bCs/>
                <w:sz w:val="24"/>
                <w:lang w:eastAsia="en-ZA"/>
              </w:rPr>
            </w:pPr>
          </w:p>
          <w:p w:rsidR="002F43C3" w:rsidRPr="002F43C3" w:rsidRDefault="002F43C3" w:rsidP="007B39FB">
            <w:pPr>
              <w:textAlignment w:val="baseline"/>
              <w:rPr>
                <w:b/>
                <w:bCs/>
                <w:sz w:val="24"/>
                <w:lang w:eastAsia="en-ZA"/>
              </w:rPr>
            </w:pPr>
          </w:p>
        </w:tc>
        <w:tc>
          <w:tcPr>
            <w:tcW w:w="1551" w:type="dxa"/>
            <w:tcBorders>
              <w:top w:val="single" w:sz="6" w:space="0" w:color="auto"/>
              <w:left w:val="nil"/>
              <w:bottom w:val="single" w:sz="6" w:space="0" w:color="auto"/>
              <w:right w:val="nil"/>
            </w:tcBorders>
            <w:shd w:val="clear" w:color="auto" w:fill="DBDBDB"/>
          </w:tcPr>
          <w:p w:rsidR="002F43C3" w:rsidRPr="002F43C3" w:rsidRDefault="002F43C3" w:rsidP="007B39FB">
            <w:pPr>
              <w:jc w:val="center"/>
              <w:textAlignment w:val="baseline"/>
              <w:rPr>
                <w:b/>
                <w:bCs/>
                <w:sz w:val="24"/>
                <w:lang w:eastAsia="en-ZA"/>
              </w:rPr>
            </w:pPr>
          </w:p>
        </w:tc>
        <w:tc>
          <w:tcPr>
            <w:tcW w:w="1560" w:type="dxa"/>
            <w:tcBorders>
              <w:top w:val="single" w:sz="6" w:space="0" w:color="A5A5A5"/>
              <w:left w:val="single" w:sz="6" w:space="0" w:color="A5A5A5"/>
              <w:bottom w:val="single" w:sz="6" w:space="0" w:color="A5A5A5"/>
              <w:right w:val="single" w:sz="6" w:space="0" w:color="A5A5A5"/>
            </w:tcBorders>
            <w:shd w:val="clear" w:color="auto" w:fill="DBDBDB"/>
          </w:tcPr>
          <w:p w:rsidR="002F43C3" w:rsidRPr="002F43C3" w:rsidRDefault="002F43C3" w:rsidP="007B39FB">
            <w:pPr>
              <w:jc w:val="center"/>
              <w:textAlignment w:val="baseline"/>
              <w:rPr>
                <w:b/>
                <w:bCs/>
                <w:sz w:val="24"/>
                <w:lang w:eastAsia="en-ZA"/>
              </w:rPr>
            </w:pPr>
          </w:p>
        </w:tc>
        <w:tc>
          <w:tcPr>
            <w:tcW w:w="1417" w:type="dxa"/>
            <w:tcBorders>
              <w:top w:val="single" w:sz="6" w:space="0" w:color="auto"/>
              <w:left w:val="nil"/>
              <w:bottom w:val="single" w:sz="6" w:space="0" w:color="auto"/>
              <w:right w:val="nil"/>
            </w:tcBorders>
            <w:shd w:val="clear" w:color="auto" w:fill="DBDBDB"/>
          </w:tcPr>
          <w:p w:rsidR="002F43C3" w:rsidRPr="002F43C3" w:rsidRDefault="002F43C3" w:rsidP="007B39FB">
            <w:pPr>
              <w:jc w:val="center"/>
              <w:textAlignment w:val="baseline"/>
              <w:rPr>
                <w:b/>
                <w:bCs/>
                <w:sz w:val="24"/>
                <w:lang w:eastAsia="en-ZA"/>
              </w:rPr>
            </w:pPr>
          </w:p>
        </w:tc>
        <w:tc>
          <w:tcPr>
            <w:tcW w:w="1559" w:type="dxa"/>
            <w:tcBorders>
              <w:top w:val="single" w:sz="6" w:space="0" w:color="A5A5A5"/>
              <w:left w:val="single" w:sz="6" w:space="0" w:color="A5A5A5"/>
              <w:bottom w:val="single" w:sz="6" w:space="0" w:color="A5A5A5"/>
              <w:right w:val="single" w:sz="6" w:space="0" w:color="A5A5A5"/>
            </w:tcBorders>
            <w:shd w:val="clear" w:color="auto" w:fill="DBDBDB"/>
          </w:tcPr>
          <w:p w:rsidR="002F43C3" w:rsidRPr="002F43C3" w:rsidRDefault="002F43C3" w:rsidP="007B39FB">
            <w:pPr>
              <w:jc w:val="center"/>
              <w:textAlignment w:val="baseline"/>
              <w:rPr>
                <w:b/>
                <w:bCs/>
                <w:sz w:val="24"/>
                <w:lang w:eastAsia="en-ZA"/>
              </w:rPr>
            </w:pPr>
          </w:p>
        </w:tc>
        <w:tc>
          <w:tcPr>
            <w:tcW w:w="1567" w:type="dxa"/>
            <w:tcBorders>
              <w:top w:val="single" w:sz="6" w:space="0" w:color="auto"/>
              <w:left w:val="nil"/>
              <w:bottom w:val="single" w:sz="6" w:space="0" w:color="auto"/>
              <w:right w:val="single" w:sz="6" w:space="0" w:color="auto"/>
            </w:tcBorders>
            <w:shd w:val="clear" w:color="auto" w:fill="DBDBDB"/>
          </w:tcPr>
          <w:p w:rsidR="002F43C3" w:rsidRPr="002F43C3" w:rsidRDefault="002F43C3" w:rsidP="007B39FB">
            <w:pPr>
              <w:jc w:val="center"/>
              <w:textAlignment w:val="baseline"/>
              <w:rPr>
                <w:b/>
                <w:bCs/>
                <w:sz w:val="24"/>
                <w:lang w:eastAsia="en-ZA"/>
              </w:rPr>
            </w:pPr>
          </w:p>
        </w:tc>
      </w:tr>
    </w:tbl>
    <w:p w:rsidR="002F43C3" w:rsidRPr="002F43C3" w:rsidRDefault="002F43C3" w:rsidP="002F43C3">
      <w:pPr>
        <w:jc w:val="both"/>
        <w:textAlignment w:val="baseline"/>
        <w:rPr>
          <w:color w:val="2E74B5"/>
          <w:sz w:val="24"/>
          <w:lang w:val="en-US" w:eastAsia="en-ZA"/>
        </w:rPr>
      </w:pPr>
      <w:r w:rsidRPr="002F43C3">
        <w:rPr>
          <w:color w:val="2E74B5"/>
          <w:sz w:val="24"/>
          <w:lang w:val="en-US" w:eastAsia="en-ZA"/>
        </w:rPr>
        <w:t> </w:t>
      </w: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F43C3" w:rsidRPr="002F43C3" w:rsidRDefault="002F43C3" w:rsidP="002F43C3">
      <w:pPr>
        <w:rPr>
          <w:sz w:val="24"/>
          <w:lang w:val="en-US" w:eastAsia="en-ZA"/>
        </w:rPr>
      </w:pPr>
    </w:p>
    <w:p w:rsidR="002E5A4E" w:rsidRPr="002F43C3" w:rsidRDefault="002E5A4E" w:rsidP="002F43C3">
      <w:pPr>
        <w:tabs>
          <w:tab w:val="left" w:pos="709"/>
        </w:tabs>
        <w:ind w:left="1418" w:hanging="1418"/>
        <w:jc w:val="both"/>
        <w:rPr>
          <w:sz w:val="24"/>
        </w:rPr>
      </w:pPr>
    </w:p>
    <w:p w:rsidR="00AC48AC" w:rsidRPr="002F43C3" w:rsidRDefault="00AC48AC" w:rsidP="002F43C3">
      <w:pPr>
        <w:jc w:val="both"/>
        <w:outlineLvl w:val="0"/>
        <w:rPr>
          <w:b/>
          <w:sz w:val="24"/>
        </w:rPr>
      </w:pPr>
    </w:p>
    <w:p w:rsidR="007B39FB" w:rsidRDefault="007B39FB" w:rsidP="002F43C3">
      <w:pPr>
        <w:pStyle w:val="BodyText"/>
        <w:rPr>
          <w:sz w:val="24"/>
          <w:lang w:val="en-GB"/>
        </w:rPr>
      </w:pPr>
    </w:p>
    <w:p w:rsidR="007B39FB" w:rsidRDefault="007B39FB" w:rsidP="002F43C3">
      <w:pPr>
        <w:pStyle w:val="BodyText"/>
        <w:rPr>
          <w:sz w:val="24"/>
          <w:lang w:val="en-GB"/>
        </w:rPr>
      </w:pPr>
    </w:p>
    <w:p w:rsidR="007B39FB" w:rsidRDefault="007B39FB" w:rsidP="002F43C3">
      <w:pPr>
        <w:pStyle w:val="BodyText"/>
        <w:rPr>
          <w:sz w:val="24"/>
          <w:lang w:val="en-GB"/>
        </w:rPr>
      </w:pPr>
    </w:p>
    <w:p w:rsidR="007B39FB" w:rsidRDefault="007B39FB" w:rsidP="002F43C3">
      <w:pPr>
        <w:pStyle w:val="BodyText"/>
        <w:rPr>
          <w:sz w:val="24"/>
          <w:lang w:val="en-GB"/>
        </w:rPr>
      </w:pPr>
    </w:p>
    <w:p w:rsidR="00E238C2" w:rsidRPr="002F43C3" w:rsidRDefault="00E238C2" w:rsidP="002F43C3">
      <w:pPr>
        <w:pStyle w:val="BodyText"/>
        <w:rPr>
          <w:b/>
          <w:bCs/>
          <w:sz w:val="24"/>
          <w:lang w:val="en-GB"/>
        </w:rPr>
      </w:pPr>
      <w:r w:rsidRPr="002F43C3">
        <w:rPr>
          <w:sz w:val="24"/>
          <w:lang w:val="en-GB"/>
        </w:rPr>
        <w:t>END.</w:t>
      </w:r>
    </w:p>
    <w:sectPr w:rsidR="00E238C2" w:rsidRPr="002F43C3"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94" w:rsidRDefault="00AE5494">
      <w:r>
        <w:separator/>
      </w:r>
    </w:p>
  </w:endnote>
  <w:endnote w:type="continuationSeparator" w:id="0">
    <w:p w:rsidR="00AE5494" w:rsidRDefault="00AE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001E4">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94" w:rsidRDefault="00AE5494">
      <w:r>
        <w:separator/>
      </w:r>
    </w:p>
  </w:footnote>
  <w:footnote w:type="continuationSeparator" w:id="0">
    <w:p w:rsidR="00AE5494" w:rsidRDefault="00AE5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45DE"/>
    <w:multiLevelType w:val="hybridMultilevel"/>
    <w:tmpl w:val="19BC9A6A"/>
    <w:lvl w:ilvl="0" w:tplc="DF4AA11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A511F4"/>
    <w:multiLevelType w:val="hybridMultilevel"/>
    <w:tmpl w:val="5AFE2574"/>
    <w:lvl w:ilvl="0" w:tplc="D2964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2168"/>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E5494"/>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358"/>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575B4"/>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1E4"/>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3AA4"/>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2020-02-19T15:45:00Z</cp:lastPrinted>
  <dcterms:created xsi:type="dcterms:W3CDTF">2020-04-19T16:19:00Z</dcterms:created>
  <dcterms:modified xsi:type="dcterms:W3CDTF">2020-04-19T16:19:00Z</dcterms:modified>
</cp:coreProperties>
</file>