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E779D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9300AB">
        <w:rPr>
          <w:rFonts w:ascii="Arial" w:eastAsia="Arial Unicode MS" w:hAnsi="Arial" w:cs="Arial"/>
          <w:b/>
          <w:color w:val="000000"/>
          <w:u w:color="000000"/>
        </w:rPr>
        <w:t>9</w:t>
      </w:r>
      <w:r w:rsidR="00D90340">
        <w:rPr>
          <w:rFonts w:ascii="Arial" w:eastAsia="Arial Unicode MS" w:hAnsi="Arial" w:cs="Arial"/>
          <w:b/>
          <w:color w:val="000000"/>
          <w:u w:color="000000"/>
        </w:rPr>
        <w:t>6</w:t>
      </w:r>
      <w:r w:rsidR="009300AB">
        <w:rPr>
          <w:rFonts w:ascii="Arial" w:eastAsia="Arial Unicode MS" w:hAnsi="Arial" w:cs="Arial"/>
          <w:b/>
          <w:color w:val="000000"/>
          <w:u w:color="000000"/>
        </w:rPr>
        <w:t xml:space="preserve">8 </w:t>
      </w:r>
    </w:p>
    <w:p w:rsidR="00BC4E9B" w:rsidRPr="00D90340" w:rsidRDefault="00412E67" w:rsidP="001C37E8">
      <w:pPr>
        <w:spacing w:before="240" w:line="276" w:lineRule="auto"/>
        <w:jc w:val="both"/>
        <w:outlineLvl w:val="0"/>
        <w:rPr>
          <w:rFonts w:ascii="Arial" w:eastAsia="Arial Unicode MS" w:hAnsi="Arial" w:cs="Arial"/>
          <w:b/>
          <w:color w:val="000000"/>
          <w:u w:color="000000"/>
        </w:rPr>
      </w:pPr>
      <w:r w:rsidRPr="00D90340">
        <w:rPr>
          <w:rFonts w:ascii="Arial" w:eastAsia="Arial Unicode MS" w:hAnsi="Arial" w:cs="Arial"/>
          <w:b/>
          <w:color w:val="000000"/>
          <w:u w:color="000000"/>
        </w:rPr>
        <w:t>DATE OF PUBLICATION</w:t>
      </w:r>
      <w:r w:rsidR="00E737FD" w:rsidRPr="00D90340">
        <w:rPr>
          <w:rFonts w:ascii="Arial" w:eastAsia="Arial Unicode MS" w:hAnsi="Arial" w:cs="Arial"/>
          <w:b/>
          <w:color w:val="000000"/>
          <w:u w:color="000000"/>
        </w:rPr>
        <w:t xml:space="preserve">: </w:t>
      </w:r>
      <w:r w:rsidR="009300AB" w:rsidRPr="00D90340">
        <w:rPr>
          <w:rFonts w:ascii="Arial" w:eastAsia="Arial Unicode MS" w:hAnsi="Arial" w:cs="Arial"/>
          <w:b/>
          <w:color w:val="000000"/>
          <w:u w:color="000000"/>
        </w:rPr>
        <w:t>29 March 201</w:t>
      </w:r>
      <w:r w:rsidR="00914D4A" w:rsidRPr="00D90340">
        <w:rPr>
          <w:rFonts w:ascii="Arial" w:eastAsia="Arial Unicode MS" w:hAnsi="Arial" w:cs="Arial"/>
          <w:b/>
          <w:color w:val="000000"/>
          <w:u w:color="000000"/>
        </w:rPr>
        <w:t>8</w:t>
      </w:r>
      <w:r w:rsidR="009300AB" w:rsidRPr="00D90340">
        <w:rPr>
          <w:rFonts w:ascii="Arial" w:eastAsia="Arial Unicode MS" w:hAnsi="Arial" w:cs="Arial"/>
          <w:b/>
          <w:color w:val="000000"/>
          <w:u w:color="000000"/>
        </w:rPr>
        <w:t xml:space="preserve"> </w:t>
      </w:r>
      <w:r w:rsidR="00E737FD" w:rsidRPr="00D90340">
        <w:rPr>
          <w:rFonts w:ascii="Arial" w:eastAsia="Arial Unicode MS" w:hAnsi="Arial" w:cs="Arial"/>
          <w:b/>
          <w:color w:val="000000"/>
          <w:u w:color="000000"/>
        </w:rPr>
        <w:t xml:space="preserve"> </w:t>
      </w:r>
      <w:r w:rsidR="005625F2" w:rsidRPr="00D90340">
        <w:rPr>
          <w:rFonts w:ascii="Arial" w:eastAsia="Arial Unicode MS" w:hAnsi="Arial" w:cs="Arial"/>
          <w:b/>
          <w:color w:val="000000"/>
          <w:u w:color="000000"/>
        </w:rPr>
        <w:t xml:space="preserve"> </w:t>
      </w:r>
      <w:r w:rsidR="00A85B8A" w:rsidRPr="00D90340">
        <w:rPr>
          <w:rFonts w:ascii="Arial" w:eastAsia="Arial Unicode MS" w:hAnsi="Arial" w:cs="Arial"/>
          <w:b/>
          <w:color w:val="000000"/>
          <w:u w:color="000000"/>
        </w:rPr>
        <w:t xml:space="preserve"> </w:t>
      </w:r>
      <w:r w:rsidR="009842F7" w:rsidRPr="00D90340">
        <w:rPr>
          <w:rFonts w:ascii="Arial" w:eastAsia="Arial Unicode MS" w:hAnsi="Arial" w:cs="Arial"/>
          <w:b/>
          <w:color w:val="000000"/>
          <w:u w:color="000000"/>
        </w:rPr>
        <w:t xml:space="preserve"> </w:t>
      </w:r>
    </w:p>
    <w:p w:rsidR="00D90340" w:rsidRPr="00D90340" w:rsidRDefault="00D90340" w:rsidP="00D90340">
      <w:pPr>
        <w:pStyle w:val="NormalWeb"/>
        <w:ind w:left="720" w:hanging="720"/>
        <w:jc w:val="both"/>
        <w:outlineLvl w:val="0"/>
        <w:rPr>
          <w:rFonts w:ascii="Arial" w:hAnsi="Arial" w:cs="Arial"/>
        </w:rPr>
      </w:pPr>
      <w:r w:rsidRPr="00D90340">
        <w:rPr>
          <w:rFonts w:ascii="Arial" w:hAnsi="Arial" w:cs="Arial"/>
          <w:b/>
        </w:rPr>
        <w:t>Dr M J Cardo (DA) to ask the Minister of Economic Development:</w:t>
      </w:r>
    </w:p>
    <w:p w:rsidR="00D90340" w:rsidRPr="00D90340" w:rsidRDefault="00D90340" w:rsidP="00D90340">
      <w:pPr>
        <w:pStyle w:val="NormalWeb"/>
        <w:ind w:left="720" w:hanging="720"/>
        <w:jc w:val="both"/>
        <w:rPr>
          <w:rFonts w:ascii="Arial" w:hAnsi="Arial" w:cs="Arial"/>
        </w:rPr>
      </w:pPr>
      <w:r w:rsidRPr="00D90340">
        <w:rPr>
          <w:rFonts w:ascii="Arial" w:hAnsi="Arial" w:cs="Arial"/>
        </w:rPr>
        <w:t>(1)</w:t>
      </w:r>
      <w:r w:rsidRPr="00D90340">
        <w:rPr>
          <w:rFonts w:ascii="Arial" w:hAnsi="Arial" w:cs="Arial"/>
        </w:rPr>
        <w:tab/>
        <w:t>(a) What number of (i) case backlogs does the Competition Commission have and (ii) days has each case been backlogged for, (b) what was the average time line, in days, from receiving a complaint to resolving a case in (i) 2015, (ii) 2016 and (iii) 2017 and (c) how does the commission monitor the (i) settlement agreements reached and (ii) progress on each agreement;</w:t>
      </w:r>
    </w:p>
    <w:p w:rsidR="00D26F95" w:rsidRPr="00D90340" w:rsidRDefault="00D90340" w:rsidP="00D90340">
      <w:pPr>
        <w:pStyle w:val="NormalWeb"/>
        <w:ind w:left="720" w:hanging="720"/>
        <w:jc w:val="both"/>
        <w:rPr>
          <w:rFonts w:ascii="Arial" w:hAnsi="Arial" w:cs="Arial"/>
        </w:rPr>
      </w:pPr>
      <w:r w:rsidRPr="00D90340">
        <w:rPr>
          <w:rFonts w:ascii="Arial" w:hAnsi="Arial" w:cs="Arial"/>
        </w:rPr>
        <w:t>(2)</w:t>
      </w:r>
      <w:r w:rsidRPr="00D90340">
        <w:rPr>
          <w:rFonts w:ascii="Arial" w:hAnsi="Arial" w:cs="Arial"/>
        </w:rPr>
        <w:tab/>
        <w:t>have any cases been referred to the National Prosecuting Authority for prosecution; if so, what are the details of the cases?</w:t>
      </w:r>
      <w:r w:rsidRPr="00D90340">
        <w:rPr>
          <w:rFonts w:ascii="Arial" w:hAnsi="Arial" w:cs="Arial"/>
        </w:rPr>
        <w:tab/>
      </w:r>
      <w:r w:rsidRPr="00D90340">
        <w:rPr>
          <w:rFonts w:ascii="Arial" w:hAnsi="Arial" w:cs="Arial"/>
        </w:rPr>
        <w:tab/>
      </w:r>
      <w:r w:rsidRPr="00D90340">
        <w:rPr>
          <w:rFonts w:ascii="Arial" w:hAnsi="Arial" w:cs="Arial"/>
        </w:rPr>
        <w:tab/>
      </w:r>
      <w:r w:rsidRPr="00D90340">
        <w:rPr>
          <w:rFonts w:ascii="Arial" w:hAnsi="Arial" w:cs="Arial"/>
          <w:sz w:val="20"/>
          <w:szCs w:val="20"/>
        </w:rPr>
        <w:t>NW1061</w:t>
      </w:r>
      <w:r w:rsidR="000F032E" w:rsidRPr="00D90340">
        <w:rPr>
          <w:rFonts w:ascii="Arial" w:hAnsi="Arial" w:cs="Arial"/>
        </w:rPr>
        <w:t xml:space="preserve">                                                                     </w:t>
      </w:r>
      <w:r w:rsidR="0022183D" w:rsidRPr="00D90340">
        <w:rPr>
          <w:rFonts w:ascii="Arial" w:hAnsi="Arial" w:cs="Arial"/>
        </w:rPr>
        <w:t xml:space="preserve">      </w:t>
      </w:r>
    </w:p>
    <w:p w:rsidR="00373D6D" w:rsidRDefault="00494C9B" w:rsidP="00E779D9">
      <w:pPr>
        <w:pStyle w:val="ListParagraph"/>
        <w:spacing w:line="240" w:lineRule="auto"/>
        <w:ind w:left="569" w:hangingChars="236" w:hanging="569"/>
        <w:jc w:val="both"/>
        <w:rPr>
          <w:rFonts w:ascii="Arial" w:hAnsi="Arial" w:cs="Arial"/>
          <w:b/>
          <w:szCs w:val="24"/>
        </w:rPr>
      </w:pPr>
      <w:r w:rsidRPr="00664CF9">
        <w:rPr>
          <w:rFonts w:ascii="Arial" w:hAnsi="Arial" w:cs="Arial"/>
          <w:b/>
          <w:szCs w:val="24"/>
        </w:rPr>
        <w:t>REPLY</w:t>
      </w:r>
    </w:p>
    <w:p w:rsidR="0091333A" w:rsidRDefault="0091333A" w:rsidP="00E779D9">
      <w:pPr>
        <w:pStyle w:val="ListParagraph"/>
        <w:spacing w:line="240" w:lineRule="auto"/>
        <w:ind w:left="569" w:hangingChars="236" w:hanging="569"/>
        <w:jc w:val="both"/>
        <w:rPr>
          <w:rFonts w:ascii="Arial" w:hAnsi="Arial" w:cs="Arial"/>
          <w:b/>
          <w:szCs w:val="24"/>
        </w:rPr>
      </w:pPr>
    </w:p>
    <w:p w:rsidR="00102263" w:rsidRDefault="00102263" w:rsidP="00E779D9">
      <w:pPr>
        <w:pStyle w:val="ListParagraph"/>
        <w:spacing w:line="240" w:lineRule="auto"/>
        <w:ind w:left="569" w:hangingChars="236" w:hanging="569"/>
        <w:jc w:val="both"/>
        <w:rPr>
          <w:rFonts w:ascii="Arial" w:hAnsi="Arial" w:cs="Arial"/>
          <w:b/>
          <w:szCs w:val="24"/>
        </w:rPr>
      </w:pPr>
    </w:p>
    <w:p w:rsidR="000A3EB9" w:rsidRPr="001C4A06" w:rsidRDefault="001C4A06" w:rsidP="006A79FD">
      <w:pPr>
        <w:numPr>
          <w:ilvl w:val="0"/>
          <w:numId w:val="21"/>
        </w:numPr>
        <w:spacing w:line="276" w:lineRule="auto"/>
        <w:jc w:val="both"/>
        <w:rPr>
          <w:rFonts w:ascii="Arial" w:hAnsi="Arial" w:cs="Arial"/>
          <w:u w:val="single"/>
        </w:rPr>
      </w:pPr>
      <w:r w:rsidRPr="001C4A06">
        <w:rPr>
          <w:rFonts w:ascii="Arial" w:hAnsi="Arial" w:cs="Arial"/>
          <w:u w:val="single"/>
        </w:rPr>
        <w:t>(a) What number of (i) case backlogs does the Competition Commission have and (ii) days has each case been backlogged for, (b) what was the average time line, in days, from receiving a complaint to resolving a case in (i) 2015, (ii) 2016 and (iii) 2017 and (c) how does the commission monitor the (i) settlement agreements reached and (ii) progress on each agreement</w:t>
      </w:r>
      <w:r w:rsidRPr="001C4A06" w:rsidDel="001C4A06">
        <w:rPr>
          <w:rFonts w:ascii="Arial" w:hAnsi="Arial" w:cs="Arial"/>
          <w:u w:val="single"/>
        </w:rPr>
        <w:t xml:space="preserve"> </w:t>
      </w:r>
    </w:p>
    <w:p w:rsidR="000A3EB9" w:rsidRDefault="000A3EB9" w:rsidP="006A79FD">
      <w:pPr>
        <w:pStyle w:val="ListParagraph"/>
        <w:jc w:val="both"/>
        <w:rPr>
          <w:rFonts w:ascii="Arial" w:hAnsi="Arial" w:cs="Arial"/>
        </w:rPr>
      </w:pPr>
    </w:p>
    <w:p w:rsidR="000A3EB9" w:rsidRDefault="007A014F" w:rsidP="006A79FD">
      <w:pPr>
        <w:spacing w:line="276" w:lineRule="auto"/>
        <w:jc w:val="both"/>
        <w:rPr>
          <w:rFonts w:ascii="Arial" w:hAnsi="Arial" w:cs="Arial"/>
        </w:rPr>
      </w:pPr>
      <w:r w:rsidRPr="005D3CB7">
        <w:rPr>
          <w:rFonts w:ascii="Arial" w:hAnsi="Arial" w:cs="Arial"/>
        </w:rPr>
        <w:t xml:space="preserve">The Competition Commission </w:t>
      </w:r>
      <w:r w:rsidR="001C4A06">
        <w:rPr>
          <w:rFonts w:ascii="Arial" w:hAnsi="Arial" w:cs="Arial"/>
        </w:rPr>
        <w:t xml:space="preserve">advises that it </w:t>
      </w:r>
      <w:r w:rsidRPr="005D3CB7">
        <w:rPr>
          <w:rFonts w:ascii="Arial" w:hAnsi="Arial" w:cs="Arial"/>
        </w:rPr>
        <w:t>has a total of 64 cases on backlog</w:t>
      </w:r>
      <w:r w:rsidR="001C4A06">
        <w:rPr>
          <w:rFonts w:ascii="Arial" w:hAnsi="Arial" w:cs="Arial"/>
        </w:rPr>
        <w:t xml:space="preserve"> in cartel matters, with the periods of backlog differing by case, with the complexity of cases largely driving the period of the backlog. </w:t>
      </w:r>
    </w:p>
    <w:p w:rsidR="000A3EB9" w:rsidRDefault="000A3EB9" w:rsidP="006A79FD">
      <w:pPr>
        <w:spacing w:line="276" w:lineRule="auto"/>
        <w:jc w:val="both"/>
        <w:rPr>
          <w:rFonts w:ascii="Arial" w:hAnsi="Arial" w:cs="Arial"/>
          <w:b/>
        </w:rPr>
      </w:pPr>
    </w:p>
    <w:p w:rsidR="000A3EB9" w:rsidRDefault="001C4A06" w:rsidP="006A79FD">
      <w:pPr>
        <w:spacing w:line="276" w:lineRule="auto"/>
        <w:jc w:val="both"/>
        <w:rPr>
          <w:rFonts w:ascii="Arial" w:hAnsi="Arial" w:cs="Arial"/>
          <w:b/>
        </w:rPr>
      </w:pPr>
      <w:r>
        <w:rPr>
          <w:rFonts w:ascii="Arial" w:hAnsi="Arial" w:cs="Arial"/>
        </w:rPr>
        <w:t xml:space="preserve">The following table provides information on the average time taken for different cartel </w:t>
      </w:r>
      <w:r w:rsidR="003656E2">
        <w:rPr>
          <w:rFonts w:ascii="Arial" w:hAnsi="Arial" w:cs="Arial"/>
        </w:rPr>
        <w:t>investigations as well as enforcement/other abuse of dominance and restrictive practices, for the past three years</w:t>
      </w:r>
      <w:r>
        <w:rPr>
          <w:rFonts w:ascii="Arial" w:hAnsi="Arial" w:cs="Arial"/>
        </w:rPr>
        <w:t>:</w:t>
      </w:r>
    </w:p>
    <w:p w:rsidR="000A3EB9" w:rsidRDefault="000A3EB9" w:rsidP="006A79FD">
      <w:pPr>
        <w:spacing w:line="276" w:lineRule="auto"/>
        <w:jc w:val="both"/>
        <w:rPr>
          <w:rFonts w:ascii="Arial" w:hAnsi="Arial" w:cs="Arial"/>
          <w:b/>
        </w:rPr>
      </w:pPr>
    </w:p>
    <w:p w:rsidR="006A79FD" w:rsidRDefault="006A79FD" w:rsidP="006A79FD">
      <w:pPr>
        <w:spacing w:line="276" w:lineRule="auto"/>
        <w:jc w:val="both"/>
        <w:rPr>
          <w:rFonts w:ascii="Arial" w:hAnsi="Arial" w:cs="Arial"/>
          <w:b/>
        </w:rPr>
      </w:pPr>
    </w:p>
    <w:p w:rsidR="006A79FD" w:rsidRDefault="006A79FD" w:rsidP="006A79FD">
      <w:pPr>
        <w:spacing w:line="276" w:lineRule="auto"/>
        <w:jc w:val="both"/>
        <w:rPr>
          <w:rFonts w:ascii="Arial" w:hAnsi="Arial" w:cs="Arial"/>
          <w:b/>
        </w:rPr>
      </w:pPr>
    </w:p>
    <w:p w:rsidR="000A3EB9" w:rsidRPr="000A3EB9" w:rsidRDefault="000A3EB9" w:rsidP="006A79FD">
      <w:pPr>
        <w:spacing w:line="276"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1701"/>
        <w:gridCol w:w="1559"/>
        <w:gridCol w:w="1650"/>
      </w:tblGrid>
      <w:tr w:rsidR="000A3EB9" w:rsidRPr="000A3EB9" w:rsidTr="006855D0">
        <w:tc>
          <w:tcPr>
            <w:tcW w:w="4106" w:type="dxa"/>
            <w:vMerge w:val="restart"/>
            <w:shd w:val="clear" w:color="auto" w:fill="BFBFBF"/>
          </w:tcPr>
          <w:p w:rsidR="000A3EB9" w:rsidRPr="006855D0" w:rsidRDefault="000A3EB9" w:rsidP="006A79FD">
            <w:pPr>
              <w:spacing w:line="276" w:lineRule="auto"/>
              <w:jc w:val="both"/>
              <w:rPr>
                <w:rFonts w:ascii="Arial" w:hAnsi="Arial" w:cs="Arial"/>
              </w:rPr>
            </w:pPr>
            <w:r w:rsidRPr="006855D0">
              <w:rPr>
                <w:rFonts w:ascii="Arial" w:hAnsi="Arial" w:cs="Arial"/>
              </w:rPr>
              <w:lastRenderedPageBreak/>
              <w:t xml:space="preserve">Category </w:t>
            </w:r>
          </w:p>
        </w:tc>
        <w:tc>
          <w:tcPr>
            <w:tcW w:w="4910" w:type="dxa"/>
            <w:gridSpan w:val="3"/>
            <w:shd w:val="clear" w:color="auto" w:fill="BFBFBF"/>
          </w:tcPr>
          <w:p w:rsidR="000A3EB9" w:rsidRPr="006855D0" w:rsidRDefault="000A3EB9" w:rsidP="006A79FD">
            <w:pPr>
              <w:spacing w:line="276" w:lineRule="auto"/>
              <w:jc w:val="both"/>
              <w:rPr>
                <w:rFonts w:ascii="Arial" w:hAnsi="Arial" w:cs="Arial"/>
              </w:rPr>
            </w:pPr>
            <w:r w:rsidRPr="006855D0">
              <w:rPr>
                <w:rFonts w:ascii="Arial" w:hAnsi="Arial" w:cs="Arial"/>
              </w:rPr>
              <w:t xml:space="preserve">Average no. of days to complete all cases </w:t>
            </w:r>
          </w:p>
        </w:tc>
      </w:tr>
      <w:tr w:rsidR="000A3EB9" w:rsidRPr="000A3EB9" w:rsidTr="006855D0">
        <w:tc>
          <w:tcPr>
            <w:tcW w:w="4106" w:type="dxa"/>
            <w:vMerge/>
            <w:shd w:val="clear" w:color="auto" w:fill="BFBFBF"/>
          </w:tcPr>
          <w:p w:rsidR="000A3EB9" w:rsidRPr="006855D0" w:rsidRDefault="000A3EB9" w:rsidP="006A79FD">
            <w:pPr>
              <w:spacing w:line="276" w:lineRule="auto"/>
              <w:jc w:val="both"/>
              <w:rPr>
                <w:rFonts w:ascii="Arial" w:hAnsi="Arial" w:cs="Arial"/>
              </w:rPr>
            </w:pPr>
          </w:p>
        </w:tc>
        <w:tc>
          <w:tcPr>
            <w:tcW w:w="1701" w:type="dxa"/>
            <w:shd w:val="clear" w:color="auto" w:fill="BFBFBF"/>
          </w:tcPr>
          <w:p w:rsidR="000A3EB9" w:rsidRPr="006855D0" w:rsidRDefault="000A3EB9" w:rsidP="006A79FD">
            <w:pPr>
              <w:spacing w:line="276" w:lineRule="auto"/>
              <w:jc w:val="both"/>
              <w:rPr>
                <w:rFonts w:ascii="Arial" w:hAnsi="Arial" w:cs="Arial"/>
              </w:rPr>
            </w:pPr>
            <w:r w:rsidRPr="006855D0">
              <w:rPr>
                <w:rFonts w:ascii="Arial" w:hAnsi="Arial" w:cs="Arial"/>
              </w:rPr>
              <w:t>2015/16</w:t>
            </w:r>
          </w:p>
        </w:tc>
        <w:tc>
          <w:tcPr>
            <w:tcW w:w="1559" w:type="dxa"/>
            <w:shd w:val="clear" w:color="auto" w:fill="BFBFBF"/>
          </w:tcPr>
          <w:p w:rsidR="000A3EB9" w:rsidRPr="006855D0" w:rsidRDefault="000A3EB9" w:rsidP="006A79FD">
            <w:pPr>
              <w:spacing w:line="276" w:lineRule="auto"/>
              <w:jc w:val="both"/>
              <w:rPr>
                <w:rFonts w:ascii="Arial" w:hAnsi="Arial" w:cs="Arial"/>
              </w:rPr>
            </w:pPr>
            <w:r w:rsidRPr="006855D0">
              <w:rPr>
                <w:rFonts w:ascii="Arial" w:hAnsi="Arial" w:cs="Arial"/>
              </w:rPr>
              <w:t>2016/17</w:t>
            </w:r>
          </w:p>
        </w:tc>
        <w:tc>
          <w:tcPr>
            <w:tcW w:w="1650" w:type="dxa"/>
            <w:shd w:val="clear" w:color="auto" w:fill="BFBFBF"/>
          </w:tcPr>
          <w:p w:rsidR="000A3EB9" w:rsidRPr="006855D0" w:rsidRDefault="000A3EB9" w:rsidP="006A79FD">
            <w:pPr>
              <w:spacing w:line="276" w:lineRule="auto"/>
              <w:jc w:val="both"/>
              <w:rPr>
                <w:rFonts w:ascii="Arial" w:hAnsi="Arial" w:cs="Arial"/>
              </w:rPr>
            </w:pPr>
            <w:r w:rsidRPr="006855D0">
              <w:rPr>
                <w:rFonts w:ascii="Arial" w:hAnsi="Arial" w:cs="Arial"/>
              </w:rPr>
              <w:t>2017/18</w:t>
            </w:r>
          </w:p>
        </w:tc>
      </w:tr>
      <w:tr w:rsidR="000A3EB9" w:rsidRPr="000A3EB9" w:rsidTr="006855D0">
        <w:tc>
          <w:tcPr>
            <w:tcW w:w="4106" w:type="dxa"/>
            <w:shd w:val="clear" w:color="auto" w:fill="auto"/>
          </w:tcPr>
          <w:p w:rsidR="000A3EB9" w:rsidRPr="006855D0" w:rsidRDefault="000A3EB9" w:rsidP="006A79FD">
            <w:pPr>
              <w:spacing w:line="276" w:lineRule="auto"/>
              <w:jc w:val="both"/>
              <w:rPr>
                <w:rFonts w:ascii="Arial" w:hAnsi="Arial" w:cs="Arial"/>
              </w:rPr>
            </w:pPr>
            <w:r w:rsidRPr="006855D0">
              <w:rPr>
                <w:rFonts w:ascii="Arial" w:hAnsi="Arial" w:cs="Arial"/>
              </w:rPr>
              <w:t>Cartels</w:t>
            </w:r>
          </w:p>
        </w:tc>
        <w:tc>
          <w:tcPr>
            <w:tcW w:w="1701" w:type="dxa"/>
            <w:shd w:val="clear" w:color="auto" w:fill="auto"/>
            <w:vAlign w:val="center"/>
          </w:tcPr>
          <w:p w:rsidR="000A3EB9" w:rsidRPr="00E669F8" w:rsidRDefault="000A3EB9" w:rsidP="006A79FD">
            <w:pPr>
              <w:spacing w:line="276" w:lineRule="auto"/>
              <w:jc w:val="center"/>
              <w:rPr>
                <w:rFonts w:ascii="Arial" w:hAnsi="Arial" w:cs="Arial"/>
                <w:color w:val="000000"/>
                <w:lang w:eastAsia="en-ZA"/>
              </w:rPr>
            </w:pPr>
            <w:r w:rsidRPr="00E669F8">
              <w:rPr>
                <w:rFonts w:ascii="Arial" w:hAnsi="Arial" w:cs="Arial"/>
                <w:color w:val="000000"/>
                <w:lang w:eastAsia="en-ZA"/>
              </w:rPr>
              <w:t>1044 days</w:t>
            </w:r>
          </w:p>
        </w:tc>
        <w:tc>
          <w:tcPr>
            <w:tcW w:w="1559" w:type="dxa"/>
            <w:shd w:val="clear" w:color="auto" w:fill="auto"/>
            <w:vAlign w:val="center"/>
          </w:tcPr>
          <w:p w:rsidR="000A3EB9" w:rsidRPr="00E669F8" w:rsidRDefault="000A3EB9" w:rsidP="006A79FD">
            <w:pPr>
              <w:spacing w:line="276" w:lineRule="auto"/>
              <w:jc w:val="center"/>
              <w:rPr>
                <w:rFonts w:ascii="Arial" w:hAnsi="Arial" w:cs="Arial"/>
                <w:color w:val="000000"/>
                <w:lang w:eastAsia="en-ZA"/>
              </w:rPr>
            </w:pPr>
            <w:r w:rsidRPr="00E669F8">
              <w:rPr>
                <w:rFonts w:ascii="Arial" w:hAnsi="Arial" w:cs="Arial"/>
                <w:color w:val="000000"/>
                <w:lang w:eastAsia="en-ZA"/>
              </w:rPr>
              <w:t>684 days</w:t>
            </w:r>
          </w:p>
        </w:tc>
        <w:tc>
          <w:tcPr>
            <w:tcW w:w="1650" w:type="dxa"/>
            <w:shd w:val="clear" w:color="auto" w:fill="auto"/>
            <w:vAlign w:val="center"/>
          </w:tcPr>
          <w:p w:rsidR="000A3EB9" w:rsidRPr="00E669F8" w:rsidRDefault="000A3EB9" w:rsidP="006A79FD">
            <w:pPr>
              <w:spacing w:line="276" w:lineRule="auto"/>
              <w:jc w:val="center"/>
              <w:rPr>
                <w:rFonts w:ascii="Arial" w:hAnsi="Arial" w:cs="Arial"/>
              </w:rPr>
            </w:pPr>
            <w:r w:rsidRPr="00E669F8">
              <w:rPr>
                <w:rFonts w:ascii="Arial" w:hAnsi="Arial" w:cs="Arial"/>
              </w:rPr>
              <w:t>1061 days</w:t>
            </w:r>
          </w:p>
          <w:p w:rsidR="000A3EB9" w:rsidRPr="00E669F8" w:rsidRDefault="000A3EB9" w:rsidP="006A79FD">
            <w:pPr>
              <w:spacing w:line="276" w:lineRule="auto"/>
              <w:jc w:val="center"/>
              <w:rPr>
                <w:rFonts w:ascii="Arial" w:hAnsi="Arial" w:cs="Arial"/>
              </w:rPr>
            </w:pPr>
          </w:p>
        </w:tc>
      </w:tr>
      <w:tr w:rsidR="000A3EB9" w:rsidRPr="000A3EB9" w:rsidTr="006855D0">
        <w:tc>
          <w:tcPr>
            <w:tcW w:w="4106" w:type="dxa"/>
            <w:shd w:val="clear" w:color="auto" w:fill="auto"/>
          </w:tcPr>
          <w:p w:rsidR="000A3EB9" w:rsidRPr="006855D0" w:rsidRDefault="000A3EB9" w:rsidP="006A79FD">
            <w:pPr>
              <w:spacing w:line="276" w:lineRule="auto"/>
              <w:jc w:val="both"/>
              <w:rPr>
                <w:rFonts w:ascii="Arial" w:hAnsi="Arial" w:cs="Arial"/>
              </w:rPr>
            </w:pPr>
            <w:r w:rsidRPr="006855D0">
              <w:rPr>
                <w:rFonts w:ascii="Arial" w:hAnsi="Arial" w:cs="Arial"/>
              </w:rPr>
              <w:t>Enforcement Other- abuse of dominance, restrictive practices</w:t>
            </w:r>
          </w:p>
        </w:tc>
        <w:tc>
          <w:tcPr>
            <w:tcW w:w="1701" w:type="dxa"/>
            <w:shd w:val="clear" w:color="auto" w:fill="auto"/>
          </w:tcPr>
          <w:p w:rsidR="000A3EB9" w:rsidRPr="00E669F8" w:rsidRDefault="000A3EB9" w:rsidP="006A79FD">
            <w:pPr>
              <w:spacing w:line="276" w:lineRule="auto"/>
              <w:jc w:val="center"/>
              <w:rPr>
                <w:rFonts w:ascii="Arial" w:hAnsi="Arial" w:cs="Arial"/>
                <w:color w:val="000000"/>
                <w:lang w:eastAsia="en-ZA"/>
              </w:rPr>
            </w:pPr>
            <w:r w:rsidRPr="00E669F8">
              <w:rPr>
                <w:rFonts w:ascii="Arial" w:hAnsi="Arial" w:cs="Arial"/>
                <w:color w:val="000000"/>
                <w:lang w:eastAsia="en-ZA"/>
              </w:rPr>
              <w:t>396 days</w:t>
            </w:r>
          </w:p>
        </w:tc>
        <w:tc>
          <w:tcPr>
            <w:tcW w:w="1559" w:type="dxa"/>
            <w:shd w:val="clear" w:color="auto" w:fill="auto"/>
          </w:tcPr>
          <w:p w:rsidR="000A3EB9" w:rsidRPr="00E669F8" w:rsidRDefault="000A3EB9" w:rsidP="006A79FD">
            <w:pPr>
              <w:spacing w:line="276" w:lineRule="auto"/>
              <w:jc w:val="center"/>
              <w:rPr>
                <w:rFonts w:ascii="Arial" w:hAnsi="Arial" w:cs="Arial"/>
                <w:color w:val="000000"/>
                <w:lang w:eastAsia="en-ZA"/>
              </w:rPr>
            </w:pPr>
            <w:r w:rsidRPr="00E669F8">
              <w:rPr>
                <w:rFonts w:ascii="Arial" w:hAnsi="Arial" w:cs="Arial"/>
                <w:color w:val="000000"/>
                <w:lang w:eastAsia="en-ZA"/>
              </w:rPr>
              <w:t>329 days</w:t>
            </w:r>
          </w:p>
        </w:tc>
        <w:tc>
          <w:tcPr>
            <w:tcW w:w="1650" w:type="dxa"/>
            <w:shd w:val="clear" w:color="auto" w:fill="auto"/>
          </w:tcPr>
          <w:p w:rsidR="000A3EB9" w:rsidRPr="00E669F8" w:rsidRDefault="000A3EB9" w:rsidP="006A79FD">
            <w:pPr>
              <w:spacing w:line="276" w:lineRule="auto"/>
              <w:jc w:val="center"/>
              <w:rPr>
                <w:rFonts w:ascii="Arial" w:hAnsi="Arial" w:cs="Arial"/>
                <w:color w:val="000000"/>
                <w:lang w:eastAsia="en-ZA"/>
              </w:rPr>
            </w:pPr>
            <w:r w:rsidRPr="00E669F8">
              <w:rPr>
                <w:rFonts w:ascii="Arial" w:hAnsi="Arial" w:cs="Arial"/>
                <w:color w:val="000000"/>
                <w:lang w:eastAsia="en-ZA"/>
              </w:rPr>
              <w:t>254 days</w:t>
            </w:r>
          </w:p>
        </w:tc>
      </w:tr>
    </w:tbl>
    <w:p w:rsidR="000A3EB9" w:rsidRDefault="000A3EB9" w:rsidP="006A79FD">
      <w:pPr>
        <w:pStyle w:val="ListParagraph"/>
        <w:ind w:left="284"/>
        <w:jc w:val="both"/>
        <w:rPr>
          <w:rFonts w:ascii="Arial" w:hAnsi="Arial" w:cs="Arial"/>
          <w:b/>
        </w:rPr>
      </w:pPr>
    </w:p>
    <w:p w:rsidR="000A3EB9" w:rsidRPr="00861F69" w:rsidRDefault="000A3EB9" w:rsidP="006A79FD">
      <w:pPr>
        <w:spacing w:line="276" w:lineRule="auto"/>
        <w:jc w:val="both"/>
        <w:rPr>
          <w:rFonts w:ascii="Arial" w:hAnsi="Arial" w:cs="Arial"/>
        </w:rPr>
      </w:pPr>
    </w:p>
    <w:p w:rsidR="005D3CB7" w:rsidRDefault="005D3CB7" w:rsidP="006A79FD">
      <w:pPr>
        <w:pStyle w:val="NormalWeb"/>
        <w:spacing w:before="0" w:beforeAutospacing="0" w:after="0" w:afterAutospacing="0" w:line="276" w:lineRule="auto"/>
        <w:jc w:val="both"/>
      </w:pPr>
      <w:r>
        <w:rPr>
          <w:rFonts w:ascii="Arial" w:hAnsi="Arial" w:cs="Arial"/>
        </w:rPr>
        <w:t xml:space="preserve">All settlement agreements concluded between the Competition Commission (“the Commission”) and respondent firms are presented to the Competition Tribunal (“Tribunal”) for confirmation as consent orders of the Tribunal in terms of section 49D of the Competition Act 89 of 1998, as amended (“the Act”). Once so confirmed by the Tribunal, a consent order may in terms of section 64 of the Act, be served, executed and enforced as if it were an order of the High Court. </w:t>
      </w:r>
    </w:p>
    <w:p w:rsidR="00222624" w:rsidRDefault="00222624" w:rsidP="006A79FD">
      <w:pPr>
        <w:pStyle w:val="NormalWeb"/>
        <w:spacing w:before="0" w:beforeAutospacing="0" w:after="0" w:afterAutospacing="0" w:line="276" w:lineRule="auto"/>
        <w:contextualSpacing/>
        <w:jc w:val="both"/>
        <w:rPr>
          <w:rFonts w:ascii="Arial" w:hAnsi="Arial" w:cs="Arial"/>
          <w:lang w:val="en-US"/>
        </w:rPr>
      </w:pPr>
    </w:p>
    <w:p w:rsidR="005D3CB7" w:rsidRDefault="005D3CB7" w:rsidP="006A79FD">
      <w:pPr>
        <w:pStyle w:val="NormalWeb"/>
        <w:spacing w:before="0" w:beforeAutospacing="0" w:after="0" w:afterAutospacing="0" w:line="276" w:lineRule="auto"/>
        <w:contextualSpacing/>
        <w:jc w:val="both"/>
      </w:pPr>
      <w:r>
        <w:rPr>
          <w:rFonts w:ascii="Arial" w:hAnsi="Arial" w:cs="Arial"/>
          <w:lang w:val="en-US"/>
        </w:rPr>
        <w:t xml:space="preserve">Where a settlement agreement contains an on-going commitment or undertaking by a respondent firm to pay penalties or to perform remedial action, performance is monitored by the legal and economic teams of the Commission. </w:t>
      </w:r>
    </w:p>
    <w:p w:rsidR="000A3EB9" w:rsidRDefault="000A3EB9" w:rsidP="006A79FD">
      <w:pPr>
        <w:pStyle w:val="ListParagraph"/>
        <w:ind w:left="1287"/>
        <w:jc w:val="both"/>
        <w:rPr>
          <w:rFonts w:ascii="Arial" w:hAnsi="Arial" w:cs="Arial"/>
          <w:b/>
        </w:rPr>
      </w:pPr>
    </w:p>
    <w:p w:rsidR="000A3EB9" w:rsidRPr="002C3FA0" w:rsidRDefault="000A3EB9" w:rsidP="006A79FD">
      <w:pPr>
        <w:spacing w:line="276" w:lineRule="auto"/>
        <w:ind w:left="720" w:hanging="720"/>
        <w:jc w:val="both"/>
        <w:rPr>
          <w:rFonts w:ascii="Arial" w:hAnsi="Arial" w:cs="Arial"/>
          <w:u w:val="single"/>
        </w:rPr>
      </w:pPr>
      <w:r w:rsidRPr="000A3EB9">
        <w:rPr>
          <w:rFonts w:ascii="Arial" w:hAnsi="Arial" w:cs="Arial"/>
        </w:rPr>
        <w:t xml:space="preserve">(2) </w:t>
      </w:r>
      <w:r w:rsidRPr="002C3FA0">
        <w:rPr>
          <w:rFonts w:ascii="Arial" w:hAnsi="Arial" w:cs="Arial"/>
          <w:u w:val="single"/>
        </w:rPr>
        <w:t>Have any cases been referred to the National Prosecuting Authority for prosecution; if so, what are the details of the cases?</w:t>
      </w:r>
    </w:p>
    <w:p w:rsidR="000A3EB9" w:rsidRPr="00F60B56" w:rsidRDefault="000A3EB9" w:rsidP="006A79FD">
      <w:pPr>
        <w:pStyle w:val="ListParagraph"/>
        <w:ind w:left="1287"/>
        <w:jc w:val="both"/>
        <w:rPr>
          <w:rFonts w:ascii="Arial" w:hAnsi="Arial" w:cs="Arial"/>
        </w:rPr>
      </w:pPr>
    </w:p>
    <w:p w:rsidR="000A3EB9" w:rsidRPr="002C3FA0" w:rsidRDefault="000A3EB9" w:rsidP="006A79FD">
      <w:pPr>
        <w:spacing w:line="276" w:lineRule="auto"/>
        <w:jc w:val="both"/>
        <w:rPr>
          <w:rFonts w:ascii="Arial" w:hAnsi="Arial" w:cs="Arial"/>
        </w:rPr>
      </w:pPr>
      <w:r w:rsidRPr="002C3FA0">
        <w:rPr>
          <w:rFonts w:ascii="Arial" w:hAnsi="Arial" w:cs="Arial"/>
        </w:rPr>
        <w:t xml:space="preserve">The Commission has referred certain cases to the relevant criminal investigation agency for criminal investigation. </w:t>
      </w:r>
      <w:r w:rsidR="001C4A06">
        <w:rPr>
          <w:rFonts w:ascii="Arial" w:hAnsi="Arial" w:cs="Arial"/>
        </w:rPr>
        <w:t xml:space="preserve">The Commissioner advises that </w:t>
      </w:r>
      <w:r w:rsidRPr="002C3FA0">
        <w:rPr>
          <w:rFonts w:ascii="Arial" w:hAnsi="Arial" w:cs="Arial"/>
        </w:rPr>
        <w:t xml:space="preserve">further details of the cases cannot be disclosed at this stage because they are subject to ongoing criminal investigation. </w:t>
      </w:r>
    </w:p>
    <w:p w:rsidR="0091333A" w:rsidRDefault="0091333A" w:rsidP="0091333A">
      <w:pPr>
        <w:pStyle w:val="ListParagraph"/>
        <w:spacing w:line="240" w:lineRule="auto"/>
        <w:ind w:left="0"/>
        <w:jc w:val="both"/>
        <w:rPr>
          <w:rFonts w:ascii="Arial" w:hAnsi="Arial" w:cs="Arial"/>
          <w:szCs w:val="24"/>
          <w:lang w:val="en-ZA"/>
        </w:rPr>
      </w:pPr>
    </w:p>
    <w:p w:rsidR="000A3EB9" w:rsidRDefault="000A3EB9" w:rsidP="0091333A">
      <w:pPr>
        <w:pStyle w:val="ListParagraph"/>
        <w:spacing w:line="240" w:lineRule="auto"/>
        <w:ind w:left="0"/>
        <w:jc w:val="both"/>
        <w:rPr>
          <w:rFonts w:ascii="Arial" w:hAnsi="Arial" w:cs="Arial"/>
          <w:szCs w:val="24"/>
          <w:lang w:val="en-ZA"/>
        </w:rPr>
      </w:pPr>
    </w:p>
    <w:p w:rsidR="001A6948" w:rsidRDefault="001A6948" w:rsidP="001A6948">
      <w:pPr>
        <w:pStyle w:val="ListParagraph"/>
        <w:spacing w:line="240" w:lineRule="auto"/>
        <w:ind w:left="0"/>
        <w:jc w:val="center"/>
        <w:rPr>
          <w:rFonts w:ascii="Arial" w:hAnsi="Arial" w:cs="Arial"/>
          <w:b/>
          <w:szCs w:val="24"/>
          <w:lang w:val="en-ZA"/>
        </w:rPr>
      </w:pPr>
      <w:r>
        <w:rPr>
          <w:rFonts w:ascii="Arial" w:hAnsi="Arial" w:cs="Arial"/>
          <w:b/>
          <w:szCs w:val="24"/>
          <w:lang w:val="en-ZA"/>
        </w:rPr>
        <w:t>-END-</w:t>
      </w:r>
    </w:p>
    <w:p w:rsidR="001A6948" w:rsidRDefault="001A6948" w:rsidP="0091333A">
      <w:pPr>
        <w:pStyle w:val="ListParagraph"/>
        <w:spacing w:line="240" w:lineRule="auto"/>
        <w:ind w:left="0"/>
        <w:jc w:val="both"/>
        <w:rPr>
          <w:rFonts w:ascii="Arial" w:hAnsi="Arial" w:cs="Arial"/>
          <w:b/>
          <w:szCs w:val="24"/>
          <w:lang w:val="en-ZA"/>
        </w:rPr>
      </w:pPr>
    </w:p>
    <w:sectPr w:rsidR="001A6948"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79" w:rsidRDefault="00F05679">
      <w:r>
        <w:separator/>
      </w:r>
    </w:p>
  </w:endnote>
  <w:endnote w:type="continuationSeparator" w:id="0">
    <w:p w:rsidR="00F05679" w:rsidRDefault="00F0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AD" w:rsidRPr="00F35024" w:rsidRDefault="004A22AD" w:rsidP="006A79FD">
    <w:pPr>
      <w:jc w:val="right"/>
      <w:rPr>
        <w:rFonts w:ascii="Arial" w:hAnsi="Arial" w:cs="Arial"/>
        <w:sz w:val="16"/>
        <w:szCs w:val="16"/>
      </w:rPr>
    </w:pPr>
    <w:r w:rsidRPr="00F35024">
      <w:rPr>
        <w:rFonts w:ascii="Arial" w:hAnsi="Arial" w:cs="Arial"/>
        <w:sz w:val="16"/>
        <w:szCs w:val="16"/>
      </w:rPr>
      <w:fldChar w:fldCharType="begin"/>
    </w:r>
    <w:r w:rsidRPr="00F35024">
      <w:rPr>
        <w:rFonts w:ascii="Arial" w:hAnsi="Arial" w:cs="Arial"/>
        <w:sz w:val="16"/>
        <w:szCs w:val="16"/>
      </w:rPr>
      <w:instrText xml:space="preserve"> PAGE </w:instrText>
    </w:r>
    <w:r w:rsidRPr="00F35024">
      <w:rPr>
        <w:rFonts w:ascii="Arial" w:hAnsi="Arial" w:cs="Arial"/>
        <w:sz w:val="16"/>
        <w:szCs w:val="16"/>
      </w:rPr>
      <w:fldChar w:fldCharType="separate"/>
    </w:r>
    <w:r w:rsidR="00F05679">
      <w:rPr>
        <w:rFonts w:ascii="Arial" w:hAnsi="Arial" w:cs="Arial"/>
        <w:noProof/>
        <w:sz w:val="16"/>
        <w:szCs w:val="16"/>
      </w:rPr>
      <w:t>1</w:t>
    </w:r>
    <w:r w:rsidRPr="00F35024">
      <w:rPr>
        <w:rFonts w:ascii="Arial" w:hAnsi="Arial" w:cs="Arial"/>
        <w:sz w:val="16"/>
        <w:szCs w:val="16"/>
      </w:rPr>
      <w:fldChar w:fldCharType="end"/>
    </w:r>
  </w:p>
  <w:p w:rsidR="004A22AD" w:rsidRPr="00F35024" w:rsidRDefault="00D90340" w:rsidP="00F35024">
    <w:pPr>
      <w:pStyle w:val="Body1"/>
      <w:jc w:val="center"/>
      <w:rPr>
        <w:rFonts w:ascii="Arial" w:eastAsia="Times New Roman" w:hAnsi="Arial" w:cs="Arial"/>
        <w:color w:val="auto"/>
        <w:sz w:val="16"/>
        <w:szCs w:val="16"/>
      </w:rPr>
    </w:pPr>
    <w:r>
      <w:rPr>
        <w:rFonts w:ascii="Arial" w:hAnsi="Arial" w:cs="Arial"/>
        <w:sz w:val="16"/>
        <w:szCs w:val="16"/>
      </w:rPr>
      <w:t>Parliamentary Question No 96</w:t>
    </w:r>
    <w:r w:rsidR="00D26F95">
      <w:rPr>
        <w:rFonts w:ascii="Arial" w:hAnsi="Arial" w:cs="Arial"/>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79" w:rsidRDefault="00F05679">
      <w:r>
        <w:separator/>
      </w:r>
    </w:p>
  </w:footnote>
  <w:footnote w:type="continuationSeparator" w:id="0">
    <w:p w:rsidR="00F05679" w:rsidRDefault="00F0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0633393"/>
    <w:multiLevelType w:val="hybridMultilevel"/>
    <w:tmpl w:val="0FF69462"/>
    <w:lvl w:ilvl="0" w:tplc="ED64A8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44E7FC5"/>
    <w:multiLevelType w:val="hybridMultilevel"/>
    <w:tmpl w:val="8DF6B29A"/>
    <w:lvl w:ilvl="0" w:tplc="8D6ABE50">
      <w:start w:val="1"/>
      <w:numFmt w:val="decimal"/>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4A219D8"/>
    <w:multiLevelType w:val="hybridMultilevel"/>
    <w:tmpl w:val="8EDE633C"/>
    <w:lvl w:ilvl="0" w:tplc="C08C507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ED8593C"/>
    <w:multiLevelType w:val="hybridMultilevel"/>
    <w:tmpl w:val="817C0F32"/>
    <w:lvl w:ilvl="0" w:tplc="53C06992">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4">
    <w:nsid w:val="426F5F39"/>
    <w:multiLevelType w:val="hybridMultilevel"/>
    <w:tmpl w:val="6A4A0BAC"/>
    <w:lvl w:ilvl="0" w:tplc="EC1A5C24">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5CFE3590"/>
    <w:multiLevelType w:val="hybridMultilevel"/>
    <w:tmpl w:val="0E76081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F11741"/>
    <w:multiLevelType w:val="hybridMultilevel"/>
    <w:tmpl w:val="0D109DDA"/>
    <w:lvl w:ilvl="0" w:tplc="6B0405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2F16AF4"/>
    <w:multiLevelType w:val="hybridMultilevel"/>
    <w:tmpl w:val="0654172C"/>
    <w:lvl w:ilvl="0" w:tplc="57386AF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5C30ABD"/>
    <w:multiLevelType w:val="hybridMultilevel"/>
    <w:tmpl w:val="49EC6A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9"/>
  </w:num>
  <w:num w:numId="5">
    <w:abstractNumId w:val="12"/>
  </w:num>
  <w:num w:numId="6">
    <w:abstractNumId w:val="13"/>
  </w:num>
  <w:num w:numId="7">
    <w:abstractNumId w:val="1"/>
  </w:num>
  <w:num w:numId="8">
    <w:abstractNumId w:val="0"/>
  </w:num>
  <w:num w:numId="9">
    <w:abstractNumId w:val="3"/>
  </w:num>
  <w:num w:numId="10">
    <w:abstractNumId w:val="4"/>
  </w:num>
  <w:num w:numId="11">
    <w:abstractNumId w:val="10"/>
  </w:num>
  <w:num w:numId="12">
    <w:abstractNumId w:val="7"/>
  </w:num>
  <w:num w:numId="13">
    <w:abstractNumId w:val="2"/>
  </w:num>
  <w:num w:numId="14">
    <w:abstractNumId w:val="18"/>
  </w:num>
  <w:num w:numId="15">
    <w:abstractNumId w:val="16"/>
  </w:num>
  <w:num w:numId="16">
    <w:abstractNumId w:val="14"/>
  </w:num>
  <w:num w:numId="17">
    <w:abstractNumId w:val="8"/>
  </w:num>
  <w:num w:numId="18">
    <w:abstractNumId w:val="6"/>
  </w:num>
  <w:num w:numId="19">
    <w:abstractNumId w:val="19"/>
  </w:num>
  <w:num w:numId="20">
    <w:abstractNumId w:val="15"/>
  </w:num>
  <w:num w:numId="2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9AE"/>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90537"/>
    <w:rsid w:val="00095C52"/>
    <w:rsid w:val="000A0161"/>
    <w:rsid w:val="000A0CA7"/>
    <w:rsid w:val="000A3EB9"/>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06A2"/>
    <w:rsid w:val="000F4289"/>
    <w:rsid w:val="000F6F3B"/>
    <w:rsid w:val="001005D7"/>
    <w:rsid w:val="00102263"/>
    <w:rsid w:val="00105C17"/>
    <w:rsid w:val="00110F79"/>
    <w:rsid w:val="00111CBD"/>
    <w:rsid w:val="00111E71"/>
    <w:rsid w:val="001219A6"/>
    <w:rsid w:val="00127B35"/>
    <w:rsid w:val="00135E7C"/>
    <w:rsid w:val="00136F0B"/>
    <w:rsid w:val="00140EE5"/>
    <w:rsid w:val="001425E9"/>
    <w:rsid w:val="00143692"/>
    <w:rsid w:val="00146CB1"/>
    <w:rsid w:val="00152570"/>
    <w:rsid w:val="001575A2"/>
    <w:rsid w:val="00164373"/>
    <w:rsid w:val="0016738D"/>
    <w:rsid w:val="001701CC"/>
    <w:rsid w:val="001819B5"/>
    <w:rsid w:val="00182F3E"/>
    <w:rsid w:val="00183543"/>
    <w:rsid w:val="001A2584"/>
    <w:rsid w:val="001A2DB8"/>
    <w:rsid w:val="001A54CD"/>
    <w:rsid w:val="001A5FA3"/>
    <w:rsid w:val="001A6948"/>
    <w:rsid w:val="001A79C0"/>
    <w:rsid w:val="001B14C7"/>
    <w:rsid w:val="001B3623"/>
    <w:rsid w:val="001C37E8"/>
    <w:rsid w:val="001C3C25"/>
    <w:rsid w:val="001C3F95"/>
    <w:rsid w:val="001C4A06"/>
    <w:rsid w:val="001D2724"/>
    <w:rsid w:val="001D55D4"/>
    <w:rsid w:val="001D7203"/>
    <w:rsid w:val="001E0662"/>
    <w:rsid w:val="001E0A07"/>
    <w:rsid w:val="001F1D92"/>
    <w:rsid w:val="001F63F2"/>
    <w:rsid w:val="001F7D18"/>
    <w:rsid w:val="00204815"/>
    <w:rsid w:val="00207022"/>
    <w:rsid w:val="00216D98"/>
    <w:rsid w:val="0022183D"/>
    <w:rsid w:val="00222624"/>
    <w:rsid w:val="00233488"/>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B626F"/>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6E2"/>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A22AD"/>
    <w:rsid w:val="004B07AB"/>
    <w:rsid w:val="004B18FC"/>
    <w:rsid w:val="004C1358"/>
    <w:rsid w:val="004D1F24"/>
    <w:rsid w:val="004D4A1F"/>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8A1"/>
    <w:rsid w:val="00560D71"/>
    <w:rsid w:val="005625F2"/>
    <w:rsid w:val="00572684"/>
    <w:rsid w:val="005729FC"/>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D3CB7"/>
    <w:rsid w:val="005E0EA6"/>
    <w:rsid w:val="005E5CAC"/>
    <w:rsid w:val="005E7837"/>
    <w:rsid w:val="005F09EC"/>
    <w:rsid w:val="005F40B0"/>
    <w:rsid w:val="005F6774"/>
    <w:rsid w:val="00606FBD"/>
    <w:rsid w:val="00610112"/>
    <w:rsid w:val="006124E7"/>
    <w:rsid w:val="00613936"/>
    <w:rsid w:val="0061439E"/>
    <w:rsid w:val="00615F78"/>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55D0"/>
    <w:rsid w:val="00687585"/>
    <w:rsid w:val="00691BA5"/>
    <w:rsid w:val="00691EAD"/>
    <w:rsid w:val="00693A3B"/>
    <w:rsid w:val="00693B1D"/>
    <w:rsid w:val="00695B07"/>
    <w:rsid w:val="00696638"/>
    <w:rsid w:val="006A3215"/>
    <w:rsid w:val="006A359C"/>
    <w:rsid w:val="006A6D76"/>
    <w:rsid w:val="006A79FD"/>
    <w:rsid w:val="006B0109"/>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539A"/>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48F6"/>
    <w:rsid w:val="00787E49"/>
    <w:rsid w:val="0079129F"/>
    <w:rsid w:val="007A014F"/>
    <w:rsid w:val="007A370A"/>
    <w:rsid w:val="007A6B43"/>
    <w:rsid w:val="007A79D0"/>
    <w:rsid w:val="007B17DF"/>
    <w:rsid w:val="007B3CB8"/>
    <w:rsid w:val="007B7407"/>
    <w:rsid w:val="007C2BC6"/>
    <w:rsid w:val="007C40FC"/>
    <w:rsid w:val="007C47F4"/>
    <w:rsid w:val="007C569B"/>
    <w:rsid w:val="007E1C75"/>
    <w:rsid w:val="007E6D49"/>
    <w:rsid w:val="008023C6"/>
    <w:rsid w:val="0080371D"/>
    <w:rsid w:val="00804329"/>
    <w:rsid w:val="008049D4"/>
    <w:rsid w:val="00812866"/>
    <w:rsid w:val="00820EB4"/>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F3D"/>
    <w:rsid w:val="00874783"/>
    <w:rsid w:val="00874FB4"/>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333A"/>
    <w:rsid w:val="00914D4A"/>
    <w:rsid w:val="00916DF9"/>
    <w:rsid w:val="00923FBE"/>
    <w:rsid w:val="00924717"/>
    <w:rsid w:val="0092515E"/>
    <w:rsid w:val="00926AFA"/>
    <w:rsid w:val="009300AB"/>
    <w:rsid w:val="0093053C"/>
    <w:rsid w:val="009319A8"/>
    <w:rsid w:val="00931C23"/>
    <w:rsid w:val="009358E0"/>
    <w:rsid w:val="00940053"/>
    <w:rsid w:val="00942FDD"/>
    <w:rsid w:val="0095044F"/>
    <w:rsid w:val="00951912"/>
    <w:rsid w:val="009574F4"/>
    <w:rsid w:val="0096280F"/>
    <w:rsid w:val="00963374"/>
    <w:rsid w:val="00970407"/>
    <w:rsid w:val="00981AEF"/>
    <w:rsid w:val="009842F7"/>
    <w:rsid w:val="0098446D"/>
    <w:rsid w:val="0098476D"/>
    <w:rsid w:val="009A03C3"/>
    <w:rsid w:val="009A3531"/>
    <w:rsid w:val="009B0497"/>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86E"/>
    <w:rsid w:val="00A60FC8"/>
    <w:rsid w:val="00A64DAD"/>
    <w:rsid w:val="00A6516D"/>
    <w:rsid w:val="00A671A3"/>
    <w:rsid w:val="00A707FD"/>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F05CB"/>
    <w:rsid w:val="00AF4FB7"/>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619C6"/>
    <w:rsid w:val="00B6330E"/>
    <w:rsid w:val="00B642CC"/>
    <w:rsid w:val="00B749B3"/>
    <w:rsid w:val="00B80F96"/>
    <w:rsid w:val="00B81006"/>
    <w:rsid w:val="00B82479"/>
    <w:rsid w:val="00B87B41"/>
    <w:rsid w:val="00B91159"/>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486C"/>
    <w:rsid w:val="00C15419"/>
    <w:rsid w:val="00C461C9"/>
    <w:rsid w:val="00C50CEA"/>
    <w:rsid w:val="00C511F0"/>
    <w:rsid w:val="00C5539D"/>
    <w:rsid w:val="00C56332"/>
    <w:rsid w:val="00C626ED"/>
    <w:rsid w:val="00C631B3"/>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6F95"/>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90340"/>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E01241"/>
    <w:rsid w:val="00E111AB"/>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69F8"/>
    <w:rsid w:val="00E67C34"/>
    <w:rsid w:val="00E737FD"/>
    <w:rsid w:val="00E779D9"/>
    <w:rsid w:val="00E8147E"/>
    <w:rsid w:val="00E859B7"/>
    <w:rsid w:val="00E9203E"/>
    <w:rsid w:val="00E92507"/>
    <w:rsid w:val="00EA067D"/>
    <w:rsid w:val="00EA14E6"/>
    <w:rsid w:val="00EA37F5"/>
    <w:rsid w:val="00EA63C1"/>
    <w:rsid w:val="00EA70B1"/>
    <w:rsid w:val="00EB5527"/>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567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2ADD"/>
    <w:rsid w:val="00F83776"/>
    <w:rsid w:val="00F86D72"/>
    <w:rsid w:val="00F87663"/>
    <w:rsid w:val="00F91C95"/>
    <w:rsid w:val="00F95114"/>
    <w:rsid w:val="00F954A9"/>
    <w:rsid w:val="00FA0DBE"/>
    <w:rsid w:val="00FA0FEC"/>
    <w:rsid w:val="00FA46FF"/>
    <w:rsid w:val="00FA4C06"/>
    <w:rsid w:val="00FB2F43"/>
    <w:rsid w:val="00FB3524"/>
    <w:rsid w:val="00FB7848"/>
    <w:rsid w:val="00FC1D3C"/>
    <w:rsid w:val="00FD45B4"/>
    <w:rsid w:val="00FD4A95"/>
    <w:rsid w:val="00FD5696"/>
    <w:rsid w:val="00FD60DD"/>
    <w:rsid w:val="00FD6EBA"/>
    <w:rsid w:val="00FE3B22"/>
    <w:rsid w:val="00FE4467"/>
    <w:rsid w:val="00FE68B0"/>
    <w:rsid w:val="00FF56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uiPriority w:val="99"/>
    <w:locked/>
    <w:rsid w:val="00EC7D9A"/>
    <w:pPr>
      <w:tabs>
        <w:tab w:val="center" w:pos="4513"/>
        <w:tab w:val="right" w:pos="9026"/>
      </w:tabs>
    </w:pPr>
  </w:style>
  <w:style w:type="character" w:customStyle="1" w:styleId="FooterChar">
    <w:name w:val="Footer Char"/>
    <w:link w:val="Footer"/>
    <w:uiPriority w:val="99"/>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paragraph" w:styleId="FootnoteText">
    <w:name w:val="footnote text"/>
    <w:basedOn w:val="Normal"/>
    <w:link w:val="FootnoteTextChar"/>
    <w:uiPriority w:val="99"/>
    <w:unhideWhenUsed/>
    <w:locked/>
    <w:rsid w:val="00D90340"/>
    <w:rPr>
      <w:rFonts w:ascii="Calibri" w:eastAsia="Calibri" w:hAnsi="Calibri"/>
      <w:sz w:val="20"/>
      <w:szCs w:val="20"/>
      <w:lang w:val="en-ZA"/>
    </w:rPr>
  </w:style>
  <w:style w:type="character" w:customStyle="1" w:styleId="FootnoteTextChar">
    <w:name w:val="Footnote Text Char"/>
    <w:link w:val="FootnoteText"/>
    <w:uiPriority w:val="99"/>
    <w:rsid w:val="00D90340"/>
    <w:rPr>
      <w:rFonts w:ascii="Calibri" w:eastAsia="Calibri" w:hAnsi="Calibri"/>
      <w:lang w:eastAsia="en-US"/>
    </w:rPr>
  </w:style>
  <w:style w:type="character" w:styleId="FootnoteReference">
    <w:name w:val="footnote reference"/>
    <w:uiPriority w:val="99"/>
    <w:unhideWhenUsed/>
    <w:locked/>
    <w:rsid w:val="00D90340"/>
    <w:rPr>
      <w:vertAlign w:val="superscript"/>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47227021">
      <w:bodyDiv w:val="1"/>
      <w:marLeft w:val="0"/>
      <w:marRight w:val="0"/>
      <w:marTop w:val="0"/>
      <w:marBottom w:val="0"/>
      <w:divBdr>
        <w:top w:val="none" w:sz="0" w:space="0" w:color="auto"/>
        <w:left w:val="none" w:sz="0" w:space="0" w:color="auto"/>
        <w:bottom w:val="none" w:sz="0" w:space="0" w:color="auto"/>
        <w:right w:val="none" w:sz="0" w:space="0" w:color="auto"/>
      </w:divBdr>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38368112">
      <w:bodyDiv w:val="1"/>
      <w:marLeft w:val="0"/>
      <w:marRight w:val="0"/>
      <w:marTop w:val="0"/>
      <w:marBottom w:val="0"/>
      <w:divBdr>
        <w:top w:val="none" w:sz="0" w:space="0" w:color="auto"/>
        <w:left w:val="none" w:sz="0" w:space="0" w:color="auto"/>
        <w:bottom w:val="none" w:sz="0" w:space="0" w:color="auto"/>
        <w:right w:val="none" w:sz="0" w:space="0" w:color="auto"/>
      </w:divBdr>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4271-6FB3-4EA3-9698-9BE09A38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2017-11-28T19:13:00Z</cp:lastPrinted>
  <dcterms:created xsi:type="dcterms:W3CDTF">2018-05-08T09:21:00Z</dcterms:created>
  <dcterms:modified xsi:type="dcterms:W3CDTF">2018-05-08T09:21:00Z</dcterms:modified>
</cp:coreProperties>
</file>