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1F0AC6"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1F0AC6" w:rsidRPr="001F0AC6">
        <w:rPr>
          <w:rFonts w:ascii="Arial" w:hAnsi="Arial" w:cs="Arial"/>
          <w:b/>
          <w:sz w:val="22"/>
          <w:szCs w:val="22"/>
        </w:rPr>
        <w:t>966</w:t>
      </w:r>
      <w:r w:rsidR="00AD00CE" w:rsidRPr="001F0AC6">
        <w:rPr>
          <w:rFonts w:ascii="Arial" w:hAnsi="Arial" w:cs="Arial"/>
          <w:b/>
          <w:sz w:val="22"/>
          <w:szCs w:val="22"/>
        </w:rPr>
        <w:t xml:space="preserve"> [NW</w:t>
      </w:r>
      <w:r w:rsidR="001F0AC6" w:rsidRPr="001F0AC6">
        <w:rPr>
          <w:rFonts w:ascii="Arial" w:hAnsi="Arial" w:cs="Arial"/>
          <w:b/>
          <w:sz w:val="22"/>
          <w:szCs w:val="22"/>
        </w:rPr>
        <w:t>1096</w:t>
      </w:r>
      <w:r w:rsidR="00AD00CE" w:rsidRPr="001F0AC6">
        <w:rPr>
          <w:rFonts w:ascii="Arial" w:hAnsi="Arial" w:cs="Arial"/>
          <w:b/>
          <w:sz w:val="22"/>
          <w:szCs w:val="22"/>
        </w:rPr>
        <w:t>E]</w:t>
      </w:r>
    </w:p>
    <w:p w:rsidR="00C312EA" w:rsidRPr="001F0AC6" w:rsidRDefault="00BD31C6" w:rsidP="001B0917">
      <w:pPr>
        <w:tabs>
          <w:tab w:val="left" w:pos="432"/>
          <w:tab w:val="left" w:pos="864"/>
        </w:tabs>
        <w:spacing w:line="276" w:lineRule="auto"/>
        <w:jc w:val="center"/>
        <w:rPr>
          <w:rFonts w:ascii="Arial" w:hAnsi="Arial" w:cs="Arial"/>
          <w:b/>
          <w:sz w:val="22"/>
          <w:szCs w:val="22"/>
        </w:rPr>
      </w:pPr>
      <w:r w:rsidRPr="001F0AC6">
        <w:rPr>
          <w:rFonts w:ascii="Arial" w:hAnsi="Arial" w:cs="Arial"/>
          <w:b/>
          <w:sz w:val="22"/>
          <w:szCs w:val="22"/>
        </w:rPr>
        <w:t xml:space="preserve">DATE OF PUBLICATION: </w:t>
      </w:r>
      <w:r w:rsidR="001F0AC6" w:rsidRPr="001F0AC6">
        <w:rPr>
          <w:rFonts w:ascii="Arial" w:hAnsi="Arial" w:cs="Arial"/>
          <w:b/>
          <w:sz w:val="22"/>
          <w:szCs w:val="22"/>
        </w:rPr>
        <w:t>11 APRIL 2016</w:t>
      </w:r>
    </w:p>
    <w:p w:rsidR="001F0AC6" w:rsidRPr="001F0AC6" w:rsidRDefault="001F0AC6" w:rsidP="001F0AC6">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1F0AC6">
        <w:rPr>
          <w:rFonts w:ascii="Arial" w:eastAsia="Calibri" w:hAnsi="Arial" w:cs="Arial"/>
          <w:b/>
          <w:sz w:val="22"/>
          <w:szCs w:val="22"/>
          <w:lang w:val="af-ZA"/>
        </w:rPr>
        <w:t>966.</w:t>
      </w:r>
      <w:r w:rsidRPr="001F0AC6">
        <w:rPr>
          <w:rFonts w:ascii="Arial" w:eastAsia="Calibri" w:hAnsi="Arial" w:cs="Arial"/>
          <w:b/>
          <w:sz w:val="22"/>
          <w:szCs w:val="22"/>
          <w:lang w:val="af-ZA"/>
        </w:rPr>
        <w:tab/>
        <w:t xml:space="preserve">Mr T Z Hadebe (DA) to ask the Minister of </w:t>
      </w:r>
      <w:r>
        <w:rPr>
          <w:rFonts w:ascii="Arial" w:eastAsia="Calibri" w:hAnsi="Arial" w:cs="Arial"/>
          <w:b/>
          <w:sz w:val="22"/>
          <w:szCs w:val="22"/>
          <w:lang w:val="af-ZA"/>
        </w:rPr>
        <w:t>Finance</w:t>
      </w:r>
      <w:r w:rsidRPr="001F0AC6">
        <w:rPr>
          <w:rFonts w:ascii="Arial" w:eastAsia="Calibri" w:hAnsi="Arial" w:cs="Arial"/>
          <w:b/>
          <w:sz w:val="22"/>
          <w:szCs w:val="22"/>
          <w:lang w:val="af-ZA"/>
        </w:rPr>
        <w:t>:</w:t>
      </w:r>
    </w:p>
    <w:p w:rsidR="001F0AC6" w:rsidRPr="001F0AC6" w:rsidRDefault="001F0AC6" w:rsidP="001F0AC6">
      <w:pPr>
        <w:spacing w:before="100" w:beforeAutospacing="1" w:after="100" w:afterAutospacing="1" w:line="276" w:lineRule="auto"/>
        <w:ind w:left="1440" w:hanging="589"/>
        <w:jc w:val="both"/>
        <w:outlineLvl w:val="0"/>
        <w:rPr>
          <w:rFonts w:ascii="Arial" w:eastAsia="Calibri" w:hAnsi="Arial" w:cs="Arial"/>
          <w:sz w:val="22"/>
          <w:szCs w:val="22"/>
          <w:lang w:val="af-ZA"/>
        </w:rPr>
      </w:pPr>
      <w:r w:rsidRPr="001F0AC6">
        <w:rPr>
          <w:rFonts w:ascii="Arial" w:eastAsia="Calibri" w:hAnsi="Arial" w:cs="Arial"/>
          <w:sz w:val="22"/>
          <w:szCs w:val="22"/>
          <w:lang w:val="af-ZA"/>
        </w:rPr>
        <w:t>(1)</w:t>
      </w:r>
      <w:r w:rsidRPr="001F0AC6">
        <w:rPr>
          <w:rFonts w:ascii="Arial" w:eastAsia="Calibri" w:hAnsi="Arial" w:cs="Arial"/>
          <w:sz w:val="22"/>
          <w:szCs w:val="22"/>
          <w:lang w:val="af-ZA"/>
        </w:rPr>
        <w:tab/>
      </w:r>
      <w:r w:rsidRPr="001F0AC6">
        <w:rPr>
          <w:rFonts w:ascii="Arial" w:eastAsia="Calibri" w:hAnsi="Arial" w:cs="Arial"/>
          <w:color w:val="000000"/>
          <w:sz w:val="22"/>
          <w:szCs w:val="22"/>
          <w:lang w:val="af-ZA"/>
        </w:rPr>
        <w:t>What was the status of (a) cash-on-hand, (b) debtors book and age analysis, (c) collection ratio, (d) monthly operating (i) income and (ii) expenditure and (e) creditors book and age analysis of Makana Local Municipality Eastern Cape (i) for the  2014-15 financial year and (ii) since 1 April 2015;</w:t>
      </w:r>
    </w:p>
    <w:p w:rsidR="001F0AC6" w:rsidRPr="001F0AC6" w:rsidRDefault="001F0AC6" w:rsidP="001F0AC6">
      <w:pPr>
        <w:spacing w:before="100" w:beforeAutospacing="1" w:after="100" w:afterAutospacing="1" w:line="276" w:lineRule="auto"/>
        <w:ind w:left="1440" w:hanging="589"/>
        <w:jc w:val="both"/>
        <w:outlineLvl w:val="0"/>
        <w:rPr>
          <w:rFonts w:ascii="Arial" w:eastAsia="Calibri" w:hAnsi="Arial" w:cs="Arial"/>
          <w:sz w:val="22"/>
          <w:szCs w:val="22"/>
          <w:lang w:val="af-ZA"/>
        </w:rPr>
      </w:pPr>
      <w:r w:rsidRPr="001F0AC6">
        <w:rPr>
          <w:rFonts w:ascii="Arial" w:eastAsia="Calibri" w:hAnsi="Arial" w:cs="Arial"/>
          <w:color w:val="000000"/>
          <w:sz w:val="22"/>
          <w:szCs w:val="22"/>
          <w:lang w:val="af-ZA"/>
        </w:rPr>
        <w:t>(2)</w:t>
      </w:r>
      <w:r w:rsidRPr="001F0AC6">
        <w:rPr>
          <w:rFonts w:ascii="Arial" w:eastAsia="Calibri" w:hAnsi="Arial" w:cs="Arial"/>
          <w:color w:val="000000"/>
          <w:sz w:val="22"/>
          <w:szCs w:val="22"/>
          <w:lang w:val="af-ZA"/>
        </w:rPr>
        <w:tab/>
        <w:t>(a) what capital grants have been awarded to the specified municipality in the 2015-16 financial year and (b) in each case, what amount was spent;</w:t>
      </w:r>
    </w:p>
    <w:p w:rsidR="001F0AC6" w:rsidRDefault="001F0AC6" w:rsidP="001F0AC6">
      <w:pPr>
        <w:spacing w:before="100" w:beforeAutospacing="1" w:after="100" w:afterAutospacing="1" w:line="276" w:lineRule="auto"/>
        <w:ind w:left="1440" w:hanging="589"/>
        <w:jc w:val="both"/>
        <w:outlineLvl w:val="0"/>
        <w:rPr>
          <w:rFonts w:ascii="Arial" w:eastAsia="Calibri" w:hAnsi="Arial" w:cs="Arial"/>
          <w:sz w:val="22"/>
          <w:szCs w:val="22"/>
          <w:lang w:val="af-ZA"/>
        </w:rPr>
      </w:pPr>
      <w:r w:rsidRPr="001F0AC6">
        <w:rPr>
          <w:rFonts w:ascii="Arial" w:eastAsia="Calibri" w:hAnsi="Arial" w:cs="Arial"/>
          <w:color w:val="000000"/>
          <w:sz w:val="22"/>
          <w:szCs w:val="22"/>
          <w:lang w:val="af-ZA"/>
        </w:rPr>
        <w:t>(3)</w:t>
      </w:r>
      <w:r w:rsidRPr="001F0AC6">
        <w:rPr>
          <w:rFonts w:ascii="Arial" w:eastAsia="Calibri" w:hAnsi="Arial" w:cs="Arial"/>
          <w:color w:val="000000"/>
          <w:sz w:val="22"/>
          <w:szCs w:val="22"/>
          <w:lang w:val="af-ZA"/>
        </w:rPr>
        <w:tab/>
        <w:t xml:space="preserve">whether the funds for any capital grant have been utilised to finance operational expenditure; if </w:t>
      </w:r>
      <w:r w:rsidRPr="001F0AC6">
        <w:rPr>
          <w:rFonts w:ascii="Arial" w:eastAsia="Calibri" w:hAnsi="Arial" w:cs="Arial"/>
          <w:sz w:val="22"/>
          <w:szCs w:val="22"/>
          <w:lang w:val="af-ZA"/>
        </w:rPr>
        <w:t>not</w:t>
      </w:r>
      <w:r w:rsidRPr="001F0AC6">
        <w:rPr>
          <w:rFonts w:ascii="Arial" w:eastAsia="Calibri" w:hAnsi="Arial" w:cs="Arial"/>
          <w:color w:val="000000"/>
          <w:sz w:val="22"/>
          <w:szCs w:val="22"/>
          <w:lang w:val="af-ZA"/>
        </w:rPr>
        <w:t>, what is the position in this regard; if so, what (a) are the details thereof and (b) steps have been taken in this regard</w:t>
      </w:r>
      <w:r w:rsidRPr="001F0AC6">
        <w:rPr>
          <w:rFonts w:ascii="Arial" w:eastAsia="Calibri" w:hAnsi="Arial" w:cs="Arial"/>
          <w:sz w:val="22"/>
          <w:szCs w:val="22"/>
          <w:lang w:val="af-ZA"/>
        </w:rPr>
        <w:t>?</w:t>
      </w:r>
    </w:p>
    <w:p w:rsidR="001F0AC6" w:rsidRPr="001F0AC6" w:rsidRDefault="001F0AC6" w:rsidP="001F0AC6">
      <w:pPr>
        <w:spacing w:before="100" w:beforeAutospacing="1" w:after="100" w:afterAutospacing="1" w:line="276" w:lineRule="auto"/>
        <w:ind w:left="7200" w:firstLine="720"/>
        <w:jc w:val="both"/>
        <w:outlineLvl w:val="0"/>
        <w:rPr>
          <w:rFonts w:ascii="Arial" w:eastAsia="Calibri" w:hAnsi="Arial" w:cs="Arial"/>
          <w:sz w:val="22"/>
          <w:szCs w:val="22"/>
          <w:lang w:val="af-ZA"/>
        </w:rPr>
      </w:pPr>
      <w:r w:rsidRPr="001F0AC6">
        <w:rPr>
          <w:rFonts w:ascii="Arial" w:eastAsia="Calibri" w:hAnsi="Arial" w:cs="Arial"/>
          <w:sz w:val="22"/>
          <w:szCs w:val="22"/>
          <w:lang w:val="af-ZA"/>
        </w:rPr>
        <w:t>NW1096E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4C2D0C" w:rsidRDefault="006C7040" w:rsidP="004C2D0C">
      <w:pPr>
        <w:pStyle w:val="ListParagraph"/>
        <w:numPr>
          <w:ilvl w:val="0"/>
          <w:numId w:val="3"/>
        </w:numPr>
        <w:tabs>
          <w:tab w:val="left" w:pos="432"/>
          <w:tab w:val="left" w:pos="709"/>
          <w:tab w:val="left" w:pos="864"/>
        </w:tabs>
        <w:spacing w:line="276" w:lineRule="auto"/>
        <w:ind w:hanging="567"/>
        <w:jc w:val="both"/>
        <w:rPr>
          <w:rFonts w:ascii="Arial" w:hAnsi="Arial" w:cs="Arial"/>
          <w:sz w:val="22"/>
          <w:szCs w:val="22"/>
        </w:rPr>
      </w:pPr>
      <w:r w:rsidRPr="004C2D0C">
        <w:rPr>
          <w:rFonts w:ascii="Arial" w:hAnsi="Arial" w:cs="Arial"/>
          <w:sz w:val="22"/>
          <w:szCs w:val="22"/>
        </w:rPr>
        <w:t xml:space="preserve">The Honourable Member </w:t>
      </w:r>
      <w:r w:rsidR="004C2D0C" w:rsidRPr="004C2D0C">
        <w:rPr>
          <w:rFonts w:ascii="Arial" w:hAnsi="Arial" w:cs="Arial"/>
          <w:sz w:val="22"/>
          <w:szCs w:val="22"/>
        </w:rPr>
        <w:t xml:space="preserve">should </w:t>
      </w:r>
      <w:r w:rsidRPr="004C2D0C">
        <w:rPr>
          <w:rFonts w:ascii="Arial" w:hAnsi="Arial" w:cs="Arial"/>
          <w:sz w:val="22"/>
          <w:szCs w:val="22"/>
        </w:rPr>
        <w:t xml:space="preserve">note that this question should be referred to the relevant municipality or sourced from </w:t>
      </w:r>
      <w:r w:rsidR="00C43546" w:rsidRPr="004C2D0C">
        <w:rPr>
          <w:rFonts w:ascii="Arial" w:hAnsi="Arial" w:cs="Arial"/>
          <w:sz w:val="22"/>
          <w:szCs w:val="22"/>
        </w:rPr>
        <w:t xml:space="preserve">their </w:t>
      </w:r>
      <w:r w:rsidRPr="004C2D0C">
        <w:rPr>
          <w:rFonts w:ascii="Arial" w:hAnsi="Arial" w:cs="Arial"/>
          <w:sz w:val="22"/>
          <w:szCs w:val="22"/>
        </w:rPr>
        <w:t>Budget documents or annual reports (including audited financial statements).</w:t>
      </w:r>
      <w:r w:rsidR="00C43546" w:rsidRPr="004C2D0C">
        <w:rPr>
          <w:rFonts w:ascii="Arial" w:hAnsi="Arial" w:cs="Arial"/>
          <w:sz w:val="22"/>
          <w:szCs w:val="22"/>
        </w:rPr>
        <w:t xml:space="preserve"> Only a municipality can verify such information.</w:t>
      </w:r>
      <w:r w:rsidRPr="004C2D0C">
        <w:rPr>
          <w:rFonts w:ascii="Arial" w:hAnsi="Arial" w:cs="Arial"/>
          <w:sz w:val="22"/>
          <w:szCs w:val="22"/>
        </w:rPr>
        <w:t xml:space="preserve"> </w:t>
      </w:r>
    </w:p>
    <w:p w:rsidR="004C2D0C" w:rsidRDefault="004C2D0C" w:rsidP="004C2D0C">
      <w:pPr>
        <w:tabs>
          <w:tab w:val="left" w:pos="432"/>
          <w:tab w:val="left" w:pos="709"/>
          <w:tab w:val="left" w:pos="864"/>
        </w:tabs>
        <w:spacing w:line="276" w:lineRule="auto"/>
        <w:ind w:left="-207"/>
        <w:jc w:val="both"/>
        <w:rPr>
          <w:rFonts w:ascii="Arial" w:hAnsi="Arial" w:cs="Arial"/>
          <w:sz w:val="22"/>
          <w:szCs w:val="22"/>
        </w:rPr>
      </w:pPr>
    </w:p>
    <w:p w:rsidR="004C2D0C" w:rsidRDefault="004C2D0C" w:rsidP="004C2D0C">
      <w:pPr>
        <w:tabs>
          <w:tab w:val="left" w:pos="432"/>
          <w:tab w:val="left" w:pos="709"/>
          <w:tab w:val="left" w:pos="864"/>
        </w:tabs>
        <w:spacing w:line="276" w:lineRule="auto"/>
        <w:ind w:left="786"/>
        <w:jc w:val="both"/>
        <w:rPr>
          <w:rFonts w:ascii="Arial" w:hAnsi="Arial" w:cs="Arial"/>
          <w:sz w:val="22"/>
          <w:szCs w:val="22"/>
        </w:rPr>
      </w:pPr>
      <w:r>
        <w:rPr>
          <w:rFonts w:ascii="Arial" w:hAnsi="Arial" w:cs="Arial"/>
          <w:sz w:val="22"/>
          <w:szCs w:val="22"/>
        </w:rPr>
        <w:t xml:space="preserve">The </w:t>
      </w:r>
      <w:r w:rsidR="006C7040" w:rsidRPr="004C2D0C">
        <w:rPr>
          <w:rFonts w:ascii="Arial" w:hAnsi="Arial" w:cs="Arial"/>
          <w:sz w:val="22"/>
          <w:szCs w:val="22"/>
        </w:rPr>
        <w:t xml:space="preserve">National Treasury collects budget, financial and other information as a consolidated resource center for the public but cannot verify </w:t>
      </w:r>
      <w:r>
        <w:rPr>
          <w:rFonts w:ascii="Arial" w:hAnsi="Arial" w:cs="Arial"/>
          <w:sz w:val="22"/>
          <w:szCs w:val="22"/>
        </w:rPr>
        <w:t>the</w:t>
      </w:r>
      <w:r w:rsidR="006C7040" w:rsidRPr="004C2D0C">
        <w:rPr>
          <w:rFonts w:ascii="Arial" w:hAnsi="Arial" w:cs="Arial"/>
          <w:sz w:val="22"/>
          <w:szCs w:val="22"/>
        </w:rPr>
        <w:t xml:space="preserve"> information.</w:t>
      </w:r>
      <w:r>
        <w:rPr>
          <w:rFonts w:ascii="Arial" w:hAnsi="Arial" w:cs="Arial"/>
          <w:sz w:val="22"/>
          <w:szCs w:val="22"/>
        </w:rPr>
        <w:t xml:space="preserve">  T</w:t>
      </w:r>
      <w:r w:rsidR="006C7040" w:rsidRPr="004C2D0C">
        <w:rPr>
          <w:rFonts w:ascii="Arial" w:hAnsi="Arial" w:cs="Arial"/>
          <w:sz w:val="22"/>
          <w:szCs w:val="22"/>
        </w:rPr>
        <w:t xml:space="preserve">he National Treasury </w:t>
      </w:r>
      <w:r>
        <w:rPr>
          <w:rFonts w:ascii="Arial" w:hAnsi="Arial" w:cs="Arial"/>
          <w:sz w:val="22"/>
          <w:szCs w:val="22"/>
        </w:rPr>
        <w:t xml:space="preserve">publishes </w:t>
      </w:r>
      <w:r w:rsidR="006C7040" w:rsidRPr="004C2D0C">
        <w:rPr>
          <w:rFonts w:ascii="Arial" w:hAnsi="Arial" w:cs="Arial"/>
          <w:sz w:val="22"/>
          <w:szCs w:val="22"/>
        </w:rPr>
        <w:t>annually</w:t>
      </w:r>
      <w:r>
        <w:rPr>
          <w:rFonts w:ascii="Arial" w:hAnsi="Arial" w:cs="Arial"/>
          <w:sz w:val="22"/>
          <w:szCs w:val="22"/>
        </w:rPr>
        <w:t xml:space="preserve"> by November</w:t>
      </w:r>
      <w:r w:rsidR="006C7040" w:rsidRPr="004C2D0C">
        <w:rPr>
          <w:rFonts w:ascii="Arial" w:hAnsi="Arial" w:cs="Arial"/>
          <w:sz w:val="22"/>
          <w:szCs w:val="22"/>
        </w:rPr>
        <w:t xml:space="preserve"> the Budget</w:t>
      </w:r>
      <w:r>
        <w:rPr>
          <w:rFonts w:ascii="Arial" w:hAnsi="Arial" w:cs="Arial"/>
          <w:sz w:val="22"/>
          <w:szCs w:val="22"/>
        </w:rPr>
        <w:t>s</w:t>
      </w:r>
      <w:r w:rsidR="006C7040" w:rsidRPr="004C2D0C">
        <w:rPr>
          <w:rFonts w:ascii="Arial" w:hAnsi="Arial" w:cs="Arial"/>
          <w:sz w:val="22"/>
          <w:szCs w:val="22"/>
        </w:rPr>
        <w:t xml:space="preserve"> of all municipalities in terms of Section 17 of MFMA.</w:t>
      </w:r>
      <w:r>
        <w:rPr>
          <w:rFonts w:ascii="Arial" w:hAnsi="Arial" w:cs="Arial"/>
          <w:sz w:val="22"/>
          <w:szCs w:val="22"/>
        </w:rPr>
        <w:t xml:space="preserve">  In addition, the </w:t>
      </w:r>
      <w:r w:rsidR="006C7040" w:rsidRPr="004C2D0C">
        <w:rPr>
          <w:rFonts w:ascii="Arial" w:hAnsi="Arial" w:cs="Arial"/>
          <w:sz w:val="22"/>
          <w:szCs w:val="22"/>
        </w:rPr>
        <w:t>National Treasury also publishes detailed quarterly reports submitted by all municipalities as per the Section 71 of the MFMA.  The latest publication available for the 2015/16 municipal financial year can be found on our website.</w:t>
      </w:r>
      <w:r>
        <w:rPr>
          <w:rFonts w:ascii="Arial" w:hAnsi="Arial" w:cs="Arial"/>
          <w:sz w:val="22"/>
          <w:szCs w:val="22"/>
        </w:rPr>
        <w:t xml:space="preserve">  </w:t>
      </w:r>
      <w:r w:rsidR="006C7040" w:rsidRPr="004C2D0C">
        <w:rPr>
          <w:rFonts w:ascii="Arial" w:hAnsi="Arial" w:cs="Arial"/>
          <w:sz w:val="22"/>
          <w:szCs w:val="22"/>
        </w:rPr>
        <w:t>The accuracy of the reports can only be confirmed by the respective municipality.</w:t>
      </w:r>
      <w:r>
        <w:rPr>
          <w:rFonts w:ascii="Arial" w:hAnsi="Arial" w:cs="Arial"/>
          <w:sz w:val="22"/>
          <w:szCs w:val="22"/>
        </w:rPr>
        <w:t xml:space="preserve">  </w:t>
      </w:r>
      <w:r w:rsidR="006C7040" w:rsidRPr="004C2D0C">
        <w:rPr>
          <w:rFonts w:ascii="Arial" w:hAnsi="Arial" w:cs="Arial"/>
          <w:sz w:val="22"/>
          <w:szCs w:val="22"/>
        </w:rPr>
        <w:t>The quarterly reports</w:t>
      </w:r>
      <w:r>
        <w:rPr>
          <w:rFonts w:ascii="Arial" w:hAnsi="Arial" w:cs="Arial"/>
          <w:sz w:val="22"/>
          <w:szCs w:val="22"/>
        </w:rPr>
        <w:t xml:space="preserve"> have been </w:t>
      </w:r>
      <w:r w:rsidR="006C7040" w:rsidRPr="004C2D0C">
        <w:rPr>
          <w:rFonts w:ascii="Arial" w:hAnsi="Arial" w:cs="Arial"/>
          <w:sz w:val="22"/>
          <w:szCs w:val="22"/>
        </w:rPr>
        <w:t xml:space="preserve">available </w:t>
      </w:r>
      <w:r>
        <w:rPr>
          <w:rFonts w:ascii="Arial" w:hAnsi="Arial" w:cs="Arial"/>
          <w:sz w:val="22"/>
          <w:szCs w:val="22"/>
        </w:rPr>
        <w:t xml:space="preserve">since 2006/07 on the </w:t>
      </w:r>
      <w:r w:rsidR="006C7040" w:rsidRPr="004C2D0C">
        <w:rPr>
          <w:rFonts w:ascii="Arial" w:hAnsi="Arial" w:cs="Arial"/>
          <w:sz w:val="22"/>
          <w:szCs w:val="22"/>
        </w:rPr>
        <w:t>National Treasury Website</w:t>
      </w:r>
      <w:r>
        <w:rPr>
          <w:rFonts w:ascii="Arial" w:hAnsi="Arial" w:cs="Arial"/>
          <w:sz w:val="22"/>
          <w:szCs w:val="22"/>
        </w:rPr>
        <w:t>.</w:t>
      </w:r>
    </w:p>
    <w:p w:rsidR="00DE6A97" w:rsidRDefault="00D863BE" w:rsidP="004C2D0C">
      <w:pPr>
        <w:tabs>
          <w:tab w:val="left" w:pos="432"/>
          <w:tab w:val="left" w:pos="709"/>
          <w:tab w:val="left" w:pos="864"/>
        </w:tabs>
        <w:spacing w:line="276" w:lineRule="auto"/>
        <w:ind w:left="786"/>
        <w:jc w:val="both"/>
        <w:rPr>
          <w:rFonts w:ascii="Arial" w:hAnsi="Arial" w:cs="Arial"/>
          <w:sz w:val="22"/>
          <w:szCs w:val="22"/>
        </w:rPr>
      </w:pPr>
      <w:hyperlink r:id="rId7" w:history="1">
        <w:r w:rsidR="00DE6A97">
          <w:rPr>
            <w:rStyle w:val="Hyperlink"/>
            <w:rFonts w:ascii="Arial" w:hAnsi="Arial" w:cs="Arial"/>
            <w:sz w:val="22"/>
            <w:szCs w:val="22"/>
          </w:rPr>
          <w:t>http://mfma.treasury.gov.za/Media_Releases/s71/Pages/default.aspx</w:t>
        </w:r>
      </w:hyperlink>
      <w:r w:rsidR="00DE6A97">
        <w:rPr>
          <w:rFonts w:ascii="Arial" w:hAnsi="Arial" w:cs="Arial"/>
          <w:sz w:val="22"/>
          <w:szCs w:val="22"/>
        </w:rPr>
        <w:t xml:space="preserve"> </w:t>
      </w:r>
    </w:p>
    <w:p w:rsidR="00DE6A97" w:rsidRDefault="00DE6A97" w:rsidP="00DE6A97">
      <w:pPr>
        <w:tabs>
          <w:tab w:val="left" w:pos="432"/>
          <w:tab w:val="left" w:pos="864"/>
        </w:tabs>
        <w:spacing w:line="276" w:lineRule="auto"/>
        <w:ind w:left="-900"/>
        <w:rPr>
          <w:rFonts w:ascii="Arial" w:hAnsi="Arial" w:cs="Arial"/>
          <w:sz w:val="22"/>
          <w:szCs w:val="22"/>
        </w:rPr>
      </w:pPr>
    </w:p>
    <w:p w:rsidR="006C7040" w:rsidRPr="004C2D0C" w:rsidRDefault="006C7040" w:rsidP="004C2D0C">
      <w:pPr>
        <w:tabs>
          <w:tab w:val="left" w:pos="432"/>
          <w:tab w:val="left" w:pos="864"/>
        </w:tabs>
        <w:spacing w:line="276" w:lineRule="auto"/>
        <w:ind w:left="709" w:firstLine="11"/>
        <w:jc w:val="both"/>
        <w:rPr>
          <w:rFonts w:ascii="Arial" w:hAnsi="Arial" w:cs="Arial"/>
          <w:sz w:val="22"/>
          <w:szCs w:val="22"/>
        </w:rPr>
      </w:pPr>
      <w:r w:rsidRPr="004C2D0C">
        <w:rPr>
          <w:rFonts w:ascii="Arial" w:hAnsi="Arial" w:cs="Arial"/>
          <w:sz w:val="22"/>
          <w:szCs w:val="22"/>
        </w:rPr>
        <w:t xml:space="preserve">I refer the Honourable </w:t>
      </w:r>
      <w:r w:rsidR="004C2D0C">
        <w:rPr>
          <w:rFonts w:ascii="Arial" w:hAnsi="Arial" w:cs="Arial"/>
          <w:sz w:val="22"/>
          <w:szCs w:val="22"/>
        </w:rPr>
        <w:t>M</w:t>
      </w:r>
      <w:r w:rsidRPr="004C2D0C">
        <w:rPr>
          <w:rFonts w:ascii="Arial" w:hAnsi="Arial" w:cs="Arial"/>
          <w:sz w:val="22"/>
          <w:szCs w:val="22"/>
        </w:rPr>
        <w:t>ember to the page or table in the latest report published on 4</w:t>
      </w:r>
      <w:r w:rsidR="004C2D0C">
        <w:rPr>
          <w:rFonts w:ascii="Arial" w:hAnsi="Arial" w:cs="Arial"/>
          <w:sz w:val="22"/>
          <w:szCs w:val="22"/>
        </w:rPr>
        <w:t xml:space="preserve"> M</w:t>
      </w:r>
      <w:r w:rsidRPr="004C2D0C">
        <w:rPr>
          <w:rFonts w:ascii="Arial" w:hAnsi="Arial" w:cs="Arial"/>
          <w:sz w:val="22"/>
          <w:szCs w:val="22"/>
        </w:rPr>
        <w:t>arch 2016</w:t>
      </w:r>
      <w:r w:rsidR="004C2D0C">
        <w:rPr>
          <w:rFonts w:ascii="Arial" w:hAnsi="Arial" w:cs="Arial"/>
          <w:sz w:val="22"/>
          <w:szCs w:val="22"/>
        </w:rPr>
        <w:t xml:space="preserve"> </w:t>
      </w:r>
      <w:r w:rsidRPr="004C2D0C">
        <w:rPr>
          <w:rFonts w:ascii="Arial" w:hAnsi="Arial" w:cs="Arial"/>
          <w:sz w:val="22"/>
          <w:szCs w:val="22"/>
        </w:rPr>
        <w:t>as follows:</w:t>
      </w:r>
    </w:p>
    <w:p w:rsidR="006C7040" w:rsidRDefault="006C7040" w:rsidP="00DE6A97">
      <w:pPr>
        <w:tabs>
          <w:tab w:val="left" w:pos="432"/>
          <w:tab w:val="left" w:pos="864"/>
        </w:tabs>
        <w:spacing w:line="276" w:lineRule="auto"/>
        <w:ind w:left="-900"/>
        <w:rPr>
          <w:rFonts w:ascii="Arial" w:hAnsi="Arial" w:cs="Arial"/>
          <w:sz w:val="22"/>
          <w:szCs w:val="22"/>
        </w:rPr>
      </w:pPr>
    </w:p>
    <w:p w:rsidR="00DE6A97" w:rsidRPr="004C2D0C" w:rsidRDefault="00DE6A97" w:rsidP="004C2D0C">
      <w:pPr>
        <w:pStyle w:val="ListParagraph"/>
        <w:numPr>
          <w:ilvl w:val="0"/>
          <w:numId w:val="11"/>
        </w:numPr>
        <w:tabs>
          <w:tab w:val="left" w:pos="432"/>
          <w:tab w:val="left" w:pos="864"/>
        </w:tabs>
        <w:spacing w:line="276" w:lineRule="auto"/>
        <w:rPr>
          <w:rFonts w:ascii="Arial" w:hAnsi="Arial" w:cs="Arial"/>
          <w:sz w:val="22"/>
          <w:szCs w:val="22"/>
        </w:rPr>
      </w:pPr>
      <w:r w:rsidRPr="004C2D0C">
        <w:rPr>
          <w:rFonts w:ascii="Arial" w:hAnsi="Arial" w:cs="Arial"/>
          <w:sz w:val="22"/>
          <w:szCs w:val="22"/>
        </w:rPr>
        <w:t>Cash-on-hand</w:t>
      </w:r>
    </w:p>
    <w:p w:rsidR="00DE6A97" w:rsidRPr="004C2D0C" w:rsidRDefault="004C2D0C" w:rsidP="004C2D0C">
      <w:pPr>
        <w:tabs>
          <w:tab w:val="left" w:pos="432"/>
          <w:tab w:val="left" w:pos="864"/>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DE6A97" w:rsidRPr="004C2D0C">
        <w:rPr>
          <w:rFonts w:ascii="Arial" w:hAnsi="Arial" w:cs="Arial"/>
          <w:sz w:val="22"/>
          <w:szCs w:val="22"/>
        </w:rPr>
        <w:t>See Part 3 of the 2-page summary per municipality</w:t>
      </w:r>
    </w:p>
    <w:p w:rsidR="00DE6A97" w:rsidRPr="004C2D0C" w:rsidRDefault="004C2D0C" w:rsidP="004C2D0C">
      <w:pPr>
        <w:tabs>
          <w:tab w:val="left" w:pos="432"/>
          <w:tab w:val="left" w:pos="864"/>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DE6A97" w:rsidRPr="004C2D0C">
        <w:rPr>
          <w:rFonts w:ascii="Arial" w:hAnsi="Arial" w:cs="Arial"/>
          <w:sz w:val="22"/>
          <w:szCs w:val="22"/>
        </w:rPr>
        <w:t>OR</w:t>
      </w:r>
    </w:p>
    <w:p w:rsidR="00DE6A97" w:rsidRPr="004C2D0C" w:rsidRDefault="00DE6A97" w:rsidP="004C2D0C">
      <w:pPr>
        <w:tabs>
          <w:tab w:val="left" w:pos="432"/>
          <w:tab w:val="left" w:pos="864"/>
        </w:tabs>
        <w:spacing w:line="276" w:lineRule="auto"/>
        <w:ind w:left="864"/>
        <w:rPr>
          <w:rFonts w:ascii="Arial" w:hAnsi="Arial" w:cs="Arial"/>
          <w:sz w:val="22"/>
          <w:szCs w:val="22"/>
        </w:rPr>
      </w:pPr>
      <w:r w:rsidRPr="004C2D0C">
        <w:rPr>
          <w:rFonts w:ascii="Arial" w:hAnsi="Arial" w:cs="Arial"/>
          <w:sz w:val="22"/>
          <w:szCs w:val="22"/>
        </w:rPr>
        <w:t>Refer to the cash flow summary on C7 in the Municipal Budget and Reporting Regulation (MBRR) formats.</w:t>
      </w:r>
    </w:p>
    <w:p w:rsidR="00DE6A97" w:rsidRDefault="00DE6A97" w:rsidP="00DE6A97">
      <w:pPr>
        <w:pStyle w:val="ListParagraph"/>
        <w:tabs>
          <w:tab w:val="left" w:pos="432"/>
          <w:tab w:val="left" w:pos="864"/>
        </w:tabs>
        <w:spacing w:line="276" w:lineRule="auto"/>
        <w:ind w:left="1440"/>
        <w:rPr>
          <w:rFonts w:ascii="Arial" w:hAnsi="Arial" w:cs="Arial"/>
          <w:sz w:val="22"/>
          <w:szCs w:val="22"/>
        </w:rPr>
      </w:pPr>
    </w:p>
    <w:p w:rsidR="00DE6A97" w:rsidRDefault="00DE6A97" w:rsidP="004C2D0C">
      <w:pPr>
        <w:pStyle w:val="ListParagraph"/>
        <w:numPr>
          <w:ilvl w:val="0"/>
          <w:numId w:val="11"/>
        </w:numPr>
        <w:tabs>
          <w:tab w:val="left" w:pos="432"/>
          <w:tab w:val="left" w:pos="864"/>
        </w:tabs>
        <w:spacing w:line="276" w:lineRule="auto"/>
        <w:rPr>
          <w:rFonts w:ascii="Arial" w:hAnsi="Arial" w:cs="Arial"/>
          <w:sz w:val="22"/>
          <w:szCs w:val="22"/>
        </w:rPr>
      </w:pPr>
      <w:r>
        <w:rPr>
          <w:rFonts w:ascii="Arial" w:hAnsi="Arial" w:cs="Arial"/>
          <w:sz w:val="22"/>
          <w:szCs w:val="22"/>
        </w:rPr>
        <w:t>Debtor’s analysis</w:t>
      </w:r>
    </w:p>
    <w:p w:rsidR="00DE6A97" w:rsidRPr="004C2D0C" w:rsidRDefault="00DE6A97" w:rsidP="004C2D0C">
      <w:pPr>
        <w:spacing w:line="276" w:lineRule="auto"/>
        <w:ind w:left="851"/>
        <w:rPr>
          <w:rFonts w:ascii="Arial" w:hAnsi="Arial" w:cs="Arial"/>
          <w:sz w:val="22"/>
          <w:szCs w:val="22"/>
        </w:rPr>
      </w:pPr>
      <w:r w:rsidRPr="004C2D0C">
        <w:rPr>
          <w:rFonts w:ascii="Arial" w:hAnsi="Arial" w:cs="Arial"/>
          <w:sz w:val="22"/>
          <w:szCs w:val="22"/>
        </w:rPr>
        <w:t>See Part 4 of the 2-page summary per municipality</w:t>
      </w:r>
    </w:p>
    <w:p w:rsidR="00DE6A97" w:rsidRDefault="00DE6A97" w:rsidP="00DE6A97">
      <w:pPr>
        <w:pStyle w:val="ListParagraph"/>
        <w:tabs>
          <w:tab w:val="left" w:pos="432"/>
          <w:tab w:val="left" w:pos="864"/>
        </w:tabs>
        <w:spacing w:line="276" w:lineRule="auto"/>
        <w:ind w:left="1440"/>
        <w:rPr>
          <w:rFonts w:ascii="Arial" w:hAnsi="Arial" w:cs="Arial"/>
          <w:sz w:val="22"/>
          <w:szCs w:val="22"/>
        </w:rPr>
      </w:pPr>
    </w:p>
    <w:p w:rsidR="00DE6A97" w:rsidRPr="004C2D0C" w:rsidRDefault="00DE6A97" w:rsidP="004C2D0C">
      <w:pPr>
        <w:pStyle w:val="ListParagraph"/>
        <w:numPr>
          <w:ilvl w:val="0"/>
          <w:numId w:val="11"/>
        </w:numPr>
        <w:tabs>
          <w:tab w:val="left" w:pos="432"/>
          <w:tab w:val="left" w:pos="864"/>
        </w:tabs>
        <w:spacing w:line="276" w:lineRule="auto"/>
        <w:rPr>
          <w:rFonts w:ascii="Arial" w:hAnsi="Arial" w:cs="Arial"/>
          <w:sz w:val="22"/>
          <w:szCs w:val="22"/>
        </w:rPr>
      </w:pPr>
      <w:r w:rsidRPr="004C2D0C">
        <w:rPr>
          <w:rFonts w:ascii="Arial" w:hAnsi="Arial" w:cs="Arial"/>
          <w:sz w:val="22"/>
          <w:szCs w:val="22"/>
        </w:rPr>
        <w:t>Collection rate</w:t>
      </w:r>
    </w:p>
    <w:p w:rsidR="00DE6A97" w:rsidRDefault="00DE6A97" w:rsidP="004C2D0C">
      <w:pPr>
        <w:spacing w:line="276" w:lineRule="auto"/>
        <w:ind w:left="851"/>
        <w:rPr>
          <w:rFonts w:ascii="Arial" w:hAnsi="Arial" w:cs="Arial"/>
          <w:sz w:val="22"/>
          <w:szCs w:val="22"/>
        </w:rPr>
      </w:pPr>
      <w:r>
        <w:rPr>
          <w:rFonts w:ascii="Arial" w:hAnsi="Arial" w:cs="Arial"/>
          <w:sz w:val="22"/>
          <w:szCs w:val="22"/>
        </w:rPr>
        <w:t xml:space="preserve">Refer to the high level summary on C1 in the Municipal Budget and </w:t>
      </w:r>
      <w:r w:rsidR="0021303C">
        <w:rPr>
          <w:rFonts w:ascii="Arial" w:hAnsi="Arial" w:cs="Arial"/>
          <w:sz w:val="22"/>
          <w:szCs w:val="22"/>
        </w:rPr>
        <w:t>Reporting Regulation</w:t>
      </w:r>
      <w:r>
        <w:rPr>
          <w:rFonts w:ascii="Arial" w:hAnsi="Arial" w:cs="Arial"/>
          <w:sz w:val="22"/>
          <w:szCs w:val="22"/>
        </w:rPr>
        <w:t xml:space="preserve"> (MBRR) formats.</w:t>
      </w:r>
    </w:p>
    <w:p w:rsidR="00DE6A97" w:rsidRDefault="00DE6A97" w:rsidP="00DE6A97">
      <w:pPr>
        <w:pStyle w:val="ListParagraph"/>
        <w:tabs>
          <w:tab w:val="left" w:pos="432"/>
          <w:tab w:val="left" w:pos="864"/>
        </w:tabs>
        <w:spacing w:line="276" w:lineRule="auto"/>
        <w:ind w:left="1440"/>
        <w:rPr>
          <w:rFonts w:ascii="Arial" w:hAnsi="Arial" w:cs="Arial"/>
          <w:sz w:val="22"/>
          <w:szCs w:val="22"/>
        </w:rPr>
      </w:pPr>
    </w:p>
    <w:p w:rsidR="00DE6A97" w:rsidRDefault="00DE6A97" w:rsidP="004C2D0C">
      <w:pPr>
        <w:pStyle w:val="ListParagraph"/>
        <w:numPr>
          <w:ilvl w:val="0"/>
          <w:numId w:val="11"/>
        </w:numPr>
        <w:tabs>
          <w:tab w:val="left" w:pos="432"/>
          <w:tab w:val="left" w:pos="864"/>
        </w:tabs>
        <w:spacing w:line="276" w:lineRule="auto"/>
        <w:rPr>
          <w:rFonts w:ascii="Arial" w:hAnsi="Arial" w:cs="Arial"/>
          <w:sz w:val="22"/>
          <w:szCs w:val="22"/>
        </w:rPr>
      </w:pPr>
      <w:r>
        <w:rPr>
          <w:rFonts w:ascii="Arial" w:hAnsi="Arial" w:cs="Arial"/>
          <w:sz w:val="22"/>
          <w:szCs w:val="22"/>
        </w:rPr>
        <w:t>Operation revenue and expenditure</w:t>
      </w:r>
    </w:p>
    <w:p w:rsidR="00DE6A97" w:rsidRDefault="00DE6A97" w:rsidP="004C2D0C">
      <w:pPr>
        <w:spacing w:line="276" w:lineRule="auto"/>
        <w:ind w:left="66" w:firstLine="785"/>
        <w:rPr>
          <w:rFonts w:ascii="Arial" w:hAnsi="Arial" w:cs="Arial"/>
          <w:sz w:val="22"/>
          <w:szCs w:val="22"/>
        </w:rPr>
      </w:pPr>
      <w:r>
        <w:rPr>
          <w:rFonts w:ascii="Arial" w:hAnsi="Arial" w:cs="Arial"/>
          <w:sz w:val="22"/>
          <w:szCs w:val="22"/>
        </w:rPr>
        <w:t>See Part 1 of the 2-page summary per municipality</w:t>
      </w:r>
    </w:p>
    <w:p w:rsidR="004C2D0C" w:rsidRDefault="004C2D0C" w:rsidP="004C2D0C">
      <w:pPr>
        <w:tabs>
          <w:tab w:val="left" w:pos="432"/>
          <w:tab w:val="left" w:pos="864"/>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DE6A97">
        <w:rPr>
          <w:rFonts w:ascii="Arial" w:hAnsi="Arial" w:cs="Arial"/>
          <w:sz w:val="22"/>
          <w:szCs w:val="22"/>
        </w:rPr>
        <w:t>OR</w:t>
      </w:r>
    </w:p>
    <w:p w:rsidR="00DE6A97" w:rsidRDefault="00DE6A97" w:rsidP="004C2D0C">
      <w:pPr>
        <w:tabs>
          <w:tab w:val="left" w:pos="432"/>
          <w:tab w:val="left" w:pos="864"/>
        </w:tabs>
        <w:spacing w:line="276" w:lineRule="auto"/>
        <w:ind w:left="864"/>
        <w:rPr>
          <w:rFonts w:ascii="Arial" w:hAnsi="Arial" w:cs="Arial"/>
          <w:sz w:val="22"/>
          <w:szCs w:val="22"/>
        </w:rPr>
      </w:pPr>
      <w:r>
        <w:rPr>
          <w:rFonts w:ascii="Arial" w:hAnsi="Arial" w:cs="Arial"/>
          <w:sz w:val="22"/>
          <w:szCs w:val="22"/>
        </w:rPr>
        <w:t>Refer to the Statement of financial performance on C4 in the Municipal Budget and Reporting Regulation (MBRR) formats.</w:t>
      </w:r>
    </w:p>
    <w:p w:rsidR="00DE6A97" w:rsidRDefault="00DE6A97" w:rsidP="00DE6A97">
      <w:pPr>
        <w:pStyle w:val="ListParagraph"/>
        <w:tabs>
          <w:tab w:val="left" w:pos="432"/>
          <w:tab w:val="left" w:pos="864"/>
        </w:tabs>
        <w:spacing w:line="276" w:lineRule="auto"/>
        <w:ind w:left="1440"/>
        <w:rPr>
          <w:rFonts w:ascii="Arial" w:hAnsi="Arial" w:cs="Arial"/>
          <w:sz w:val="22"/>
          <w:szCs w:val="22"/>
        </w:rPr>
      </w:pPr>
    </w:p>
    <w:p w:rsidR="00DE6A97" w:rsidRPr="004C2D0C" w:rsidRDefault="00DE6A97" w:rsidP="004C2D0C">
      <w:pPr>
        <w:pStyle w:val="ListParagraph"/>
        <w:numPr>
          <w:ilvl w:val="0"/>
          <w:numId w:val="11"/>
        </w:numPr>
        <w:tabs>
          <w:tab w:val="left" w:pos="432"/>
          <w:tab w:val="left" w:pos="864"/>
        </w:tabs>
        <w:spacing w:line="276" w:lineRule="auto"/>
        <w:rPr>
          <w:rFonts w:ascii="Arial" w:hAnsi="Arial" w:cs="Arial"/>
          <w:sz w:val="22"/>
          <w:szCs w:val="22"/>
        </w:rPr>
      </w:pPr>
      <w:r w:rsidRPr="004C2D0C">
        <w:rPr>
          <w:rFonts w:ascii="Arial" w:hAnsi="Arial" w:cs="Arial"/>
          <w:sz w:val="22"/>
          <w:szCs w:val="22"/>
        </w:rPr>
        <w:t>Creditor’s analysis</w:t>
      </w:r>
    </w:p>
    <w:p w:rsidR="00DE6A97" w:rsidRDefault="00DE6A97" w:rsidP="004C2D0C">
      <w:pPr>
        <w:spacing w:line="276" w:lineRule="auto"/>
        <w:ind w:left="786" w:firstLine="65"/>
        <w:rPr>
          <w:rFonts w:ascii="Arial" w:hAnsi="Arial" w:cs="Arial"/>
          <w:sz w:val="22"/>
          <w:szCs w:val="22"/>
        </w:rPr>
      </w:pPr>
      <w:r>
        <w:rPr>
          <w:rFonts w:ascii="Arial" w:hAnsi="Arial" w:cs="Arial"/>
          <w:sz w:val="22"/>
          <w:szCs w:val="22"/>
        </w:rPr>
        <w:t>See Part 5 of the 2-page summary per municipality</w:t>
      </w:r>
    </w:p>
    <w:p w:rsidR="00DE6A97" w:rsidRDefault="00DE6A97" w:rsidP="00DE6A97">
      <w:pPr>
        <w:pStyle w:val="ListParagraph"/>
        <w:tabs>
          <w:tab w:val="left" w:pos="432"/>
          <w:tab w:val="left" w:pos="864"/>
        </w:tabs>
        <w:spacing w:line="276" w:lineRule="auto"/>
        <w:ind w:left="1440"/>
        <w:rPr>
          <w:rFonts w:ascii="Arial" w:hAnsi="Arial" w:cs="Arial"/>
          <w:sz w:val="22"/>
          <w:szCs w:val="22"/>
        </w:rPr>
      </w:pPr>
    </w:p>
    <w:p w:rsidR="00DE6A97" w:rsidRDefault="00DE6A97" w:rsidP="00C43546">
      <w:pPr>
        <w:tabs>
          <w:tab w:val="left" w:pos="432"/>
          <w:tab w:val="left" w:pos="864"/>
        </w:tabs>
        <w:spacing w:line="276" w:lineRule="auto"/>
        <w:jc w:val="both"/>
        <w:rPr>
          <w:rFonts w:ascii="Arial" w:hAnsi="Arial" w:cs="Arial"/>
          <w:b/>
          <w:sz w:val="22"/>
          <w:szCs w:val="22"/>
        </w:rPr>
      </w:pPr>
    </w:p>
    <w:p w:rsidR="00DE6A97" w:rsidRPr="0021303C" w:rsidRDefault="0021303C" w:rsidP="00C43546">
      <w:pPr>
        <w:pStyle w:val="ListParagraph"/>
        <w:numPr>
          <w:ilvl w:val="0"/>
          <w:numId w:val="3"/>
        </w:numPr>
        <w:tabs>
          <w:tab w:val="left" w:pos="432"/>
          <w:tab w:val="left" w:pos="709"/>
          <w:tab w:val="left" w:pos="864"/>
        </w:tabs>
        <w:spacing w:line="276" w:lineRule="auto"/>
        <w:ind w:hanging="567"/>
        <w:jc w:val="both"/>
        <w:rPr>
          <w:rFonts w:ascii="Arial" w:hAnsi="Arial" w:cs="Arial"/>
          <w:sz w:val="22"/>
          <w:szCs w:val="22"/>
        </w:rPr>
      </w:pPr>
      <w:r w:rsidRPr="0021303C">
        <w:rPr>
          <w:rFonts w:ascii="Arial" w:hAnsi="Arial" w:cs="Arial"/>
          <w:sz w:val="22"/>
          <w:szCs w:val="22"/>
        </w:rPr>
        <w:t xml:space="preserve">In terms of the information required regarding </w:t>
      </w:r>
      <w:r w:rsidR="00DE6A97" w:rsidRPr="0021303C">
        <w:rPr>
          <w:rFonts w:ascii="Arial" w:hAnsi="Arial" w:cs="Arial"/>
          <w:sz w:val="22"/>
          <w:szCs w:val="22"/>
        </w:rPr>
        <w:t>Capital grants</w:t>
      </w:r>
      <w:r w:rsidRPr="0021303C">
        <w:rPr>
          <w:rFonts w:ascii="Arial" w:hAnsi="Arial" w:cs="Arial"/>
          <w:sz w:val="22"/>
          <w:szCs w:val="22"/>
        </w:rPr>
        <w:t xml:space="preserve">, refer to the </w:t>
      </w:r>
      <w:r w:rsidR="00DE6A97" w:rsidRPr="0021303C">
        <w:rPr>
          <w:rFonts w:ascii="Arial" w:hAnsi="Arial" w:cs="Arial"/>
          <w:sz w:val="22"/>
          <w:szCs w:val="22"/>
        </w:rPr>
        <w:t>conditional grant summaries per municipality as well as the Summary per program / grant.</w:t>
      </w:r>
    </w:p>
    <w:p w:rsidR="00DE6A97" w:rsidRDefault="00DE6A97" w:rsidP="00C43546">
      <w:pPr>
        <w:pStyle w:val="ListParagraph"/>
        <w:tabs>
          <w:tab w:val="left" w:pos="432"/>
          <w:tab w:val="left" w:pos="864"/>
        </w:tabs>
        <w:spacing w:line="276" w:lineRule="auto"/>
        <w:jc w:val="both"/>
        <w:rPr>
          <w:rFonts w:ascii="Arial" w:hAnsi="Arial" w:cs="Arial"/>
          <w:sz w:val="22"/>
          <w:szCs w:val="22"/>
        </w:rPr>
      </w:pPr>
      <w:r>
        <w:rPr>
          <w:rFonts w:ascii="Arial" w:hAnsi="Arial" w:cs="Arial"/>
          <w:sz w:val="22"/>
          <w:szCs w:val="22"/>
        </w:rPr>
        <w:t>AND</w:t>
      </w:r>
    </w:p>
    <w:p w:rsidR="001E6902" w:rsidRPr="001B0917" w:rsidRDefault="00DE6A97" w:rsidP="00C43546">
      <w:pPr>
        <w:spacing w:line="276" w:lineRule="auto"/>
        <w:ind w:left="360"/>
        <w:jc w:val="both"/>
        <w:rPr>
          <w:rFonts w:ascii="Arial" w:hAnsi="Arial" w:cs="Arial"/>
          <w:b/>
          <w:sz w:val="22"/>
          <w:szCs w:val="22"/>
        </w:rPr>
      </w:pPr>
      <w:r>
        <w:rPr>
          <w:rFonts w:ascii="Arial" w:hAnsi="Arial" w:cs="Arial"/>
          <w:sz w:val="22"/>
          <w:szCs w:val="22"/>
        </w:rPr>
        <w:tab/>
        <w:t xml:space="preserve">Part 2 of the 2-page summary per municipality. </w:t>
      </w:r>
    </w:p>
    <w:p w:rsidR="001E6902" w:rsidRPr="0021303C" w:rsidRDefault="001E6902" w:rsidP="0021303C">
      <w:pPr>
        <w:tabs>
          <w:tab w:val="left" w:pos="432"/>
          <w:tab w:val="left" w:pos="709"/>
          <w:tab w:val="left" w:pos="864"/>
        </w:tabs>
        <w:spacing w:line="276" w:lineRule="auto"/>
        <w:jc w:val="both"/>
        <w:rPr>
          <w:rFonts w:ascii="Arial" w:hAnsi="Arial" w:cs="Arial"/>
          <w:b/>
          <w:sz w:val="22"/>
          <w:szCs w:val="22"/>
        </w:rPr>
      </w:pPr>
    </w:p>
    <w:p w:rsidR="004C06EC" w:rsidRDefault="0021303C" w:rsidP="0021303C">
      <w:pPr>
        <w:pStyle w:val="ListParagraph"/>
        <w:numPr>
          <w:ilvl w:val="0"/>
          <w:numId w:val="3"/>
        </w:numPr>
        <w:spacing w:line="276" w:lineRule="auto"/>
        <w:ind w:hanging="567"/>
        <w:jc w:val="both"/>
        <w:rPr>
          <w:rFonts w:ascii="Arial" w:hAnsi="Arial" w:cs="Arial"/>
          <w:sz w:val="22"/>
          <w:szCs w:val="22"/>
        </w:rPr>
      </w:pPr>
      <w:r>
        <w:rPr>
          <w:rFonts w:ascii="Arial" w:hAnsi="Arial" w:cs="Arial"/>
          <w:sz w:val="22"/>
          <w:szCs w:val="22"/>
        </w:rPr>
        <w:t xml:space="preserve">The </w:t>
      </w:r>
      <w:r w:rsidR="004C06EC">
        <w:rPr>
          <w:rFonts w:ascii="Arial" w:hAnsi="Arial" w:cs="Arial"/>
          <w:sz w:val="22"/>
          <w:szCs w:val="22"/>
        </w:rPr>
        <w:t xml:space="preserve">National Treasury is not in a position to confirm whether Makana municipality spent </w:t>
      </w:r>
      <w:r w:rsidR="00C43546">
        <w:rPr>
          <w:rFonts w:ascii="Arial" w:hAnsi="Arial" w:cs="Arial"/>
          <w:sz w:val="22"/>
          <w:szCs w:val="22"/>
        </w:rPr>
        <w:t xml:space="preserve">its </w:t>
      </w:r>
      <w:r w:rsidR="004C06EC">
        <w:rPr>
          <w:rFonts w:ascii="Arial" w:hAnsi="Arial" w:cs="Arial"/>
          <w:sz w:val="22"/>
          <w:szCs w:val="22"/>
        </w:rPr>
        <w:t>capital grant for operational purposes</w:t>
      </w:r>
      <w:r w:rsidR="00C43546">
        <w:rPr>
          <w:rFonts w:ascii="Arial" w:hAnsi="Arial" w:cs="Arial"/>
          <w:sz w:val="22"/>
          <w:szCs w:val="22"/>
        </w:rPr>
        <w:t>,</w:t>
      </w:r>
      <w:r w:rsidR="004C06EC">
        <w:rPr>
          <w:rFonts w:ascii="Arial" w:hAnsi="Arial" w:cs="Arial"/>
          <w:sz w:val="22"/>
          <w:szCs w:val="22"/>
        </w:rPr>
        <w:t xml:space="preserve"> reason being our reporting </w:t>
      </w:r>
      <w:r w:rsidR="00C43546">
        <w:rPr>
          <w:rFonts w:ascii="Arial" w:hAnsi="Arial" w:cs="Arial"/>
          <w:sz w:val="22"/>
          <w:szCs w:val="22"/>
        </w:rPr>
        <w:t xml:space="preserve">system </w:t>
      </w:r>
      <w:r w:rsidR="004C06EC">
        <w:rPr>
          <w:rFonts w:ascii="Arial" w:hAnsi="Arial" w:cs="Arial"/>
          <w:sz w:val="22"/>
          <w:szCs w:val="22"/>
        </w:rPr>
        <w:t>does not provide detail to that level.</w:t>
      </w:r>
      <w:r>
        <w:rPr>
          <w:rFonts w:ascii="Arial" w:hAnsi="Arial" w:cs="Arial"/>
          <w:sz w:val="22"/>
          <w:szCs w:val="22"/>
        </w:rPr>
        <w:t xml:space="preserve">  </w:t>
      </w:r>
      <w:r w:rsidR="004C06EC">
        <w:rPr>
          <w:rFonts w:ascii="Arial" w:hAnsi="Arial" w:cs="Arial"/>
          <w:sz w:val="22"/>
          <w:szCs w:val="22"/>
        </w:rPr>
        <w:t>However</w:t>
      </w:r>
      <w:r w:rsidR="00C43546">
        <w:rPr>
          <w:rFonts w:ascii="Arial" w:hAnsi="Arial" w:cs="Arial"/>
          <w:sz w:val="22"/>
          <w:szCs w:val="22"/>
        </w:rPr>
        <w:t>,</w:t>
      </w:r>
      <w:r w:rsidR="004C06EC">
        <w:rPr>
          <w:rFonts w:ascii="Arial" w:hAnsi="Arial" w:cs="Arial"/>
          <w:sz w:val="22"/>
          <w:szCs w:val="22"/>
        </w:rPr>
        <w:t xml:space="preserve"> the </w:t>
      </w:r>
      <w:r w:rsidR="00C43546">
        <w:rPr>
          <w:rFonts w:ascii="Arial" w:hAnsi="Arial" w:cs="Arial"/>
          <w:sz w:val="22"/>
          <w:szCs w:val="22"/>
        </w:rPr>
        <w:t xml:space="preserve">national </w:t>
      </w:r>
      <w:r w:rsidR="004C06EC">
        <w:rPr>
          <w:rFonts w:ascii="Arial" w:hAnsi="Arial" w:cs="Arial"/>
          <w:sz w:val="22"/>
          <w:szCs w:val="22"/>
        </w:rPr>
        <w:t xml:space="preserve">department responsible for administering of the capital grant would be in a better position to </w:t>
      </w:r>
      <w:r w:rsidR="00C43546">
        <w:rPr>
          <w:rFonts w:ascii="Arial" w:hAnsi="Arial" w:cs="Arial"/>
          <w:sz w:val="22"/>
          <w:szCs w:val="22"/>
        </w:rPr>
        <w:t xml:space="preserve">provide </w:t>
      </w:r>
      <w:r w:rsidR="00306A8C">
        <w:rPr>
          <w:rFonts w:ascii="Arial" w:hAnsi="Arial" w:cs="Arial"/>
          <w:sz w:val="22"/>
          <w:szCs w:val="22"/>
        </w:rPr>
        <w:t xml:space="preserve">required </w:t>
      </w:r>
      <w:r w:rsidR="004C06EC">
        <w:rPr>
          <w:rFonts w:ascii="Arial" w:hAnsi="Arial" w:cs="Arial"/>
          <w:sz w:val="22"/>
          <w:szCs w:val="22"/>
        </w:rPr>
        <w:t>detail.</w:t>
      </w:r>
      <w:r>
        <w:rPr>
          <w:rFonts w:ascii="Arial" w:hAnsi="Arial" w:cs="Arial"/>
          <w:sz w:val="22"/>
          <w:szCs w:val="22"/>
        </w:rPr>
        <w:t xml:space="preserve">  </w:t>
      </w:r>
      <w:r w:rsidR="004C06EC">
        <w:rPr>
          <w:rFonts w:ascii="Arial" w:hAnsi="Arial" w:cs="Arial"/>
          <w:sz w:val="22"/>
          <w:szCs w:val="22"/>
        </w:rPr>
        <w:t xml:space="preserve">It should be noted however, that Makana Municipality is allowed by law (DoRA) to use a portion of capital grant allocation for operational purposes within the </w:t>
      </w:r>
      <w:r w:rsidR="00306A8C">
        <w:rPr>
          <w:rFonts w:ascii="Arial" w:hAnsi="Arial" w:cs="Arial"/>
          <w:sz w:val="22"/>
          <w:szCs w:val="22"/>
        </w:rPr>
        <w:t xml:space="preserve">threshold </w:t>
      </w:r>
      <w:r w:rsidR="004C06EC">
        <w:rPr>
          <w:rFonts w:ascii="Arial" w:hAnsi="Arial" w:cs="Arial"/>
          <w:sz w:val="22"/>
          <w:szCs w:val="22"/>
        </w:rPr>
        <w:t xml:space="preserve">prescribed </w:t>
      </w:r>
      <w:r w:rsidR="00306A8C">
        <w:rPr>
          <w:rFonts w:ascii="Arial" w:hAnsi="Arial" w:cs="Arial"/>
          <w:sz w:val="22"/>
          <w:szCs w:val="22"/>
        </w:rPr>
        <w:t xml:space="preserve">by the </w:t>
      </w:r>
      <w:r w:rsidR="00C43546">
        <w:rPr>
          <w:rFonts w:ascii="Arial" w:hAnsi="Arial" w:cs="Arial"/>
          <w:sz w:val="22"/>
          <w:szCs w:val="22"/>
        </w:rPr>
        <w:t xml:space="preserve">national </w:t>
      </w:r>
      <w:r w:rsidR="00306A8C">
        <w:rPr>
          <w:rFonts w:ascii="Arial" w:hAnsi="Arial" w:cs="Arial"/>
          <w:sz w:val="22"/>
          <w:szCs w:val="22"/>
        </w:rPr>
        <w:t>department responsible for the grant.</w:t>
      </w:r>
    </w:p>
    <w:p w:rsidR="004C06EC" w:rsidRDefault="004C06EC" w:rsidP="00C43546">
      <w:pPr>
        <w:spacing w:line="276" w:lineRule="auto"/>
        <w:ind w:left="720"/>
        <w:jc w:val="both"/>
        <w:rPr>
          <w:rFonts w:ascii="Arial" w:hAnsi="Arial" w:cs="Arial"/>
          <w:sz w:val="22"/>
          <w:szCs w:val="22"/>
        </w:rPr>
      </w:pPr>
    </w:p>
    <w:p w:rsidR="004C06EC" w:rsidRDefault="006C7040" w:rsidP="00C43546">
      <w:pPr>
        <w:spacing w:line="276" w:lineRule="auto"/>
        <w:ind w:left="720"/>
        <w:jc w:val="both"/>
        <w:rPr>
          <w:rFonts w:ascii="Arial" w:hAnsi="Arial" w:cs="Arial"/>
          <w:sz w:val="22"/>
          <w:szCs w:val="22"/>
        </w:rPr>
      </w:pPr>
      <w:r>
        <w:rPr>
          <w:rFonts w:ascii="Arial" w:hAnsi="Arial" w:cs="Arial"/>
          <w:sz w:val="22"/>
          <w:szCs w:val="22"/>
        </w:rPr>
        <w:t xml:space="preserve">As noted in the 2015 Division of Revenue Act, </w:t>
      </w:r>
      <w:r w:rsidR="004C06EC">
        <w:rPr>
          <w:rFonts w:ascii="Arial" w:hAnsi="Arial" w:cs="Arial"/>
          <w:sz w:val="22"/>
          <w:szCs w:val="22"/>
        </w:rPr>
        <w:t>Makana m</w:t>
      </w:r>
      <w:r w:rsidR="004C06EC" w:rsidRPr="005C5E33">
        <w:rPr>
          <w:rFonts w:ascii="Arial" w:hAnsi="Arial" w:cs="Arial"/>
          <w:sz w:val="22"/>
          <w:szCs w:val="22"/>
        </w:rPr>
        <w:t>unicipalit</w:t>
      </w:r>
      <w:r w:rsidR="004C06EC">
        <w:rPr>
          <w:rFonts w:ascii="Arial" w:hAnsi="Arial" w:cs="Arial"/>
          <w:sz w:val="22"/>
          <w:szCs w:val="22"/>
        </w:rPr>
        <w:t>y</w:t>
      </w:r>
      <w:r w:rsidR="004C06EC" w:rsidRPr="005C5E33">
        <w:rPr>
          <w:rFonts w:ascii="Arial" w:hAnsi="Arial" w:cs="Arial"/>
          <w:sz w:val="22"/>
          <w:szCs w:val="22"/>
        </w:rPr>
        <w:t xml:space="preserve"> receive</w:t>
      </w:r>
      <w:r w:rsidR="004C06EC">
        <w:rPr>
          <w:rFonts w:ascii="Arial" w:hAnsi="Arial" w:cs="Arial"/>
          <w:sz w:val="22"/>
          <w:szCs w:val="22"/>
        </w:rPr>
        <w:t>d one capital grant being</w:t>
      </w:r>
      <w:r w:rsidR="004C06EC" w:rsidRPr="005C5E33">
        <w:rPr>
          <w:rFonts w:ascii="Arial" w:hAnsi="Arial" w:cs="Arial"/>
          <w:sz w:val="22"/>
          <w:szCs w:val="22"/>
        </w:rPr>
        <w:t xml:space="preserve"> Municipal Infrastructure Grant (MIG) administered by the depar</w:t>
      </w:r>
      <w:r w:rsidR="004C06EC">
        <w:rPr>
          <w:rFonts w:ascii="Arial" w:hAnsi="Arial" w:cs="Arial"/>
          <w:sz w:val="22"/>
          <w:szCs w:val="22"/>
        </w:rPr>
        <w:t>tment of Corporative Governance</w:t>
      </w:r>
      <w:r w:rsidR="004C06EC" w:rsidRPr="005C5E33">
        <w:rPr>
          <w:rFonts w:ascii="Arial" w:hAnsi="Arial" w:cs="Arial"/>
          <w:sz w:val="22"/>
          <w:szCs w:val="22"/>
        </w:rPr>
        <w:t>.</w:t>
      </w:r>
      <w:r w:rsidR="0021303C">
        <w:rPr>
          <w:rFonts w:ascii="Arial" w:hAnsi="Arial" w:cs="Arial"/>
          <w:sz w:val="22"/>
          <w:szCs w:val="22"/>
        </w:rPr>
        <w:t xml:space="preserve">  </w:t>
      </w:r>
      <w:r w:rsidR="004C06EC" w:rsidRPr="005C5E33">
        <w:rPr>
          <w:rFonts w:ascii="Arial" w:hAnsi="Arial" w:cs="Arial"/>
          <w:sz w:val="22"/>
          <w:szCs w:val="22"/>
        </w:rPr>
        <w:t>The</w:t>
      </w:r>
      <w:r w:rsidR="004C06EC">
        <w:rPr>
          <w:rFonts w:ascii="Arial" w:hAnsi="Arial" w:cs="Arial"/>
          <w:sz w:val="22"/>
          <w:szCs w:val="22"/>
        </w:rPr>
        <w:t xml:space="preserve"> MIG</w:t>
      </w:r>
      <w:r w:rsidR="004C06EC" w:rsidRPr="005C5E33">
        <w:rPr>
          <w:rFonts w:ascii="Arial" w:hAnsi="Arial" w:cs="Arial"/>
          <w:sz w:val="22"/>
          <w:szCs w:val="22"/>
        </w:rPr>
        <w:t xml:space="preserve"> provides that municipalities can use a maximum of 5% of the grant allocation </w:t>
      </w:r>
      <w:r w:rsidR="004C06EC">
        <w:rPr>
          <w:rFonts w:ascii="Arial" w:hAnsi="Arial" w:cs="Arial"/>
          <w:sz w:val="22"/>
          <w:szCs w:val="22"/>
        </w:rPr>
        <w:t>for operational purposes.</w:t>
      </w:r>
    </w:p>
    <w:p w:rsidR="005C5E33" w:rsidRPr="005C5E33" w:rsidRDefault="005C5E33" w:rsidP="005C5E33">
      <w:pPr>
        <w:spacing w:line="276" w:lineRule="auto"/>
        <w:ind w:left="720"/>
        <w:rPr>
          <w:rFonts w:ascii="Arial" w:hAnsi="Arial" w:cs="Arial"/>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C920EC">
      <w:pPr>
        <w:rPr>
          <w:rFonts w:ascii="Arial" w:hAnsi="Arial" w:cs="Arial"/>
          <w:b/>
          <w:sz w:val="22"/>
          <w:szCs w:val="22"/>
        </w:rPr>
      </w:pPr>
    </w:p>
    <w:sectPr w:rsidR="00B77F67" w:rsidRPr="001B0917" w:rsidSect="00682CFB">
      <w:pgSz w:w="11907" w:h="16839" w:code="9"/>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E4"/>
    <w:multiLevelType w:val="hybridMultilevel"/>
    <w:tmpl w:val="F6A23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6589E"/>
    <w:multiLevelType w:val="hybridMultilevel"/>
    <w:tmpl w:val="CB04C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2C743C"/>
    <w:multiLevelType w:val="hybridMultilevel"/>
    <w:tmpl w:val="F6A23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406EE"/>
    <w:multiLevelType w:val="hybridMultilevel"/>
    <w:tmpl w:val="20C458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F1464"/>
    <w:multiLevelType w:val="hybridMultilevel"/>
    <w:tmpl w:val="3EB63294"/>
    <w:lvl w:ilvl="0" w:tplc="92E4D56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3891BC9"/>
    <w:multiLevelType w:val="hybridMultilevel"/>
    <w:tmpl w:val="BA0AC4F8"/>
    <w:lvl w:ilvl="0" w:tplc="25BADCA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8511826"/>
    <w:multiLevelType w:val="hybridMultilevel"/>
    <w:tmpl w:val="39700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DB4101"/>
    <w:multiLevelType w:val="hybridMultilevel"/>
    <w:tmpl w:val="EC80A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8"/>
  </w:num>
  <w:num w:numId="7">
    <w:abstractNumId w:val="1"/>
  </w:num>
  <w:num w:numId="8">
    <w:abstractNumId w:val="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5"/>
    <w:rsid w:val="00020C04"/>
    <w:rsid w:val="00060502"/>
    <w:rsid w:val="000C1123"/>
    <w:rsid w:val="000C48D8"/>
    <w:rsid w:val="000C7C4D"/>
    <w:rsid w:val="000F3B14"/>
    <w:rsid w:val="001433AE"/>
    <w:rsid w:val="0015727B"/>
    <w:rsid w:val="001713D2"/>
    <w:rsid w:val="001B0917"/>
    <w:rsid w:val="001E3FB5"/>
    <w:rsid w:val="001E6902"/>
    <w:rsid w:val="001F0AC6"/>
    <w:rsid w:val="0021303C"/>
    <w:rsid w:val="00222C6B"/>
    <w:rsid w:val="002F6E86"/>
    <w:rsid w:val="00306A8C"/>
    <w:rsid w:val="0032749E"/>
    <w:rsid w:val="003421BD"/>
    <w:rsid w:val="003470C8"/>
    <w:rsid w:val="004C06EC"/>
    <w:rsid w:val="004C2D0C"/>
    <w:rsid w:val="005141B3"/>
    <w:rsid w:val="00561930"/>
    <w:rsid w:val="00574E19"/>
    <w:rsid w:val="005C5E33"/>
    <w:rsid w:val="005F3B0E"/>
    <w:rsid w:val="00613FC6"/>
    <w:rsid w:val="006239F1"/>
    <w:rsid w:val="00624D20"/>
    <w:rsid w:val="0062770E"/>
    <w:rsid w:val="0064275F"/>
    <w:rsid w:val="00647EF2"/>
    <w:rsid w:val="00653A85"/>
    <w:rsid w:val="00682CFB"/>
    <w:rsid w:val="006C7040"/>
    <w:rsid w:val="007118EA"/>
    <w:rsid w:val="00726A9C"/>
    <w:rsid w:val="007359BF"/>
    <w:rsid w:val="007914E0"/>
    <w:rsid w:val="007A32AF"/>
    <w:rsid w:val="007B1BA1"/>
    <w:rsid w:val="00891265"/>
    <w:rsid w:val="008C2559"/>
    <w:rsid w:val="00911717"/>
    <w:rsid w:val="009163A5"/>
    <w:rsid w:val="00953363"/>
    <w:rsid w:val="0096007E"/>
    <w:rsid w:val="009A18A7"/>
    <w:rsid w:val="009C71AF"/>
    <w:rsid w:val="00A27751"/>
    <w:rsid w:val="00A525F0"/>
    <w:rsid w:val="00A722A9"/>
    <w:rsid w:val="00A72B9B"/>
    <w:rsid w:val="00A84B77"/>
    <w:rsid w:val="00AD00CE"/>
    <w:rsid w:val="00AD5C9B"/>
    <w:rsid w:val="00B447E6"/>
    <w:rsid w:val="00B77F67"/>
    <w:rsid w:val="00BD31C6"/>
    <w:rsid w:val="00C043B4"/>
    <w:rsid w:val="00C25C7E"/>
    <w:rsid w:val="00C312EA"/>
    <w:rsid w:val="00C43546"/>
    <w:rsid w:val="00C44C35"/>
    <w:rsid w:val="00C60822"/>
    <w:rsid w:val="00C744A9"/>
    <w:rsid w:val="00C920EC"/>
    <w:rsid w:val="00CC2F3E"/>
    <w:rsid w:val="00D51FE5"/>
    <w:rsid w:val="00D863BE"/>
    <w:rsid w:val="00D8762B"/>
    <w:rsid w:val="00DA1893"/>
    <w:rsid w:val="00DB2463"/>
    <w:rsid w:val="00DC41DF"/>
    <w:rsid w:val="00DD5296"/>
    <w:rsid w:val="00DE6A97"/>
    <w:rsid w:val="00DF0D26"/>
    <w:rsid w:val="00E77DF6"/>
    <w:rsid w:val="00E8352B"/>
    <w:rsid w:val="00EA6A49"/>
    <w:rsid w:val="00F142F5"/>
    <w:rsid w:val="00F1563C"/>
    <w:rsid w:val="00F46AD7"/>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A722A9"/>
    <w:pPr>
      <w:ind w:left="720"/>
      <w:contextualSpacing/>
    </w:pPr>
  </w:style>
  <w:style w:type="paragraph" w:styleId="BalloonText">
    <w:name w:val="Balloon Text"/>
    <w:basedOn w:val="Normal"/>
    <w:link w:val="BalloonTextChar"/>
    <w:rsid w:val="00C043B4"/>
    <w:rPr>
      <w:rFonts w:ascii="Tahoma" w:hAnsi="Tahoma" w:cs="Tahoma"/>
      <w:sz w:val="16"/>
      <w:szCs w:val="16"/>
    </w:rPr>
  </w:style>
  <w:style w:type="character" w:customStyle="1" w:styleId="BalloonTextChar">
    <w:name w:val="Balloon Text Char"/>
    <w:basedOn w:val="DefaultParagraphFont"/>
    <w:link w:val="BalloonText"/>
    <w:rsid w:val="00C043B4"/>
    <w:rPr>
      <w:rFonts w:ascii="Tahoma" w:hAnsi="Tahoma" w:cs="Tahoma"/>
      <w:sz w:val="16"/>
      <w:szCs w:val="16"/>
      <w:lang w:val="en-US" w:eastAsia="en-US"/>
    </w:rPr>
  </w:style>
  <w:style w:type="table" w:styleId="TableGrid">
    <w:name w:val="Table Grid"/>
    <w:basedOn w:val="TableNormal"/>
    <w:rsid w:val="0032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E6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A722A9"/>
    <w:pPr>
      <w:ind w:left="720"/>
      <w:contextualSpacing/>
    </w:pPr>
  </w:style>
  <w:style w:type="paragraph" w:styleId="BalloonText">
    <w:name w:val="Balloon Text"/>
    <w:basedOn w:val="Normal"/>
    <w:link w:val="BalloonTextChar"/>
    <w:rsid w:val="00C043B4"/>
    <w:rPr>
      <w:rFonts w:ascii="Tahoma" w:hAnsi="Tahoma" w:cs="Tahoma"/>
      <w:sz w:val="16"/>
      <w:szCs w:val="16"/>
    </w:rPr>
  </w:style>
  <w:style w:type="character" w:customStyle="1" w:styleId="BalloonTextChar">
    <w:name w:val="Balloon Text Char"/>
    <w:basedOn w:val="DefaultParagraphFont"/>
    <w:link w:val="BalloonText"/>
    <w:rsid w:val="00C043B4"/>
    <w:rPr>
      <w:rFonts w:ascii="Tahoma" w:hAnsi="Tahoma" w:cs="Tahoma"/>
      <w:sz w:val="16"/>
      <w:szCs w:val="16"/>
      <w:lang w:val="en-US" w:eastAsia="en-US"/>
    </w:rPr>
  </w:style>
  <w:style w:type="table" w:styleId="TableGrid">
    <w:name w:val="Table Grid"/>
    <w:basedOn w:val="TableNormal"/>
    <w:rsid w:val="0032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E6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6457">
      <w:bodyDiv w:val="1"/>
      <w:marLeft w:val="0"/>
      <w:marRight w:val="0"/>
      <w:marTop w:val="0"/>
      <w:marBottom w:val="0"/>
      <w:divBdr>
        <w:top w:val="none" w:sz="0" w:space="0" w:color="auto"/>
        <w:left w:val="none" w:sz="0" w:space="0" w:color="auto"/>
        <w:bottom w:val="none" w:sz="0" w:space="0" w:color="auto"/>
        <w:right w:val="none" w:sz="0" w:space="0" w:color="auto"/>
      </w:divBdr>
    </w:div>
    <w:div w:id="18928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fma.treasury.gov.za/Media_Releases/s71/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C480-4654-43E3-8E1F-46F8E7EF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2016-05-17T07:32:00Z</cp:lastPrinted>
  <dcterms:created xsi:type="dcterms:W3CDTF">2016-05-18T08:09:00Z</dcterms:created>
  <dcterms:modified xsi:type="dcterms:W3CDTF">2016-05-18T08:09:00Z</dcterms:modified>
</cp:coreProperties>
</file>