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3109A" w:rsidRDefault="002E5BBE" w:rsidP="002E5BBE">
      <w:pPr>
        <w:spacing w:after="0" w:line="240" w:lineRule="auto"/>
        <w:rPr>
          <w:rFonts w:ascii="Arial" w:eastAsia="Times New Roman" w:hAnsi="Arial" w:cs="Arial"/>
          <w:vanish/>
          <w:color w:val="000000"/>
          <w:lang w:val="it-IT"/>
        </w:rPr>
      </w:pPr>
      <w:bookmarkStart w:id="0" w:name="_GoBack"/>
      <w:bookmarkEnd w:id="0"/>
    </w:p>
    <w:p w:rsidR="002E5BBE" w:rsidRPr="00061E93"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061E93">
        <w:rPr>
          <w:rFonts w:ascii="Calibri" w:eastAsia="Times New Roman" w:hAnsi="Calibri" w:cs="Times New Roman"/>
          <w:b/>
          <w:sz w:val="24"/>
          <w:szCs w:val="24"/>
          <w:lang w:val="en-ZA"/>
        </w:rPr>
        <w:br w:type="textWrapping" w:clear="all"/>
      </w:r>
    </w:p>
    <w:p w:rsidR="002E5BBE" w:rsidRPr="002E5BBE" w:rsidRDefault="00B71068" w:rsidP="002E5BBE">
      <w:pPr>
        <w:spacing w:after="0" w:line="240" w:lineRule="auto"/>
        <w:ind w:left="720" w:hanging="720"/>
        <w:jc w:val="center"/>
        <w:outlineLvl w:val="0"/>
        <w:rPr>
          <w:rFonts w:ascii="Arial" w:eastAsia="Times New Roman" w:hAnsi="Arial" w:cs="Arial"/>
          <w:b/>
          <w:bCs/>
          <w:color w:val="000000"/>
          <w:lang w:val="en-GB"/>
        </w:rPr>
      </w:pPr>
      <w:r>
        <w:rPr>
          <w:rFonts w:ascii="Arial" w:eastAsia="Times New Roman" w:hAnsi="Arial" w:cs="Arial"/>
          <w:b/>
          <w:bCs/>
          <w:color w:val="000000"/>
          <w:lang w:val="en-ZA"/>
        </w:rPr>
        <w:t>NATIONAL ASSEMBLY</w:t>
      </w:r>
      <w:r w:rsidR="002E5BBE"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2E5BBE">
      <w:pPr>
        <w:spacing w:after="0" w:line="240" w:lineRule="auto"/>
        <w:rPr>
          <w:rFonts w:ascii="Arial" w:eastAsia="Times New Roman" w:hAnsi="Arial" w:cs="Arial"/>
          <w:b/>
          <w:bCs/>
          <w:color w:val="000000"/>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6E1403">
        <w:rPr>
          <w:rFonts w:ascii="Arial" w:eastAsia="Times New Roman" w:hAnsi="Arial" w:cs="Arial"/>
          <w:b/>
          <w:bCs/>
          <w:color w:val="000000"/>
          <w:lang w:val="en-GB"/>
        </w:rPr>
        <w:t>9</w:t>
      </w:r>
      <w:r w:rsidR="00CB6741">
        <w:rPr>
          <w:rFonts w:ascii="Arial" w:eastAsia="Times New Roman" w:hAnsi="Arial" w:cs="Arial"/>
          <w:b/>
          <w:bCs/>
          <w:color w:val="000000"/>
          <w:lang w:val="en-GB"/>
        </w:rPr>
        <w:t>5</w:t>
      </w:r>
      <w:r w:rsidR="006E1403">
        <w:rPr>
          <w:rFonts w:ascii="Arial" w:eastAsia="Times New Roman" w:hAnsi="Arial" w:cs="Arial"/>
          <w:b/>
          <w:bCs/>
          <w:color w:val="000000"/>
          <w:lang w:val="en-GB"/>
        </w:rPr>
        <w:t>9</w:t>
      </w:r>
    </w:p>
    <w:p w:rsidR="00D301AE" w:rsidRPr="00E06904" w:rsidRDefault="002E5BBE" w:rsidP="00E06904">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DATE OF PUBLICATION: </w:t>
      </w:r>
      <w:r w:rsidR="008860F7">
        <w:rPr>
          <w:rFonts w:ascii="Arial" w:eastAsia="Times New Roman" w:hAnsi="Arial" w:cs="Arial"/>
          <w:b/>
          <w:bCs/>
          <w:color w:val="000000"/>
          <w:lang w:val="en-GB"/>
        </w:rPr>
        <w:t>17 March</w:t>
      </w:r>
      <w:r w:rsidR="00061E93">
        <w:rPr>
          <w:rFonts w:ascii="Arial" w:eastAsia="Times New Roman" w:hAnsi="Arial" w:cs="Arial"/>
          <w:b/>
          <w:bCs/>
          <w:color w:val="000000"/>
          <w:lang w:val="en-GB"/>
        </w:rPr>
        <w:t xml:space="preserve"> </w:t>
      </w:r>
      <w:r w:rsidR="00C501F2">
        <w:rPr>
          <w:rFonts w:ascii="Arial" w:eastAsia="Times New Roman" w:hAnsi="Arial" w:cs="Arial"/>
          <w:b/>
          <w:bCs/>
          <w:color w:val="000000"/>
          <w:lang w:val="en-GB"/>
        </w:rPr>
        <w:t>2</w:t>
      </w:r>
      <w:r w:rsidR="008F1E27">
        <w:rPr>
          <w:rFonts w:ascii="Arial" w:eastAsia="Times New Roman" w:hAnsi="Arial" w:cs="Arial"/>
          <w:b/>
          <w:bCs/>
          <w:color w:val="000000"/>
          <w:lang w:val="en-GB"/>
        </w:rPr>
        <w:t>0</w:t>
      </w:r>
      <w:r w:rsidR="008860F7">
        <w:rPr>
          <w:rFonts w:ascii="Arial" w:eastAsia="Times New Roman" w:hAnsi="Arial" w:cs="Arial"/>
          <w:b/>
          <w:bCs/>
          <w:color w:val="000000"/>
          <w:lang w:val="en-GB"/>
        </w:rPr>
        <w:t>23</w:t>
      </w:r>
      <w:bookmarkStart w:id="1" w:name="_Hlk131467789"/>
    </w:p>
    <w:p w:rsidR="00831C57" w:rsidRDefault="00CB6741" w:rsidP="00CA4060">
      <w:pPr>
        <w:spacing w:before="100" w:beforeAutospacing="1" w:after="100" w:afterAutospacing="1" w:line="360" w:lineRule="auto"/>
        <w:ind w:left="720" w:hanging="720"/>
        <w:jc w:val="both"/>
        <w:outlineLvl w:val="0"/>
        <w:rPr>
          <w:rFonts w:ascii="Arial" w:hAnsi="Arial" w:cs="Arial"/>
          <w:color w:val="000000" w:themeColor="text1"/>
          <w:sz w:val="24"/>
          <w:szCs w:val="24"/>
        </w:rPr>
      </w:pPr>
      <w:r w:rsidRPr="00831C57">
        <w:rPr>
          <w:rFonts w:ascii="Arial" w:hAnsi="Arial" w:cs="Arial"/>
          <w:b/>
          <w:bCs/>
          <w:color w:val="000000" w:themeColor="text1"/>
          <w:sz w:val="24"/>
          <w:szCs w:val="24"/>
        </w:rPr>
        <w:t xml:space="preserve">959. </w:t>
      </w:r>
      <w:r w:rsidR="00CA4060" w:rsidRPr="00831C57">
        <w:rPr>
          <w:rFonts w:ascii="Arial" w:hAnsi="Arial" w:cs="Arial"/>
          <w:b/>
          <w:bCs/>
          <w:color w:val="000000" w:themeColor="text1"/>
          <w:sz w:val="24"/>
          <w:szCs w:val="24"/>
        </w:rPr>
        <w:tab/>
      </w:r>
      <w:r w:rsidRPr="00831C57">
        <w:rPr>
          <w:rFonts w:ascii="Arial" w:hAnsi="Arial" w:cs="Arial"/>
          <w:b/>
          <w:bCs/>
          <w:color w:val="000000" w:themeColor="text1"/>
          <w:sz w:val="24"/>
          <w:szCs w:val="24"/>
        </w:rPr>
        <w:t>Ms S A Buthelezi (IFP) to ask the Minister of Cooperative Governance and Traditional Affairs</w:t>
      </w:r>
      <w:r w:rsidRPr="00CB6741">
        <w:rPr>
          <w:rFonts w:ascii="Arial" w:hAnsi="Arial" w:cs="Arial"/>
          <w:color w:val="000000" w:themeColor="text1"/>
          <w:sz w:val="24"/>
          <w:szCs w:val="24"/>
        </w:rPr>
        <w:t xml:space="preserve">: </w:t>
      </w:r>
    </w:p>
    <w:p w:rsidR="00A50FE3" w:rsidRPr="00CB6741" w:rsidRDefault="00CB6741" w:rsidP="00831C57">
      <w:pPr>
        <w:spacing w:before="100" w:beforeAutospacing="1" w:after="100" w:afterAutospacing="1" w:line="360" w:lineRule="auto"/>
        <w:ind w:left="810"/>
        <w:jc w:val="both"/>
        <w:outlineLvl w:val="0"/>
        <w:rPr>
          <w:rFonts w:ascii="Arial" w:eastAsia="Times New Roman" w:hAnsi="Arial" w:cs="Arial"/>
          <w:sz w:val="24"/>
          <w:szCs w:val="24"/>
          <w:lang w:val="en-ZA"/>
        </w:rPr>
      </w:pPr>
      <w:r w:rsidRPr="00CB6741">
        <w:rPr>
          <w:rFonts w:ascii="Arial" w:hAnsi="Arial" w:cs="Arial"/>
          <w:color w:val="000000" w:themeColor="text1"/>
          <w:sz w:val="24"/>
          <w:szCs w:val="24"/>
        </w:rPr>
        <w:t xml:space="preserve">What (a) is the role of her department in situations where local governments are unable to provide basic services like water and sanitation, as is </w:t>
      </w:r>
      <w:bookmarkStart w:id="2" w:name="_Hlk132041433"/>
      <w:r w:rsidRPr="00CB6741">
        <w:rPr>
          <w:rFonts w:ascii="Arial" w:hAnsi="Arial" w:cs="Arial"/>
          <w:color w:val="000000" w:themeColor="text1"/>
          <w:sz w:val="24"/>
          <w:szCs w:val="24"/>
        </w:rPr>
        <w:t xml:space="preserve">the case in the </w:t>
      </w:r>
      <w:proofErr w:type="spellStart"/>
      <w:r w:rsidRPr="00CB6741">
        <w:rPr>
          <w:rFonts w:ascii="Arial" w:hAnsi="Arial" w:cs="Arial"/>
          <w:color w:val="000000" w:themeColor="text1"/>
          <w:sz w:val="24"/>
          <w:szCs w:val="24"/>
        </w:rPr>
        <w:t>Theewaterskloof</w:t>
      </w:r>
      <w:proofErr w:type="spellEnd"/>
      <w:r w:rsidRPr="00CB6741">
        <w:rPr>
          <w:rFonts w:ascii="Arial" w:hAnsi="Arial" w:cs="Arial"/>
          <w:color w:val="000000" w:themeColor="text1"/>
          <w:sz w:val="24"/>
          <w:szCs w:val="24"/>
        </w:rPr>
        <w:t xml:space="preserve"> Local Municipality that is unable to provide the services to the increasing number of persons occupying land in the </w:t>
      </w:r>
      <w:proofErr w:type="spellStart"/>
      <w:r w:rsidRPr="00CB6741">
        <w:rPr>
          <w:rFonts w:ascii="Arial" w:hAnsi="Arial" w:cs="Arial"/>
          <w:color w:val="000000" w:themeColor="text1"/>
          <w:sz w:val="24"/>
          <w:szCs w:val="24"/>
        </w:rPr>
        <w:t>Khoisan</w:t>
      </w:r>
      <w:proofErr w:type="spellEnd"/>
      <w:r w:rsidRPr="00CB6741">
        <w:rPr>
          <w:rFonts w:ascii="Arial" w:hAnsi="Arial" w:cs="Arial"/>
          <w:color w:val="000000" w:themeColor="text1"/>
          <w:sz w:val="24"/>
          <w:szCs w:val="24"/>
        </w:rPr>
        <w:t xml:space="preserve"> settlement of </w:t>
      </w:r>
      <w:proofErr w:type="spellStart"/>
      <w:r w:rsidRPr="00CB6741">
        <w:rPr>
          <w:rFonts w:ascii="Arial" w:hAnsi="Arial" w:cs="Arial"/>
          <w:color w:val="000000" w:themeColor="text1"/>
          <w:sz w:val="24"/>
          <w:szCs w:val="24"/>
        </w:rPr>
        <w:t>Knoflokskraal</w:t>
      </w:r>
      <w:proofErr w:type="spellEnd"/>
      <w:r w:rsidRPr="00CB6741">
        <w:rPr>
          <w:rFonts w:ascii="Arial" w:hAnsi="Arial" w:cs="Arial"/>
          <w:color w:val="000000" w:themeColor="text1"/>
          <w:sz w:val="24"/>
          <w:szCs w:val="24"/>
        </w:rPr>
        <w:t xml:space="preserve"> on </w:t>
      </w:r>
      <w:bookmarkEnd w:id="2"/>
      <w:r w:rsidRPr="00CB6741">
        <w:rPr>
          <w:rFonts w:ascii="Arial" w:hAnsi="Arial" w:cs="Arial"/>
          <w:color w:val="000000" w:themeColor="text1"/>
          <w:sz w:val="24"/>
          <w:szCs w:val="24"/>
        </w:rPr>
        <w:t xml:space="preserve">land that is earmarked for forestry </w:t>
      </w:r>
      <w:proofErr w:type="gramStart"/>
      <w:r w:rsidRPr="00CB6741">
        <w:rPr>
          <w:rFonts w:ascii="Arial" w:hAnsi="Arial" w:cs="Arial"/>
          <w:color w:val="000000" w:themeColor="text1"/>
          <w:sz w:val="24"/>
          <w:szCs w:val="24"/>
        </w:rPr>
        <w:t>plantations</w:t>
      </w:r>
      <w:proofErr w:type="gramEnd"/>
      <w:r w:rsidRPr="00CB6741">
        <w:rPr>
          <w:rFonts w:ascii="Arial" w:hAnsi="Arial" w:cs="Arial"/>
          <w:color w:val="000000" w:themeColor="text1"/>
          <w:sz w:val="24"/>
          <w:szCs w:val="24"/>
        </w:rPr>
        <w:t xml:space="preserve"> and not human settlement and (b) plans does her department have in place to cooperate with other governmental departments who own the land of traditional settlements but fail to provide essential municipal services? NW1066E</w:t>
      </w:r>
      <w:r w:rsidR="00A50FE3" w:rsidRPr="00CB6741">
        <w:rPr>
          <w:rFonts w:ascii="Arial" w:eastAsia="Times New Roman" w:hAnsi="Arial" w:cs="Arial"/>
          <w:sz w:val="24"/>
          <w:szCs w:val="24"/>
          <w:lang w:val="en-ZA"/>
        </w:rPr>
        <w:tab/>
      </w:r>
      <w:r w:rsidR="00A50FE3" w:rsidRPr="00CB6741">
        <w:rPr>
          <w:rFonts w:ascii="Arial" w:eastAsia="Times New Roman" w:hAnsi="Arial" w:cs="Arial"/>
          <w:sz w:val="24"/>
          <w:szCs w:val="24"/>
          <w:lang w:val="en-ZA"/>
        </w:rPr>
        <w:tab/>
      </w:r>
      <w:bookmarkEnd w:id="1"/>
    </w:p>
    <w:p w:rsidR="00A50FE3" w:rsidRPr="00276C13" w:rsidRDefault="00A50FE3" w:rsidP="00276C13">
      <w:pPr>
        <w:spacing w:after="0" w:line="360" w:lineRule="auto"/>
        <w:jc w:val="both"/>
        <w:rPr>
          <w:rFonts w:ascii="Arial" w:eastAsia="Calibri" w:hAnsi="Arial" w:cs="Arial"/>
          <w:sz w:val="24"/>
          <w:szCs w:val="24"/>
          <w:lang w:val="en-ZA" w:eastAsia="en-ZA"/>
        </w:rPr>
      </w:pPr>
      <w:r w:rsidRPr="00276C13">
        <w:rPr>
          <w:rFonts w:ascii="Arial" w:eastAsia="Calibri" w:hAnsi="Arial" w:cs="Arial"/>
          <w:b/>
          <w:bCs/>
          <w:sz w:val="24"/>
          <w:szCs w:val="24"/>
          <w:lang w:val="en-ZA" w:eastAsia="en-ZA"/>
        </w:rPr>
        <w:t>R</w:t>
      </w:r>
      <w:r w:rsidR="0025488A" w:rsidRPr="00276C13">
        <w:rPr>
          <w:rFonts w:ascii="Arial" w:eastAsia="Calibri" w:hAnsi="Arial" w:cs="Arial"/>
          <w:b/>
          <w:bCs/>
          <w:sz w:val="24"/>
          <w:szCs w:val="24"/>
          <w:lang w:val="en-ZA" w:eastAsia="en-ZA"/>
        </w:rPr>
        <w:t>EPLY:</w:t>
      </w:r>
    </w:p>
    <w:p w:rsidR="005A2F43" w:rsidRPr="00276C13" w:rsidRDefault="005A2F43" w:rsidP="00276C13">
      <w:pPr>
        <w:spacing w:after="0" w:line="360" w:lineRule="auto"/>
        <w:jc w:val="both"/>
        <w:rPr>
          <w:rFonts w:ascii="Arial" w:eastAsia="Calibri" w:hAnsi="Arial" w:cs="Arial"/>
          <w:sz w:val="24"/>
          <w:szCs w:val="24"/>
          <w:lang w:val="en-ZA" w:eastAsia="en-ZA"/>
        </w:rPr>
      </w:pPr>
    </w:p>
    <w:p w:rsidR="005A2F43" w:rsidRDefault="005A2F43" w:rsidP="00276C13">
      <w:pPr>
        <w:pStyle w:val="ListParagraph"/>
        <w:numPr>
          <w:ilvl w:val="0"/>
          <w:numId w:val="19"/>
        </w:numPr>
        <w:spacing w:line="360" w:lineRule="auto"/>
        <w:jc w:val="both"/>
        <w:rPr>
          <w:rFonts w:ascii="Arial" w:eastAsia="Calibri" w:hAnsi="Arial" w:cs="Arial"/>
          <w:lang w:val="en-ZA" w:eastAsia="en-ZA"/>
        </w:rPr>
      </w:pPr>
      <w:r w:rsidRPr="00276C13">
        <w:rPr>
          <w:rFonts w:ascii="Arial" w:eastAsia="Calibri" w:hAnsi="Arial" w:cs="Arial"/>
          <w:lang w:val="en-ZA" w:eastAsia="en-ZA"/>
        </w:rPr>
        <w:t xml:space="preserve">The </w:t>
      </w:r>
      <w:r w:rsidR="00CB6741">
        <w:rPr>
          <w:rFonts w:ascii="Arial" w:eastAsia="Calibri" w:hAnsi="Arial" w:cs="Arial"/>
          <w:lang w:val="en-ZA" w:eastAsia="en-ZA"/>
        </w:rPr>
        <w:t>role of the Department of Cooperative Governance</w:t>
      </w:r>
      <w:r w:rsidR="00EF483F">
        <w:rPr>
          <w:rFonts w:ascii="Arial" w:eastAsia="Calibri" w:hAnsi="Arial" w:cs="Arial"/>
          <w:lang w:val="en-ZA" w:eastAsia="en-ZA"/>
        </w:rPr>
        <w:t xml:space="preserve"> (DCOG)</w:t>
      </w:r>
      <w:r w:rsidR="00DB5E4A">
        <w:rPr>
          <w:rFonts w:ascii="Arial" w:eastAsia="Calibri" w:hAnsi="Arial" w:cs="Arial"/>
          <w:lang w:val="en-ZA" w:eastAsia="en-ZA"/>
        </w:rPr>
        <w:t>, like all other provincial and national departments, is to support and strengthen municipalities to perform their functions in accordance with section 154 of the Constitution. In situations where municipalities fail to perform their functions, despite the support mentioned above, the provincial executive in local government may intervene by taking any appropriate steps in terms of section 139 of the Constitution. If a provincial executive does not adequately perform the functions, the national executive must intervene in terms of section 139 (7) of the Constitution.</w:t>
      </w:r>
    </w:p>
    <w:p w:rsidR="00DB5E4A" w:rsidRDefault="00DB5E4A" w:rsidP="00DB5E4A">
      <w:pPr>
        <w:pStyle w:val="ListParagraph"/>
        <w:spacing w:line="360" w:lineRule="auto"/>
        <w:jc w:val="both"/>
        <w:rPr>
          <w:rFonts w:ascii="Arial" w:eastAsia="Calibri" w:hAnsi="Arial" w:cs="Arial"/>
          <w:lang w:val="en-ZA" w:eastAsia="en-ZA"/>
        </w:rPr>
      </w:pPr>
    </w:p>
    <w:p w:rsidR="002F3514" w:rsidRDefault="002F3514" w:rsidP="002F3514">
      <w:pPr>
        <w:pStyle w:val="ListParagraph"/>
        <w:spacing w:line="360" w:lineRule="auto"/>
        <w:jc w:val="both"/>
        <w:rPr>
          <w:rFonts w:ascii="Arial" w:hAnsi="Arial" w:cs="Arial"/>
          <w:color w:val="000000" w:themeColor="text1"/>
        </w:rPr>
      </w:pPr>
      <w:r>
        <w:rPr>
          <w:rFonts w:ascii="Arial" w:eastAsia="Calibri" w:hAnsi="Arial" w:cs="Arial"/>
          <w:lang w:val="en-ZA" w:eastAsia="en-ZA"/>
        </w:rPr>
        <w:lastRenderedPageBreak/>
        <w:t>T</w:t>
      </w:r>
      <w:r w:rsidRPr="002F3514">
        <w:rPr>
          <w:rFonts w:ascii="Arial" w:eastAsia="Calibri" w:hAnsi="Arial" w:cs="Arial"/>
          <w:lang w:val="en-ZA" w:eastAsia="en-ZA"/>
        </w:rPr>
        <w:t xml:space="preserve">he </w:t>
      </w:r>
      <w:proofErr w:type="spellStart"/>
      <w:r w:rsidRPr="002F3514">
        <w:rPr>
          <w:rFonts w:ascii="Arial" w:eastAsia="Calibri" w:hAnsi="Arial" w:cs="Arial"/>
          <w:lang w:val="en-ZA" w:eastAsia="en-ZA"/>
        </w:rPr>
        <w:t>Theewaterskloof</w:t>
      </w:r>
      <w:proofErr w:type="spellEnd"/>
      <w:r w:rsidRPr="002F3514">
        <w:rPr>
          <w:rFonts w:ascii="Arial" w:eastAsia="Calibri" w:hAnsi="Arial" w:cs="Arial"/>
          <w:lang w:val="en-ZA" w:eastAsia="en-ZA"/>
        </w:rPr>
        <w:t xml:space="preserve"> Local Municipality (TLM)</w:t>
      </w:r>
      <w:r>
        <w:rPr>
          <w:rFonts w:ascii="Arial" w:eastAsia="Calibri" w:hAnsi="Arial" w:cs="Arial"/>
          <w:lang w:val="en-ZA" w:eastAsia="en-ZA"/>
        </w:rPr>
        <w:t xml:space="preserve"> will only start planning for </w:t>
      </w:r>
      <w:r w:rsidR="00020370">
        <w:rPr>
          <w:rFonts w:ascii="Arial" w:eastAsia="Calibri" w:hAnsi="Arial" w:cs="Arial"/>
          <w:lang w:val="en-ZA" w:eastAsia="en-ZA"/>
        </w:rPr>
        <w:t xml:space="preserve">the </w:t>
      </w:r>
      <w:r>
        <w:rPr>
          <w:rFonts w:ascii="Arial" w:eastAsia="Calibri" w:hAnsi="Arial" w:cs="Arial"/>
          <w:lang w:val="en-ZA" w:eastAsia="en-ZA"/>
        </w:rPr>
        <w:t xml:space="preserve">sustainable provision of </w:t>
      </w:r>
      <w:r w:rsidR="00020370">
        <w:rPr>
          <w:rFonts w:ascii="Arial" w:eastAsia="Calibri" w:hAnsi="Arial" w:cs="Arial"/>
          <w:lang w:val="en-ZA" w:eastAsia="en-ZA"/>
        </w:rPr>
        <w:t xml:space="preserve">basic </w:t>
      </w:r>
      <w:r>
        <w:rPr>
          <w:rFonts w:ascii="Arial" w:eastAsia="Calibri" w:hAnsi="Arial" w:cs="Arial"/>
          <w:lang w:val="en-ZA" w:eastAsia="en-ZA"/>
        </w:rPr>
        <w:t xml:space="preserve">services to the </w:t>
      </w:r>
      <w:bookmarkStart w:id="3" w:name="_Hlk132056187"/>
      <w:r w:rsidR="00DB5E4A" w:rsidRPr="002F3514">
        <w:rPr>
          <w:rFonts w:ascii="Arial" w:eastAsia="Calibri" w:hAnsi="Arial" w:cs="Arial"/>
          <w:lang w:val="en-ZA" w:eastAsia="en-ZA"/>
        </w:rPr>
        <w:t xml:space="preserve">communities occupying land </w:t>
      </w:r>
      <w:r w:rsidR="0039682D" w:rsidRPr="002F3514">
        <w:rPr>
          <w:rFonts w:ascii="Arial" w:eastAsia="Calibri" w:hAnsi="Arial" w:cs="Arial"/>
          <w:lang w:val="en-ZA" w:eastAsia="en-ZA"/>
        </w:rPr>
        <w:t>on</w:t>
      </w:r>
      <w:r w:rsidR="00DB5E4A" w:rsidRPr="002F3514">
        <w:rPr>
          <w:rFonts w:ascii="Arial" w:eastAsia="Calibri" w:hAnsi="Arial" w:cs="Arial"/>
          <w:lang w:val="en-ZA" w:eastAsia="en-ZA"/>
        </w:rPr>
        <w:t xml:space="preserve"> </w:t>
      </w:r>
      <w:proofErr w:type="spellStart"/>
      <w:proofErr w:type="gramStart"/>
      <w:r w:rsidR="00DB5E4A" w:rsidRPr="002F3514">
        <w:rPr>
          <w:rFonts w:ascii="Arial" w:eastAsia="Calibri" w:hAnsi="Arial" w:cs="Arial"/>
          <w:lang w:val="en-ZA" w:eastAsia="en-ZA"/>
        </w:rPr>
        <w:t>Knoflokskraal</w:t>
      </w:r>
      <w:bookmarkEnd w:id="3"/>
      <w:proofErr w:type="spellEnd"/>
      <w:r>
        <w:rPr>
          <w:rFonts w:ascii="Arial" w:eastAsia="Calibri" w:hAnsi="Arial" w:cs="Arial"/>
          <w:lang w:val="en-ZA" w:eastAsia="en-ZA"/>
        </w:rPr>
        <w:t>,</w:t>
      </w:r>
      <w:r w:rsidR="00134566" w:rsidRPr="002F3514">
        <w:rPr>
          <w:rFonts w:ascii="Arial" w:eastAsia="Calibri" w:hAnsi="Arial" w:cs="Arial"/>
          <w:lang w:val="en-ZA" w:eastAsia="en-ZA"/>
        </w:rPr>
        <w:t xml:space="preserve"> that</w:t>
      </w:r>
      <w:proofErr w:type="gramEnd"/>
      <w:r w:rsidR="00134566" w:rsidRPr="002F3514">
        <w:rPr>
          <w:rFonts w:ascii="Arial" w:eastAsia="Calibri" w:hAnsi="Arial" w:cs="Arial"/>
          <w:lang w:val="en-ZA" w:eastAsia="en-ZA"/>
        </w:rPr>
        <w:t xml:space="preserve"> </w:t>
      </w:r>
      <w:r w:rsidR="00946087" w:rsidRPr="002F3514">
        <w:rPr>
          <w:rFonts w:ascii="Arial" w:hAnsi="Arial" w:cs="Arial"/>
          <w:color w:val="000000" w:themeColor="text1"/>
        </w:rPr>
        <w:t>is earmarked for forestry plantations and not human settlement</w:t>
      </w:r>
      <w:r w:rsidR="00134566" w:rsidRPr="002F3514">
        <w:rPr>
          <w:rFonts w:ascii="Arial" w:hAnsi="Arial" w:cs="Arial"/>
          <w:color w:val="000000" w:themeColor="text1"/>
        </w:rPr>
        <w:t>,</w:t>
      </w:r>
      <w:r>
        <w:rPr>
          <w:rFonts w:ascii="Arial" w:hAnsi="Arial" w:cs="Arial"/>
          <w:color w:val="000000" w:themeColor="text1"/>
        </w:rPr>
        <w:t xml:space="preserve"> after a </w:t>
      </w:r>
      <w:r w:rsidR="00020370">
        <w:rPr>
          <w:rFonts w:ascii="Arial" w:hAnsi="Arial" w:cs="Arial"/>
          <w:color w:val="000000" w:themeColor="text1"/>
        </w:rPr>
        <w:t>response expected by 19 May 2023</w:t>
      </w:r>
      <w:r>
        <w:rPr>
          <w:rFonts w:ascii="Arial" w:hAnsi="Arial" w:cs="Arial"/>
          <w:color w:val="000000" w:themeColor="text1"/>
        </w:rPr>
        <w:t xml:space="preserve"> </w:t>
      </w:r>
      <w:r w:rsidR="00020370">
        <w:rPr>
          <w:rFonts w:ascii="Arial" w:hAnsi="Arial" w:cs="Arial"/>
          <w:color w:val="000000" w:themeColor="text1"/>
        </w:rPr>
        <w:t>by the</w:t>
      </w:r>
      <w:r w:rsidR="00020370" w:rsidRPr="00020370">
        <w:rPr>
          <w:rFonts w:ascii="Arial" w:hAnsi="Arial" w:cs="Arial"/>
          <w:color w:val="000000" w:themeColor="text1"/>
        </w:rPr>
        <w:t xml:space="preserve"> Department of Public Works and Infrastructure (DPWI)</w:t>
      </w:r>
      <w:r w:rsidR="00020370">
        <w:rPr>
          <w:rFonts w:ascii="Arial" w:hAnsi="Arial" w:cs="Arial"/>
          <w:color w:val="000000" w:themeColor="text1"/>
        </w:rPr>
        <w:t xml:space="preserve"> on whether continued occupation will be allowed. The commitment by DPWI to </w:t>
      </w:r>
      <w:r w:rsidR="00EF483F">
        <w:rPr>
          <w:rFonts w:ascii="Arial" w:hAnsi="Arial" w:cs="Arial"/>
          <w:color w:val="000000" w:themeColor="text1"/>
        </w:rPr>
        <w:t xml:space="preserve">provide the </w:t>
      </w:r>
      <w:r w:rsidR="00020370">
        <w:rPr>
          <w:rFonts w:ascii="Arial" w:hAnsi="Arial" w:cs="Arial"/>
          <w:color w:val="000000" w:themeColor="text1"/>
        </w:rPr>
        <w:t>response emanated</w:t>
      </w:r>
      <w:r w:rsidR="00EF483F">
        <w:rPr>
          <w:rFonts w:ascii="Arial" w:hAnsi="Arial" w:cs="Arial"/>
          <w:color w:val="000000" w:themeColor="text1"/>
        </w:rPr>
        <w:t xml:space="preserve"> from</w:t>
      </w:r>
      <w:r w:rsidR="00020370">
        <w:rPr>
          <w:rFonts w:ascii="Arial" w:hAnsi="Arial" w:cs="Arial"/>
          <w:color w:val="000000" w:themeColor="text1"/>
        </w:rPr>
        <w:t xml:space="preserve"> a community meeting that was held on 25 March 2023 on the</w:t>
      </w:r>
      <w:r w:rsidR="00020370" w:rsidRPr="00020370">
        <w:rPr>
          <w:rFonts w:ascii="Arial" w:hAnsi="Arial" w:cs="Arial"/>
          <w:color w:val="000000" w:themeColor="text1"/>
        </w:rPr>
        <w:t xml:space="preserve"> occup</w:t>
      </w:r>
      <w:r w:rsidR="00020370">
        <w:rPr>
          <w:rFonts w:ascii="Arial" w:hAnsi="Arial" w:cs="Arial"/>
          <w:color w:val="000000" w:themeColor="text1"/>
        </w:rPr>
        <w:t>ied</w:t>
      </w:r>
      <w:r w:rsidR="00020370" w:rsidRPr="00020370">
        <w:rPr>
          <w:rFonts w:ascii="Arial" w:hAnsi="Arial" w:cs="Arial"/>
          <w:color w:val="000000" w:themeColor="text1"/>
        </w:rPr>
        <w:t xml:space="preserve"> land on </w:t>
      </w:r>
      <w:proofErr w:type="spellStart"/>
      <w:r w:rsidR="00020370" w:rsidRPr="00020370">
        <w:rPr>
          <w:rFonts w:ascii="Arial" w:hAnsi="Arial" w:cs="Arial"/>
          <w:color w:val="000000" w:themeColor="text1"/>
        </w:rPr>
        <w:t>Knoflokskraal</w:t>
      </w:r>
      <w:proofErr w:type="spellEnd"/>
      <w:r w:rsidR="00EF483F">
        <w:rPr>
          <w:rFonts w:ascii="Arial" w:hAnsi="Arial" w:cs="Arial"/>
          <w:color w:val="000000" w:themeColor="text1"/>
        </w:rPr>
        <w:t>.</w:t>
      </w:r>
    </w:p>
    <w:p w:rsidR="00932168" w:rsidRPr="00276C13" w:rsidRDefault="00932168" w:rsidP="00276C13">
      <w:pPr>
        <w:pStyle w:val="ListParagraph"/>
        <w:spacing w:line="360" w:lineRule="auto"/>
        <w:jc w:val="both"/>
        <w:rPr>
          <w:rFonts w:ascii="Arial" w:eastAsia="Calibri" w:hAnsi="Arial" w:cs="Arial"/>
          <w:lang w:val="en-ZA" w:eastAsia="en-ZA"/>
        </w:rPr>
      </w:pPr>
    </w:p>
    <w:p w:rsidR="00A50FE3" w:rsidRDefault="0003223B" w:rsidP="0003223B">
      <w:pPr>
        <w:pStyle w:val="ListParagraph"/>
        <w:numPr>
          <w:ilvl w:val="0"/>
          <w:numId w:val="19"/>
        </w:numPr>
        <w:spacing w:line="360" w:lineRule="auto"/>
        <w:jc w:val="both"/>
        <w:rPr>
          <w:rFonts w:ascii="Arial" w:eastAsia="Calibri" w:hAnsi="Arial" w:cs="Arial"/>
          <w:lang w:val="en-ZA" w:eastAsia="en-ZA"/>
        </w:rPr>
      </w:pPr>
      <w:r>
        <w:rPr>
          <w:rFonts w:ascii="Arial" w:eastAsia="Calibri" w:hAnsi="Arial" w:cs="Arial"/>
          <w:lang w:val="en-ZA" w:eastAsia="en-ZA"/>
        </w:rPr>
        <w:t>DCOG is leading on the implementation of the District Development Model (DDM) to ensure alignment of all of government plans, budgeting and implementation of programmes and projects.</w:t>
      </w:r>
      <w:r w:rsidR="00CA4060">
        <w:rPr>
          <w:rFonts w:ascii="Arial" w:eastAsia="Calibri" w:hAnsi="Arial" w:cs="Arial"/>
          <w:lang w:val="en-ZA" w:eastAsia="en-ZA"/>
        </w:rPr>
        <w:t xml:space="preserve"> The DDM ensures that t</w:t>
      </w:r>
      <w:r w:rsidRPr="0003223B">
        <w:rPr>
          <w:rFonts w:ascii="Arial" w:eastAsia="Calibri" w:hAnsi="Arial" w:cs="Arial"/>
          <w:lang w:val="en-ZA" w:eastAsia="en-ZA"/>
        </w:rPr>
        <w:t>he planning undertaken by a municipality</w:t>
      </w:r>
      <w:r w:rsidR="00CA4060">
        <w:rPr>
          <w:rFonts w:ascii="Arial" w:eastAsia="Calibri" w:hAnsi="Arial" w:cs="Arial"/>
          <w:lang w:val="en-ZA" w:eastAsia="en-ZA"/>
        </w:rPr>
        <w:t xml:space="preserve"> for provision of municipal services, among other issues,</w:t>
      </w:r>
      <w:r w:rsidRPr="0003223B">
        <w:rPr>
          <w:rFonts w:ascii="Arial" w:eastAsia="Calibri" w:hAnsi="Arial" w:cs="Arial"/>
          <w:lang w:val="en-ZA" w:eastAsia="en-ZA"/>
        </w:rPr>
        <w:t xml:space="preserve"> </w:t>
      </w:r>
      <w:r w:rsidR="00CA4060">
        <w:rPr>
          <w:rFonts w:ascii="Arial" w:eastAsia="Calibri" w:hAnsi="Arial" w:cs="Arial"/>
          <w:lang w:val="en-ZA" w:eastAsia="en-ZA"/>
        </w:rPr>
        <w:t>is</w:t>
      </w:r>
      <w:r w:rsidRPr="0003223B">
        <w:rPr>
          <w:rFonts w:ascii="Arial" w:eastAsia="Calibri" w:hAnsi="Arial" w:cs="Arial"/>
          <w:lang w:val="en-ZA" w:eastAsia="en-ZA"/>
        </w:rPr>
        <w:t xml:space="preserve"> aligned with the development plans </w:t>
      </w:r>
      <w:r w:rsidR="00CA4060">
        <w:rPr>
          <w:rFonts w:ascii="Arial" w:eastAsia="Calibri" w:hAnsi="Arial" w:cs="Arial"/>
          <w:lang w:val="en-ZA" w:eastAsia="en-ZA"/>
        </w:rPr>
        <w:t>of</w:t>
      </w:r>
      <w:r w:rsidRPr="0003223B">
        <w:rPr>
          <w:rFonts w:ascii="Arial" w:eastAsia="Calibri" w:hAnsi="Arial" w:cs="Arial"/>
          <w:lang w:val="en-ZA" w:eastAsia="en-ZA"/>
        </w:rPr>
        <w:t xml:space="preserve"> other organs of state</w:t>
      </w:r>
      <w:r w:rsidR="00CA4060">
        <w:rPr>
          <w:rFonts w:ascii="Arial" w:eastAsia="Calibri" w:hAnsi="Arial" w:cs="Arial"/>
          <w:lang w:val="en-ZA" w:eastAsia="en-ZA"/>
        </w:rPr>
        <w:t xml:space="preserve"> as provided for on </w:t>
      </w:r>
      <w:r w:rsidR="00CA4060" w:rsidRPr="00CA4060">
        <w:rPr>
          <w:rFonts w:ascii="Arial" w:eastAsia="Calibri" w:hAnsi="Arial" w:cs="Arial"/>
          <w:lang w:val="en-ZA" w:eastAsia="en-ZA"/>
        </w:rPr>
        <w:t xml:space="preserve">Section 24(1) of the Municipal Systems Act, No. 32 of 2000 </w:t>
      </w:r>
      <w:r w:rsidR="00CA4060">
        <w:rPr>
          <w:rFonts w:ascii="Arial" w:eastAsia="Calibri" w:hAnsi="Arial" w:cs="Arial"/>
          <w:lang w:val="en-ZA" w:eastAsia="en-ZA"/>
        </w:rPr>
        <w:t xml:space="preserve">and </w:t>
      </w:r>
      <w:r w:rsidRPr="0003223B">
        <w:rPr>
          <w:rFonts w:ascii="Arial" w:eastAsia="Calibri" w:hAnsi="Arial" w:cs="Arial"/>
          <w:lang w:val="en-ZA" w:eastAsia="en-ZA"/>
        </w:rPr>
        <w:t>to give effect to the principles of co-operative government contained in section 41 of the Constitution.</w:t>
      </w:r>
    </w:p>
    <w:p w:rsidR="00E06904" w:rsidRPr="00E06904" w:rsidRDefault="00E06904" w:rsidP="00E06904">
      <w:pPr>
        <w:spacing w:line="360" w:lineRule="auto"/>
        <w:ind w:left="360"/>
        <w:jc w:val="both"/>
        <w:rPr>
          <w:rFonts w:ascii="Arial" w:eastAsia="Calibri" w:hAnsi="Arial" w:cs="Arial"/>
          <w:b/>
          <w:bCs/>
          <w:lang w:val="en-ZA" w:eastAsia="en-ZA"/>
        </w:rPr>
      </w:pPr>
      <w:r w:rsidRPr="00E06904">
        <w:rPr>
          <w:rFonts w:ascii="Arial" w:eastAsia="Calibri" w:hAnsi="Arial" w:cs="Arial"/>
          <w:b/>
          <w:bCs/>
          <w:lang w:val="en-ZA" w:eastAsia="en-ZA"/>
        </w:rPr>
        <w:t xml:space="preserve">End. </w:t>
      </w:r>
    </w:p>
    <w:p w:rsidR="00CB6741" w:rsidRPr="00CB6741" w:rsidRDefault="00CB6741" w:rsidP="00CB6741">
      <w:pPr>
        <w:pStyle w:val="ListParagraph"/>
        <w:rPr>
          <w:rFonts w:ascii="Arial" w:eastAsia="Calibri" w:hAnsi="Arial" w:cs="Arial"/>
          <w:b/>
          <w:bCs/>
          <w:sz w:val="20"/>
          <w:szCs w:val="20"/>
          <w:lang w:val="en-ZA" w:eastAsia="en-ZA"/>
        </w:rPr>
      </w:pPr>
    </w:p>
    <w:p w:rsidR="00CB6741" w:rsidRPr="00276C13" w:rsidRDefault="00CB6741" w:rsidP="00CA4060">
      <w:pPr>
        <w:pStyle w:val="ListParagraph"/>
        <w:spacing w:line="360" w:lineRule="auto"/>
        <w:jc w:val="both"/>
        <w:rPr>
          <w:rFonts w:ascii="Arial" w:eastAsia="Calibri" w:hAnsi="Arial" w:cs="Arial"/>
          <w:b/>
          <w:bCs/>
          <w:sz w:val="20"/>
          <w:szCs w:val="20"/>
          <w:lang w:val="en-ZA" w:eastAsia="en-ZA"/>
        </w:rPr>
      </w:pPr>
    </w:p>
    <w:sectPr w:rsidR="00CB6741" w:rsidRPr="00276C13"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0B" w:rsidRDefault="0014230B">
      <w:pPr>
        <w:spacing w:after="0" w:line="240" w:lineRule="auto"/>
      </w:pPr>
      <w:r>
        <w:separator/>
      </w:r>
    </w:p>
  </w:endnote>
  <w:endnote w:type="continuationSeparator" w:id="0">
    <w:p w:rsidR="0014230B" w:rsidRDefault="00142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86665"/>
      <w:docPartObj>
        <w:docPartGallery w:val="Page Numbers (Bottom of Page)"/>
        <w:docPartUnique/>
      </w:docPartObj>
    </w:sdtPr>
    <w:sdtEndPr>
      <w:rPr>
        <w:noProof/>
      </w:rPr>
    </w:sdtEndPr>
    <w:sdtContent>
      <w:p w:rsidR="0091062C" w:rsidRDefault="00A1523C">
        <w:pPr>
          <w:pStyle w:val="Footer"/>
          <w:jc w:val="center"/>
        </w:pPr>
        <w:r>
          <w:fldChar w:fldCharType="begin"/>
        </w:r>
        <w:r w:rsidR="0091062C">
          <w:instrText xml:space="preserve"> PAGE   \* MERGEFORMAT </w:instrText>
        </w:r>
        <w:r>
          <w:fldChar w:fldCharType="separate"/>
        </w:r>
        <w:r w:rsidR="009B5D99">
          <w:rPr>
            <w:noProof/>
          </w:rPr>
          <w:t>1</w:t>
        </w:r>
        <w:r>
          <w:rPr>
            <w:noProof/>
          </w:rPr>
          <w:fldChar w:fldCharType="end"/>
        </w:r>
      </w:p>
    </w:sdtContent>
  </w:sdt>
  <w:p w:rsidR="00991816" w:rsidRDefault="0014230B"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8860F7" w:rsidRDefault="00DB1183" w:rsidP="000A02A6">
    <w:pPr>
      <w:pStyle w:val="Footer"/>
      <w:rPr>
        <w:lang w:val="en-US"/>
      </w:rPr>
    </w:pPr>
    <w:r>
      <w:rPr>
        <w:i/>
        <w:lang w:val="en-US"/>
      </w:rPr>
      <w:t xml:space="preserve"> </w:t>
    </w:r>
  </w:p>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0B" w:rsidRDefault="0014230B">
      <w:pPr>
        <w:spacing w:after="0" w:line="240" w:lineRule="auto"/>
      </w:pPr>
      <w:r>
        <w:separator/>
      </w:r>
    </w:p>
  </w:footnote>
  <w:footnote w:type="continuationSeparator" w:id="0">
    <w:p w:rsidR="0014230B" w:rsidRDefault="00142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A1523C"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9A7588"/>
    <w:multiLevelType w:val="hybridMultilevel"/>
    <w:tmpl w:val="87F8A6FA"/>
    <w:lvl w:ilvl="0" w:tplc="1728CC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3E2070"/>
    <w:multiLevelType w:val="hybridMultilevel"/>
    <w:tmpl w:val="BA722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5">
    <w:nsid w:val="337F3B77"/>
    <w:multiLevelType w:val="hybridMultilevel"/>
    <w:tmpl w:val="1E0290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7">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C1C5CF1"/>
    <w:multiLevelType w:val="hybridMultilevel"/>
    <w:tmpl w:val="84BC7E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5D6940DC"/>
    <w:multiLevelType w:val="hybridMultilevel"/>
    <w:tmpl w:val="D38EA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2">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5">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7">
    <w:nsid w:val="720A3ADA"/>
    <w:multiLevelType w:val="hybridMultilevel"/>
    <w:tmpl w:val="CBD8D908"/>
    <w:lvl w:ilvl="0" w:tplc="13564F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9">
    <w:nsid w:val="7FB05330"/>
    <w:multiLevelType w:val="hybridMultilevel"/>
    <w:tmpl w:val="E4E6FE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12"/>
  </w:num>
  <w:num w:numId="5">
    <w:abstractNumId w:val="18"/>
  </w:num>
  <w:num w:numId="6">
    <w:abstractNumId w:val="0"/>
  </w:num>
  <w:num w:numId="7">
    <w:abstractNumId w:val="11"/>
  </w:num>
  <w:num w:numId="8">
    <w:abstractNumId w:val="13"/>
  </w:num>
  <w:num w:numId="9">
    <w:abstractNumId w:val="1"/>
  </w:num>
  <w:num w:numId="10">
    <w:abstractNumId w:val="4"/>
  </w:num>
  <w:num w:numId="11">
    <w:abstractNumId w:val="14"/>
  </w:num>
  <w:num w:numId="12">
    <w:abstractNumId w:val="16"/>
  </w:num>
  <w:num w:numId="13">
    <w:abstractNumId w:val="10"/>
  </w:num>
  <w:num w:numId="14">
    <w:abstractNumId w:val="17"/>
  </w:num>
  <w:num w:numId="15">
    <w:abstractNumId w:val="3"/>
  </w:num>
  <w:num w:numId="16">
    <w:abstractNumId w:val="19"/>
  </w:num>
  <w:num w:numId="17">
    <w:abstractNumId w:val="5"/>
  </w:num>
  <w:num w:numId="18">
    <w:abstractNumId w:val="8"/>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ED3BD0"/>
    <w:rsid w:val="00020370"/>
    <w:rsid w:val="00022159"/>
    <w:rsid w:val="0003223B"/>
    <w:rsid w:val="00052126"/>
    <w:rsid w:val="00061E93"/>
    <w:rsid w:val="000839CE"/>
    <w:rsid w:val="00091D0A"/>
    <w:rsid w:val="000A02A6"/>
    <w:rsid w:val="000A73D0"/>
    <w:rsid w:val="000C0292"/>
    <w:rsid w:val="000C0F1E"/>
    <w:rsid w:val="000D3E41"/>
    <w:rsid w:val="00103F46"/>
    <w:rsid w:val="0010710B"/>
    <w:rsid w:val="00134566"/>
    <w:rsid w:val="001362A2"/>
    <w:rsid w:val="00137D5E"/>
    <w:rsid w:val="0014230B"/>
    <w:rsid w:val="00151496"/>
    <w:rsid w:val="00162AD7"/>
    <w:rsid w:val="001668C9"/>
    <w:rsid w:val="00192A99"/>
    <w:rsid w:val="00194CEE"/>
    <w:rsid w:val="001C51F1"/>
    <w:rsid w:val="001D0D24"/>
    <w:rsid w:val="001D10B6"/>
    <w:rsid w:val="001E4112"/>
    <w:rsid w:val="001E619D"/>
    <w:rsid w:val="00223124"/>
    <w:rsid w:val="0023109A"/>
    <w:rsid w:val="00243B04"/>
    <w:rsid w:val="002530F1"/>
    <w:rsid w:val="0025488A"/>
    <w:rsid w:val="00257D2E"/>
    <w:rsid w:val="00272158"/>
    <w:rsid w:val="00276C13"/>
    <w:rsid w:val="00294464"/>
    <w:rsid w:val="002A10ED"/>
    <w:rsid w:val="002A6CCB"/>
    <w:rsid w:val="002A7B83"/>
    <w:rsid w:val="002B7280"/>
    <w:rsid w:val="002C2071"/>
    <w:rsid w:val="002C3668"/>
    <w:rsid w:val="002C7F41"/>
    <w:rsid w:val="002D30C9"/>
    <w:rsid w:val="002D6411"/>
    <w:rsid w:val="002E370D"/>
    <w:rsid w:val="002E5BBE"/>
    <w:rsid w:val="002F3514"/>
    <w:rsid w:val="002F509D"/>
    <w:rsid w:val="0031260F"/>
    <w:rsid w:val="00320E18"/>
    <w:rsid w:val="003343AA"/>
    <w:rsid w:val="00353220"/>
    <w:rsid w:val="00366443"/>
    <w:rsid w:val="00373E1E"/>
    <w:rsid w:val="00385FC1"/>
    <w:rsid w:val="0039682D"/>
    <w:rsid w:val="003A1921"/>
    <w:rsid w:val="003A1C60"/>
    <w:rsid w:val="003B3B7D"/>
    <w:rsid w:val="003C5C02"/>
    <w:rsid w:val="003D2280"/>
    <w:rsid w:val="003E6A33"/>
    <w:rsid w:val="003E7F5C"/>
    <w:rsid w:val="00424303"/>
    <w:rsid w:val="00430773"/>
    <w:rsid w:val="004457AA"/>
    <w:rsid w:val="00452911"/>
    <w:rsid w:val="004555E2"/>
    <w:rsid w:val="004648B7"/>
    <w:rsid w:val="00473833"/>
    <w:rsid w:val="00484344"/>
    <w:rsid w:val="0048561C"/>
    <w:rsid w:val="004D49EC"/>
    <w:rsid w:val="0057627D"/>
    <w:rsid w:val="005855A1"/>
    <w:rsid w:val="00591FB4"/>
    <w:rsid w:val="00597E2B"/>
    <w:rsid w:val="005A2F43"/>
    <w:rsid w:val="005B27CC"/>
    <w:rsid w:val="005C038E"/>
    <w:rsid w:val="005C7551"/>
    <w:rsid w:val="005E1613"/>
    <w:rsid w:val="005E3613"/>
    <w:rsid w:val="005F1617"/>
    <w:rsid w:val="00601CBD"/>
    <w:rsid w:val="0061602F"/>
    <w:rsid w:val="0061695C"/>
    <w:rsid w:val="00620EA9"/>
    <w:rsid w:val="00625B5B"/>
    <w:rsid w:val="006414CD"/>
    <w:rsid w:val="00644077"/>
    <w:rsid w:val="00647236"/>
    <w:rsid w:val="00655C40"/>
    <w:rsid w:val="00656DD1"/>
    <w:rsid w:val="00662FBC"/>
    <w:rsid w:val="00664F2E"/>
    <w:rsid w:val="0066768B"/>
    <w:rsid w:val="006825C5"/>
    <w:rsid w:val="006C33B5"/>
    <w:rsid w:val="006D3A1E"/>
    <w:rsid w:val="006D4A62"/>
    <w:rsid w:val="006E1403"/>
    <w:rsid w:val="006E28E8"/>
    <w:rsid w:val="006F7E6E"/>
    <w:rsid w:val="007250AD"/>
    <w:rsid w:val="00732518"/>
    <w:rsid w:val="00742DBC"/>
    <w:rsid w:val="00762FB7"/>
    <w:rsid w:val="0076302E"/>
    <w:rsid w:val="007852A8"/>
    <w:rsid w:val="00786856"/>
    <w:rsid w:val="007B3739"/>
    <w:rsid w:val="007C3A56"/>
    <w:rsid w:val="007D01DA"/>
    <w:rsid w:val="007D09EE"/>
    <w:rsid w:val="007E4A30"/>
    <w:rsid w:val="007E6C35"/>
    <w:rsid w:val="00805760"/>
    <w:rsid w:val="00814451"/>
    <w:rsid w:val="00814488"/>
    <w:rsid w:val="008260DC"/>
    <w:rsid w:val="00831C57"/>
    <w:rsid w:val="00832FD0"/>
    <w:rsid w:val="008522A0"/>
    <w:rsid w:val="008653CB"/>
    <w:rsid w:val="00871563"/>
    <w:rsid w:val="00871FAA"/>
    <w:rsid w:val="00874A4F"/>
    <w:rsid w:val="0087624A"/>
    <w:rsid w:val="0088318B"/>
    <w:rsid w:val="008860F7"/>
    <w:rsid w:val="008A0EF2"/>
    <w:rsid w:val="008B3A8F"/>
    <w:rsid w:val="008B7D9C"/>
    <w:rsid w:val="008D1D0A"/>
    <w:rsid w:val="008D40C8"/>
    <w:rsid w:val="008E0649"/>
    <w:rsid w:val="008E31B1"/>
    <w:rsid w:val="008E3E9A"/>
    <w:rsid w:val="008F1E27"/>
    <w:rsid w:val="0090052F"/>
    <w:rsid w:val="0091062C"/>
    <w:rsid w:val="0093089F"/>
    <w:rsid w:val="00932168"/>
    <w:rsid w:val="00937ECE"/>
    <w:rsid w:val="00945387"/>
    <w:rsid w:val="00946087"/>
    <w:rsid w:val="009555DD"/>
    <w:rsid w:val="009571EA"/>
    <w:rsid w:val="00957E67"/>
    <w:rsid w:val="00974A1A"/>
    <w:rsid w:val="009802C7"/>
    <w:rsid w:val="00987D59"/>
    <w:rsid w:val="009B5D99"/>
    <w:rsid w:val="009C67F1"/>
    <w:rsid w:val="009E39AD"/>
    <w:rsid w:val="00A1317B"/>
    <w:rsid w:val="00A1523C"/>
    <w:rsid w:val="00A171A9"/>
    <w:rsid w:val="00A430A0"/>
    <w:rsid w:val="00A47959"/>
    <w:rsid w:val="00A50FE3"/>
    <w:rsid w:val="00A72DBF"/>
    <w:rsid w:val="00A72E99"/>
    <w:rsid w:val="00A8661F"/>
    <w:rsid w:val="00AA5E95"/>
    <w:rsid w:val="00AB2363"/>
    <w:rsid w:val="00AC4D81"/>
    <w:rsid w:val="00AE29F9"/>
    <w:rsid w:val="00AE4E9A"/>
    <w:rsid w:val="00AF144C"/>
    <w:rsid w:val="00AF4D7F"/>
    <w:rsid w:val="00B11C78"/>
    <w:rsid w:val="00B27F28"/>
    <w:rsid w:val="00B32422"/>
    <w:rsid w:val="00B451F4"/>
    <w:rsid w:val="00B71068"/>
    <w:rsid w:val="00B75DE0"/>
    <w:rsid w:val="00B94F18"/>
    <w:rsid w:val="00BA63EA"/>
    <w:rsid w:val="00BA70EC"/>
    <w:rsid w:val="00BD168D"/>
    <w:rsid w:val="00BD3076"/>
    <w:rsid w:val="00BE0763"/>
    <w:rsid w:val="00BE1732"/>
    <w:rsid w:val="00BE3006"/>
    <w:rsid w:val="00BF7D7C"/>
    <w:rsid w:val="00C02B52"/>
    <w:rsid w:val="00C05DF4"/>
    <w:rsid w:val="00C11496"/>
    <w:rsid w:val="00C11BD9"/>
    <w:rsid w:val="00C230DB"/>
    <w:rsid w:val="00C335D3"/>
    <w:rsid w:val="00C501F2"/>
    <w:rsid w:val="00C53ABA"/>
    <w:rsid w:val="00C6275F"/>
    <w:rsid w:val="00C65F60"/>
    <w:rsid w:val="00C82722"/>
    <w:rsid w:val="00C9626F"/>
    <w:rsid w:val="00C97929"/>
    <w:rsid w:val="00CA4060"/>
    <w:rsid w:val="00CB0A26"/>
    <w:rsid w:val="00CB4BA6"/>
    <w:rsid w:val="00CB6652"/>
    <w:rsid w:val="00CB6741"/>
    <w:rsid w:val="00CC1D6B"/>
    <w:rsid w:val="00CC25AD"/>
    <w:rsid w:val="00CC495B"/>
    <w:rsid w:val="00CD0701"/>
    <w:rsid w:val="00CE1540"/>
    <w:rsid w:val="00CE5514"/>
    <w:rsid w:val="00CE6396"/>
    <w:rsid w:val="00D20C82"/>
    <w:rsid w:val="00D21B6B"/>
    <w:rsid w:val="00D25AE1"/>
    <w:rsid w:val="00D301AE"/>
    <w:rsid w:val="00D3294A"/>
    <w:rsid w:val="00D4674B"/>
    <w:rsid w:val="00D54D75"/>
    <w:rsid w:val="00D61A80"/>
    <w:rsid w:val="00DA44DD"/>
    <w:rsid w:val="00DA6CE9"/>
    <w:rsid w:val="00DB1183"/>
    <w:rsid w:val="00DB5E4A"/>
    <w:rsid w:val="00DC6A99"/>
    <w:rsid w:val="00DD1248"/>
    <w:rsid w:val="00DF14D4"/>
    <w:rsid w:val="00E06904"/>
    <w:rsid w:val="00E22512"/>
    <w:rsid w:val="00E434B5"/>
    <w:rsid w:val="00E43E3E"/>
    <w:rsid w:val="00E677D8"/>
    <w:rsid w:val="00E85BE9"/>
    <w:rsid w:val="00EA4401"/>
    <w:rsid w:val="00EB4727"/>
    <w:rsid w:val="00EB5F46"/>
    <w:rsid w:val="00EC06D4"/>
    <w:rsid w:val="00ED279F"/>
    <w:rsid w:val="00ED2B91"/>
    <w:rsid w:val="00ED3AFA"/>
    <w:rsid w:val="00ED3BD0"/>
    <w:rsid w:val="00EF483F"/>
    <w:rsid w:val="00EF7F51"/>
    <w:rsid w:val="00F13459"/>
    <w:rsid w:val="00F5414E"/>
    <w:rsid w:val="00F61CC4"/>
    <w:rsid w:val="00F632F5"/>
    <w:rsid w:val="00F808D5"/>
    <w:rsid w:val="00F834C7"/>
    <w:rsid w:val="00F86664"/>
    <w:rsid w:val="00F924D7"/>
    <w:rsid w:val="00FA6385"/>
    <w:rsid w:val="00FB4715"/>
    <w:rsid w:val="00FB60BB"/>
    <w:rsid w:val="00FC0108"/>
    <w:rsid w:val="00FC141C"/>
    <w:rsid w:val="00FC3EC4"/>
    <w:rsid w:val="00FC6A22"/>
    <w:rsid w:val="00FE2F5D"/>
    <w:rsid w:val="00FF0CED"/>
    <w:rsid w:val="00FF6E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182525">
      <w:bodyDiv w:val="1"/>
      <w:marLeft w:val="0"/>
      <w:marRight w:val="0"/>
      <w:marTop w:val="0"/>
      <w:marBottom w:val="0"/>
      <w:divBdr>
        <w:top w:val="none" w:sz="0" w:space="0" w:color="auto"/>
        <w:left w:val="none" w:sz="0" w:space="0" w:color="auto"/>
        <w:bottom w:val="none" w:sz="0" w:space="0" w:color="auto"/>
        <w:right w:val="none" w:sz="0" w:space="0" w:color="auto"/>
      </w:divBdr>
    </w:div>
    <w:div w:id="1057708094">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1756DA3BF8E4887A89825DA4FBB8D" ma:contentTypeVersion="17" ma:contentTypeDescription="Create a new document." ma:contentTypeScope="" ma:versionID="a4599a858e183b69348b65931201851b">
  <xsd:schema xmlns:xsd="http://www.w3.org/2001/XMLSchema" xmlns:xs="http://www.w3.org/2001/XMLSchema" xmlns:p="http://schemas.microsoft.com/office/2006/metadata/properties" xmlns:ns2="5fa3d1de-3245-4b84-9e74-8892a24f1d60" xmlns:ns3="132683da-527d-4e45-b7b3-ee3a94afda37" targetNamespace="http://schemas.microsoft.com/office/2006/metadata/properties" ma:root="true" ma:fieldsID="07251e636396020b485a5d8b96c3431e" ns2:_="" ns3:_="">
    <xsd:import namespace="5fa3d1de-3245-4b84-9e74-8892a24f1d60"/>
    <xsd:import namespace="132683da-527d-4e45-b7b3-ee3a94af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3d1de-3245-4b84-9e74-8892a24f1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af52db-81bb-4e92-9bfb-617e6f0246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83da-527d-4e45-b7b3-ee3a94afda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6ea27e-1bad-4244-9113-06585d242a16}" ma:internalName="TaxCatchAll" ma:showField="CatchAllData" ma:web="132683da-527d-4e45-b7b3-ee3a94af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2683da-527d-4e45-b7b3-ee3a94afda37" xsi:nil="true"/>
    <lcf76f155ced4ddcb4097134ff3c332f xmlns="5fa3d1de-3245-4b84-9e74-8892a24f1d60">
      <Terms xmlns="http://schemas.microsoft.com/office/infopath/2007/PartnerControls"/>
    </lcf76f155ced4ddcb4097134ff3c332f>
    <_Flow_SignoffStatus xmlns="5fa3d1de-3245-4b84-9e74-8892a24f1d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ED36C-98EE-47B9-87B0-2430A5DB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3d1de-3245-4b84-9e74-8892a24f1d60"/>
    <ds:schemaRef ds:uri="132683da-527d-4e45-b7b3-ee3a94af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 ds:uri="132683da-527d-4e45-b7b3-ee3a94afda37"/>
    <ds:schemaRef ds:uri="5fa3d1de-3245-4b84-9e74-8892a24f1d60"/>
  </ds:schemaRefs>
</ds:datastoreItem>
</file>

<file path=customXml/itemProps3.xml><?xml version="1.0" encoding="utf-8"?>
<ds:datastoreItem xmlns:ds="http://schemas.openxmlformats.org/officeDocument/2006/customXml" ds:itemID="{CF32FF67-6486-4AF7-B003-7DEF732EE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NATIONAL ASSEMBLY </vt:lpstr>
      <vt:lpstr>959. 	Ms S A Buthelezi (IFP) to ask the Minister of Cooperative Governance and T</vt:lpstr>
    </vt:vector>
  </TitlesOfParts>
  <Company>Toshiba</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2023-04-21T12:34:00Z</dcterms:created>
  <dcterms:modified xsi:type="dcterms:W3CDTF">2023-04-21T12:34:00Z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0x010100D911756DA3BF8E4887A89825DA4FBB8D</vt:lpwstr>
  </property>
</Properties>
</file>