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62" w:rsidRPr="00C47DE0" w:rsidRDefault="00566101" w:rsidP="004D3BF2">
      <w:pPr>
        <w:spacing w:line="360" w:lineRule="auto"/>
        <w:jc w:val="center"/>
        <w:rPr>
          <w:rFonts w:ascii="Arial" w:hAnsi="Arial" w:cs="Arial"/>
          <w:b/>
          <w:sz w:val="22"/>
          <w:szCs w:val="22"/>
          <w:lang w:val="en-ZA"/>
        </w:rPr>
      </w:pPr>
      <w:r w:rsidRPr="00C47DE0">
        <w:rPr>
          <w:rFonts w:ascii="Arial" w:hAnsi="Arial" w:cs="Arial"/>
          <w:b/>
          <w:sz w:val="22"/>
          <w:szCs w:val="22"/>
          <w:lang w:val="en-ZA"/>
        </w:rPr>
        <w:t>NATIONAL ASSEMBLY</w:t>
      </w:r>
    </w:p>
    <w:p w:rsidR="008E3D62" w:rsidRPr="00C47DE0" w:rsidRDefault="008E3D62" w:rsidP="004D3BF2">
      <w:pPr>
        <w:spacing w:line="360" w:lineRule="auto"/>
        <w:jc w:val="center"/>
        <w:rPr>
          <w:rFonts w:ascii="Arial" w:hAnsi="Arial" w:cs="Arial"/>
          <w:b/>
          <w:sz w:val="22"/>
          <w:szCs w:val="22"/>
          <w:lang w:val="en-ZA"/>
        </w:rPr>
      </w:pPr>
      <w:r w:rsidRPr="00C47DE0">
        <w:rPr>
          <w:rFonts w:ascii="Arial" w:hAnsi="Arial" w:cs="Arial"/>
          <w:b/>
          <w:sz w:val="22"/>
          <w:szCs w:val="22"/>
          <w:lang w:val="en-ZA"/>
        </w:rPr>
        <w:t>QUESTION FOR WRITTEN REPLY</w:t>
      </w:r>
    </w:p>
    <w:p w:rsidR="008E3D62" w:rsidRPr="00C47DE0" w:rsidRDefault="008E3D62" w:rsidP="004D3BF2">
      <w:pPr>
        <w:spacing w:line="360" w:lineRule="auto"/>
        <w:jc w:val="center"/>
        <w:rPr>
          <w:rFonts w:ascii="Arial" w:hAnsi="Arial" w:cs="Arial"/>
          <w:b/>
          <w:sz w:val="22"/>
          <w:szCs w:val="22"/>
          <w:lang w:val="en-ZA"/>
        </w:rPr>
      </w:pPr>
      <w:r w:rsidRPr="00C47DE0">
        <w:rPr>
          <w:rFonts w:ascii="Arial" w:hAnsi="Arial" w:cs="Arial"/>
          <w:b/>
          <w:sz w:val="22"/>
          <w:szCs w:val="22"/>
          <w:lang w:val="en-ZA"/>
        </w:rPr>
        <w:t xml:space="preserve">QUESTION NUMBER: </w:t>
      </w:r>
      <w:r w:rsidR="00AF127D" w:rsidRPr="00C47DE0">
        <w:rPr>
          <w:rFonts w:ascii="Arial" w:hAnsi="Arial" w:cs="Arial"/>
          <w:b/>
          <w:sz w:val="22"/>
          <w:szCs w:val="22"/>
          <w:lang w:val="en-ZA"/>
        </w:rPr>
        <w:t>956</w:t>
      </w:r>
      <w:r w:rsidRPr="00C47DE0">
        <w:rPr>
          <w:rFonts w:ascii="Arial" w:hAnsi="Arial" w:cs="Arial"/>
          <w:b/>
          <w:sz w:val="22"/>
          <w:szCs w:val="22"/>
          <w:lang w:val="en-ZA"/>
        </w:rPr>
        <w:t xml:space="preserve"> [</w:t>
      </w:r>
      <w:r w:rsidR="004D3BF2" w:rsidRPr="00C47DE0">
        <w:rPr>
          <w:rFonts w:ascii="Arial" w:hAnsi="Arial" w:cs="Arial"/>
          <w:b/>
          <w:sz w:val="22"/>
          <w:szCs w:val="22"/>
          <w:lang w:val="en-ZA"/>
        </w:rPr>
        <w:t>NW</w:t>
      </w:r>
      <w:r w:rsidR="00AF127D" w:rsidRPr="00C47DE0">
        <w:rPr>
          <w:rFonts w:ascii="Arial" w:hAnsi="Arial" w:cs="Arial"/>
          <w:b/>
          <w:sz w:val="22"/>
          <w:szCs w:val="22"/>
          <w:lang w:val="en-ZA"/>
        </w:rPr>
        <w:t>2110</w:t>
      </w:r>
      <w:r w:rsidRPr="00C47DE0">
        <w:rPr>
          <w:rFonts w:ascii="Arial" w:hAnsi="Arial" w:cs="Arial"/>
          <w:b/>
          <w:sz w:val="22"/>
          <w:szCs w:val="22"/>
          <w:lang w:val="en-ZA"/>
        </w:rPr>
        <w:t>E]</w:t>
      </w:r>
    </w:p>
    <w:p w:rsidR="008E3D62" w:rsidRPr="00C47DE0" w:rsidRDefault="008E3D62" w:rsidP="004D3BF2">
      <w:pPr>
        <w:spacing w:line="360" w:lineRule="auto"/>
        <w:jc w:val="center"/>
        <w:rPr>
          <w:rFonts w:ascii="Arial" w:hAnsi="Arial" w:cs="Arial"/>
          <w:b/>
          <w:sz w:val="22"/>
          <w:szCs w:val="22"/>
          <w:lang w:val="en-ZA"/>
        </w:rPr>
      </w:pPr>
      <w:r w:rsidRPr="00C47DE0">
        <w:rPr>
          <w:rFonts w:ascii="Arial" w:hAnsi="Arial" w:cs="Arial"/>
          <w:b/>
          <w:sz w:val="22"/>
          <w:szCs w:val="22"/>
          <w:lang w:val="en-ZA"/>
        </w:rPr>
        <w:t xml:space="preserve">DATE OF PUBLICATION: </w:t>
      </w:r>
      <w:r w:rsidR="00460E49" w:rsidRPr="00C47DE0">
        <w:rPr>
          <w:rFonts w:ascii="Arial" w:hAnsi="Arial" w:cs="Arial"/>
          <w:b/>
          <w:sz w:val="22"/>
          <w:szCs w:val="22"/>
          <w:lang w:val="en-ZA"/>
        </w:rPr>
        <w:t>13</w:t>
      </w:r>
      <w:r w:rsidRPr="00C47DE0">
        <w:rPr>
          <w:rFonts w:ascii="Arial" w:hAnsi="Arial" w:cs="Arial"/>
          <w:b/>
          <w:sz w:val="22"/>
          <w:szCs w:val="22"/>
          <w:lang w:val="en-ZA"/>
        </w:rPr>
        <w:t xml:space="preserve"> </w:t>
      </w:r>
      <w:r w:rsidR="00B5081C" w:rsidRPr="00C47DE0">
        <w:rPr>
          <w:rFonts w:ascii="Arial" w:hAnsi="Arial" w:cs="Arial"/>
          <w:b/>
          <w:sz w:val="22"/>
          <w:szCs w:val="22"/>
          <w:lang w:val="en-ZA"/>
        </w:rPr>
        <w:t>SEPTEMBER</w:t>
      </w:r>
      <w:r w:rsidRPr="00C47DE0">
        <w:rPr>
          <w:rFonts w:ascii="Arial" w:hAnsi="Arial" w:cs="Arial"/>
          <w:b/>
          <w:sz w:val="22"/>
          <w:szCs w:val="22"/>
          <w:lang w:val="en-ZA"/>
        </w:rPr>
        <w:t xml:space="preserve"> 201</w:t>
      </w:r>
      <w:r w:rsidR="00566101" w:rsidRPr="00C47DE0">
        <w:rPr>
          <w:rFonts w:ascii="Arial" w:hAnsi="Arial" w:cs="Arial"/>
          <w:b/>
          <w:sz w:val="22"/>
          <w:szCs w:val="22"/>
          <w:lang w:val="en-ZA"/>
        </w:rPr>
        <w:t>9</w:t>
      </w:r>
    </w:p>
    <w:p w:rsidR="008E3D62" w:rsidRPr="00C47DE0" w:rsidRDefault="008E3D62" w:rsidP="00B5081C">
      <w:pPr>
        <w:spacing w:line="276" w:lineRule="auto"/>
        <w:jc w:val="both"/>
        <w:rPr>
          <w:rFonts w:ascii="Arial" w:hAnsi="Arial" w:cs="Arial"/>
          <w:b/>
          <w:sz w:val="22"/>
          <w:szCs w:val="22"/>
          <w:lang w:val="en-ZA"/>
        </w:rPr>
      </w:pPr>
    </w:p>
    <w:p w:rsidR="00AF127D" w:rsidRPr="00C47DE0" w:rsidRDefault="00AF127D" w:rsidP="00AF127D">
      <w:pPr>
        <w:spacing w:before="100" w:beforeAutospacing="1" w:after="100" w:afterAutospacing="1" w:line="276" w:lineRule="auto"/>
        <w:ind w:left="720" w:hanging="720"/>
        <w:jc w:val="both"/>
        <w:outlineLvl w:val="0"/>
        <w:rPr>
          <w:rFonts w:ascii="Arial" w:eastAsia="Calibri" w:hAnsi="Arial" w:cs="Arial"/>
          <w:b/>
          <w:sz w:val="22"/>
          <w:szCs w:val="22"/>
          <w:lang w:val="en-ZA"/>
        </w:rPr>
      </w:pPr>
      <w:r w:rsidRPr="00C47DE0">
        <w:rPr>
          <w:rFonts w:ascii="Arial" w:hAnsi="Arial" w:cs="Arial"/>
          <w:b/>
          <w:sz w:val="22"/>
          <w:szCs w:val="22"/>
          <w:lang w:val="en-ZA"/>
        </w:rPr>
        <w:t>956</w:t>
      </w:r>
      <w:r w:rsidRPr="00C47DE0">
        <w:rPr>
          <w:rFonts w:ascii="Arial" w:eastAsia="Calibri" w:hAnsi="Arial" w:cs="Arial"/>
          <w:b/>
          <w:sz w:val="22"/>
          <w:szCs w:val="22"/>
          <w:lang w:val="en-ZA"/>
        </w:rPr>
        <w:t>.</w:t>
      </w:r>
      <w:r w:rsidRPr="00C47DE0">
        <w:rPr>
          <w:rFonts w:ascii="Arial" w:eastAsia="Calibri" w:hAnsi="Arial" w:cs="Arial"/>
          <w:b/>
          <w:sz w:val="22"/>
          <w:szCs w:val="22"/>
          <w:lang w:val="en-ZA"/>
        </w:rPr>
        <w:tab/>
        <w:t xml:space="preserve">Mrs M O </w:t>
      </w:r>
      <w:bookmarkStart w:id="0" w:name="_GoBack"/>
      <w:r w:rsidRPr="00C47DE0">
        <w:rPr>
          <w:rFonts w:ascii="Arial" w:eastAsia="Calibri" w:hAnsi="Arial" w:cs="Arial"/>
          <w:b/>
          <w:sz w:val="22"/>
          <w:szCs w:val="22"/>
          <w:lang w:val="en-ZA"/>
        </w:rPr>
        <w:t xml:space="preserve">Clarke </w:t>
      </w:r>
      <w:bookmarkEnd w:id="0"/>
      <w:r w:rsidRPr="00C47DE0">
        <w:rPr>
          <w:rFonts w:ascii="Arial" w:eastAsia="Calibri" w:hAnsi="Arial" w:cs="Arial"/>
          <w:b/>
          <w:sz w:val="22"/>
          <w:szCs w:val="22"/>
          <w:lang w:val="en-ZA"/>
        </w:rPr>
        <w:t>(DA) to ask the Minister of Finance</w:t>
      </w:r>
      <w:r w:rsidR="00AF2E72" w:rsidRPr="00C47DE0">
        <w:rPr>
          <w:rFonts w:ascii="Arial" w:eastAsia="Calibri" w:hAnsi="Arial" w:cs="Arial"/>
          <w:b/>
          <w:sz w:val="22"/>
          <w:szCs w:val="22"/>
          <w:lang w:val="en-ZA"/>
        </w:rPr>
        <w:fldChar w:fldCharType="begin"/>
      </w:r>
      <w:r w:rsidRPr="00C47DE0">
        <w:rPr>
          <w:rFonts w:ascii="Arial" w:eastAsia="Calibri" w:hAnsi="Arial" w:cs="Arial"/>
          <w:sz w:val="22"/>
          <w:szCs w:val="22"/>
          <w:lang w:val="en-ZA"/>
        </w:rPr>
        <w:instrText xml:space="preserve"> XE "</w:instrText>
      </w:r>
      <w:r w:rsidRPr="00C47DE0">
        <w:rPr>
          <w:rFonts w:ascii="Arial" w:hAnsi="Arial" w:cs="Arial"/>
          <w:b/>
          <w:sz w:val="22"/>
          <w:szCs w:val="22"/>
          <w:lang w:val="en-ZA"/>
        </w:rPr>
        <w:instrText>Finance</w:instrText>
      </w:r>
      <w:r w:rsidRPr="00C47DE0">
        <w:rPr>
          <w:rFonts w:ascii="Arial" w:eastAsia="Calibri" w:hAnsi="Arial" w:cs="Arial"/>
          <w:sz w:val="22"/>
          <w:szCs w:val="22"/>
          <w:lang w:val="en-ZA"/>
        </w:rPr>
        <w:instrText xml:space="preserve">" </w:instrText>
      </w:r>
      <w:r w:rsidR="00AF2E72" w:rsidRPr="00C47DE0">
        <w:rPr>
          <w:rFonts w:ascii="Arial" w:eastAsia="Calibri" w:hAnsi="Arial" w:cs="Arial"/>
          <w:b/>
          <w:sz w:val="22"/>
          <w:szCs w:val="22"/>
          <w:lang w:val="en-ZA"/>
        </w:rPr>
        <w:fldChar w:fldCharType="end"/>
      </w:r>
      <w:r w:rsidRPr="00C47DE0">
        <w:rPr>
          <w:rFonts w:ascii="Arial" w:eastAsia="Calibri" w:hAnsi="Arial" w:cs="Arial"/>
          <w:b/>
          <w:sz w:val="22"/>
          <w:szCs w:val="22"/>
          <w:lang w:val="en-ZA"/>
        </w:rPr>
        <w:t>:</w:t>
      </w:r>
    </w:p>
    <w:p w:rsidR="00AF127D" w:rsidRPr="00C47DE0" w:rsidRDefault="00AF127D" w:rsidP="00AF127D">
      <w:pPr>
        <w:spacing w:before="100" w:beforeAutospacing="1" w:after="100" w:afterAutospacing="1" w:line="276" w:lineRule="auto"/>
        <w:ind w:left="720" w:hanging="720"/>
        <w:jc w:val="both"/>
        <w:rPr>
          <w:rFonts w:ascii="Arial" w:eastAsia="Calibri" w:hAnsi="Arial" w:cs="Arial"/>
          <w:sz w:val="22"/>
          <w:szCs w:val="22"/>
          <w:lang w:val="en-ZA"/>
        </w:rPr>
      </w:pPr>
      <w:r w:rsidRPr="00C47DE0">
        <w:rPr>
          <w:rFonts w:ascii="Arial" w:eastAsia="Calibri" w:hAnsi="Arial" w:cs="Arial"/>
          <w:sz w:val="22"/>
          <w:szCs w:val="22"/>
          <w:lang w:val="en-ZA"/>
        </w:rPr>
        <w:t>(1)</w:t>
      </w:r>
      <w:r w:rsidRPr="00C47DE0">
        <w:rPr>
          <w:rFonts w:ascii="Arial" w:eastAsia="Calibri" w:hAnsi="Arial" w:cs="Arial"/>
          <w:sz w:val="22"/>
          <w:szCs w:val="22"/>
          <w:lang w:val="en-ZA"/>
        </w:rPr>
        <w:tab/>
        <w:t>What has he found to be the reasons of the 10% decline in the 2017-18 unqualified audits without findings in comparison to the percentages of the past 10 years contained in the reports of the Auditor-</w:t>
      </w:r>
      <w:proofErr w:type="gramStart"/>
      <w:r w:rsidRPr="00C47DE0">
        <w:rPr>
          <w:rFonts w:ascii="Arial" w:eastAsia="Calibri" w:hAnsi="Arial" w:cs="Arial"/>
          <w:sz w:val="22"/>
          <w:szCs w:val="22"/>
          <w:lang w:val="en-ZA"/>
        </w:rPr>
        <w:t>General;</w:t>
      </w:r>
      <w:proofErr w:type="gramEnd"/>
    </w:p>
    <w:p w:rsidR="00AF127D" w:rsidRPr="00C47DE0" w:rsidRDefault="00AF127D" w:rsidP="00AF127D">
      <w:pPr>
        <w:spacing w:before="100" w:beforeAutospacing="1" w:after="100" w:afterAutospacing="1" w:line="276" w:lineRule="auto"/>
        <w:ind w:left="720" w:hanging="720"/>
        <w:jc w:val="both"/>
        <w:rPr>
          <w:rFonts w:ascii="Arial" w:eastAsia="Calibri" w:hAnsi="Arial" w:cs="Arial"/>
          <w:sz w:val="22"/>
          <w:szCs w:val="22"/>
          <w:lang w:val="en-ZA"/>
        </w:rPr>
      </w:pPr>
      <w:r w:rsidRPr="00C47DE0">
        <w:rPr>
          <w:rFonts w:ascii="Arial" w:eastAsia="Calibri" w:hAnsi="Arial" w:cs="Arial"/>
          <w:sz w:val="22"/>
          <w:szCs w:val="22"/>
          <w:lang w:val="en-ZA"/>
        </w:rPr>
        <w:t>(2)</w:t>
      </w:r>
      <w:r w:rsidRPr="00C47DE0">
        <w:rPr>
          <w:rFonts w:ascii="Arial" w:eastAsia="Calibri" w:hAnsi="Arial" w:cs="Arial"/>
          <w:sz w:val="22"/>
          <w:szCs w:val="22"/>
          <w:lang w:val="en-ZA"/>
        </w:rPr>
        <w:tab/>
        <w:t>(a) what number of findings were linked to unauthorized, wasteful and fruitless expenditure, (b) what were the amounts in each case, (c)(</w:t>
      </w:r>
      <w:proofErr w:type="spellStart"/>
      <w:r w:rsidRPr="00C47DE0">
        <w:rPr>
          <w:rFonts w:ascii="Arial" w:eastAsia="Calibri" w:hAnsi="Arial" w:cs="Arial"/>
          <w:sz w:val="22"/>
          <w:szCs w:val="22"/>
          <w:lang w:val="en-ZA"/>
        </w:rPr>
        <w:t>i</w:t>
      </w:r>
      <w:proofErr w:type="spellEnd"/>
      <w:r w:rsidRPr="00C47DE0">
        <w:rPr>
          <w:rFonts w:ascii="Arial" w:eastAsia="Calibri" w:hAnsi="Arial" w:cs="Arial"/>
          <w:sz w:val="22"/>
          <w:szCs w:val="22"/>
          <w:lang w:val="en-ZA"/>
        </w:rPr>
        <w:t>) what number of cases were referred to external bodies and (ii) what was the amount in each cases, (d) what number of the cases were referred as remedial cases and (e)(</w:t>
      </w:r>
      <w:proofErr w:type="spellStart"/>
      <w:r w:rsidRPr="00C47DE0">
        <w:rPr>
          <w:rFonts w:ascii="Arial" w:eastAsia="Calibri" w:hAnsi="Arial" w:cs="Arial"/>
          <w:sz w:val="22"/>
          <w:szCs w:val="22"/>
          <w:lang w:val="en-ZA"/>
        </w:rPr>
        <w:t>i</w:t>
      </w:r>
      <w:proofErr w:type="spellEnd"/>
      <w:r w:rsidRPr="00C47DE0">
        <w:rPr>
          <w:rFonts w:ascii="Arial" w:eastAsia="Calibri" w:hAnsi="Arial" w:cs="Arial"/>
          <w:sz w:val="22"/>
          <w:szCs w:val="22"/>
          <w:lang w:val="en-ZA"/>
        </w:rPr>
        <w:t>) what number of these cases were issued with debt certificates and (ii) which government departments were responsible for the findings;</w:t>
      </w:r>
    </w:p>
    <w:p w:rsidR="00AF127D" w:rsidRPr="00C47DE0" w:rsidRDefault="00AF127D" w:rsidP="00AF127D">
      <w:pPr>
        <w:spacing w:before="100" w:beforeAutospacing="1" w:after="100" w:afterAutospacing="1" w:line="276" w:lineRule="auto"/>
        <w:ind w:left="720" w:hanging="720"/>
        <w:jc w:val="both"/>
        <w:rPr>
          <w:rFonts w:ascii="Arial" w:eastAsia="Calibri" w:hAnsi="Arial" w:cs="Arial"/>
          <w:sz w:val="22"/>
          <w:szCs w:val="22"/>
          <w:lang w:val="en-ZA"/>
        </w:rPr>
      </w:pPr>
      <w:r w:rsidRPr="00C47DE0">
        <w:rPr>
          <w:rFonts w:ascii="Arial" w:eastAsia="Calibri" w:hAnsi="Arial" w:cs="Arial"/>
          <w:sz w:val="22"/>
          <w:szCs w:val="22"/>
          <w:lang w:val="en-ZA"/>
        </w:rPr>
        <w:t>(3)</w:t>
      </w:r>
      <w:r w:rsidRPr="00C47DE0">
        <w:rPr>
          <w:rFonts w:ascii="Arial" w:eastAsia="Calibri" w:hAnsi="Arial" w:cs="Arial"/>
          <w:sz w:val="22"/>
          <w:szCs w:val="22"/>
          <w:lang w:val="en-ZA"/>
        </w:rPr>
        <w:tab/>
      </w:r>
      <w:proofErr w:type="gramStart"/>
      <w:r w:rsidRPr="00C47DE0">
        <w:rPr>
          <w:rFonts w:ascii="Arial" w:eastAsia="Calibri" w:hAnsi="Arial" w:cs="Arial"/>
          <w:sz w:val="22"/>
          <w:szCs w:val="22"/>
          <w:lang w:val="en-ZA"/>
        </w:rPr>
        <w:t>what</w:t>
      </w:r>
      <w:proofErr w:type="gramEnd"/>
      <w:r w:rsidRPr="00C47DE0">
        <w:rPr>
          <w:rFonts w:ascii="Arial" w:eastAsia="Calibri" w:hAnsi="Arial" w:cs="Arial"/>
          <w:sz w:val="22"/>
          <w:szCs w:val="22"/>
          <w:lang w:val="en-ZA"/>
        </w:rPr>
        <w:t xml:space="preserve"> reforms has the National Treasury put in place to mitigate the unauthorized, wasteful and fruitless expenditure?</w:t>
      </w:r>
      <w:r w:rsidRPr="00C47DE0">
        <w:rPr>
          <w:rFonts w:ascii="Arial" w:eastAsia="Calibri" w:hAnsi="Arial" w:cs="Arial"/>
          <w:sz w:val="22"/>
          <w:szCs w:val="22"/>
          <w:lang w:val="en-ZA"/>
        </w:rPr>
        <w:tab/>
      </w:r>
    </w:p>
    <w:p w:rsidR="00AF127D" w:rsidRPr="00C47DE0" w:rsidRDefault="00AF127D" w:rsidP="00AF127D">
      <w:pPr>
        <w:spacing w:before="100" w:beforeAutospacing="1" w:after="100" w:afterAutospacing="1" w:line="276" w:lineRule="auto"/>
        <w:ind w:left="720" w:hanging="720"/>
        <w:jc w:val="both"/>
        <w:rPr>
          <w:rFonts w:ascii="Arial" w:eastAsia="Calibri" w:hAnsi="Arial" w:cs="Arial"/>
          <w:sz w:val="22"/>
          <w:szCs w:val="22"/>
          <w:lang w:val="en-ZA"/>
        </w:rPr>
      </w:pPr>
      <w:r w:rsidRPr="00C47DE0">
        <w:rPr>
          <w:rFonts w:ascii="Arial" w:eastAsia="Calibri" w:hAnsi="Arial" w:cs="Arial"/>
          <w:sz w:val="22"/>
          <w:szCs w:val="22"/>
          <w:lang w:val="en-ZA"/>
        </w:rPr>
        <w:tab/>
      </w:r>
      <w:r w:rsidRPr="00C47DE0">
        <w:rPr>
          <w:rFonts w:ascii="Arial" w:eastAsia="Calibri" w:hAnsi="Arial" w:cs="Arial"/>
          <w:sz w:val="22"/>
          <w:szCs w:val="22"/>
          <w:lang w:val="en-ZA"/>
        </w:rPr>
        <w:tab/>
      </w:r>
      <w:r w:rsidRPr="00C47DE0">
        <w:rPr>
          <w:rFonts w:ascii="Arial" w:eastAsia="Calibri" w:hAnsi="Arial" w:cs="Arial"/>
          <w:sz w:val="22"/>
          <w:szCs w:val="22"/>
          <w:lang w:val="en-ZA"/>
        </w:rPr>
        <w:tab/>
      </w:r>
      <w:r w:rsidRPr="00C47DE0">
        <w:rPr>
          <w:rFonts w:ascii="Arial" w:eastAsia="Calibri" w:hAnsi="Arial" w:cs="Arial"/>
          <w:sz w:val="22"/>
          <w:szCs w:val="22"/>
          <w:lang w:val="en-ZA"/>
        </w:rPr>
        <w:tab/>
      </w:r>
      <w:r w:rsidRPr="00C47DE0">
        <w:rPr>
          <w:rFonts w:ascii="Arial" w:eastAsia="Calibri" w:hAnsi="Arial" w:cs="Arial"/>
          <w:sz w:val="22"/>
          <w:szCs w:val="22"/>
          <w:lang w:val="en-ZA"/>
        </w:rPr>
        <w:tab/>
      </w:r>
      <w:r w:rsidRPr="00C47DE0">
        <w:rPr>
          <w:rFonts w:ascii="Arial" w:eastAsia="Calibri" w:hAnsi="Arial" w:cs="Arial"/>
          <w:sz w:val="22"/>
          <w:szCs w:val="22"/>
          <w:lang w:val="en-ZA"/>
        </w:rPr>
        <w:tab/>
      </w:r>
      <w:r w:rsidRPr="00C47DE0">
        <w:rPr>
          <w:rFonts w:ascii="Arial" w:eastAsia="Calibri" w:hAnsi="Arial" w:cs="Arial"/>
          <w:sz w:val="22"/>
          <w:szCs w:val="22"/>
          <w:lang w:val="en-ZA"/>
        </w:rPr>
        <w:tab/>
      </w:r>
      <w:r w:rsidRPr="00C47DE0">
        <w:rPr>
          <w:rFonts w:ascii="Arial" w:eastAsia="Calibri" w:hAnsi="Arial" w:cs="Arial"/>
          <w:sz w:val="22"/>
          <w:szCs w:val="22"/>
          <w:lang w:val="en-ZA"/>
        </w:rPr>
        <w:tab/>
      </w:r>
      <w:r w:rsidRPr="00C47DE0">
        <w:rPr>
          <w:rFonts w:ascii="Arial" w:eastAsia="Calibri" w:hAnsi="Arial" w:cs="Arial"/>
          <w:sz w:val="22"/>
          <w:szCs w:val="22"/>
          <w:lang w:val="en-ZA"/>
        </w:rPr>
        <w:tab/>
      </w:r>
      <w:r w:rsidRPr="00C47DE0">
        <w:rPr>
          <w:rFonts w:ascii="Arial" w:eastAsia="Calibri" w:hAnsi="Arial" w:cs="Arial"/>
          <w:sz w:val="22"/>
          <w:szCs w:val="22"/>
          <w:lang w:val="en-ZA"/>
        </w:rPr>
        <w:tab/>
        <w:t>NW2110E</w:t>
      </w:r>
    </w:p>
    <w:p w:rsidR="008E3D62" w:rsidRDefault="008E3D62" w:rsidP="00812709">
      <w:pPr>
        <w:spacing w:before="100" w:beforeAutospacing="1" w:after="100" w:afterAutospacing="1" w:line="276" w:lineRule="auto"/>
        <w:jc w:val="both"/>
        <w:outlineLvl w:val="0"/>
        <w:rPr>
          <w:rFonts w:ascii="Arial" w:hAnsi="Arial" w:cs="Arial"/>
          <w:sz w:val="22"/>
          <w:szCs w:val="22"/>
          <w:lang w:val="en-ZA"/>
        </w:rPr>
      </w:pPr>
      <w:r w:rsidRPr="00C47DE0">
        <w:rPr>
          <w:rFonts w:ascii="Arial" w:hAnsi="Arial" w:cs="Arial"/>
          <w:b/>
          <w:sz w:val="22"/>
          <w:szCs w:val="22"/>
          <w:lang w:val="en-ZA"/>
        </w:rPr>
        <w:t>REPLY</w:t>
      </w:r>
      <w:r w:rsidRPr="00C47DE0">
        <w:rPr>
          <w:rFonts w:ascii="Arial" w:hAnsi="Arial" w:cs="Arial"/>
          <w:sz w:val="22"/>
          <w:szCs w:val="22"/>
          <w:lang w:val="en-ZA"/>
        </w:rPr>
        <w:t>:</w:t>
      </w:r>
    </w:p>
    <w:p w:rsidR="00807F94" w:rsidRPr="00807F94" w:rsidRDefault="00807F94" w:rsidP="00812709">
      <w:pPr>
        <w:spacing w:before="100" w:beforeAutospacing="1" w:after="100" w:afterAutospacing="1" w:line="276" w:lineRule="auto"/>
        <w:jc w:val="both"/>
        <w:outlineLvl w:val="0"/>
        <w:rPr>
          <w:rFonts w:ascii="Arial" w:hAnsi="Arial" w:cs="Arial"/>
          <w:b/>
          <w:sz w:val="22"/>
          <w:szCs w:val="22"/>
          <w:lang w:val="en-ZA"/>
        </w:rPr>
      </w:pPr>
      <w:r w:rsidRPr="00807F94">
        <w:rPr>
          <w:rFonts w:ascii="Arial" w:hAnsi="Arial" w:cs="Arial"/>
          <w:b/>
          <w:sz w:val="22"/>
          <w:szCs w:val="22"/>
          <w:lang w:val="en-ZA"/>
        </w:rPr>
        <w:t>Municipality information</w:t>
      </w:r>
    </w:p>
    <w:p w:rsidR="00566101" w:rsidRPr="00C47DE0" w:rsidRDefault="00D42202" w:rsidP="004905ED">
      <w:pPr>
        <w:pStyle w:val="ListParagraph"/>
        <w:numPr>
          <w:ilvl w:val="0"/>
          <w:numId w:val="13"/>
        </w:numPr>
        <w:tabs>
          <w:tab w:val="left" w:pos="432"/>
          <w:tab w:val="left" w:pos="864"/>
        </w:tabs>
        <w:spacing w:line="360" w:lineRule="auto"/>
        <w:ind w:left="142" w:firstLine="0"/>
        <w:jc w:val="both"/>
        <w:rPr>
          <w:rFonts w:ascii="Arial" w:hAnsi="Arial" w:cs="Arial"/>
          <w:sz w:val="22"/>
          <w:szCs w:val="22"/>
          <w:lang w:val="en-ZA"/>
        </w:rPr>
      </w:pPr>
      <w:r w:rsidRPr="00C47DE0">
        <w:rPr>
          <w:rFonts w:ascii="Arial" w:hAnsi="Arial" w:cs="Arial"/>
          <w:sz w:val="22"/>
          <w:szCs w:val="22"/>
          <w:lang w:val="en-ZA"/>
        </w:rPr>
        <w:t xml:space="preserve">This must be referred to the Office of the Auditor-General for a response. </w:t>
      </w:r>
    </w:p>
    <w:p w:rsidR="00D42202" w:rsidRPr="00C47DE0" w:rsidRDefault="00D42202" w:rsidP="004905ED">
      <w:pPr>
        <w:pStyle w:val="ListParagraph"/>
        <w:numPr>
          <w:ilvl w:val="0"/>
          <w:numId w:val="13"/>
        </w:numPr>
        <w:tabs>
          <w:tab w:val="left" w:pos="432"/>
          <w:tab w:val="left" w:pos="864"/>
        </w:tabs>
        <w:spacing w:line="360" w:lineRule="auto"/>
        <w:ind w:left="142" w:firstLine="0"/>
        <w:jc w:val="both"/>
        <w:rPr>
          <w:rFonts w:ascii="Arial" w:hAnsi="Arial" w:cs="Arial"/>
          <w:sz w:val="22"/>
          <w:szCs w:val="22"/>
          <w:lang w:val="en-ZA"/>
        </w:rPr>
      </w:pPr>
      <w:r w:rsidRPr="00C47DE0">
        <w:rPr>
          <w:rFonts w:ascii="Arial" w:hAnsi="Arial" w:cs="Arial"/>
          <w:sz w:val="22"/>
          <w:szCs w:val="22"/>
          <w:lang w:val="en-ZA"/>
        </w:rPr>
        <w:t xml:space="preserve">This must be referred to the Office of the Auditor-General for a response. </w:t>
      </w:r>
    </w:p>
    <w:p w:rsidR="00D42202" w:rsidRDefault="000F229B" w:rsidP="004905ED">
      <w:pPr>
        <w:pStyle w:val="ListParagraph"/>
        <w:numPr>
          <w:ilvl w:val="0"/>
          <w:numId w:val="13"/>
        </w:numPr>
        <w:tabs>
          <w:tab w:val="left" w:pos="432"/>
          <w:tab w:val="left" w:pos="864"/>
        </w:tabs>
        <w:spacing w:line="360" w:lineRule="auto"/>
        <w:jc w:val="both"/>
        <w:rPr>
          <w:rFonts w:ascii="Arial" w:hAnsi="Arial" w:cs="Arial"/>
          <w:sz w:val="22"/>
          <w:szCs w:val="22"/>
          <w:lang w:val="en-ZA"/>
        </w:rPr>
      </w:pPr>
      <w:r>
        <w:rPr>
          <w:rFonts w:ascii="Arial" w:hAnsi="Arial" w:cs="Arial"/>
          <w:sz w:val="22"/>
          <w:szCs w:val="22"/>
          <w:lang w:val="en-ZA"/>
        </w:rPr>
        <w:t xml:space="preserve"> With regards to municipalities, t</w:t>
      </w:r>
      <w:r w:rsidR="00CC4993" w:rsidRPr="00C47DE0">
        <w:rPr>
          <w:rFonts w:ascii="Arial" w:hAnsi="Arial" w:cs="Arial"/>
          <w:sz w:val="22"/>
          <w:szCs w:val="22"/>
          <w:lang w:val="en-ZA"/>
        </w:rPr>
        <w:t>he National Treasury in conjunction with the D</w:t>
      </w:r>
      <w:r w:rsidR="004905ED" w:rsidRPr="00C47DE0">
        <w:rPr>
          <w:rFonts w:ascii="Arial" w:hAnsi="Arial" w:cs="Arial"/>
          <w:sz w:val="22"/>
          <w:szCs w:val="22"/>
          <w:lang w:val="en-ZA"/>
        </w:rPr>
        <w:t xml:space="preserve">epartment of </w:t>
      </w:r>
      <w:r w:rsidR="00CC4993" w:rsidRPr="00C47DE0">
        <w:rPr>
          <w:rFonts w:ascii="Arial" w:hAnsi="Arial" w:cs="Arial"/>
          <w:sz w:val="22"/>
          <w:szCs w:val="22"/>
          <w:lang w:val="en-ZA"/>
        </w:rPr>
        <w:t>Co</w:t>
      </w:r>
      <w:r w:rsidR="004905ED" w:rsidRPr="00C47DE0">
        <w:rPr>
          <w:rFonts w:ascii="Arial" w:hAnsi="Arial" w:cs="Arial"/>
          <w:sz w:val="22"/>
          <w:szCs w:val="22"/>
          <w:lang w:val="en-ZA"/>
        </w:rPr>
        <w:t xml:space="preserve">operative </w:t>
      </w:r>
      <w:r w:rsidR="00CC4993" w:rsidRPr="00C47DE0">
        <w:rPr>
          <w:rFonts w:ascii="Arial" w:hAnsi="Arial" w:cs="Arial"/>
          <w:sz w:val="22"/>
          <w:szCs w:val="22"/>
          <w:lang w:val="en-ZA"/>
        </w:rPr>
        <w:t>G</w:t>
      </w:r>
      <w:r w:rsidR="006B4438">
        <w:rPr>
          <w:rFonts w:ascii="Arial" w:hAnsi="Arial" w:cs="Arial"/>
          <w:sz w:val="22"/>
          <w:szCs w:val="22"/>
          <w:lang w:val="en-ZA"/>
        </w:rPr>
        <w:t>overnance (</w:t>
      </w:r>
      <w:proofErr w:type="spellStart"/>
      <w:r w:rsidR="006B4438">
        <w:rPr>
          <w:rFonts w:ascii="Arial" w:hAnsi="Arial" w:cs="Arial"/>
          <w:sz w:val="22"/>
          <w:szCs w:val="22"/>
          <w:lang w:val="en-ZA"/>
        </w:rPr>
        <w:t>DCoG</w:t>
      </w:r>
      <w:proofErr w:type="spellEnd"/>
      <w:r w:rsidR="006B4438">
        <w:rPr>
          <w:rFonts w:ascii="Arial" w:hAnsi="Arial" w:cs="Arial"/>
          <w:sz w:val="22"/>
          <w:szCs w:val="22"/>
          <w:lang w:val="en-ZA"/>
        </w:rPr>
        <w:t xml:space="preserve">) </w:t>
      </w:r>
      <w:r w:rsidR="00CC4993" w:rsidRPr="00C47DE0">
        <w:rPr>
          <w:rFonts w:ascii="Arial" w:hAnsi="Arial" w:cs="Arial"/>
          <w:sz w:val="22"/>
          <w:szCs w:val="22"/>
          <w:lang w:val="en-ZA"/>
        </w:rPr>
        <w:t>developed the M</w:t>
      </w:r>
      <w:r w:rsidR="004905ED" w:rsidRPr="00C47DE0">
        <w:rPr>
          <w:rFonts w:ascii="Arial" w:hAnsi="Arial" w:cs="Arial"/>
          <w:sz w:val="22"/>
          <w:szCs w:val="22"/>
          <w:lang w:val="en-ZA"/>
        </w:rPr>
        <w:t xml:space="preserve">unicipal </w:t>
      </w:r>
      <w:r w:rsidR="00CC4993" w:rsidRPr="00C47DE0">
        <w:rPr>
          <w:rFonts w:ascii="Arial" w:hAnsi="Arial" w:cs="Arial"/>
          <w:sz w:val="22"/>
          <w:szCs w:val="22"/>
          <w:lang w:val="en-ZA"/>
        </w:rPr>
        <w:t>P</w:t>
      </w:r>
      <w:r w:rsidR="004905ED" w:rsidRPr="00C47DE0">
        <w:rPr>
          <w:rFonts w:ascii="Arial" w:hAnsi="Arial" w:cs="Arial"/>
          <w:sz w:val="22"/>
          <w:szCs w:val="22"/>
          <w:lang w:val="en-ZA"/>
        </w:rPr>
        <w:t xml:space="preserve">ublic </w:t>
      </w:r>
      <w:r w:rsidR="00CC4993" w:rsidRPr="00C47DE0">
        <w:rPr>
          <w:rFonts w:ascii="Arial" w:hAnsi="Arial" w:cs="Arial"/>
          <w:sz w:val="22"/>
          <w:szCs w:val="22"/>
          <w:lang w:val="en-ZA"/>
        </w:rPr>
        <w:t>A</w:t>
      </w:r>
      <w:r w:rsidR="00C47DE0" w:rsidRPr="00C47DE0">
        <w:rPr>
          <w:rFonts w:ascii="Arial" w:hAnsi="Arial" w:cs="Arial"/>
          <w:sz w:val="22"/>
          <w:szCs w:val="22"/>
          <w:lang w:val="en-ZA"/>
        </w:rPr>
        <w:t>ccounts (MPAC)</w:t>
      </w:r>
      <w:r w:rsidR="00CC4993" w:rsidRPr="00C47DE0">
        <w:rPr>
          <w:rFonts w:ascii="Arial" w:hAnsi="Arial" w:cs="Arial"/>
          <w:sz w:val="22"/>
          <w:szCs w:val="22"/>
          <w:lang w:val="en-ZA"/>
        </w:rPr>
        <w:t xml:space="preserve"> Guideline and Toolkit to assist MPACs to perform their oversight and other related responsibilities, which include reviewing and recommending to Council actions or otherwise relating to the expediting and conclusion of </w:t>
      </w:r>
      <w:r w:rsidR="00DF15DD" w:rsidRPr="00C47DE0">
        <w:rPr>
          <w:rFonts w:ascii="Arial" w:hAnsi="Arial" w:cs="Arial"/>
          <w:sz w:val="22"/>
          <w:szCs w:val="22"/>
          <w:lang w:val="en-ZA"/>
        </w:rPr>
        <w:t>unauthorised</w:t>
      </w:r>
      <w:r w:rsidR="00C47DE0" w:rsidRPr="00C47DE0">
        <w:rPr>
          <w:rFonts w:ascii="Arial" w:hAnsi="Arial" w:cs="Arial"/>
          <w:sz w:val="22"/>
          <w:szCs w:val="22"/>
          <w:lang w:val="en-ZA"/>
        </w:rPr>
        <w:t>, irregular, fruitless and wasteful expenditure</w:t>
      </w:r>
      <w:r w:rsidR="001A31D5">
        <w:rPr>
          <w:rFonts w:ascii="Arial" w:hAnsi="Arial" w:cs="Arial"/>
          <w:sz w:val="22"/>
          <w:szCs w:val="22"/>
          <w:lang w:val="en-ZA"/>
        </w:rPr>
        <w:t xml:space="preserve"> (UIF&amp;W)</w:t>
      </w:r>
      <w:r>
        <w:rPr>
          <w:rFonts w:ascii="Arial" w:hAnsi="Arial" w:cs="Arial"/>
          <w:sz w:val="22"/>
          <w:szCs w:val="22"/>
          <w:lang w:val="en-ZA"/>
        </w:rPr>
        <w:t xml:space="preserve"> processes</w:t>
      </w:r>
      <w:r w:rsidR="00C47DE0" w:rsidRPr="00C47DE0">
        <w:rPr>
          <w:rFonts w:ascii="Arial" w:hAnsi="Arial" w:cs="Arial"/>
          <w:sz w:val="22"/>
          <w:szCs w:val="22"/>
          <w:lang w:val="en-ZA"/>
        </w:rPr>
        <w:t xml:space="preserve">. </w:t>
      </w:r>
      <w:r w:rsidR="008051DF">
        <w:rPr>
          <w:rFonts w:ascii="Arial" w:hAnsi="Arial" w:cs="Arial"/>
          <w:sz w:val="22"/>
          <w:szCs w:val="22"/>
          <w:lang w:val="en-ZA"/>
        </w:rPr>
        <w:t>This guideline and toolkit</w:t>
      </w:r>
      <w:r w:rsidR="00CC4993" w:rsidRPr="00C47DE0">
        <w:rPr>
          <w:rFonts w:ascii="Arial" w:hAnsi="Arial" w:cs="Arial"/>
          <w:sz w:val="22"/>
          <w:szCs w:val="22"/>
          <w:lang w:val="en-ZA"/>
        </w:rPr>
        <w:t xml:space="preserve"> was supported by </w:t>
      </w:r>
      <w:r w:rsidR="00D93FCC">
        <w:rPr>
          <w:rFonts w:ascii="Arial" w:hAnsi="Arial" w:cs="Arial"/>
          <w:sz w:val="22"/>
          <w:szCs w:val="22"/>
          <w:lang w:val="en-ZA"/>
        </w:rPr>
        <w:t>Municipal Finance Management Act (</w:t>
      </w:r>
      <w:r w:rsidR="00CC4993" w:rsidRPr="00C47DE0">
        <w:rPr>
          <w:rFonts w:ascii="Arial" w:hAnsi="Arial" w:cs="Arial"/>
          <w:sz w:val="22"/>
          <w:szCs w:val="22"/>
          <w:lang w:val="en-ZA"/>
        </w:rPr>
        <w:t>MFMA</w:t>
      </w:r>
      <w:r w:rsidR="00D93FCC">
        <w:rPr>
          <w:rFonts w:ascii="Arial" w:hAnsi="Arial" w:cs="Arial"/>
          <w:sz w:val="22"/>
          <w:szCs w:val="22"/>
          <w:lang w:val="en-ZA"/>
        </w:rPr>
        <w:t>)</w:t>
      </w:r>
      <w:r w:rsidR="00CC4993" w:rsidRPr="00C47DE0">
        <w:rPr>
          <w:rFonts w:ascii="Arial" w:hAnsi="Arial" w:cs="Arial"/>
          <w:sz w:val="22"/>
          <w:szCs w:val="22"/>
          <w:lang w:val="en-ZA"/>
        </w:rPr>
        <w:t xml:space="preserve"> Circular 92 which further supports the effective functioning and decision-making of councillors serving on M</w:t>
      </w:r>
      <w:r>
        <w:rPr>
          <w:rFonts w:ascii="Arial" w:hAnsi="Arial" w:cs="Arial"/>
          <w:sz w:val="22"/>
          <w:szCs w:val="22"/>
          <w:lang w:val="en-ZA"/>
        </w:rPr>
        <w:t>PACs</w:t>
      </w:r>
      <w:r w:rsidR="00CC4993" w:rsidRPr="00C47DE0">
        <w:rPr>
          <w:rFonts w:ascii="Arial" w:hAnsi="Arial" w:cs="Arial"/>
          <w:sz w:val="22"/>
          <w:szCs w:val="22"/>
          <w:lang w:val="en-ZA"/>
        </w:rPr>
        <w:t>.</w:t>
      </w:r>
    </w:p>
    <w:p w:rsidR="008051DF" w:rsidRDefault="008051DF" w:rsidP="008051DF">
      <w:pPr>
        <w:pStyle w:val="ListParagraph"/>
        <w:tabs>
          <w:tab w:val="left" w:pos="432"/>
          <w:tab w:val="left" w:pos="864"/>
        </w:tabs>
        <w:spacing w:line="360" w:lineRule="auto"/>
        <w:ind w:left="502"/>
        <w:jc w:val="both"/>
        <w:rPr>
          <w:rFonts w:ascii="Arial" w:hAnsi="Arial" w:cs="Arial"/>
          <w:sz w:val="22"/>
          <w:szCs w:val="22"/>
          <w:lang w:val="en-ZA"/>
        </w:rPr>
      </w:pPr>
    </w:p>
    <w:p w:rsidR="008051DF" w:rsidRDefault="00DF15DD" w:rsidP="008051DF">
      <w:pPr>
        <w:pStyle w:val="ListParagraph"/>
        <w:tabs>
          <w:tab w:val="left" w:pos="432"/>
          <w:tab w:val="left" w:pos="864"/>
        </w:tabs>
        <w:spacing w:line="360" w:lineRule="auto"/>
        <w:ind w:left="502"/>
        <w:jc w:val="both"/>
        <w:rPr>
          <w:rFonts w:ascii="Arial" w:hAnsi="Arial" w:cs="Arial"/>
          <w:sz w:val="22"/>
          <w:szCs w:val="22"/>
          <w:lang w:val="en-ZA"/>
        </w:rPr>
      </w:pPr>
      <w:proofErr w:type="gramStart"/>
      <w:r>
        <w:rPr>
          <w:rFonts w:ascii="Arial" w:hAnsi="Arial" w:cs="Arial"/>
          <w:sz w:val="22"/>
          <w:szCs w:val="22"/>
          <w:lang w:val="en-ZA"/>
        </w:rPr>
        <w:lastRenderedPageBreak/>
        <w:t>The National and provincial treasuries</w:t>
      </w:r>
      <w:r w:rsidR="008051DF" w:rsidRPr="008051DF">
        <w:rPr>
          <w:rFonts w:ascii="Arial" w:hAnsi="Arial" w:cs="Arial"/>
          <w:sz w:val="22"/>
          <w:szCs w:val="22"/>
          <w:lang w:val="en-ZA"/>
        </w:rPr>
        <w:t xml:space="preserve"> </w:t>
      </w:r>
      <w:r>
        <w:rPr>
          <w:rFonts w:ascii="Arial" w:hAnsi="Arial" w:cs="Arial"/>
          <w:sz w:val="22"/>
          <w:szCs w:val="22"/>
          <w:lang w:val="en-ZA"/>
        </w:rPr>
        <w:t xml:space="preserve">provided training to </w:t>
      </w:r>
      <w:r w:rsidR="008051DF" w:rsidRPr="008051DF">
        <w:rPr>
          <w:rFonts w:ascii="Arial" w:hAnsi="Arial" w:cs="Arial"/>
          <w:sz w:val="22"/>
          <w:szCs w:val="22"/>
          <w:lang w:val="en-ZA"/>
        </w:rPr>
        <w:t xml:space="preserve">councillors serving on </w:t>
      </w:r>
      <w:r w:rsidR="006B4438">
        <w:rPr>
          <w:rFonts w:ascii="Arial" w:hAnsi="Arial" w:cs="Arial"/>
          <w:sz w:val="22"/>
          <w:szCs w:val="22"/>
          <w:lang w:val="en-ZA"/>
        </w:rPr>
        <w:t>the MPAC</w:t>
      </w:r>
      <w:r w:rsidR="008051DF" w:rsidRPr="008051DF">
        <w:rPr>
          <w:rFonts w:ascii="Arial" w:hAnsi="Arial" w:cs="Arial"/>
          <w:sz w:val="22"/>
          <w:szCs w:val="22"/>
          <w:lang w:val="en-ZA"/>
        </w:rPr>
        <w:t xml:space="preserve"> in consultation with </w:t>
      </w:r>
      <w:proofErr w:type="spellStart"/>
      <w:r w:rsidR="008051DF" w:rsidRPr="008051DF">
        <w:rPr>
          <w:rFonts w:ascii="Arial" w:hAnsi="Arial" w:cs="Arial"/>
          <w:sz w:val="22"/>
          <w:szCs w:val="22"/>
          <w:lang w:val="en-ZA"/>
        </w:rPr>
        <w:t>DC</w:t>
      </w:r>
      <w:r w:rsidR="006B4438">
        <w:rPr>
          <w:rFonts w:ascii="Arial" w:hAnsi="Arial" w:cs="Arial"/>
          <w:sz w:val="22"/>
          <w:szCs w:val="22"/>
          <w:lang w:val="en-ZA"/>
        </w:rPr>
        <w:t>o</w:t>
      </w:r>
      <w:r w:rsidR="008051DF" w:rsidRPr="008051DF">
        <w:rPr>
          <w:rFonts w:ascii="Arial" w:hAnsi="Arial" w:cs="Arial"/>
          <w:sz w:val="22"/>
          <w:szCs w:val="22"/>
          <w:lang w:val="en-ZA"/>
        </w:rPr>
        <w:t>G</w:t>
      </w:r>
      <w:proofErr w:type="spellEnd"/>
      <w:r w:rsidR="008051DF" w:rsidRPr="008051DF">
        <w:rPr>
          <w:rFonts w:ascii="Arial" w:hAnsi="Arial" w:cs="Arial"/>
          <w:sz w:val="22"/>
          <w:szCs w:val="22"/>
          <w:lang w:val="en-ZA"/>
        </w:rPr>
        <w:t xml:space="preserve"> and S</w:t>
      </w:r>
      <w:r w:rsidR="006B4438">
        <w:rPr>
          <w:rFonts w:ascii="Arial" w:hAnsi="Arial" w:cs="Arial"/>
          <w:sz w:val="22"/>
          <w:szCs w:val="22"/>
          <w:lang w:val="en-ZA"/>
        </w:rPr>
        <w:t xml:space="preserve">outh </w:t>
      </w:r>
      <w:r w:rsidR="008051DF" w:rsidRPr="008051DF">
        <w:rPr>
          <w:rFonts w:ascii="Arial" w:hAnsi="Arial" w:cs="Arial"/>
          <w:sz w:val="22"/>
          <w:szCs w:val="22"/>
          <w:lang w:val="en-ZA"/>
        </w:rPr>
        <w:t>A</w:t>
      </w:r>
      <w:r w:rsidR="006B4438">
        <w:rPr>
          <w:rFonts w:ascii="Arial" w:hAnsi="Arial" w:cs="Arial"/>
          <w:sz w:val="22"/>
          <w:szCs w:val="22"/>
          <w:lang w:val="en-ZA"/>
        </w:rPr>
        <w:t xml:space="preserve">frican </w:t>
      </w:r>
      <w:r w:rsidR="008051DF" w:rsidRPr="008051DF">
        <w:rPr>
          <w:rFonts w:ascii="Arial" w:hAnsi="Arial" w:cs="Arial"/>
          <w:sz w:val="22"/>
          <w:szCs w:val="22"/>
          <w:lang w:val="en-ZA"/>
        </w:rPr>
        <w:t>L</w:t>
      </w:r>
      <w:r w:rsidR="006B4438">
        <w:rPr>
          <w:rFonts w:ascii="Arial" w:hAnsi="Arial" w:cs="Arial"/>
          <w:sz w:val="22"/>
          <w:szCs w:val="22"/>
          <w:lang w:val="en-ZA"/>
        </w:rPr>
        <w:t xml:space="preserve">ocal </w:t>
      </w:r>
      <w:r w:rsidR="008051DF" w:rsidRPr="008051DF">
        <w:rPr>
          <w:rFonts w:ascii="Arial" w:hAnsi="Arial" w:cs="Arial"/>
          <w:sz w:val="22"/>
          <w:szCs w:val="22"/>
          <w:lang w:val="en-ZA"/>
        </w:rPr>
        <w:t>G</w:t>
      </w:r>
      <w:r w:rsidR="006B4438">
        <w:rPr>
          <w:rFonts w:ascii="Arial" w:hAnsi="Arial" w:cs="Arial"/>
          <w:sz w:val="22"/>
          <w:szCs w:val="22"/>
          <w:lang w:val="en-ZA"/>
        </w:rPr>
        <w:t xml:space="preserve">overnment </w:t>
      </w:r>
      <w:r w:rsidR="008051DF" w:rsidRPr="008051DF">
        <w:rPr>
          <w:rFonts w:ascii="Arial" w:hAnsi="Arial" w:cs="Arial"/>
          <w:sz w:val="22"/>
          <w:szCs w:val="22"/>
          <w:lang w:val="en-ZA"/>
        </w:rPr>
        <w:t>A</w:t>
      </w:r>
      <w:r w:rsidR="006B4438">
        <w:rPr>
          <w:rFonts w:ascii="Arial" w:hAnsi="Arial" w:cs="Arial"/>
          <w:sz w:val="22"/>
          <w:szCs w:val="22"/>
          <w:lang w:val="en-ZA"/>
        </w:rPr>
        <w:t>ssociation (SALGA)</w:t>
      </w:r>
      <w:r w:rsidR="008051DF" w:rsidRPr="008051DF">
        <w:rPr>
          <w:rFonts w:ascii="Arial" w:hAnsi="Arial" w:cs="Arial"/>
          <w:sz w:val="22"/>
          <w:szCs w:val="22"/>
          <w:lang w:val="en-ZA"/>
        </w:rPr>
        <w:t>.</w:t>
      </w:r>
      <w:proofErr w:type="gramEnd"/>
      <w:r w:rsidR="008051DF" w:rsidRPr="008051DF">
        <w:rPr>
          <w:rFonts w:ascii="Arial" w:hAnsi="Arial" w:cs="Arial"/>
          <w:sz w:val="22"/>
          <w:szCs w:val="22"/>
          <w:lang w:val="en-ZA"/>
        </w:rPr>
        <w:t xml:space="preserve"> As at the end of March 2019, the MPAC Guideline and Toolkit have been rolled out and a total of 875 MPAC Councillors and 205 municipal officials have been trained countrywide.  Further training was provided to Municipal Disciplinary Board members to enable consequence managem</w:t>
      </w:r>
      <w:r w:rsidR="00D93FCC">
        <w:rPr>
          <w:rFonts w:ascii="Arial" w:hAnsi="Arial" w:cs="Arial"/>
          <w:sz w:val="22"/>
          <w:szCs w:val="22"/>
          <w:lang w:val="en-ZA"/>
        </w:rPr>
        <w:t xml:space="preserve">ent processes to be expedited in line with Chapter 15 of the </w:t>
      </w:r>
      <w:r w:rsidR="00C6042E">
        <w:rPr>
          <w:rFonts w:ascii="Arial" w:hAnsi="Arial" w:cs="Arial"/>
          <w:sz w:val="22"/>
          <w:szCs w:val="22"/>
          <w:lang w:val="en-ZA"/>
        </w:rPr>
        <w:t xml:space="preserve">MFMA read together with the Municipal Regulations on Financial Misconduct Procedures and Criminal Proceedings. </w:t>
      </w:r>
      <w:r w:rsidR="008051DF" w:rsidRPr="008051DF">
        <w:rPr>
          <w:rFonts w:ascii="Arial" w:hAnsi="Arial" w:cs="Arial"/>
          <w:sz w:val="22"/>
          <w:szCs w:val="22"/>
          <w:lang w:val="en-ZA"/>
        </w:rPr>
        <w:t>These are being monitored by national and provincial treasuries for actions and resolutions taken.</w:t>
      </w:r>
      <w:r w:rsidR="000F229B">
        <w:rPr>
          <w:rFonts w:ascii="Arial" w:hAnsi="Arial" w:cs="Arial"/>
          <w:sz w:val="22"/>
          <w:szCs w:val="22"/>
          <w:lang w:val="en-ZA"/>
        </w:rPr>
        <w:t xml:space="preserve"> It should be noted that progress in this area has been slow, as it depends on finalisation of the investigation process.</w:t>
      </w:r>
    </w:p>
    <w:p w:rsidR="00544CEB" w:rsidRDefault="00544CEB" w:rsidP="008051DF">
      <w:pPr>
        <w:pStyle w:val="ListParagraph"/>
        <w:tabs>
          <w:tab w:val="left" w:pos="432"/>
          <w:tab w:val="left" w:pos="864"/>
        </w:tabs>
        <w:spacing w:line="360" w:lineRule="auto"/>
        <w:ind w:left="502"/>
        <w:jc w:val="both"/>
        <w:rPr>
          <w:rFonts w:ascii="Arial" w:hAnsi="Arial" w:cs="Arial"/>
          <w:sz w:val="22"/>
          <w:szCs w:val="22"/>
          <w:lang w:val="en-ZA"/>
        </w:rPr>
      </w:pPr>
    </w:p>
    <w:p w:rsidR="00C6042E" w:rsidRDefault="00EC6F42" w:rsidP="008051DF">
      <w:pPr>
        <w:pStyle w:val="ListParagraph"/>
        <w:tabs>
          <w:tab w:val="left" w:pos="432"/>
          <w:tab w:val="left" w:pos="864"/>
        </w:tabs>
        <w:spacing w:line="360" w:lineRule="auto"/>
        <w:ind w:left="502"/>
        <w:jc w:val="both"/>
        <w:rPr>
          <w:rFonts w:ascii="Arial" w:hAnsi="Arial" w:cs="Arial"/>
          <w:sz w:val="22"/>
          <w:szCs w:val="22"/>
          <w:lang w:val="en-ZA"/>
        </w:rPr>
      </w:pPr>
      <w:r w:rsidRPr="00EC6F42">
        <w:rPr>
          <w:rFonts w:ascii="Arial" w:hAnsi="Arial" w:cs="Arial"/>
          <w:sz w:val="22"/>
          <w:szCs w:val="22"/>
          <w:lang w:val="en-ZA"/>
        </w:rPr>
        <w:t>One of the biggest causes of irregular expenditure relates to non-compliance with S</w:t>
      </w:r>
      <w:r w:rsidR="00544CEB">
        <w:rPr>
          <w:rFonts w:ascii="Arial" w:hAnsi="Arial" w:cs="Arial"/>
          <w:sz w:val="22"/>
          <w:szCs w:val="22"/>
          <w:lang w:val="en-ZA"/>
        </w:rPr>
        <w:t xml:space="preserve">upply </w:t>
      </w:r>
      <w:r w:rsidRPr="00EC6F42">
        <w:rPr>
          <w:rFonts w:ascii="Arial" w:hAnsi="Arial" w:cs="Arial"/>
          <w:sz w:val="22"/>
          <w:szCs w:val="22"/>
          <w:lang w:val="en-ZA"/>
        </w:rPr>
        <w:t>C</w:t>
      </w:r>
      <w:r w:rsidR="00544CEB">
        <w:rPr>
          <w:rFonts w:ascii="Arial" w:hAnsi="Arial" w:cs="Arial"/>
          <w:sz w:val="22"/>
          <w:szCs w:val="22"/>
          <w:lang w:val="en-ZA"/>
        </w:rPr>
        <w:t xml:space="preserve">hain </w:t>
      </w:r>
      <w:r w:rsidRPr="00EC6F42">
        <w:rPr>
          <w:rFonts w:ascii="Arial" w:hAnsi="Arial" w:cs="Arial"/>
          <w:sz w:val="22"/>
          <w:szCs w:val="22"/>
          <w:lang w:val="en-ZA"/>
        </w:rPr>
        <w:t>M</w:t>
      </w:r>
      <w:r w:rsidR="00544CEB">
        <w:rPr>
          <w:rFonts w:ascii="Arial" w:hAnsi="Arial" w:cs="Arial"/>
          <w:sz w:val="22"/>
          <w:szCs w:val="22"/>
          <w:lang w:val="en-ZA"/>
        </w:rPr>
        <w:t>anagement (SCM)</w:t>
      </w:r>
      <w:r w:rsidRPr="00EC6F42">
        <w:rPr>
          <w:rFonts w:ascii="Arial" w:hAnsi="Arial" w:cs="Arial"/>
          <w:sz w:val="22"/>
          <w:szCs w:val="22"/>
          <w:lang w:val="en-ZA"/>
        </w:rPr>
        <w:t xml:space="preserve"> processes and proced</w:t>
      </w:r>
      <w:r>
        <w:rPr>
          <w:rFonts w:ascii="Arial" w:hAnsi="Arial" w:cs="Arial"/>
          <w:sz w:val="22"/>
          <w:szCs w:val="22"/>
          <w:lang w:val="en-ZA"/>
        </w:rPr>
        <w:t>ures</w:t>
      </w:r>
      <w:r w:rsidR="00544CEB">
        <w:rPr>
          <w:rFonts w:ascii="Arial" w:hAnsi="Arial" w:cs="Arial"/>
          <w:sz w:val="22"/>
          <w:szCs w:val="22"/>
          <w:lang w:val="en-ZA"/>
        </w:rPr>
        <w:t xml:space="preserve">, particularly the awarding of awards to </w:t>
      </w:r>
      <w:r w:rsidR="00EC6D07">
        <w:rPr>
          <w:rFonts w:ascii="Arial" w:hAnsi="Arial" w:cs="Arial"/>
          <w:sz w:val="22"/>
          <w:szCs w:val="22"/>
          <w:lang w:val="en-ZA"/>
        </w:rPr>
        <w:t>persons in the service of the state which is prohibited in terms of the Municipal Supply Chain Management Regulations</w:t>
      </w:r>
      <w:r>
        <w:rPr>
          <w:rFonts w:ascii="Arial" w:hAnsi="Arial" w:cs="Arial"/>
          <w:sz w:val="22"/>
          <w:szCs w:val="22"/>
          <w:lang w:val="en-ZA"/>
        </w:rPr>
        <w:t xml:space="preserve">. </w:t>
      </w:r>
      <w:r w:rsidR="000F229B">
        <w:rPr>
          <w:rFonts w:ascii="Arial" w:hAnsi="Arial" w:cs="Arial"/>
          <w:sz w:val="22"/>
          <w:szCs w:val="22"/>
          <w:lang w:val="en-ZA"/>
        </w:rPr>
        <w:t xml:space="preserve">  </w:t>
      </w:r>
      <w:r>
        <w:rPr>
          <w:rFonts w:ascii="Arial" w:hAnsi="Arial" w:cs="Arial"/>
          <w:sz w:val="22"/>
          <w:szCs w:val="22"/>
          <w:lang w:val="en-ZA"/>
        </w:rPr>
        <w:t xml:space="preserve">The National Treasury </w:t>
      </w:r>
      <w:r w:rsidRPr="00EC6F42">
        <w:rPr>
          <w:rFonts w:ascii="Arial" w:hAnsi="Arial" w:cs="Arial"/>
          <w:sz w:val="22"/>
          <w:szCs w:val="22"/>
          <w:lang w:val="en-ZA"/>
        </w:rPr>
        <w:t>issued MFMA Circular 81, which introduced the Central Suppliers Database that requires all suppliers to be registered on the database. The database interfaces with South African Revenue Services, the Companies and Intellectual Property Commission and government’s payroll system</w:t>
      </w:r>
      <w:r w:rsidR="00387CF1">
        <w:rPr>
          <w:rFonts w:ascii="Arial" w:hAnsi="Arial" w:cs="Arial"/>
          <w:sz w:val="22"/>
          <w:szCs w:val="22"/>
          <w:lang w:val="en-ZA"/>
        </w:rPr>
        <w:t xml:space="preserve"> and assists municipalities with some of th</w:t>
      </w:r>
      <w:r w:rsidR="005D4DED">
        <w:rPr>
          <w:rFonts w:ascii="Arial" w:hAnsi="Arial" w:cs="Arial"/>
          <w:sz w:val="22"/>
          <w:szCs w:val="22"/>
          <w:lang w:val="en-ZA"/>
        </w:rPr>
        <w:t>e necessary verification</w:t>
      </w:r>
      <w:r w:rsidRPr="00EC6F42">
        <w:rPr>
          <w:rFonts w:ascii="Arial" w:hAnsi="Arial" w:cs="Arial"/>
          <w:sz w:val="22"/>
          <w:szCs w:val="22"/>
          <w:lang w:val="en-ZA"/>
        </w:rPr>
        <w:t xml:space="preserve">.  The </w:t>
      </w:r>
      <w:proofErr w:type="gramStart"/>
      <w:r w:rsidRPr="00EC6F42">
        <w:rPr>
          <w:rFonts w:ascii="Arial" w:hAnsi="Arial" w:cs="Arial"/>
          <w:sz w:val="22"/>
          <w:szCs w:val="22"/>
          <w:lang w:val="en-ZA"/>
        </w:rPr>
        <w:t>system verifies supplier’s tax and BEE status, and enable</w:t>
      </w:r>
      <w:proofErr w:type="gramEnd"/>
      <w:r w:rsidRPr="00EC6F42">
        <w:rPr>
          <w:rFonts w:ascii="Arial" w:hAnsi="Arial" w:cs="Arial"/>
          <w:sz w:val="22"/>
          <w:szCs w:val="22"/>
          <w:lang w:val="en-ZA"/>
        </w:rPr>
        <w:t xml:space="preserve"> public sector officials doing business with the state to be identified. Thus, if used correctly it will assist in reducing </w:t>
      </w:r>
      <w:r w:rsidR="005D4DED">
        <w:rPr>
          <w:rFonts w:ascii="Arial" w:hAnsi="Arial" w:cs="Arial"/>
          <w:sz w:val="22"/>
          <w:szCs w:val="22"/>
          <w:lang w:val="en-ZA"/>
        </w:rPr>
        <w:t>i</w:t>
      </w:r>
      <w:r w:rsidRPr="00EC6F42">
        <w:rPr>
          <w:rFonts w:ascii="Arial" w:hAnsi="Arial" w:cs="Arial"/>
          <w:sz w:val="22"/>
          <w:szCs w:val="22"/>
          <w:lang w:val="en-ZA"/>
        </w:rPr>
        <w:t>ncidences</w:t>
      </w:r>
      <w:r w:rsidR="005D4DED">
        <w:rPr>
          <w:rFonts w:ascii="Arial" w:hAnsi="Arial" w:cs="Arial"/>
          <w:sz w:val="22"/>
          <w:szCs w:val="22"/>
          <w:lang w:val="en-ZA"/>
        </w:rPr>
        <w:t xml:space="preserve"> where municipalities award contracts to persons in the service of the state, in non-compliance with the SCM Regulations. </w:t>
      </w:r>
    </w:p>
    <w:p w:rsidR="005D4DED" w:rsidRDefault="005D4DED" w:rsidP="005D4DED">
      <w:pPr>
        <w:pStyle w:val="ListParagraph"/>
        <w:tabs>
          <w:tab w:val="left" w:pos="432"/>
          <w:tab w:val="left" w:pos="864"/>
        </w:tabs>
        <w:spacing w:line="360" w:lineRule="auto"/>
        <w:ind w:left="502"/>
        <w:jc w:val="both"/>
        <w:rPr>
          <w:rFonts w:ascii="Arial" w:hAnsi="Arial" w:cs="Arial"/>
          <w:sz w:val="22"/>
          <w:szCs w:val="22"/>
          <w:lang w:val="en-ZA"/>
        </w:rPr>
      </w:pPr>
    </w:p>
    <w:p w:rsidR="005D4DED" w:rsidRDefault="00ED11AF" w:rsidP="005D4DED">
      <w:pPr>
        <w:pStyle w:val="ListParagraph"/>
        <w:tabs>
          <w:tab w:val="left" w:pos="432"/>
          <w:tab w:val="left" w:pos="864"/>
        </w:tabs>
        <w:spacing w:line="360" w:lineRule="auto"/>
        <w:ind w:left="502"/>
        <w:jc w:val="both"/>
        <w:rPr>
          <w:rFonts w:ascii="Arial" w:hAnsi="Arial" w:cs="Arial"/>
          <w:sz w:val="22"/>
          <w:szCs w:val="22"/>
          <w:lang w:val="en-ZA"/>
        </w:rPr>
      </w:pPr>
      <w:r>
        <w:rPr>
          <w:rFonts w:ascii="Arial" w:hAnsi="Arial" w:cs="Arial"/>
          <w:sz w:val="22"/>
          <w:szCs w:val="22"/>
          <w:lang w:val="en-ZA"/>
        </w:rPr>
        <w:t>Municipalities have also been incorrectly</w:t>
      </w:r>
      <w:r w:rsidR="000F229B">
        <w:rPr>
          <w:rFonts w:ascii="Arial" w:hAnsi="Arial" w:cs="Arial"/>
          <w:sz w:val="22"/>
          <w:szCs w:val="22"/>
          <w:lang w:val="en-ZA"/>
        </w:rPr>
        <w:t xml:space="preserve"> applying</w:t>
      </w:r>
      <w:r>
        <w:rPr>
          <w:rFonts w:ascii="Arial" w:hAnsi="Arial" w:cs="Arial"/>
          <w:sz w:val="22"/>
          <w:szCs w:val="22"/>
          <w:lang w:val="en-ZA"/>
        </w:rPr>
        <w:t xml:space="preserve"> </w:t>
      </w:r>
      <w:r w:rsidR="000F229B">
        <w:rPr>
          <w:rFonts w:ascii="Arial" w:hAnsi="Arial" w:cs="Arial"/>
          <w:sz w:val="22"/>
          <w:szCs w:val="22"/>
          <w:lang w:val="en-ZA"/>
        </w:rPr>
        <w:t xml:space="preserve">SCM </w:t>
      </w:r>
      <w:r>
        <w:rPr>
          <w:rFonts w:ascii="Arial" w:hAnsi="Arial" w:cs="Arial"/>
          <w:sz w:val="22"/>
          <w:szCs w:val="22"/>
          <w:lang w:val="en-ZA"/>
        </w:rPr>
        <w:t xml:space="preserve">Regulation 32, which enables municipalities to procure goods and services under a contract secured by another organ of state, which has also contributed to the </w:t>
      </w:r>
      <w:r w:rsidR="00E97944">
        <w:rPr>
          <w:rFonts w:ascii="Arial" w:hAnsi="Arial" w:cs="Arial"/>
          <w:sz w:val="22"/>
          <w:szCs w:val="22"/>
          <w:lang w:val="en-ZA"/>
        </w:rPr>
        <w:t>irregular expenditure. In July 2019, t</w:t>
      </w:r>
      <w:r w:rsidR="005D4DED">
        <w:rPr>
          <w:rFonts w:ascii="Arial" w:hAnsi="Arial" w:cs="Arial"/>
          <w:sz w:val="22"/>
          <w:szCs w:val="22"/>
          <w:lang w:val="en-ZA"/>
        </w:rPr>
        <w:t>he National Treasury</w:t>
      </w:r>
      <w:r w:rsidR="00E97944">
        <w:rPr>
          <w:rFonts w:ascii="Arial" w:hAnsi="Arial" w:cs="Arial"/>
          <w:sz w:val="22"/>
          <w:szCs w:val="22"/>
          <w:lang w:val="en-ZA"/>
        </w:rPr>
        <w:t xml:space="preserve"> </w:t>
      </w:r>
      <w:r w:rsidR="005D4DED">
        <w:rPr>
          <w:rFonts w:ascii="Arial" w:hAnsi="Arial" w:cs="Arial"/>
          <w:sz w:val="22"/>
          <w:szCs w:val="22"/>
          <w:lang w:val="en-ZA"/>
        </w:rPr>
        <w:t xml:space="preserve">issued MFMA Circular </w:t>
      </w:r>
      <w:r w:rsidR="00EF7C38">
        <w:rPr>
          <w:rFonts w:ascii="Arial" w:hAnsi="Arial" w:cs="Arial"/>
          <w:sz w:val="22"/>
          <w:szCs w:val="22"/>
          <w:lang w:val="en-ZA"/>
        </w:rPr>
        <w:t xml:space="preserve">96 which provides </w:t>
      </w:r>
      <w:r w:rsidR="005D4DED" w:rsidRPr="005D4DED">
        <w:rPr>
          <w:rFonts w:ascii="Arial" w:hAnsi="Arial" w:cs="Arial"/>
          <w:sz w:val="22"/>
          <w:szCs w:val="22"/>
          <w:lang w:val="en-ZA"/>
        </w:rPr>
        <w:t xml:space="preserve">further elaboration to municipalities </w:t>
      </w:r>
      <w:r w:rsidR="00733E31">
        <w:rPr>
          <w:rFonts w:ascii="Arial" w:hAnsi="Arial" w:cs="Arial"/>
          <w:sz w:val="22"/>
          <w:szCs w:val="22"/>
          <w:lang w:val="en-ZA"/>
        </w:rPr>
        <w:t>on the principles captured in R</w:t>
      </w:r>
      <w:r w:rsidR="005D4DED" w:rsidRPr="005D4DED">
        <w:rPr>
          <w:rFonts w:ascii="Arial" w:hAnsi="Arial" w:cs="Arial"/>
          <w:sz w:val="22"/>
          <w:szCs w:val="22"/>
          <w:lang w:val="en-ZA"/>
        </w:rPr>
        <w:t>egulation 32 of the SCM Regulations when procuring goods or services from contracts secured by other organs of state.</w:t>
      </w:r>
      <w:r w:rsidR="00E97944">
        <w:rPr>
          <w:rFonts w:ascii="Arial" w:hAnsi="Arial" w:cs="Arial"/>
          <w:sz w:val="22"/>
          <w:szCs w:val="22"/>
          <w:lang w:val="en-ZA"/>
        </w:rPr>
        <w:t xml:space="preserve"> The correct application will</w:t>
      </w:r>
      <w:r w:rsidR="000F229B">
        <w:rPr>
          <w:rFonts w:ascii="Arial" w:hAnsi="Arial" w:cs="Arial"/>
          <w:sz w:val="22"/>
          <w:szCs w:val="22"/>
          <w:lang w:val="en-ZA"/>
        </w:rPr>
        <w:t xml:space="preserve"> assist in </w:t>
      </w:r>
      <w:r w:rsidR="00E97944">
        <w:rPr>
          <w:rFonts w:ascii="Arial" w:hAnsi="Arial" w:cs="Arial"/>
          <w:sz w:val="22"/>
          <w:szCs w:val="22"/>
          <w:lang w:val="en-ZA"/>
        </w:rPr>
        <w:t>the number of incidences of non-compliance and further reduce the irregular expenditure</w:t>
      </w:r>
      <w:r w:rsidR="000F229B">
        <w:rPr>
          <w:rFonts w:ascii="Arial" w:hAnsi="Arial" w:cs="Arial"/>
          <w:sz w:val="22"/>
          <w:szCs w:val="22"/>
          <w:lang w:val="en-ZA"/>
        </w:rPr>
        <w:t>.</w:t>
      </w:r>
      <w:r w:rsidR="00E97944">
        <w:rPr>
          <w:rFonts w:ascii="Arial" w:hAnsi="Arial" w:cs="Arial"/>
          <w:sz w:val="22"/>
          <w:szCs w:val="22"/>
          <w:lang w:val="en-ZA"/>
        </w:rPr>
        <w:t xml:space="preserve">  </w:t>
      </w:r>
    </w:p>
    <w:p w:rsidR="00B10BD3" w:rsidRDefault="00B10BD3" w:rsidP="005D4DED">
      <w:pPr>
        <w:pStyle w:val="ListParagraph"/>
        <w:tabs>
          <w:tab w:val="left" w:pos="432"/>
          <w:tab w:val="left" w:pos="864"/>
        </w:tabs>
        <w:spacing w:line="360" w:lineRule="auto"/>
        <w:ind w:left="502"/>
        <w:jc w:val="both"/>
        <w:rPr>
          <w:rFonts w:ascii="Arial" w:hAnsi="Arial" w:cs="Arial"/>
          <w:sz w:val="22"/>
          <w:szCs w:val="22"/>
          <w:lang w:val="en-ZA"/>
        </w:rPr>
      </w:pPr>
    </w:p>
    <w:p w:rsidR="00F030B4" w:rsidRDefault="00F030B4" w:rsidP="00F030B4">
      <w:pPr>
        <w:pStyle w:val="ListParagraph"/>
        <w:tabs>
          <w:tab w:val="left" w:pos="432"/>
          <w:tab w:val="left" w:pos="864"/>
        </w:tabs>
        <w:spacing w:line="360" w:lineRule="auto"/>
        <w:ind w:left="502"/>
        <w:jc w:val="both"/>
        <w:rPr>
          <w:rFonts w:ascii="Arial" w:hAnsi="Arial" w:cs="Arial"/>
          <w:sz w:val="22"/>
          <w:szCs w:val="22"/>
          <w:lang w:val="en-ZA"/>
        </w:rPr>
      </w:pPr>
      <w:r w:rsidRPr="00F030B4">
        <w:rPr>
          <w:rFonts w:ascii="Arial" w:hAnsi="Arial" w:cs="Arial"/>
          <w:sz w:val="22"/>
          <w:szCs w:val="22"/>
          <w:lang w:val="en-ZA"/>
        </w:rPr>
        <w:lastRenderedPageBreak/>
        <w:t>During 2018/19 support was prioritised to the 10 municipalities with the highest UIF&amp;W, making up over R24 billion.</w:t>
      </w:r>
      <w:r w:rsidR="00B10BD3">
        <w:rPr>
          <w:rFonts w:ascii="Arial" w:hAnsi="Arial" w:cs="Arial"/>
          <w:sz w:val="22"/>
          <w:szCs w:val="22"/>
          <w:lang w:val="en-ZA"/>
        </w:rPr>
        <w:t xml:space="preserve"> The National and provincial treasuries have engaged these municipalities to assist with the processes to </w:t>
      </w:r>
      <w:r w:rsidR="001A31D5">
        <w:rPr>
          <w:rFonts w:ascii="Arial" w:hAnsi="Arial" w:cs="Arial"/>
          <w:sz w:val="22"/>
          <w:szCs w:val="22"/>
          <w:lang w:val="en-ZA"/>
        </w:rPr>
        <w:t xml:space="preserve">address the UIF&amp;W, to </w:t>
      </w:r>
      <w:r w:rsidR="004A093B">
        <w:rPr>
          <w:rFonts w:ascii="Arial" w:hAnsi="Arial" w:cs="Arial"/>
          <w:sz w:val="22"/>
          <w:szCs w:val="22"/>
          <w:lang w:val="en-ZA"/>
        </w:rPr>
        <w:t xml:space="preserve">identify the root causes and to put measures in place to address the </w:t>
      </w:r>
      <w:r w:rsidR="00D7649A">
        <w:rPr>
          <w:rFonts w:ascii="Arial" w:hAnsi="Arial" w:cs="Arial"/>
          <w:sz w:val="22"/>
          <w:szCs w:val="22"/>
          <w:lang w:val="en-ZA"/>
        </w:rPr>
        <w:t xml:space="preserve">recurrence of the incidences that resulted in the UIF&amp;W. </w:t>
      </w:r>
    </w:p>
    <w:p w:rsidR="00DE245C" w:rsidRDefault="00DE245C" w:rsidP="00F030B4">
      <w:pPr>
        <w:pStyle w:val="ListParagraph"/>
        <w:tabs>
          <w:tab w:val="left" w:pos="432"/>
          <w:tab w:val="left" w:pos="864"/>
        </w:tabs>
        <w:spacing w:line="360" w:lineRule="auto"/>
        <w:ind w:left="502"/>
        <w:jc w:val="both"/>
        <w:rPr>
          <w:rFonts w:ascii="Arial" w:hAnsi="Arial" w:cs="Arial"/>
          <w:sz w:val="22"/>
          <w:szCs w:val="22"/>
          <w:lang w:val="en-ZA"/>
        </w:rPr>
      </w:pPr>
    </w:p>
    <w:p w:rsidR="00DE245C" w:rsidRDefault="003A7949" w:rsidP="00F030B4">
      <w:pPr>
        <w:pStyle w:val="ListParagraph"/>
        <w:tabs>
          <w:tab w:val="left" w:pos="432"/>
          <w:tab w:val="left" w:pos="864"/>
        </w:tabs>
        <w:spacing w:line="360" w:lineRule="auto"/>
        <w:ind w:left="502"/>
        <w:jc w:val="both"/>
        <w:rPr>
          <w:rFonts w:ascii="Arial" w:hAnsi="Arial" w:cs="Arial"/>
          <w:sz w:val="22"/>
          <w:szCs w:val="22"/>
          <w:lang w:val="en-ZA"/>
        </w:rPr>
      </w:pPr>
      <w:r>
        <w:rPr>
          <w:rFonts w:ascii="Arial" w:hAnsi="Arial" w:cs="Arial"/>
          <w:sz w:val="22"/>
          <w:szCs w:val="22"/>
          <w:lang w:val="en-ZA"/>
        </w:rPr>
        <w:t>It should be emphasised that it is the responsibility of municipalities to hold officials and councillors to account for any compliance with the MFMA</w:t>
      </w:r>
      <w:r w:rsidR="007178DE">
        <w:rPr>
          <w:rFonts w:ascii="Arial" w:hAnsi="Arial" w:cs="Arial"/>
          <w:sz w:val="22"/>
          <w:szCs w:val="22"/>
          <w:lang w:val="en-ZA"/>
        </w:rPr>
        <w:t xml:space="preserve"> </w:t>
      </w:r>
      <w:r w:rsidR="000F229B">
        <w:rPr>
          <w:rFonts w:ascii="Arial" w:hAnsi="Arial" w:cs="Arial"/>
          <w:sz w:val="22"/>
          <w:szCs w:val="22"/>
          <w:lang w:val="en-ZA"/>
        </w:rPr>
        <w:t>in keeping with the underlying principles in the legal framework</w:t>
      </w:r>
      <w:r w:rsidR="007178DE">
        <w:rPr>
          <w:rFonts w:ascii="Arial" w:hAnsi="Arial" w:cs="Arial"/>
          <w:sz w:val="22"/>
          <w:szCs w:val="22"/>
          <w:lang w:val="en-ZA"/>
        </w:rPr>
        <w:t xml:space="preserve">. It is also the responsibility of the municipalities to put measures in place to avoid any non-compliance with the MFMA. </w:t>
      </w:r>
      <w:r w:rsidR="00DE245C">
        <w:rPr>
          <w:rFonts w:ascii="Arial" w:hAnsi="Arial" w:cs="Arial"/>
          <w:sz w:val="22"/>
          <w:szCs w:val="22"/>
          <w:lang w:val="en-ZA"/>
        </w:rPr>
        <w:t xml:space="preserve"> </w:t>
      </w:r>
    </w:p>
    <w:p w:rsidR="000F229B" w:rsidRDefault="000F229B" w:rsidP="00F030B4">
      <w:pPr>
        <w:pStyle w:val="ListParagraph"/>
        <w:tabs>
          <w:tab w:val="left" w:pos="432"/>
          <w:tab w:val="left" w:pos="864"/>
        </w:tabs>
        <w:spacing w:line="360" w:lineRule="auto"/>
        <w:ind w:left="502"/>
        <w:jc w:val="both"/>
        <w:rPr>
          <w:rFonts w:ascii="Arial" w:hAnsi="Arial" w:cs="Arial"/>
          <w:sz w:val="22"/>
          <w:szCs w:val="22"/>
          <w:lang w:val="en-ZA"/>
        </w:rPr>
      </w:pPr>
    </w:p>
    <w:p w:rsidR="00566101" w:rsidRPr="00C47DE0" w:rsidRDefault="000F229B" w:rsidP="000F229B">
      <w:pPr>
        <w:pStyle w:val="ListParagraph"/>
        <w:tabs>
          <w:tab w:val="left" w:pos="432"/>
          <w:tab w:val="left" w:pos="864"/>
        </w:tabs>
        <w:spacing w:line="360" w:lineRule="auto"/>
        <w:ind w:left="502"/>
        <w:jc w:val="both"/>
        <w:rPr>
          <w:rFonts w:ascii="Arial" w:hAnsi="Arial" w:cs="Arial"/>
          <w:b/>
          <w:sz w:val="22"/>
          <w:szCs w:val="22"/>
          <w:u w:val="single"/>
          <w:lang w:val="en-ZA"/>
        </w:rPr>
      </w:pPr>
      <w:r>
        <w:rPr>
          <w:rFonts w:ascii="Arial" w:hAnsi="Arial" w:cs="Arial"/>
          <w:sz w:val="22"/>
          <w:szCs w:val="22"/>
          <w:lang w:val="en-ZA"/>
        </w:rPr>
        <w:t>Further detailed actions taken should be addressed to the respective municipal executive and administration.</w:t>
      </w:r>
    </w:p>
    <w:p w:rsidR="00566101" w:rsidRPr="00C47DE0" w:rsidRDefault="00566101" w:rsidP="007A78C0">
      <w:pPr>
        <w:tabs>
          <w:tab w:val="left" w:pos="432"/>
          <w:tab w:val="left" w:pos="864"/>
        </w:tabs>
        <w:spacing w:line="360" w:lineRule="auto"/>
        <w:rPr>
          <w:rFonts w:ascii="Arial" w:hAnsi="Arial" w:cs="Arial"/>
          <w:b/>
          <w:sz w:val="22"/>
          <w:szCs w:val="22"/>
          <w:u w:val="single"/>
          <w:lang w:val="en-ZA"/>
        </w:rPr>
      </w:pPr>
    </w:p>
    <w:p w:rsidR="00566101" w:rsidRDefault="00807F94" w:rsidP="007A78C0">
      <w:pPr>
        <w:tabs>
          <w:tab w:val="left" w:pos="432"/>
          <w:tab w:val="left" w:pos="864"/>
        </w:tabs>
        <w:spacing w:line="360" w:lineRule="auto"/>
        <w:rPr>
          <w:rFonts w:ascii="Arial" w:hAnsi="Arial" w:cs="Arial"/>
          <w:b/>
          <w:sz w:val="22"/>
          <w:szCs w:val="22"/>
          <w:u w:val="single"/>
          <w:lang w:val="en-ZA"/>
        </w:rPr>
      </w:pPr>
      <w:r>
        <w:rPr>
          <w:rFonts w:ascii="Arial" w:hAnsi="Arial" w:cs="Arial"/>
          <w:b/>
          <w:sz w:val="22"/>
          <w:szCs w:val="22"/>
          <w:u w:val="single"/>
          <w:lang w:val="en-ZA"/>
        </w:rPr>
        <w:t>Departments and public entity information</w:t>
      </w:r>
    </w:p>
    <w:p w:rsidR="00807F94" w:rsidRDefault="00807F94" w:rsidP="007A78C0">
      <w:pPr>
        <w:tabs>
          <w:tab w:val="left" w:pos="432"/>
          <w:tab w:val="left" w:pos="864"/>
        </w:tabs>
        <w:spacing w:line="360" w:lineRule="auto"/>
        <w:rPr>
          <w:rFonts w:ascii="Arial" w:hAnsi="Arial" w:cs="Arial"/>
          <w:b/>
          <w:sz w:val="22"/>
          <w:szCs w:val="22"/>
          <w:u w:val="single"/>
          <w:lang w:val="en-ZA"/>
        </w:rPr>
      </w:pPr>
    </w:p>
    <w:p w:rsidR="00807F94" w:rsidRDefault="00807F94" w:rsidP="00807F94">
      <w:pPr>
        <w:spacing w:before="100" w:beforeAutospacing="1" w:after="100" w:afterAutospacing="1" w:line="276" w:lineRule="auto"/>
        <w:jc w:val="both"/>
        <w:rPr>
          <w:rFonts w:ascii="Arial" w:eastAsia="Calibri" w:hAnsi="Arial" w:cs="Arial"/>
          <w:bCs/>
          <w:sz w:val="22"/>
          <w:szCs w:val="22"/>
          <w:lang w:val="en-ZA"/>
        </w:rPr>
      </w:pPr>
      <w:r>
        <w:rPr>
          <w:rFonts w:ascii="Arial" w:eastAsia="Calibri" w:hAnsi="Arial" w:cs="Arial"/>
          <w:bCs/>
          <w:sz w:val="22"/>
          <w:szCs w:val="22"/>
          <w:lang w:val="en-ZA"/>
        </w:rPr>
        <w:t xml:space="preserve">The </w:t>
      </w:r>
      <w:proofErr w:type="gramStart"/>
      <w:r>
        <w:rPr>
          <w:rFonts w:ascii="Arial" w:eastAsia="Calibri" w:hAnsi="Arial" w:cs="Arial"/>
          <w:bCs/>
          <w:sz w:val="22"/>
          <w:szCs w:val="22"/>
          <w:lang w:val="en-ZA"/>
        </w:rPr>
        <w:t>graphs</w:t>
      </w:r>
      <w:r w:rsidR="008851EB">
        <w:rPr>
          <w:rFonts w:ascii="Arial" w:eastAsia="Calibri" w:hAnsi="Arial" w:cs="Arial"/>
          <w:bCs/>
          <w:sz w:val="22"/>
          <w:szCs w:val="22"/>
          <w:lang w:val="en-ZA"/>
        </w:rPr>
        <w:t xml:space="preserve"> below shows</w:t>
      </w:r>
      <w:proofErr w:type="gramEnd"/>
      <w:r w:rsidR="008851EB">
        <w:rPr>
          <w:rFonts w:ascii="Arial" w:eastAsia="Calibri" w:hAnsi="Arial" w:cs="Arial"/>
          <w:bCs/>
          <w:sz w:val="22"/>
          <w:szCs w:val="22"/>
          <w:lang w:val="en-ZA"/>
        </w:rPr>
        <w:t xml:space="preserve"> a</w:t>
      </w:r>
      <w:r>
        <w:rPr>
          <w:rFonts w:ascii="Arial" w:eastAsia="Calibri" w:hAnsi="Arial" w:cs="Arial"/>
          <w:bCs/>
          <w:sz w:val="22"/>
          <w:szCs w:val="22"/>
          <w:lang w:val="en-ZA"/>
        </w:rPr>
        <w:t xml:space="preserve"> comparative analysis of unqualified audits with no findings of all national and provincial PFMA compliant institutions</w:t>
      </w:r>
      <w:r w:rsidRPr="00D21FDB">
        <w:rPr>
          <w:rFonts w:ascii="Arial" w:eastAsia="Calibri" w:hAnsi="Arial" w:cs="Arial"/>
          <w:bCs/>
          <w:sz w:val="22"/>
          <w:szCs w:val="22"/>
          <w:lang w:val="en-ZA"/>
        </w:rPr>
        <w:t xml:space="preserve"> over a period of </w:t>
      </w:r>
      <w:r>
        <w:rPr>
          <w:rFonts w:ascii="Arial" w:eastAsia="Calibri" w:hAnsi="Arial" w:cs="Arial"/>
          <w:bCs/>
          <w:sz w:val="22"/>
          <w:szCs w:val="22"/>
          <w:lang w:val="en-ZA"/>
        </w:rPr>
        <w:t>five (5)</w:t>
      </w:r>
      <w:r w:rsidRPr="00D21FDB">
        <w:rPr>
          <w:rFonts w:ascii="Arial" w:eastAsia="Calibri" w:hAnsi="Arial" w:cs="Arial"/>
          <w:bCs/>
          <w:sz w:val="22"/>
          <w:szCs w:val="22"/>
          <w:lang w:val="en-ZA"/>
        </w:rPr>
        <w:t xml:space="preserve"> financial years from 2013/</w:t>
      </w:r>
      <w:r>
        <w:rPr>
          <w:rFonts w:ascii="Arial" w:eastAsia="Calibri" w:hAnsi="Arial" w:cs="Arial"/>
          <w:bCs/>
          <w:sz w:val="22"/>
          <w:szCs w:val="22"/>
          <w:lang w:val="en-ZA"/>
        </w:rPr>
        <w:t>20</w:t>
      </w:r>
      <w:r w:rsidRPr="00D21FDB">
        <w:rPr>
          <w:rFonts w:ascii="Arial" w:eastAsia="Calibri" w:hAnsi="Arial" w:cs="Arial"/>
          <w:bCs/>
          <w:sz w:val="22"/>
          <w:szCs w:val="22"/>
          <w:lang w:val="en-ZA"/>
        </w:rPr>
        <w:t>14 to 2017/</w:t>
      </w:r>
      <w:r>
        <w:rPr>
          <w:rFonts w:ascii="Arial" w:eastAsia="Calibri" w:hAnsi="Arial" w:cs="Arial"/>
          <w:bCs/>
          <w:sz w:val="22"/>
          <w:szCs w:val="22"/>
          <w:lang w:val="en-ZA"/>
        </w:rPr>
        <w:t>20</w:t>
      </w:r>
      <w:r w:rsidRPr="00D21FDB">
        <w:rPr>
          <w:rFonts w:ascii="Arial" w:eastAsia="Calibri" w:hAnsi="Arial" w:cs="Arial"/>
          <w:bCs/>
          <w:sz w:val="22"/>
          <w:szCs w:val="22"/>
          <w:lang w:val="en-ZA"/>
        </w:rPr>
        <w:t>18.</w:t>
      </w:r>
      <w:r w:rsidR="0006425B">
        <w:rPr>
          <w:rFonts w:ascii="Arial" w:eastAsia="Calibri" w:hAnsi="Arial" w:cs="Arial"/>
          <w:bCs/>
          <w:sz w:val="22"/>
          <w:szCs w:val="22"/>
          <w:lang w:val="en-ZA"/>
        </w:rPr>
        <w:t xml:space="preserve"> Information on unqualified audits with no findings for the previous five (5) years from 2013/2014 can be obtained from the Auditor-General for a response.</w:t>
      </w:r>
    </w:p>
    <w:p w:rsidR="0006425B" w:rsidRDefault="0006425B" w:rsidP="00807F94">
      <w:pPr>
        <w:spacing w:before="100" w:beforeAutospacing="1" w:after="100" w:afterAutospacing="1" w:line="276" w:lineRule="auto"/>
        <w:jc w:val="both"/>
        <w:rPr>
          <w:rFonts w:ascii="Arial" w:eastAsia="Calibri" w:hAnsi="Arial" w:cs="Arial"/>
          <w:sz w:val="22"/>
          <w:szCs w:val="22"/>
          <w:lang w:val="en-ZA"/>
        </w:rPr>
      </w:pPr>
      <w:r>
        <w:rPr>
          <w:rFonts w:ascii="Arial" w:eastAsia="Calibri" w:hAnsi="Arial" w:cs="Arial"/>
          <w:sz w:val="22"/>
          <w:szCs w:val="22"/>
          <w:lang w:val="en-ZA"/>
        </w:rPr>
        <w:t xml:space="preserve">Decrease in a percentage of </w:t>
      </w:r>
      <w:r>
        <w:rPr>
          <w:rFonts w:ascii="Arial" w:eastAsia="Calibri" w:hAnsi="Arial" w:cs="Arial"/>
          <w:bCs/>
          <w:sz w:val="22"/>
          <w:szCs w:val="22"/>
          <w:lang w:val="en-ZA"/>
        </w:rPr>
        <w:t xml:space="preserve">unqualified audits with no findings is attributable to </w:t>
      </w:r>
      <w:r>
        <w:rPr>
          <w:rFonts w:ascii="Arial" w:eastAsia="Calibri" w:hAnsi="Arial" w:cs="Arial"/>
          <w:sz w:val="22"/>
          <w:szCs w:val="22"/>
          <w:lang w:val="en-ZA"/>
        </w:rPr>
        <w:t>areas of non-compliance findings mainly on, m</w:t>
      </w:r>
      <w:r w:rsidRPr="00807F94">
        <w:rPr>
          <w:rFonts w:ascii="Arial" w:eastAsia="Calibri" w:hAnsi="Arial" w:cs="Arial"/>
          <w:sz w:val="22"/>
          <w:szCs w:val="22"/>
          <w:lang w:val="en-ZA"/>
        </w:rPr>
        <w:t xml:space="preserve">aterial </w:t>
      </w:r>
      <w:r>
        <w:rPr>
          <w:rFonts w:ascii="Arial" w:eastAsia="Calibri" w:hAnsi="Arial" w:cs="Arial"/>
          <w:sz w:val="22"/>
          <w:szCs w:val="22"/>
          <w:lang w:val="en-ZA"/>
        </w:rPr>
        <w:t>m</w:t>
      </w:r>
      <w:r w:rsidRPr="00807F94">
        <w:rPr>
          <w:rFonts w:ascii="Arial" w:eastAsia="Calibri" w:hAnsi="Arial" w:cs="Arial"/>
          <w:sz w:val="22"/>
          <w:szCs w:val="22"/>
          <w:lang w:val="en-ZA"/>
        </w:rPr>
        <w:t>isstatements</w:t>
      </w:r>
      <w:r>
        <w:rPr>
          <w:rFonts w:ascii="Arial" w:eastAsia="Calibri" w:hAnsi="Arial" w:cs="Arial"/>
          <w:sz w:val="22"/>
          <w:szCs w:val="22"/>
          <w:lang w:val="en-ZA"/>
        </w:rPr>
        <w:t>, unauthorised, i</w:t>
      </w:r>
      <w:r w:rsidRPr="00807F94">
        <w:rPr>
          <w:rFonts w:ascii="Arial" w:eastAsia="Calibri" w:hAnsi="Arial" w:cs="Arial"/>
          <w:sz w:val="22"/>
          <w:szCs w:val="22"/>
          <w:lang w:val="en-ZA"/>
        </w:rPr>
        <w:t xml:space="preserve">rregular, </w:t>
      </w:r>
      <w:r>
        <w:rPr>
          <w:rFonts w:ascii="Arial" w:eastAsia="Calibri" w:hAnsi="Arial" w:cs="Arial"/>
          <w:sz w:val="22"/>
          <w:szCs w:val="22"/>
          <w:lang w:val="en-ZA"/>
        </w:rPr>
        <w:t>f</w:t>
      </w:r>
      <w:r w:rsidRPr="00807F94">
        <w:rPr>
          <w:rFonts w:ascii="Arial" w:eastAsia="Calibri" w:hAnsi="Arial" w:cs="Arial"/>
          <w:sz w:val="22"/>
          <w:szCs w:val="22"/>
          <w:lang w:val="en-ZA"/>
        </w:rPr>
        <w:t>ru</w:t>
      </w:r>
      <w:r>
        <w:rPr>
          <w:rFonts w:ascii="Arial" w:eastAsia="Calibri" w:hAnsi="Arial" w:cs="Arial"/>
          <w:sz w:val="22"/>
          <w:szCs w:val="22"/>
          <w:lang w:val="en-ZA"/>
        </w:rPr>
        <w:t>itless and wasteful expenditure, expenditure management, procurement management and consequence m</w:t>
      </w:r>
      <w:r w:rsidRPr="00807F94">
        <w:rPr>
          <w:rFonts w:ascii="Arial" w:eastAsia="Calibri" w:hAnsi="Arial" w:cs="Arial"/>
          <w:sz w:val="22"/>
          <w:szCs w:val="22"/>
          <w:lang w:val="en-ZA"/>
        </w:rPr>
        <w:t>anagement.</w:t>
      </w:r>
    </w:p>
    <w:p w:rsidR="00807F94" w:rsidRDefault="00807F94" w:rsidP="00807F94">
      <w:pPr>
        <w:spacing w:before="100" w:beforeAutospacing="1" w:after="100" w:afterAutospacing="1" w:line="276" w:lineRule="auto"/>
        <w:ind w:left="720" w:hanging="720"/>
        <w:jc w:val="both"/>
        <w:rPr>
          <w:rFonts w:ascii="Arial" w:eastAsia="Calibri" w:hAnsi="Arial" w:cs="Arial"/>
          <w:sz w:val="22"/>
          <w:szCs w:val="22"/>
          <w:lang w:val="en-ZA"/>
        </w:rPr>
      </w:pPr>
      <w:r>
        <w:rPr>
          <w:noProof/>
        </w:rPr>
        <w:lastRenderedPageBreak/>
        <w:drawing>
          <wp:inline distT="0" distB="0" distL="0" distR="0">
            <wp:extent cx="3095625" cy="24955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extent cx="2857500" cy="25050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06EC" w:rsidRDefault="007D06EC" w:rsidP="00807F94">
      <w:pPr>
        <w:spacing w:before="100" w:beforeAutospacing="1" w:after="100" w:afterAutospacing="1" w:line="276" w:lineRule="auto"/>
        <w:ind w:left="720" w:hanging="720"/>
        <w:jc w:val="both"/>
        <w:rPr>
          <w:rFonts w:ascii="Arial" w:eastAsia="Calibri" w:hAnsi="Arial" w:cs="Arial"/>
          <w:sz w:val="22"/>
          <w:szCs w:val="22"/>
          <w:lang w:val="en-ZA"/>
        </w:rPr>
      </w:pPr>
    </w:p>
    <w:p w:rsidR="007D06EC" w:rsidRDefault="007D06EC" w:rsidP="00807F94">
      <w:pPr>
        <w:spacing w:before="100" w:beforeAutospacing="1" w:after="100" w:afterAutospacing="1" w:line="276" w:lineRule="auto"/>
        <w:ind w:left="720" w:hanging="720"/>
        <w:jc w:val="both"/>
        <w:rPr>
          <w:rFonts w:ascii="Arial" w:eastAsia="Calibri" w:hAnsi="Arial" w:cs="Arial"/>
          <w:sz w:val="22"/>
          <w:szCs w:val="22"/>
          <w:lang w:val="en-ZA"/>
        </w:rPr>
      </w:pPr>
    </w:p>
    <w:p w:rsidR="00807F94" w:rsidRDefault="0006425B" w:rsidP="00807F94">
      <w:pPr>
        <w:spacing w:before="100" w:beforeAutospacing="1" w:after="100" w:afterAutospacing="1" w:line="276" w:lineRule="auto"/>
        <w:ind w:left="720" w:hanging="720"/>
        <w:jc w:val="both"/>
        <w:rPr>
          <w:rFonts w:ascii="Arial" w:eastAsia="Calibri" w:hAnsi="Arial" w:cs="Arial"/>
          <w:sz w:val="22"/>
          <w:szCs w:val="22"/>
        </w:rPr>
      </w:pPr>
      <w:r w:rsidRPr="00AF127D">
        <w:rPr>
          <w:rFonts w:ascii="Arial" w:eastAsia="Calibri" w:hAnsi="Arial" w:cs="Arial"/>
          <w:sz w:val="22"/>
          <w:szCs w:val="22"/>
          <w:lang w:val="en-ZA"/>
        </w:rPr>
        <w:t xml:space="preserve"> </w:t>
      </w:r>
      <w:r w:rsidR="00807F94" w:rsidRPr="00AF127D">
        <w:rPr>
          <w:rFonts w:ascii="Arial" w:eastAsia="Calibri" w:hAnsi="Arial" w:cs="Arial"/>
          <w:sz w:val="22"/>
          <w:szCs w:val="22"/>
          <w:lang w:val="en-ZA"/>
        </w:rPr>
        <w:tab/>
      </w:r>
    </w:p>
    <w:p w:rsidR="00807F94" w:rsidRPr="007D06EC" w:rsidRDefault="007D06EC" w:rsidP="007D06EC">
      <w:pPr>
        <w:spacing w:before="100" w:beforeAutospacing="1" w:after="100" w:afterAutospacing="1" w:line="276" w:lineRule="auto"/>
        <w:jc w:val="both"/>
        <w:rPr>
          <w:rFonts w:ascii="Arial" w:eastAsia="Calibri" w:hAnsi="Arial" w:cs="Arial"/>
          <w:sz w:val="22"/>
          <w:szCs w:val="22"/>
        </w:rPr>
      </w:pPr>
      <w:r>
        <w:rPr>
          <w:rFonts w:ascii="Arial" w:eastAsia="Calibri" w:hAnsi="Arial" w:cs="Arial"/>
          <w:sz w:val="22"/>
          <w:szCs w:val="22"/>
        </w:rPr>
        <w:t xml:space="preserve">(2)(a) </w:t>
      </w:r>
      <w:r w:rsidR="00807F94" w:rsidRPr="007D06EC">
        <w:rPr>
          <w:rFonts w:ascii="Arial" w:eastAsia="Calibri" w:hAnsi="Arial" w:cs="Arial"/>
          <w:sz w:val="22"/>
          <w:szCs w:val="22"/>
        </w:rPr>
        <w:t xml:space="preserve">This information </w:t>
      </w:r>
      <w:r w:rsidR="0006425B" w:rsidRPr="007D06EC">
        <w:rPr>
          <w:rFonts w:ascii="Arial" w:eastAsia="Calibri" w:hAnsi="Arial" w:cs="Arial"/>
          <w:sz w:val="22"/>
          <w:szCs w:val="22"/>
        </w:rPr>
        <w:t xml:space="preserve">can </w:t>
      </w:r>
      <w:proofErr w:type="gramStart"/>
      <w:r w:rsidR="0006425B" w:rsidRPr="007D06EC">
        <w:rPr>
          <w:rFonts w:ascii="Arial" w:eastAsia="Calibri" w:hAnsi="Arial" w:cs="Arial"/>
          <w:bCs/>
          <w:sz w:val="22"/>
          <w:szCs w:val="22"/>
          <w:lang w:val="en-ZA"/>
        </w:rPr>
        <w:t>obtained</w:t>
      </w:r>
      <w:proofErr w:type="gramEnd"/>
      <w:r w:rsidR="0006425B" w:rsidRPr="007D06EC">
        <w:rPr>
          <w:rFonts w:ascii="Arial" w:eastAsia="Calibri" w:hAnsi="Arial" w:cs="Arial"/>
          <w:bCs/>
          <w:sz w:val="22"/>
          <w:szCs w:val="22"/>
          <w:lang w:val="en-ZA"/>
        </w:rPr>
        <w:t xml:space="preserve"> from the Auditor-General for a response</w:t>
      </w:r>
      <w:r w:rsidR="00807F94" w:rsidRPr="007D06EC">
        <w:rPr>
          <w:rFonts w:ascii="Arial" w:eastAsia="Calibri" w:hAnsi="Arial" w:cs="Arial"/>
          <w:sz w:val="22"/>
          <w:szCs w:val="22"/>
        </w:rPr>
        <w:t>.</w:t>
      </w:r>
    </w:p>
    <w:p w:rsidR="00807F94" w:rsidRPr="00CA77AD" w:rsidRDefault="00807F94" w:rsidP="00807F94">
      <w:pPr>
        <w:spacing w:before="100" w:beforeAutospacing="1" w:after="100" w:afterAutospacing="1" w:line="276" w:lineRule="auto"/>
        <w:ind w:left="360" w:hanging="360"/>
        <w:jc w:val="both"/>
        <w:rPr>
          <w:rFonts w:ascii="Arial" w:eastAsia="Calibri" w:hAnsi="Arial" w:cs="Arial"/>
          <w:sz w:val="22"/>
          <w:szCs w:val="22"/>
        </w:rPr>
      </w:pPr>
      <w:r>
        <w:rPr>
          <w:rFonts w:ascii="Arial" w:eastAsia="Calibri" w:hAnsi="Arial" w:cs="Arial"/>
          <w:sz w:val="22"/>
          <w:szCs w:val="22"/>
        </w:rPr>
        <w:t xml:space="preserve">(b) </w:t>
      </w:r>
      <w:r w:rsidR="008851EB">
        <w:rPr>
          <w:rFonts w:ascii="Arial" w:eastAsia="Calibri" w:hAnsi="Arial" w:cs="Arial"/>
          <w:bCs/>
          <w:sz w:val="22"/>
          <w:szCs w:val="22"/>
          <w:lang w:val="en-ZA"/>
        </w:rPr>
        <w:t>The graphs below shows a comparative analysis</w:t>
      </w:r>
      <w:r w:rsidR="008851EB">
        <w:rPr>
          <w:rFonts w:ascii="Arial" w:eastAsia="Calibri" w:hAnsi="Arial" w:cs="Arial"/>
          <w:sz w:val="22"/>
          <w:szCs w:val="22"/>
        </w:rPr>
        <w:t xml:space="preserve"> related to amount</w:t>
      </w:r>
      <w:r>
        <w:rPr>
          <w:rFonts w:ascii="Arial" w:eastAsia="Calibri" w:hAnsi="Arial" w:cs="Arial"/>
          <w:sz w:val="22"/>
          <w:szCs w:val="22"/>
        </w:rPr>
        <w:t xml:space="preserve"> of </w:t>
      </w:r>
      <w:proofErr w:type="spellStart"/>
      <w:r>
        <w:rPr>
          <w:rFonts w:ascii="Arial" w:eastAsia="Calibri" w:hAnsi="Arial" w:cs="Arial"/>
          <w:sz w:val="22"/>
          <w:szCs w:val="22"/>
        </w:rPr>
        <w:t>unuathorised</w:t>
      </w:r>
      <w:proofErr w:type="spellEnd"/>
      <w:r>
        <w:rPr>
          <w:rFonts w:ascii="Arial" w:eastAsia="Calibri" w:hAnsi="Arial" w:cs="Arial"/>
          <w:sz w:val="22"/>
          <w:szCs w:val="22"/>
        </w:rPr>
        <w:t>, irregular and fruitless and wasteful and expenditure incurred by PFMA compliant institutions at national level from 2013/</w:t>
      </w:r>
      <w:r w:rsidR="0006425B">
        <w:rPr>
          <w:rFonts w:ascii="Arial" w:eastAsia="Calibri" w:hAnsi="Arial" w:cs="Arial"/>
          <w:sz w:val="22"/>
          <w:szCs w:val="22"/>
        </w:rPr>
        <w:t>20</w:t>
      </w:r>
      <w:r>
        <w:rPr>
          <w:rFonts w:ascii="Arial" w:eastAsia="Calibri" w:hAnsi="Arial" w:cs="Arial"/>
          <w:sz w:val="22"/>
          <w:szCs w:val="22"/>
        </w:rPr>
        <w:t>14 to 2017/</w:t>
      </w:r>
      <w:r w:rsidR="0006425B">
        <w:rPr>
          <w:rFonts w:ascii="Arial" w:eastAsia="Calibri" w:hAnsi="Arial" w:cs="Arial"/>
          <w:sz w:val="22"/>
          <w:szCs w:val="22"/>
        </w:rPr>
        <w:t>20</w:t>
      </w:r>
      <w:r>
        <w:rPr>
          <w:rFonts w:ascii="Arial" w:eastAsia="Calibri" w:hAnsi="Arial" w:cs="Arial"/>
          <w:sz w:val="22"/>
          <w:szCs w:val="22"/>
        </w:rPr>
        <w:t>18</w:t>
      </w:r>
      <w:r w:rsidR="007D06EC">
        <w:rPr>
          <w:rFonts w:ascii="Arial" w:eastAsia="Calibri" w:hAnsi="Arial" w:cs="Arial"/>
          <w:sz w:val="22"/>
          <w:szCs w:val="22"/>
        </w:rPr>
        <w:t xml:space="preserve">. Information related to </w:t>
      </w:r>
      <w:proofErr w:type="spellStart"/>
      <w:r w:rsidR="007D06EC">
        <w:rPr>
          <w:rFonts w:ascii="Arial" w:eastAsia="Calibri" w:hAnsi="Arial" w:cs="Arial"/>
          <w:sz w:val="22"/>
          <w:szCs w:val="22"/>
        </w:rPr>
        <w:t>unuathorised</w:t>
      </w:r>
      <w:proofErr w:type="spellEnd"/>
      <w:r w:rsidR="007D06EC">
        <w:rPr>
          <w:rFonts w:ascii="Arial" w:eastAsia="Calibri" w:hAnsi="Arial" w:cs="Arial"/>
          <w:sz w:val="22"/>
          <w:szCs w:val="22"/>
        </w:rPr>
        <w:t>, irregular and fruitless and wasteful and expenditure incurred by PFMA compliant institutions at provincial level can be obtained from the Auditor-General for a response.</w:t>
      </w:r>
    </w:p>
    <w:p w:rsidR="008851EB" w:rsidRDefault="008851EB" w:rsidP="008851EB">
      <w:pPr>
        <w:tabs>
          <w:tab w:val="left" w:pos="3870"/>
        </w:tabs>
        <w:spacing w:before="100" w:beforeAutospacing="1" w:after="100" w:afterAutospacing="1" w:line="276" w:lineRule="auto"/>
        <w:ind w:left="720" w:hanging="720"/>
        <w:rPr>
          <w:rFonts w:ascii="Arial" w:eastAsia="Calibri" w:hAnsi="Arial" w:cs="Arial"/>
          <w:sz w:val="22"/>
          <w:szCs w:val="22"/>
        </w:rPr>
      </w:pPr>
      <w:r w:rsidRPr="000C0B69">
        <w:rPr>
          <w:rFonts w:ascii="Arial" w:hAnsi="Arial" w:cs="Arial"/>
          <w:noProof/>
          <w:bdr w:val="single" w:sz="18" w:space="0" w:color="auto"/>
        </w:rPr>
        <w:drawing>
          <wp:inline distT="0" distB="0" distL="0" distR="0">
            <wp:extent cx="5743575" cy="17907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07F94" w:rsidRPr="00CA77AD">
        <w:rPr>
          <w:rFonts w:ascii="Arial" w:eastAsia="Calibri" w:hAnsi="Arial" w:cs="Arial"/>
          <w:sz w:val="22"/>
          <w:szCs w:val="22"/>
        </w:rPr>
        <w:t xml:space="preserve"> </w:t>
      </w:r>
    </w:p>
    <w:p w:rsidR="00807F94" w:rsidRDefault="008851EB" w:rsidP="008851EB">
      <w:pPr>
        <w:tabs>
          <w:tab w:val="left" w:pos="3870"/>
        </w:tabs>
        <w:spacing w:before="100" w:beforeAutospacing="1" w:after="100" w:afterAutospacing="1" w:line="276" w:lineRule="auto"/>
        <w:ind w:left="720" w:hanging="720"/>
        <w:rPr>
          <w:rFonts w:ascii="Arial" w:eastAsia="Calibri" w:hAnsi="Arial" w:cs="Arial"/>
          <w:sz w:val="22"/>
          <w:szCs w:val="22"/>
        </w:rPr>
      </w:pPr>
      <w:r w:rsidRPr="008851EB">
        <w:rPr>
          <w:b/>
          <w:noProof/>
          <w:bdr w:val="single" w:sz="12" w:space="0" w:color="auto"/>
        </w:rPr>
        <w:lastRenderedPageBreak/>
        <w:drawing>
          <wp:inline distT="0" distB="0" distL="0" distR="0">
            <wp:extent cx="5800725" cy="215392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7F94" w:rsidRDefault="00807F94" w:rsidP="00807F94">
      <w:pPr>
        <w:spacing w:before="100" w:beforeAutospacing="1" w:after="100" w:afterAutospacing="1" w:line="276" w:lineRule="auto"/>
        <w:ind w:left="720" w:hanging="720"/>
        <w:jc w:val="both"/>
        <w:rPr>
          <w:rFonts w:ascii="Arial" w:eastAsia="Calibri" w:hAnsi="Arial" w:cs="Arial"/>
          <w:sz w:val="22"/>
          <w:szCs w:val="22"/>
        </w:rPr>
      </w:pPr>
      <w:r w:rsidRPr="008851EB">
        <w:rPr>
          <w:rFonts w:ascii="Arial" w:hAnsi="Arial" w:cs="Arial"/>
          <w:noProof/>
          <w:color w:val="000000" w:themeColor="text1"/>
          <w:sz w:val="18"/>
          <w:szCs w:val="18"/>
          <w:bdr w:val="single" w:sz="18" w:space="0" w:color="auto"/>
        </w:rPr>
        <w:drawing>
          <wp:inline distT="0" distB="0" distL="0" distR="0">
            <wp:extent cx="5689600" cy="171450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51EB" w:rsidRDefault="008851EB" w:rsidP="00807F94">
      <w:pPr>
        <w:spacing w:before="100" w:beforeAutospacing="1" w:after="100" w:afterAutospacing="1" w:line="276" w:lineRule="auto"/>
        <w:ind w:left="720" w:hanging="720"/>
        <w:jc w:val="both"/>
        <w:rPr>
          <w:rFonts w:ascii="Arial" w:eastAsia="Calibri" w:hAnsi="Arial" w:cs="Arial"/>
          <w:sz w:val="22"/>
          <w:szCs w:val="22"/>
        </w:rPr>
      </w:pPr>
    </w:p>
    <w:p w:rsidR="008851EB" w:rsidRDefault="008851EB" w:rsidP="00807F94">
      <w:pPr>
        <w:spacing w:before="100" w:beforeAutospacing="1" w:after="100" w:afterAutospacing="1" w:line="276" w:lineRule="auto"/>
        <w:ind w:left="720" w:hanging="720"/>
        <w:jc w:val="both"/>
        <w:rPr>
          <w:rFonts w:ascii="Arial" w:eastAsia="Calibri" w:hAnsi="Arial" w:cs="Arial"/>
          <w:sz w:val="22"/>
          <w:szCs w:val="22"/>
        </w:rPr>
      </w:pPr>
    </w:p>
    <w:p w:rsidR="004F76BB" w:rsidRDefault="004F76BB" w:rsidP="004F76BB">
      <w:pPr>
        <w:pStyle w:val="ListParagraph"/>
        <w:numPr>
          <w:ilvl w:val="0"/>
          <w:numId w:val="16"/>
        </w:numPr>
        <w:spacing w:before="100" w:beforeAutospacing="1" w:after="100" w:afterAutospacing="1" w:line="276" w:lineRule="auto"/>
        <w:jc w:val="both"/>
        <w:rPr>
          <w:rFonts w:ascii="Arial" w:eastAsia="Calibri" w:hAnsi="Arial" w:cs="Arial"/>
          <w:sz w:val="22"/>
          <w:szCs w:val="22"/>
        </w:rPr>
      </w:pPr>
      <w:r>
        <w:rPr>
          <w:rFonts w:ascii="Arial" w:eastAsia="Calibri" w:hAnsi="Arial" w:cs="Arial"/>
          <w:sz w:val="22"/>
          <w:szCs w:val="22"/>
        </w:rPr>
        <w:t>(</w:t>
      </w:r>
      <w:proofErr w:type="spellStart"/>
      <w:proofErr w:type="gramStart"/>
      <w:r>
        <w:rPr>
          <w:rFonts w:ascii="Arial" w:eastAsia="Calibri" w:hAnsi="Arial" w:cs="Arial"/>
          <w:sz w:val="22"/>
          <w:szCs w:val="22"/>
        </w:rPr>
        <w:t>i</w:t>
      </w:r>
      <w:proofErr w:type="spellEnd"/>
      <w:proofErr w:type="gramEnd"/>
      <w:r>
        <w:rPr>
          <w:rFonts w:ascii="Arial" w:eastAsia="Calibri" w:hAnsi="Arial" w:cs="Arial"/>
          <w:sz w:val="22"/>
          <w:szCs w:val="22"/>
        </w:rPr>
        <w:t xml:space="preserve">) &amp; (ii) </w:t>
      </w:r>
      <w:r w:rsidRPr="00D83CF7">
        <w:rPr>
          <w:rFonts w:ascii="Arial" w:eastAsia="Calibri" w:hAnsi="Arial" w:cs="Arial"/>
          <w:sz w:val="22"/>
          <w:szCs w:val="22"/>
        </w:rPr>
        <w:t xml:space="preserve">This information </w:t>
      </w:r>
      <w:r>
        <w:rPr>
          <w:rFonts w:ascii="Arial" w:eastAsia="Calibri" w:hAnsi="Arial" w:cs="Arial"/>
          <w:sz w:val="22"/>
          <w:szCs w:val="22"/>
        </w:rPr>
        <w:t xml:space="preserve">can </w:t>
      </w:r>
      <w:r>
        <w:rPr>
          <w:rFonts w:ascii="Arial" w:eastAsia="Calibri" w:hAnsi="Arial" w:cs="Arial"/>
          <w:bCs/>
          <w:sz w:val="22"/>
          <w:szCs w:val="22"/>
          <w:lang w:val="en-ZA"/>
        </w:rPr>
        <w:t>obtained from the Auditor-General for a response</w:t>
      </w:r>
      <w:r w:rsidRPr="00D83CF7">
        <w:rPr>
          <w:rFonts w:ascii="Arial" w:eastAsia="Calibri" w:hAnsi="Arial" w:cs="Arial"/>
          <w:sz w:val="22"/>
          <w:szCs w:val="22"/>
        </w:rPr>
        <w:t>.</w:t>
      </w:r>
    </w:p>
    <w:p w:rsidR="00807F94" w:rsidRDefault="004F76BB" w:rsidP="00C13600">
      <w:pPr>
        <w:pStyle w:val="ListParagraph"/>
        <w:numPr>
          <w:ilvl w:val="0"/>
          <w:numId w:val="16"/>
        </w:numPr>
        <w:spacing w:before="100" w:beforeAutospacing="1" w:after="100" w:afterAutospacing="1" w:line="276" w:lineRule="auto"/>
        <w:jc w:val="both"/>
        <w:rPr>
          <w:rFonts w:ascii="Arial" w:eastAsia="Calibri" w:hAnsi="Arial" w:cs="Arial"/>
          <w:sz w:val="22"/>
          <w:szCs w:val="22"/>
        </w:rPr>
      </w:pPr>
      <w:r>
        <w:rPr>
          <w:rFonts w:ascii="Arial" w:eastAsia="Calibri" w:hAnsi="Arial" w:cs="Arial"/>
          <w:sz w:val="22"/>
          <w:szCs w:val="22"/>
        </w:rPr>
        <w:t>(</w:t>
      </w:r>
      <w:proofErr w:type="spellStart"/>
      <w:proofErr w:type="gramStart"/>
      <w:r>
        <w:rPr>
          <w:rFonts w:ascii="Arial" w:eastAsia="Calibri" w:hAnsi="Arial" w:cs="Arial"/>
          <w:sz w:val="22"/>
          <w:szCs w:val="22"/>
        </w:rPr>
        <w:t>i</w:t>
      </w:r>
      <w:proofErr w:type="spellEnd"/>
      <w:proofErr w:type="gramEnd"/>
      <w:r>
        <w:rPr>
          <w:rFonts w:ascii="Arial" w:eastAsia="Calibri" w:hAnsi="Arial" w:cs="Arial"/>
          <w:sz w:val="22"/>
          <w:szCs w:val="22"/>
        </w:rPr>
        <w:t xml:space="preserve">) &amp; (ii) </w:t>
      </w:r>
      <w:r w:rsidRPr="00D83CF7">
        <w:rPr>
          <w:rFonts w:ascii="Arial" w:eastAsia="Calibri" w:hAnsi="Arial" w:cs="Arial"/>
          <w:sz w:val="22"/>
          <w:szCs w:val="22"/>
        </w:rPr>
        <w:t xml:space="preserve">This information </w:t>
      </w:r>
      <w:r>
        <w:rPr>
          <w:rFonts w:ascii="Arial" w:eastAsia="Calibri" w:hAnsi="Arial" w:cs="Arial"/>
          <w:sz w:val="22"/>
          <w:szCs w:val="22"/>
        </w:rPr>
        <w:t xml:space="preserve">can </w:t>
      </w:r>
      <w:r>
        <w:rPr>
          <w:rFonts w:ascii="Arial" w:eastAsia="Calibri" w:hAnsi="Arial" w:cs="Arial"/>
          <w:bCs/>
          <w:sz w:val="22"/>
          <w:szCs w:val="22"/>
          <w:lang w:val="en-ZA"/>
        </w:rPr>
        <w:t>obtained from the Auditor-General for a response</w:t>
      </w:r>
      <w:r w:rsidRPr="00D83CF7">
        <w:rPr>
          <w:rFonts w:ascii="Arial" w:eastAsia="Calibri" w:hAnsi="Arial" w:cs="Arial"/>
          <w:sz w:val="22"/>
          <w:szCs w:val="22"/>
        </w:rPr>
        <w:t>.</w:t>
      </w:r>
    </w:p>
    <w:p w:rsidR="00567E72" w:rsidRPr="00C13600" w:rsidRDefault="00567E72" w:rsidP="00567E72">
      <w:pPr>
        <w:pStyle w:val="ListParagraph"/>
        <w:spacing w:before="100" w:beforeAutospacing="1" w:after="100" w:afterAutospacing="1" w:line="276" w:lineRule="auto"/>
        <w:jc w:val="both"/>
        <w:rPr>
          <w:rFonts w:ascii="Arial" w:eastAsia="Calibri" w:hAnsi="Arial" w:cs="Arial"/>
          <w:sz w:val="22"/>
          <w:szCs w:val="22"/>
        </w:rPr>
      </w:pPr>
    </w:p>
    <w:p w:rsidR="00567E72" w:rsidRPr="00567E72" w:rsidRDefault="00807F94" w:rsidP="00567E72">
      <w:pPr>
        <w:spacing w:before="100" w:beforeAutospacing="1" w:after="100" w:afterAutospacing="1" w:line="276" w:lineRule="auto"/>
        <w:ind w:left="720" w:hanging="360"/>
        <w:jc w:val="both"/>
        <w:rPr>
          <w:rFonts w:ascii="Arial" w:eastAsia="Calibri" w:hAnsi="Arial" w:cs="Arial"/>
          <w:sz w:val="22"/>
          <w:szCs w:val="22"/>
        </w:rPr>
      </w:pPr>
      <w:r w:rsidRPr="00AF127D">
        <w:rPr>
          <w:rFonts w:ascii="Arial" w:eastAsia="Calibri" w:hAnsi="Arial" w:cs="Arial"/>
          <w:sz w:val="22"/>
          <w:szCs w:val="22"/>
        </w:rPr>
        <w:t>(3)</w:t>
      </w:r>
      <w:r w:rsidRPr="00AF127D">
        <w:rPr>
          <w:rFonts w:ascii="Arial" w:eastAsia="Calibri" w:hAnsi="Arial" w:cs="Arial"/>
          <w:sz w:val="22"/>
          <w:szCs w:val="22"/>
        </w:rPr>
        <w:tab/>
      </w:r>
      <w:r w:rsidR="00567E72" w:rsidRPr="00567E72">
        <w:rPr>
          <w:rFonts w:ascii="Arial" w:eastAsia="Calibri" w:hAnsi="Arial" w:cs="Arial"/>
          <w:sz w:val="22"/>
          <w:szCs w:val="22"/>
        </w:rPr>
        <w:t>Section 38(1)(h)(iii) and section 51(1)(e) of the PFMA require accounting officers for departments, trading entities and constitutional institutions and accounting authorities of public entities to take effective and appropriate disciplinary steps against any official who makes or permits fruitless and wasteful expenditure.</w:t>
      </w:r>
      <w:r w:rsidR="00567E72">
        <w:rPr>
          <w:rFonts w:ascii="Arial" w:eastAsia="Calibri" w:hAnsi="Arial" w:cs="Arial"/>
          <w:sz w:val="22"/>
          <w:szCs w:val="22"/>
        </w:rPr>
        <w:t xml:space="preserve"> </w:t>
      </w:r>
      <w:r w:rsidR="00567E72" w:rsidRPr="00567E72">
        <w:rPr>
          <w:rFonts w:ascii="Arial" w:eastAsia="Calibri" w:hAnsi="Arial" w:cs="Arial"/>
          <w:sz w:val="22"/>
          <w:szCs w:val="22"/>
        </w:rPr>
        <w:t xml:space="preserve">In terms of section 81(1)(b) and section 83(1)(b) of the PFMA, accounting officers for departments or constitutional institutions and accounting authorities of public entities commit an act of financial misconduct if that accounting officer or accounting authority </w:t>
      </w:r>
      <w:proofErr w:type="spellStart"/>
      <w:r w:rsidR="00567E72" w:rsidRPr="00567E72">
        <w:rPr>
          <w:rFonts w:ascii="Arial" w:eastAsia="Calibri" w:hAnsi="Arial" w:cs="Arial"/>
          <w:sz w:val="22"/>
          <w:szCs w:val="22"/>
        </w:rPr>
        <w:t>wilfully</w:t>
      </w:r>
      <w:proofErr w:type="spellEnd"/>
      <w:r w:rsidR="00567E72" w:rsidRPr="00567E72">
        <w:rPr>
          <w:rFonts w:ascii="Arial" w:eastAsia="Calibri" w:hAnsi="Arial" w:cs="Arial"/>
          <w:sz w:val="22"/>
          <w:szCs w:val="22"/>
        </w:rPr>
        <w:t xml:space="preserve"> or negligently makes or permits a fruitless and wasteful expenditure. </w:t>
      </w:r>
      <w:r w:rsidR="00567E72">
        <w:rPr>
          <w:rFonts w:ascii="Arial" w:eastAsia="Calibri" w:hAnsi="Arial" w:cs="Arial"/>
          <w:sz w:val="22"/>
          <w:szCs w:val="22"/>
        </w:rPr>
        <w:t>Therefore it is the responsibility of</w:t>
      </w:r>
      <w:r w:rsidR="00567E72" w:rsidRPr="00567E72">
        <w:rPr>
          <w:rFonts w:ascii="Arial" w:eastAsia="Calibri" w:hAnsi="Arial" w:cs="Arial"/>
          <w:sz w:val="22"/>
          <w:szCs w:val="22"/>
        </w:rPr>
        <w:t xml:space="preserve"> accounting officer</w:t>
      </w:r>
      <w:r w:rsidR="00567E72">
        <w:rPr>
          <w:rFonts w:ascii="Arial" w:eastAsia="Calibri" w:hAnsi="Arial" w:cs="Arial"/>
          <w:sz w:val="22"/>
          <w:szCs w:val="22"/>
        </w:rPr>
        <w:t>s or accounting authorities</w:t>
      </w:r>
      <w:r w:rsidR="00567E72" w:rsidRPr="00567E72">
        <w:rPr>
          <w:rFonts w:ascii="Arial" w:eastAsia="Calibri" w:hAnsi="Arial" w:cs="Arial"/>
          <w:sz w:val="22"/>
          <w:szCs w:val="22"/>
        </w:rPr>
        <w:t xml:space="preserve"> t</w:t>
      </w:r>
      <w:r w:rsidR="00567E72">
        <w:rPr>
          <w:rFonts w:ascii="Arial" w:eastAsia="Calibri" w:hAnsi="Arial" w:cs="Arial"/>
          <w:sz w:val="22"/>
          <w:szCs w:val="22"/>
        </w:rPr>
        <w:t xml:space="preserve">o address consequence management and ensure maintenance of proper governance systems in their respective institutions. </w:t>
      </w:r>
    </w:p>
    <w:p w:rsidR="00567E72" w:rsidRPr="00567E72" w:rsidRDefault="00567E72" w:rsidP="00567E72">
      <w:pPr>
        <w:spacing w:before="100" w:beforeAutospacing="1" w:after="100" w:afterAutospacing="1" w:line="276" w:lineRule="auto"/>
        <w:ind w:left="720"/>
        <w:jc w:val="both"/>
        <w:rPr>
          <w:rFonts w:ascii="Arial" w:eastAsia="Calibri" w:hAnsi="Arial" w:cs="Arial"/>
          <w:sz w:val="22"/>
          <w:szCs w:val="22"/>
        </w:rPr>
      </w:pPr>
      <w:r w:rsidRPr="00567E72">
        <w:rPr>
          <w:rFonts w:ascii="Arial" w:eastAsia="Calibri" w:hAnsi="Arial" w:cs="Arial"/>
          <w:sz w:val="22"/>
          <w:szCs w:val="22"/>
        </w:rPr>
        <w:t xml:space="preserve">In May 2014 and 2015, National Treasury issued the first guidelines on Irregular, Fruitless and Wasteful and </w:t>
      </w:r>
      <w:proofErr w:type="spellStart"/>
      <w:r w:rsidRPr="00567E72">
        <w:rPr>
          <w:rFonts w:ascii="Arial" w:eastAsia="Calibri" w:hAnsi="Arial" w:cs="Arial"/>
          <w:sz w:val="22"/>
          <w:szCs w:val="22"/>
        </w:rPr>
        <w:t>Unauthorised</w:t>
      </w:r>
      <w:proofErr w:type="spellEnd"/>
      <w:r w:rsidRPr="00567E72">
        <w:rPr>
          <w:rFonts w:ascii="Arial" w:eastAsia="Calibri" w:hAnsi="Arial" w:cs="Arial"/>
          <w:sz w:val="22"/>
          <w:szCs w:val="22"/>
        </w:rPr>
        <w:t xml:space="preserve"> Expenditure which were aimed at providing </w:t>
      </w:r>
      <w:r w:rsidRPr="00567E72">
        <w:rPr>
          <w:rFonts w:ascii="Arial" w:eastAsia="Calibri" w:hAnsi="Arial" w:cs="Arial"/>
          <w:sz w:val="22"/>
          <w:szCs w:val="22"/>
        </w:rPr>
        <w:lastRenderedPageBreak/>
        <w:t xml:space="preserve">accounting officers and accounting authorities with clarity on treatment of those expenditures. </w:t>
      </w:r>
    </w:p>
    <w:p w:rsidR="00807F94" w:rsidRDefault="00C271D1" w:rsidP="00567E72">
      <w:pPr>
        <w:spacing w:before="100" w:beforeAutospacing="1" w:after="100" w:afterAutospacing="1" w:line="276" w:lineRule="auto"/>
        <w:ind w:left="720"/>
        <w:jc w:val="both"/>
        <w:rPr>
          <w:rFonts w:ascii="Arial" w:eastAsia="Calibri" w:hAnsi="Arial" w:cs="Arial"/>
          <w:sz w:val="22"/>
          <w:szCs w:val="22"/>
          <w:lang w:val="en-ZA"/>
        </w:rPr>
      </w:pPr>
      <w:r>
        <w:rPr>
          <w:rFonts w:ascii="Arial" w:eastAsia="Calibri" w:hAnsi="Arial" w:cs="Arial"/>
          <w:sz w:val="22"/>
          <w:szCs w:val="22"/>
        </w:rPr>
        <w:t>New F</w:t>
      </w:r>
      <w:r w:rsidR="00567E72" w:rsidRPr="00567E72">
        <w:rPr>
          <w:rFonts w:ascii="Arial" w:eastAsia="Calibri" w:hAnsi="Arial" w:cs="Arial"/>
          <w:sz w:val="22"/>
          <w:szCs w:val="22"/>
        </w:rPr>
        <w:t xml:space="preserve">rameworks dealing with irregular, fruitless and wasteful expenditure were </w:t>
      </w:r>
      <w:r>
        <w:rPr>
          <w:rFonts w:ascii="Arial" w:eastAsia="Calibri" w:hAnsi="Arial" w:cs="Arial"/>
          <w:sz w:val="22"/>
          <w:szCs w:val="22"/>
        </w:rPr>
        <w:t xml:space="preserve">further introduced </w:t>
      </w:r>
      <w:r w:rsidR="00567E72" w:rsidRPr="00567E72">
        <w:rPr>
          <w:rFonts w:ascii="Arial" w:eastAsia="Calibri" w:hAnsi="Arial" w:cs="Arial"/>
          <w:sz w:val="22"/>
          <w:szCs w:val="22"/>
        </w:rPr>
        <w:t xml:space="preserve">by National Treasury 2019 as Treasury Instructions to give legal effect to the process that must be followed by accounting officers and accounting authorities. These frameworks are aimed at enhancing the understanding, interpretation an application of legislative provisions dealing with these expenditures.  Thus far 64 PFMA compliant institutions have been trained on these frameworks.  </w:t>
      </w:r>
      <w:r>
        <w:rPr>
          <w:rFonts w:ascii="Arial" w:eastAsia="Calibri" w:hAnsi="Arial" w:cs="Arial"/>
          <w:sz w:val="22"/>
          <w:szCs w:val="22"/>
        </w:rPr>
        <w:t xml:space="preserve">Accounting officers and accounting authorities of national institutions are also required to report to National Treasury and accounting officers and accounting authorities of provincial institutions are required to their respective provincial treasuries on any </w:t>
      </w:r>
      <w:r w:rsidRPr="00567E72">
        <w:rPr>
          <w:rFonts w:ascii="Arial" w:eastAsia="Calibri" w:hAnsi="Arial" w:cs="Arial"/>
          <w:sz w:val="22"/>
          <w:szCs w:val="22"/>
        </w:rPr>
        <w:t>irregular,</w:t>
      </w:r>
      <w:r>
        <w:rPr>
          <w:rFonts w:ascii="Arial" w:eastAsia="Calibri" w:hAnsi="Arial" w:cs="Arial"/>
          <w:sz w:val="22"/>
          <w:szCs w:val="22"/>
        </w:rPr>
        <w:t xml:space="preserve"> unauthorized and</w:t>
      </w:r>
      <w:r w:rsidRPr="00567E72">
        <w:rPr>
          <w:rFonts w:ascii="Arial" w:eastAsia="Calibri" w:hAnsi="Arial" w:cs="Arial"/>
          <w:sz w:val="22"/>
          <w:szCs w:val="22"/>
        </w:rPr>
        <w:t xml:space="preserve"> fruitless and wasteful expenditure</w:t>
      </w:r>
      <w:r>
        <w:rPr>
          <w:rFonts w:ascii="Arial" w:eastAsia="Calibri" w:hAnsi="Arial" w:cs="Arial"/>
          <w:sz w:val="22"/>
          <w:szCs w:val="22"/>
        </w:rPr>
        <w:t xml:space="preserve"> incurred, regular assessments, </w:t>
      </w:r>
      <w:r w:rsidR="00A25146">
        <w:rPr>
          <w:rFonts w:ascii="Arial" w:eastAsia="Calibri" w:hAnsi="Arial" w:cs="Arial"/>
          <w:sz w:val="22"/>
          <w:szCs w:val="22"/>
        </w:rPr>
        <w:t>and determination</w:t>
      </w:r>
      <w:r>
        <w:rPr>
          <w:rFonts w:ascii="Arial" w:eastAsia="Calibri" w:hAnsi="Arial" w:cs="Arial"/>
          <w:sz w:val="22"/>
          <w:szCs w:val="22"/>
        </w:rPr>
        <w:t xml:space="preserve"> of losses, criminal conduct and investigations of persons responsible for incurring such expenditures. This report also requires information on the process followed by accounting officers and accounting authorities in dealing with the recovery of any losses incurred, referral of criminal cases and approval process of expenditure free losses or criminal conduct. </w:t>
      </w:r>
      <w:r w:rsidR="00807F94" w:rsidRPr="00AF127D">
        <w:rPr>
          <w:rFonts w:ascii="Arial" w:eastAsia="Calibri" w:hAnsi="Arial" w:cs="Arial"/>
          <w:sz w:val="22"/>
          <w:szCs w:val="22"/>
          <w:lang w:val="en-ZA"/>
        </w:rPr>
        <w:tab/>
      </w:r>
    </w:p>
    <w:p w:rsidR="00807F94" w:rsidRDefault="00807F94" w:rsidP="007A78C0">
      <w:pPr>
        <w:tabs>
          <w:tab w:val="left" w:pos="432"/>
          <w:tab w:val="left" w:pos="864"/>
        </w:tabs>
        <w:spacing w:line="360" w:lineRule="auto"/>
        <w:rPr>
          <w:rFonts w:ascii="Arial" w:hAnsi="Arial" w:cs="Arial"/>
          <w:b/>
          <w:sz w:val="22"/>
          <w:szCs w:val="22"/>
          <w:u w:val="single"/>
          <w:lang w:val="en-ZA"/>
        </w:rPr>
      </w:pPr>
    </w:p>
    <w:sectPr w:rsidR="00807F94"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D24" w:rsidRDefault="00EA4D24" w:rsidP="00380E88">
      <w:r>
        <w:separator/>
      </w:r>
    </w:p>
  </w:endnote>
  <w:endnote w:type="continuationSeparator" w:id="0">
    <w:p w:rsidR="00EA4D24" w:rsidRDefault="00EA4D24"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D24" w:rsidRDefault="00EA4D24" w:rsidP="00380E88">
      <w:r>
        <w:separator/>
      </w:r>
    </w:p>
  </w:footnote>
  <w:footnote w:type="continuationSeparator" w:id="0">
    <w:p w:rsidR="00EA4D24" w:rsidRDefault="00EA4D24"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067B"/>
    <w:multiLevelType w:val="hybridMultilevel"/>
    <w:tmpl w:val="6AFEFCC8"/>
    <w:lvl w:ilvl="0" w:tplc="8592D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42F2F"/>
    <w:multiLevelType w:val="hybridMultilevel"/>
    <w:tmpl w:val="B2EC9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B01646C"/>
    <w:multiLevelType w:val="hybridMultilevel"/>
    <w:tmpl w:val="DEBE9F02"/>
    <w:lvl w:ilvl="0" w:tplc="A6F449B8">
      <w:start w:val="1"/>
      <w:numFmt w:val="decimal"/>
      <w:lvlText w:val="%1)"/>
      <w:lvlJc w:val="left"/>
      <w:pPr>
        <w:ind w:left="502"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0373EA5"/>
    <w:multiLevelType w:val="hybridMultilevel"/>
    <w:tmpl w:val="5EB830D6"/>
    <w:lvl w:ilvl="0" w:tplc="0F1291C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13"/>
  </w:num>
  <w:num w:numId="6">
    <w:abstractNumId w:val="3"/>
  </w:num>
  <w:num w:numId="7">
    <w:abstractNumId w:val="3"/>
  </w:num>
  <w:num w:numId="8">
    <w:abstractNumId w:val="14"/>
  </w:num>
  <w:num w:numId="9">
    <w:abstractNumId w:val="2"/>
  </w:num>
  <w:num w:numId="10">
    <w:abstractNumId w:val="5"/>
  </w:num>
  <w:num w:numId="11">
    <w:abstractNumId w:val="12"/>
  </w:num>
  <w:num w:numId="12">
    <w:abstractNumId w:val="7"/>
  </w:num>
  <w:num w:numId="13">
    <w:abstractNumId w:val="10"/>
  </w:num>
  <w:num w:numId="14">
    <w:abstractNumId w:val="1"/>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063E28"/>
    <w:rsid w:val="000054AE"/>
    <w:rsid w:val="00011016"/>
    <w:rsid w:val="00012A82"/>
    <w:rsid w:val="00016A41"/>
    <w:rsid w:val="00020C04"/>
    <w:rsid w:val="00023BC3"/>
    <w:rsid w:val="0002634B"/>
    <w:rsid w:val="00041437"/>
    <w:rsid w:val="00042E4A"/>
    <w:rsid w:val="00053303"/>
    <w:rsid w:val="00060E08"/>
    <w:rsid w:val="00060E09"/>
    <w:rsid w:val="00063E28"/>
    <w:rsid w:val="0006425B"/>
    <w:rsid w:val="0008596C"/>
    <w:rsid w:val="000A3C32"/>
    <w:rsid w:val="000B16E9"/>
    <w:rsid w:val="000B555E"/>
    <w:rsid w:val="000C2BEF"/>
    <w:rsid w:val="000C3917"/>
    <w:rsid w:val="000C48D8"/>
    <w:rsid w:val="000D5DF7"/>
    <w:rsid w:val="000E1B36"/>
    <w:rsid w:val="000F229B"/>
    <w:rsid w:val="000F3B14"/>
    <w:rsid w:val="000F5178"/>
    <w:rsid w:val="00110946"/>
    <w:rsid w:val="00122C88"/>
    <w:rsid w:val="00130348"/>
    <w:rsid w:val="00132CF0"/>
    <w:rsid w:val="001433AE"/>
    <w:rsid w:val="0014441E"/>
    <w:rsid w:val="0015727B"/>
    <w:rsid w:val="001706EE"/>
    <w:rsid w:val="00197576"/>
    <w:rsid w:val="001A31D5"/>
    <w:rsid w:val="001B0917"/>
    <w:rsid w:val="001B7F2A"/>
    <w:rsid w:val="001C1E62"/>
    <w:rsid w:val="001D4937"/>
    <w:rsid w:val="001E3FB5"/>
    <w:rsid w:val="001E6902"/>
    <w:rsid w:val="001F4B50"/>
    <w:rsid w:val="001F7560"/>
    <w:rsid w:val="002065BA"/>
    <w:rsid w:val="00207912"/>
    <w:rsid w:val="00223863"/>
    <w:rsid w:val="0022502D"/>
    <w:rsid w:val="00251791"/>
    <w:rsid w:val="00260251"/>
    <w:rsid w:val="00262F05"/>
    <w:rsid w:val="002855CE"/>
    <w:rsid w:val="0028635F"/>
    <w:rsid w:val="002867DD"/>
    <w:rsid w:val="002927CD"/>
    <w:rsid w:val="002A4157"/>
    <w:rsid w:val="002B3B25"/>
    <w:rsid w:val="002B7345"/>
    <w:rsid w:val="002D499A"/>
    <w:rsid w:val="002E529F"/>
    <w:rsid w:val="002F6E86"/>
    <w:rsid w:val="00304C25"/>
    <w:rsid w:val="00326CF2"/>
    <w:rsid w:val="003421BD"/>
    <w:rsid w:val="00344553"/>
    <w:rsid w:val="00346695"/>
    <w:rsid w:val="00351BF5"/>
    <w:rsid w:val="0037795E"/>
    <w:rsid w:val="00380E88"/>
    <w:rsid w:val="00387CF1"/>
    <w:rsid w:val="00393919"/>
    <w:rsid w:val="003A6BD5"/>
    <w:rsid w:val="003A7949"/>
    <w:rsid w:val="003B0A2D"/>
    <w:rsid w:val="003E2711"/>
    <w:rsid w:val="003E6A8B"/>
    <w:rsid w:val="003F1325"/>
    <w:rsid w:val="003F1329"/>
    <w:rsid w:val="003F6A56"/>
    <w:rsid w:val="00413ABE"/>
    <w:rsid w:val="00413C95"/>
    <w:rsid w:val="0043065E"/>
    <w:rsid w:val="00435EA2"/>
    <w:rsid w:val="00460E49"/>
    <w:rsid w:val="004651B9"/>
    <w:rsid w:val="004709BD"/>
    <w:rsid w:val="00472D86"/>
    <w:rsid w:val="004770A1"/>
    <w:rsid w:val="00484737"/>
    <w:rsid w:val="00485B2E"/>
    <w:rsid w:val="00485F09"/>
    <w:rsid w:val="004905ED"/>
    <w:rsid w:val="00496D69"/>
    <w:rsid w:val="004A078E"/>
    <w:rsid w:val="004A093B"/>
    <w:rsid w:val="004B1526"/>
    <w:rsid w:val="004C57A4"/>
    <w:rsid w:val="004D3BF2"/>
    <w:rsid w:val="004E035B"/>
    <w:rsid w:val="004E7025"/>
    <w:rsid w:val="004F43FB"/>
    <w:rsid w:val="004F76BB"/>
    <w:rsid w:val="00503CF8"/>
    <w:rsid w:val="005141B3"/>
    <w:rsid w:val="00522B65"/>
    <w:rsid w:val="00532BB4"/>
    <w:rsid w:val="00533C35"/>
    <w:rsid w:val="00544CEB"/>
    <w:rsid w:val="00547158"/>
    <w:rsid w:val="0055290F"/>
    <w:rsid w:val="00553EDC"/>
    <w:rsid w:val="00566101"/>
    <w:rsid w:val="00567E72"/>
    <w:rsid w:val="005706F1"/>
    <w:rsid w:val="00574E19"/>
    <w:rsid w:val="005A4B7A"/>
    <w:rsid w:val="005D4DED"/>
    <w:rsid w:val="005E21D9"/>
    <w:rsid w:val="005E32E0"/>
    <w:rsid w:val="005E415D"/>
    <w:rsid w:val="005F11A2"/>
    <w:rsid w:val="005F6B76"/>
    <w:rsid w:val="00613FC6"/>
    <w:rsid w:val="006239F1"/>
    <w:rsid w:val="00624D20"/>
    <w:rsid w:val="0062770E"/>
    <w:rsid w:val="0064275F"/>
    <w:rsid w:val="00646E7C"/>
    <w:rsid w:val="00647EF2"/>
    <w:rsid w:val="00651616"/>
    <w:rsid w:val="00653A85"/>
    <w:rsid w:val="00675635"/>
    <w:rsid w:val="00685058"/>
    <w:rsid w:val="00685F0E"/>
    <w:rsid w:val="00693A64"/>
    <w:rsid w:val="006B4438"/>
    <w:rsid w:val="006B61B0"/>
    <w:rsid w:val="006D1766"/>
    <w:rsid w:val="006D1B36"/>
    <w:rsid w:val="006D2C61"/>
    <w:rsid w:val="006D2F61"/>
    <w:rsid w:val="007037BF"/>
    <w:rsid w:val="007118EA"/>
    <w:rsid w:val="00712E95"/>
    <w:rsid w:val="007178DE"/>
    <w:rsid w:val="00726A9C"/>
    <w:rsid w:val="00733E31"/>
    <w:rsid w:val="007359BF"/>
    <w:rsid w:val="00743F26"/>
    <w:rsid w:val="00751942"/>
    <w:rsid w:val="007540E0"/>
    <w:rsid w:val="007544A8"/>
    <w:rsid w:val="00760965"/>
    <w:rsid w:val="0076668B"/>
    <w:rsid w:val="007749D9"/>
    <w:rsid w:val="00780F57"/>
    <w:rsid w:val="007914E0"/>
    <w:rsid w:val="007A32AF"/>
    <w:rsid w:val="007A78C0"/>
    <w:rsid w:val="007B1BA1"/>
    <w:rsid w:val="007C44DF"/>
    <w:rsid w:val="007D06EC"/>
    <w:rsid w:val="007D4060"/>
    <w:rsid w:val="007E56A2"/>
    <w:rsid w:val="007F18AA"/>
    <w:rsid w:val="00800B54"/>
    <w:rsid w:val="00803AC4"/>
    <w:rsid w:val="008051DF"/>
    <w:rsid w:val="00807B52"/>
    <w:rsid w:val="00807F94"/>
    <w:rsid w:val="00812709"/>
    <w:rsid w:val="00813FF0"/>
    <w:rsid w:val="008223D4"/>
    <w:rsid w:val="008270A1"/>
    <w:rsid w:val="008321A4"/>
    <w:rsid w:val="0084121D"/>
    <w:rsid w:val="00852DC3"/>
    <w:rsid w:val="008631A7"/>
    <w:rsid w:val="00872105"/>
    <w:rsid w:val="00876CBB"/>
    <w:rsid w:val="008851EB"/>
    <w:rsid w:val="00891265"/>
    <w:rsid w:val="00897498"/>
    <w:rsid w:val="00897F0B"/>
    <w:rsid w:val="008C2559"/>
    <w:rsid w:val="008E01C3"/>
    <w:rsid w:val="008E3D62"/>
    <w:rsid w:val="008E4142"/>
    <w:rsid w:val="008F2375"/>
    <w:rsid w:val="00900FF3"/>
    <w:rsid w:val="00910B58"/>
    <w:rsid w:val="00911717"/>
    <w:rsid w:val="009163A5"/>
    <w:rsid w:val="00917C44"/>
    <w:rsid w:val="009203A2"/>
    <w:rsid w:val="009508F2"/>
    <w:rsid w:val="00950F95"/>
    <w:rsid w:val="00953363"/>
    <w:rsid w:val="0096007E"/>
    <w:rsid w:val="00972601"/>
    <w:rsid w:val="0097786E"/>
    <w:rsid w:val="00987BC9"/>
    <w:rsid w:val="009A18A7"/>
    <w:rsid w:val="009E1AB2"/>
    <w:rsid w:val="009E24E9"/>
    <w:rsid w:val="00A02200"/>
    <w:rsid w:val="00A25146"/>
    <w:rsid w:val="00A45496"/>
    <w:rsid w:val="00A45FE5"/>
    <w:rsid w:val="00A51431"/>
    <w:rsid w:val="00A525F0"/>
    <w:rsid w:val="00A566A2"/>
    <w:rsid w:val="00A5731A"/>
    <w:rsid w:val="00A677C3"/>
    <w:rsid w:val="00A72B9B"/>
    <w:rsid w:val="00A75711"/>
    <w:rsid w:val="00A94F83"/>
    <w:rsid w:val="00AA4ED9"/>
    <w:rsid w:val="00AD00CE"/>
    <w:rsid w:val="00AD1B6E"/>
    <w:rsid w:val="00AD5C9B"/>
    <w:rsid w:val="00AE07DE"/>
    <w:rsid w:val="00AF127D"/>
    <w:rsid w:val="00AF2E72"/>
    <w:rsid w:val="00B03AF4"/>
    <w:rsid w:val="00B03DD6"/>
    <w:rsid w:val="00B10BD3"/>
    <w:rsid w:val="00B12CD6"/>
    <w:rsid w:val="00B20E37"/>
    <w:rsid w:val="00B31AAE"/>
    <w:rsid w:val="00B35E0C"/>
    <w:rsid w:val="00B447E6"/>
    <w:rsid w:val="00B5081C"/>
    <w:rsid w:val="00B62882"/>
    <w:rsid w:val="00B65F8F"/>
    <w:rsid w:val="00B70C7B"/>
    <w:rsid w:val="00B716A6"/>
    <w:rsid w:val="00B76831"/>
    <w:rsid w:val="00B77F67"/>
    <w:rsid w:val="00B81176"/>
    <w:rsid w:val="00B913C7"/>
    <w:rsid w:val="00B95452"/>
    <w:rsid w:val="00B96B34"/>
    <w:rsid w:val="00BA517C"/>
    <w:rsid w:val="00BC0A3B"/>
    <w:rsid w:val="00BC17D8"/>
    <w:rsid w:val="00BC3150"/>
    <w:rsid w:val="00BC4BEA"/>
    <w:rsid w:val="00BD31C6"/>
    <w:rsid w:val="00BE533B"/>
    <w:rsid w:val="00C06302"/>
    <w:rsid w:val="00C13600"/>
    <w:rsid w:val="00C25C7E"/>
    <w:rsid w:val="00C271D1"/>
    <w:rsid w:val="00C312EA"/>
    <w:rsid w:val="00C375AF"/>
    <w:rsid w:val="00C44C35"/>
    <w:rsid w:val="00C472D6"/>
    <w:rsid w:val="00C47DE0"/>
    <w:rsid w:val="00C6042E"/>
    <w:rsid w:val="00C60822"/>
    <w:rsid w:val="00C87C5C"/>
    <w:rsid w:val="00C905A7"/>
    <w:rsid w:val="00CB034C"/>
    <w:rsid w:val="00CB4FDB"/>
    <w:rsid w:val="00CB51AD"/>
    <w:rsid w:val="00CC2F3E"/>
    <w:rsid w:val="00CC4993"/>
    <w:rsid w:val="00D01E04"/>
    <w:rsid w:val="00D17D13"/>
    <w:rsid w:val="00D20E78"/>
    <w:rsid w:val="00D332C0"/>
    <w:rsid w:val="00D3403D"/>
    <w:rsid w:val="00D363B6"/>
    <w:rsid w:val="00D37422"/>
    <w:rsid w:val="00D42202"/>
    <w:rsid w:val="00D46E69"/>
    <w:rsid w:val="00D61422"/>
    <w:rsid w:val="00D761DC"/>
    <w:rsid w:val="00D7649A"/>
    <w:rsid w:val="00D93FCC"/>
    <w:rsid w:val="00DB2463"/>
    <w:rsid w:val="00DC769E"/>
    <w:rsid w:val="00DD2A0D"/>
    <w:rsid w:val="00DD5296"/>
    <w:rsid w:val="00DE122E"/>
    <w:rsid w:val="00DE245C"/>
    <w:rsid w:val="00DE3CBB"/>
    <w:rsid w:val="00DE76CB"/>
    <w:rsid w:val="00DF0D26"/>
    <w:rsid w:val="00DF15DD"/>
    <w:rsid w:val="00DF7D10"/>
    <w:rsid w:val="00E103FB"/>
    <w:rsid w:val="00E16E52"/>
    <w:rsid w:val="00E42AEE"/>
    <w:rsid w:val="00E533D0"/>
    <w:rsid w:val="00E55071"/>
    <w:rsid w:val="00E60EE1"/>
    <w:rsid w:val="00E72F99"/>
    <w:rsid w:val="00E77DF6"/>
    <w:rsid w:val="00E8352B"/>
    <w:rsid w:val="00E97944"/>
    <w:rsid w:val="00EA468F"/>
    <w:rsid w:val="00EA4D24"/>
    <w:rsid w:val="00EA6A49"/>
    <w:rsid w:val="00EA792E"/>
    <w:rsid w:val="00EB04E2"/>
    <w:rsid w:val="00EC4BF6"/>
    <w:rsid w:val="00EC6D07"/>
    <w:rsid w:val="00EC6F42"/>
    <w:rsid w:val="00ED11AF"/>
    <w:rsid w:val="00ED3A3C"/>
    <w:rsid w:val="00EF7C38"/>
    <w:rsid w:val="00F030B4"/>
    <w:rsid w:val="00F03C60"/>
    <w:rsid w:val="00F201B8"/>
    <w:rsid w:val="00F2285F"/>
    <w:rsid w:val="00F33FD4"/>
    <w:rsid w:val="00F36709"/>
    <w:rsid w:val="00F45167"/>
    <w:rsid w:val="00F47FDD"/>
    <w:rsid w:val="00F51C17"/>
    <w:rsid w:val="00F5571A"/>
    <w:rsid w:val="00F65949"/>
    <w:rsid w:val="00F673A7"/>
    <w:rsid w:val="00F70594"/>
    <w:rsid w:val="00F754AB"/>
    <w:rsid w:val="00F8147B"/>
    <w:rsid w:val="00F87EA6"/>
    <w:rsid w:val="00F903C3"/>
    <w:rsid w:val="00FB0ABC"/>
    <w:rsid w:val="00FB5217"/>
    <w:rsid w:val="00FC173B"/>
    <w:rsid w:val="00FC2064"/>
    <w:rsid w:val="00FC4E03"/>
    <w:rsid w:val="00FD2E66"/>
    <w:rsid w:val="00FD595E"/>
    <w:rsid w:val="00FE6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1C"/>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240319">
      <w:bodyDiv w:val="1"/>
      <w:marLeft w:val="0"/>
      <w:marRight w:val="0"/>
      <w:marTop w:val="0"/>
      <w:marBottom w:val="0"/>
      <w:divBdr>
        <w:top w:val="none" w:sz="0" w:space="0" w:color="auto"/>
        <w:left w:val="none" w:sz="0" w:space="0" w:color="auto"/>
        <w:bottom w:val="none" w:sz="0" w:space="0" w:color="auto"/>
        <w:right w:val="none" w:sz="0" w:space="0" w:color="auto"/>
      </w:divBdr>
    </w:div>
    <w:div w:id="513300153">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080" b="1" i="0" u="none" strike="noStrike" kern="1200" cap="all" spc="150" baseline="0">
                <a:solidFill>
                  <a:sysClr val="windowText" lastClr="000000"/>
                </a:solidFill>
                <a:latin typeface="Arial" panose="020B0604020202020204" pitchFamily="34" charset="0"/>
                <a:ea typeface="+mn-ea"/>
                <a:cs typeface="Arial" panose="020B0604020202020204" pitchFamily="34" charset="0"/>
              </a:defRPr>
            </a:pPr>
            <a:r>
              <a:rPr lang="en-US"/>
              <a:t>UNQUALIFIED AUDITS WITH NO FINDINGS </a:t>
            </a:r>
          </a:p>
          <a:p>
            <a:pPr>
              <a:defRPr sz="1080" b="1" i="0" u="none" strike="noStrike" kern="1200" cap="all" spc="150" baseline="0">
                <a:solidFill>
                  <a:sysClr val="windowText" lastClr="000000"/>
                </a:solidFill>
                <a:latin typeface="Arial" panose="020B0604020202020204" pitchFamily="34" charset="0"/>
                <a:ea typeface="+mn-ea"/>
                <a:cs typeface="Arial" panose="020B0604020202020204" pitchFamily="34" charset="0"/>
              </a:defRPr>
            </a:pPr>
            <a:r>
              <a:rPr lang="en-US"/>
              <a:t>NATIONAL INSTITUTIONS</a:t>
            </a:r>
          </a:p>
        </c:rich>
      </c:tx>
      <c:spPr>
        <a:noFill/>
        <a:ln>
          <a:noFill/>
        </a:ln>
        <a:effectLst/>
      </c:spPr>
    </c:title>
    <c:plotArea>
      <c:layout/>
      <c:barChart>
        <c:barDir val="col"/>
        <c:grouping val="clustered"/>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National!$A$3:$A$7</c:f>
              <c:strCache>
                <c:ptCount val="5"/>
                <c:pt idx="0">
                  <c:v>2013/2014</c:v>
                </c:pt>
                <c:pt idx="1">
                  <c:v>2014/2015</c:v>
                </c:pt>
                <c:pt idx="2">
                  <c:v>2015/2016</c:v>
                </c:pt>
                <c:pt idx="3">
                  <c:v>2016/2017</c:v>
                </c:pt>
                <c:pt idx="4">
                  <c:v>2017/2018</c:v>
                </c:pt>
              </c:strCache>
            </c:strRef>
          </c:cat>
          <c:val>
            <c:numRef>
              <c:f>National!$B$3:$B$7</c:f>
              <c:numCache>
                <c:formatCode>0%</c:formatCode>
                <c:ptCount val="5"/>
                <c:pt idx="0">
                  <c:v>0.31000000000000011</c:v>
                </c:pt>
                <c:pt idx="1">
                  <c:v>0.33000000000000013</c:v>
                </c:pt>
                <c:pt idx="2">
                  <c:v>0.37000000000000011</c:v>
                </c:pt>
                <c:pt idx="3">
                  <c:v>0.38000000000000012</c:v>
                </c:pt>
                <c:pt idx="4">
                  <c:v>0.29000000000000009</c:v>
                </c:pt>
              </c:numCache>
            </c:numRef>
          </c:val>
          <c:extLst xmlns:c16r2="http://schemas.microsoft.com/office/drawing/2015/06/chart">
            <c:ext xmlns:c16="http://schemas.microsoft.com/office/drawing/2014/chart" uri="{C3380CC4-5D6E-409C-BE32-E72D297353CC}">
              <c16:uniqueId val="{00000000-21D8-4431-B4F2-6D30CED93F59}"/>
            </c:ext>
          </c:extLst>
        </c:ser>
        <c:gapWidth val="164"/>
        <c:overlap val="-22"/>
        <c:axId val="117755904"/>
        <c:axId val="117757440"/>
      </c:barChart>
      <c:catAx>
        <c:axId val="117755904"/>
        <c:scaling>
          <c:orientation val="minMax"/>
        </c:scaling>
        <c:axPos val="b"/>
        <c:numFmt formatCode="General" sourceLinked="0"/>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7757440"/>
        <c:crosses val="autoZero"/>
        <c:auto val="1"/>
        <c:lblAlgn val="ctr"/>
        <c:lblOffset val="100"/>
      </c:catAx>
      <c:valAx>
        <c:axId val="117757440"/>
        <c:scaling>
          <c:orientation val="minMax"/>
        </c:scaling>
        <c:axPos val="l"/>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77559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080" b="1" i="0" u="none" strike="noStrike" kern="1200" cap="all" spc="150" baseline="0">
                <a:solidFill>
                  <a:sysClr val="windowText" lastClr="000000"/>
                </a:solidFill>
                <a:latin typeface="Arial" panose="020B0604020202020204" pitchFamily="34" charset="0"/>
                <a:ea typeface="+mn-ea"/>
                <a:cs typeface="Arial" panose="020B0604020202020204" pitchFamily="34" charset="0"/>
              </a:defRPr>
            </a:pPr>
            <a:r>
              <a:rPr lang="en-US"/>
              <a:t>UNQUALIFIED AUDITS WITH NO FINDINGS </a:t>
            </a:r>
          </a:p>
          <a:p>
            <a:pPr>
              <a:defRPr sz="1080" b="1" i="0" u="none" strike="noStrike" kern="1200" cap="all" spc="150" baseline="0">
                <a:solidFill>
                  <a:sysClr val="windowText" lastClr="000000"/>
                </a:solidFill>
                <a:latin typeface="Arial" panose="020B0604020202020204" pitchFamily="34" charset="0"/>
                <a:ea typeface="+mn-ea"/>
                <a:cs typeface="Arial" panose="020B0604020202020204" pitchFamily="34" charset="0"/>
              </a:defRPr>
            </a:pPr>
            <a:r>
              <a:rPr lang="en-US"/>
              <a:t>PROVINCIAL INSTITUTIONS</a:t>
            </a:r>
          </a:p>
        </c:rich>
      </c:tx>
      <c:spPr>
        <a:noFill/>
        <a:ln>
          <a:noFill/>
        </a:ln>
        <a:effectLst/>
      </c:spPr>
    </c:title>
    <c:plotArea>
      <c:layout/>
      <c:barChart>
        <c:barDir val="col"/>
        <c:grouping val="clustered"/>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Provincial!$A$2:$A$6</c:f>
              <c:strCache>
                <c:ptCount val="5"/>
                <c:pt idx="0">
                  <c:v>2013/2014</c:v>
                </c:pt>
                <c:pt idx="1">
                  <c:v>2014/2015</c:v>
                </c:pt>
                <c:pt idx="2">
                  <c:v>2015/2016</c:v>
                </c:pt>
                <c:pt idx="3">
                  <c:v>2016/2017</c:v>
                </c:pt>
                <c:pt idx="4">
                  <c:v>2017/2018</c:v>
                </c:pt>
              </c:strCache>
            </c:strRef>
          </c:cat>
          <c:val>
            <c:numRef>
              <c:f>Provincial!$B$2:$B$6</c:f>
              <c:numCache>
                <c:formatCode>0%</c:formatCode>
                <c:ptCount val="5"/>
                <c:pt idx="0">
                  <c:v>0.28000000000000008</c:v>
                </c:pt>
                <c:pt idx="1">
                  <c:v>0.29000000000000009</c:v>
                </c:pt>
                <c:pt idx="2">
                  <c:v>0.34</c:v>
                </c:pt>
                <c:pt idx="3">
                  <c:v>0.33000000000000013</c:v>
                </c:pt>
                <c:pt idx="4">
                  <c:v>0.28000000000000008</c:v>
                </c:pt>
              </c:numCache>
            </c:numRef>
          </c:val>
          <c:extLst xmlns:c16r2="http://schemas.microsoft.com/office/drawing/2015/06/chart">
            <c:ext xmlns:c16="http://schemas.microsoft.com/office/drawing/2014/chart" uri="{C3380CC4-5D6E-409C-BE32-E72D297353CC}">
              <c16:uniqueId val="{00000000-2FE9-4845-9E4A-C5C5000FCD62}"/>
            </c:ext>
          </c:extLst>
        </c:ser>
        <c:gapWidth val="164"/>
        <c:overlap val="-22"/>
        <c:axId val="118101504"/>
        <c:axId val="118103040"/>
      </c:barChart>
      <c:catAx>
        <c:axId val="118101504"/>
        <c:scaling>
          <c:orientation val="minMax"/>
        </c:scaling>
        <c:axPos val="b"/>
        <c:numFmt formatCode="General" sourceLinked="0"/>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8103040"/>
        <c:crosses val="autoZero"/>
        <c:auto val="1"/>
        <c:lblAlgn val="ctr"/>
        <c:lblOffset val="100"/>
      </c:catAx>
      <c:valAx>
        <c:axId val="118103040"/>
        <c:scaling>
          <c:orientation val="minMax"/>
        </c:scaling>
        <c:axPos val="l"/>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81015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080" b="1"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r>
              <a:rPr lang="en-US" b="1"/>
              <a:t>Unauthorized Expenditure: R'million</a:t>
            </a:r>
          </a:p>
          <a:p>
            <a:pPr>
              <a:defRPr sz="1080" b="1"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r>
              <a:rPr lang="en-US" b="1"/>
              <a:t>National Institutions</a:t>
            </a:r>
            <a:endParaRPr lang="en-ZA" b="1"/>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'Unauthorized Exp'!$C$3</c:f>
              <c:strCache>
                <c:ptCount val="1"/>
                <c:pt idx="0">
                  <c:v>National Departments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cat>
            <c:strRef>
              <c:f>'Unauthorized Exp'!$D$2:$H$2</c:f>
              <c:strCache>
                <c:ptCount val="5"/>
                <c:pt idx="0">
                  <c:v>2013/14</c:v>
                </c:pt>
                <c:pt idx="1">
                  <c:v>2014/15</c:v>
                </c:pt>
                <c:pt idx="2">
                  <c:v>2015/16</c:v>
                </c:pt>
                <c:pt idx="3">
                  <c:v>2016/17</c:v>
                </c:pt>
                <c:pt idx="4">
                  <c:v>2017/18</c:v>
                </c:pt>
              </c:strCache>
            </c:strRef>
          </c:cat>
          <c:val>
            <c:numRef>
              <c:f>'Unauthorized Exp'!$D$3:$H$3</c:f>
              <c:numCache>
                <c:formatCode>#,##0</c:formatCode>
                <c:ptCount val="5"/>
                <c:pt idx="0">
                  <c:v>913</c:v>
                </c:pt>
                <c:pt idx="1">
                  <c:v>407</c:v>
                </c:pt>
                <c:pt idx="2">
                  <c:v>307</c:v>
                </c:pt>
                <c:pt idx="3">
                  <c:v>442.6</c:v>
                </c:pt>
                <c:pt idx="4">
                  <c:v>584</c:v>
                </c:pt>
              </c:numCache>
            </c:numRef>
          </c:val>
          <c:extLst xmlns:c16r2="http://schemas.microsoft.com/office/drawing/2015/06/chart">
            <c:ext xmlns:c16="http://schemas.microsoft.com/office/drawing/2014/chart" uri="{C3380CC4-5D6E-409C-BE32-E72D297353CC}">
              <c16:uniqueId val="{00000005-3F13-4EF2-9634-5E7D12BE91DA}"/>
            </c:ext>
          </c:extLst>
        </c:ser>
        <c:shape val="cylinder"/>
        <c:axId val="115969408"/>
        <c:axId val="118228096"/>
        <c:axId val="0"/>
      </c:bar3DChart>
      <c:catAx>
        <c:axId val="115969408"/>
        <c:scaling>
          <c:orientation val="minMax"/>
        </c:scaling>
        <c:axPos val="b"/>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8228096"/>
        <c:crosses val="autoZero"/>
        <c:auto val="1"/>
        <c:lblAlgn val="ctr"/>
        <c:lblOffset val="100"/>
      </c:catAx>
      <c:valAx>
        <c:axId val="118228096"/>
        <c:scaling>
          <c:orientation val="minMax"/>
        </c:scaling>
        <c:axPos val="l"/>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596940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noFill/>
        </a:ln>
        <a:effectLst/>
      </c:spPr>
    </c:plotArea>
    <c:plotVisOnly val="1"/>
    <c:dispBlanksAs val="gap"/>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080" b="1" i="0" u="none" strike="noStrike" kern="1200" cap="none" spc="50" baseline="0">
                <a:solidFill>
                  <a:sysClr val="windowText" lastClr="000000"/>
                </a:solidFill>
                <a:latin typeface="Arial" panose="020B0604020202020204" pitchFamily="34" charset="0"/>
                <a:ea typeface="+mn-ea"/>
                <a:cs typeface="Arial" panose="020B0604020202020204" pitchFamily="34" charset="0"/>
              </a:defRPr>
            </a:pPr>
            <a:r>
              <a:rPr lang="en-US" b="1"/>
              <a:t>Irregular Expenditure: R`billion</a:t>
            </a:r>
          </a:p>
          <a:p>
            <a:pPr>
              <a:defRPr sz="1080" b="1" i="0" u="none" strike="noStrike" kern="1200" cap="none" spc="50" baseline="0">
                <a:solidFill>
                  <a:sysClr val="windowText" lastClr="000000"/>
                </a:solidFill>
                <a:latin typeface="Arial" panose="020B0604020202020204" pitchFamily="34" charset="0"/>
                <a:ea typeface="+mn-ea"/>
                <a:cs typeface="Arial" panose="020B0604020202020204" pitchFamily="34" charset="0"/>
              </a:defRPr>
            </a:pPr>
            <a:r>
              <a:rPr lang="en-US" b="1"/>
              <a:t>National Institutions </a:t>
            </a:r>
            <a:endParaRPr lang="en-ZA" b="1"/>
          </a:p>
        </c:rich>
      </c:tx>
      <c:layout>
        <c:manualLayout>
          <c:xMode val="edge"/>
          <c:yMode val="edge"/>
          <c:x val="0.32160985549415733"/>
          <c:y val="0"/>
        </c:manualLayout>
      </c:layout>
      <c:spPr>
        <a:noFill/>
        <a:ln>
          <a:noFill/>
        </a:ln>
        <a:effectLst/>
      </c:spPr>
    </c:title>
    <c:view3D>
      <c:depthPercent val="100"/>
      <c:rAngAx val="1"/>
    </c:view3D>
    <c:floor>
      <c:spPr>
        <a:solidFill>
          <a:schemeClr val="lt1">
            <a:alpha val="27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'Irregular Exp'!$A$3</c:f>
              <c:strCache>
                <c:ptCount val="1"/>
                <c:pt idx="0">
                  <c:v>National Departments</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cat>
            <c:strRef>
              <c:f>'Irregular Exp'!$B$2:$F$2</c:f>
              <c:strCache>
                <c:ptCount val="5"/>
                <c:pt idx="0">
                  <c:v>2013/14</c:v>
                </c:pt>
                <c:pt idx="1">
                  <c:v>2014/15</c:v>
                </c:pt>
                <c:pt idx="2">
                  <c:v>2015/16</c:v>
                </c:pt>
                <c:pt idx="3">
                  <c:v>2016/17</c:v>
                </c:pt>
                <c:pt idx="4">
                  <c:v>2017/18</c:v>
                </c:pt>
              </c:strCache>
            </c:strRef>
          </c:cat>
          <c:val>
            <c:numRef>
              <c:f>'Irregular Exp'!$B$3:$F$3</c:f>
              <c:numCache>
                <c:formatCode>_(* #,##0_);_(* \(#,##0\);_(* "-"??_);_(@_)</c:formatCode>
                <c:ptCount val="5"/>
                <c:pt idx="0">
                  <c:v>5239</c:v>
                </c:pt>
                <c:pt idx="1">
                  <c:v>2920</c:v>
                </c:pt>
                <c:pt idx="2">
                  <c:v>4434</c:v>
                </c:pt>
                <c:pt idx="3">
                  <c:v>3725.54</c:v>
                </c:pt>
                <c:pt idx="4">
                  <c:v>6533</c:v>
                </c:pt>
              </c:numCache>
            </c:numRef>
          </c:val>
          <c:extLst xmlns:c16r2="http://schemas.microsoft.com/office/drawing/2015/06/chart">
            <c:ext xmlns:c16="http://schemas.microsoft.com/office/drawing/2014/chart" uri="{C3380CC4-5D6E-409C-BE32-E72D297353CC}">
              <c16:uniqueId val="{00000005-C8D0-4297-A3A3-51E1E5861DB5}"/>
            </c:ext>
          </c:extLst>
        </c:ser>
        <c:ser>
          <c:idx val="1"/>
          <c:order val="1"/>
          <c:tx>
            <c:strRef>
              <c:f>'Irregular Exp'!$A$4</c:f>
              <c:strCache>
                <c:ptCount val="1"/>
                <c:pt idx="0">
                  <c:v>National Public Entities</c:v>
                </c:pt>
              </c:strCache>
            </c:strRef>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cat>
            <c:strRef>
              <c:f>'Irregular Exp'!$B$2:$F$2</c:f>
              <c:strCache>
                <c:ptCount val="5"/>
                <c:pt idx="0">
                  <c:v>2013/14</c:v>
                </c:pt>
                <c:pt idx="1">
                  <c:v>2014/15</c:v>
                </c:pt>
                <c:pt idx="2">
                  <c:v>2015/16</c:v>
                </c:pt>
                <c:pt idx="3">
                  <c:v>2016/17</c:v>
                </c:pt>
                <c:pt idx="4">
                  <c:v>2017/18</c:v>
                </c:pt>
              </c:strCache>
            </c:strRef>
          </c:cat>
          <c:val>
            <c:numRef>
              <c:f>'Irregular Exp'!$B$4:$F$4</c:f>
              <c:numCache>
                <c:formatCode>_(* #,##0_);_(* \(#,##0\);_(* "-"??_);_(@_)</c:formatCode>
                <c:ptCount val="5"/>
                <c:pt idx="0">
                  <c:v>12720</c:v>
                </c:pt>
                <c:pt idx="1">
                  <c:v>3899</c:v>
                </c:pt>
                <c:pt idx="2">
                  <c:v>18162</c:v>
                </c:pt>
                <c:pt idx="3">
                  <c:v>5729.34</c:v>
                </c:pt>
                <c:pt idx="4">
                  <c:v>36746</c:v>
                </c:pt>
              </c:numCache>
            </c:numRef>
          </c:val>
          <c:extLst xmlns:c16r2="http://schemas.microsoft.com/office/drawing/2015/06/chart">
            <c:ext xmlns:c16="http://schemas.microsoft.com/office/drawing/2014/chart" uri="{C3380CC4-5D6E-409C-BE32-E72D297353CC}">
              <c16:uniqueId val="{0000000B-C8D0-4297-A3A3-51E1E5861DB5}"/>
            </c:ext>
          </c:extLst>
        </c:ser>
        <c:ser>
          <c:idx val="2"/>
          <c:order val="2"/>
          <c:tx>
            <c:strRef>
              <c:f>'Irregular Exp'!$A$5</c:f>
              <c:strCache>
                <c:ptCount val="1"/>
                <c:pt idx="0">
                  <c:v>Const Institutions</c:v>
                </c:pt>
              </c:strCache>
            </c:strRef>
          </c:tx>
          <c:spPr>
            <a:solidFill>
              <a:schemeClr val="accent3"/>
            </a:solidFill>
            <a:ln>
              <a:solidFill>
                <a:schemeClr val="accent3">
                  <a:lumMod val="75000"/>
                </a:schemeClr>
              </a:solidFill>
            </a:ln>
            <a:effectLst/>
            <a:scene3d>
              <a:camera prst="orthographicFront"/>
              <a:lightRig rig="threePt" dir="t"/>
            </a:scene3d>
            <a:sp3d prstMaterial="translucentPowder">
              <a:contourClr>
                <a:schemeClr val="accent3">
                  <a:lumMod val="75000"/>
                </a:schemeClr>
              </a:contourClr>
            </a:sp3d>
          </c:spPr>
          <c:cat>
            <c:strRef>
              <c:f>'Irregular Exp'!$B$2:$F$2</c:f>
              <c:strCache>
                <c:ptCount val="5"/>
                <c:pt idx="0">
                  <c:v>2013/14</c:v>
                </c:pt>
                <c:pt idx="1">
                  <c:v>2014/15</c:v>
                </c:pt>
                <c:pt idx="2">
                  <c:v>2015/16</c:v>
                </c:pt>
                <c:pt idx="3">
                  <c:v>2016/17</c:v>
                </c:pt>
                <c:pt idx="4">
                  <c:v>2017/18</c:v>
                </c:pt>
              </c:strCache>
            </c:strRef>
          </c:cat>
          <c:val>
            <c:numRef>
              <c:f>'Irregular Exp'!$B$5:$F$5</c:f>
              <c:numCache>
                <c:formatCode>_(* #,##0_);_(* \(#,##0\);_(* "-"??_);_(@_)</c:formatCode>
                <c:ptCount val="5"/>
                <c:pt idx="0">
                  <c:v>45</c:v>
                </c:pt>
                <c:pt idx="1">
                  <c:v>498</c:v>
                </c:pt>
                <c:pt idx="2">
                  <c:v>819</c:v>
                </c:pt>
                <c:pt idx="3">
                  <c:v>71</c:v>
                </c:pt>
                <c:pt idx="4">
                  <c:v>180</c:v>
                </c:pt>
              </c:numCache>
            </c:numRef>
          </c:val>
          <c:extLst xmlns:c16r2="http://schemas.microsoft.com/office/drawing/2015/06/chart">
            <c:ext xmlns:c16="http://schemas.microsoft.com/office/drawing/2014/chart" uri="{C3380CC4-5D6E-409C-BE32-E72D297353CC}">
              <c16:uniqueId val="{00000011-C8D0-4297-A3A3-51E1E5861DB5}"/>
            </c:ext>
          </c:extLst>
        </c:ser>
        <c:shape val="cylinder"/>
        <c:axId val="118061312"/>
        <c:axId val="118456320"/>
        <c:axId val="0"/>
      </c:bar3DChart>
      <c:catAx>
        <c:axId val="118061312"/>
        <c:scaling>
          <c:orientation val="minMax"/>
        </c:scaling>
        <c:axPos val="b"/>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8456320"/>
        <c:crosses val="autoZero"/>
        <c:auto val="1"/>
        <c:lblAlgn val="ctr"/>
        <c:lblOffset val="100"/>
      </c:catAx>
      <c:valAx>
        <c:axId val="118456320"/>
        <c:scaling>
          <c:orientation val="minMax"/>
        </c:scaling>
        <c:axPos val="l"/>
        <c:majorGridlines>
          <c:spPr>
            <a:ln w="9525" cap="flat" cmpd="sng" algn="ctr">
              <a:solidFill>
                <a:schemeClr val="tx1">
                  <a:lumMod val="5000"/>
                  <a:lumOff val="95000"/>
                </a:schemeClr>
              </a:solidFill>
              <a:round/>
            </a:ln>
            <a:effectLst/>
          </c:spPr>
        </c:majorGridlines>
        <c:numFmt formatCode="_(* #,##0_);_(* \(#,##0\);_(* &quot;-&quot;??_);_(@_)"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806131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noFill/>
        </a:ln>
        <a:effectLst/>
      </c:spPr>
    </c:plotArea>
    <c:plotVisOnly val="1"/>
    <c:dispBlanksAs val="gap"/>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000" b="1" i="0" u="none" strike="noStrike" kern="1200" cap="none" spc="5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Fruitless &amp; Wasteful Expenditure: R`billion</a:t>
            </a:r>
          </a:p>
          <a:p>
            <a:pPr>
              <a:defRPr sz="1000" b="1" i="0" u="none" strike="noStrike" kern="1200" cap="none" spc="5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National Institutions</a:t>
            </a:r>
            <a:endParaRPr lang="en-ZA" sz="10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33348759139482609"/>
          <c:y val="9.9877515310586237E-3"/>
        </c:manualLayout>
      </c:layout>
      <c:spPr>
        <a:noFill/>
        <a:ln>
          <a:noFill/>
        </a:ln>
        <a:effectLst/>
      </c:spPr>
    </c:title>
    <c:view3D>
      <c:depthPercent val="100"/>
      <c:rAngAx val="1"/>
    </c:view3D>
    <c:floor>
      <c:spPr>
        <a:solidFill>
          <a:schemeClr val="lt1">
            <a:alpha val="27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104876218535924"/>
          <c:y val="0.22988767585299538"/>
          <c:w val="0.76140521960446672"/>
          <c:h val="0.56331048612980672"/>
        </c:manualLayout>
      </c:layout>
      <c:bar3DChart>
        <c:barDir val="col"/>
        <c:grouping val="clustered"/>
        <c:ser>
          <c:idx val="0"/>
          <c:order val="0"/>
          <c:tx>
            <c:strRef>
              <c:f>'Fruitless &amp; Wasteful'!$A$3</c:f>
              <c:strCache>
                <c:ptCount val="1"/>
                <c:pt idx="0">
                  <c:v>National Departments</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cat>
            <c:strRef>
              <c:f>'Fruitless &amp; Wasteful'!$B$2:$F$2</c:f>
              <c:strCache>
                <c:ptCount val="5"/>
                <c:pt idx="0">
                  <c:v>2013/14</c:v>
                </c:pt>
                <c:pt idx="1">
                  <c:v>2014/15</c:v>
                </c:pt>
                <c:pt idx="2">
                  <c:v>2015/16</c:v>
                </c:pt>
                <c:pt idx="3">
                  <c:v>2016/17</c:v>
                </c:pt>
                <c:pt idx="4">
                  <c:v>2017/18</c:v>
                </c:pt>
              </c:strCache>
            </c:strRef>
          </c:cat>
          <c:val>
            <c:numRef>
              <c:f>'Fruitless &amp; Wasteful'!$B$3:$F$3</c:f>
              <c:numCache>
                <c:formatCode>_(* #,##0_);_(* \(#,##0\);_(* "-"??_);_(@_)</c:formatCode>
                <c:ptCount val="5"/>
                <c:pt idx="0">
                  <c:v>356</c:v>
                </c:pt>
                <c:pt idx="1">
                  <c:v>61</c:v>
                </c:pt>
                <c:pt idx="2">
                  <c:v>147</c:v>
                </c:pt>
                <c:pt idx="3">
                  <c:v>129.29</c:v>
                </c:pt>
                <c:pt idx="4">
                  <c:v>672</c:v>
                </c:pt>
              </c:numCache>
            </c:numRef>
          </c:val>
          <c:extLst xmlns:c16r2="http://schemas.microsoft.com/office/drawing/2015/06/chart">
            <c:ext xmlns:c16="http://schemas.microsoft.com/office/drawing/2014/chart" uri="{C3380CC4-5D6E-409C-BE32-E72D297353CC}">
              <c16:uniqueId val="{00000005-FE60-460A-BAD2-DACB42CAF829}"/>
            </c:ext>
          </c:extLst>
        </c:ser>
        <c:ser>
          <c:idx val="1"/>
          <c:order val="1"/>
          <c:tx>
            <c:strRef>
              <c:f>'Fruitless &amp; Wasteful'!$A$4</c:f>
              <c:strCache>
                <c:ptCount val="1"/>
                <c:pt idx="0">
                  <c:v>National Public Entities</c:v>
                </c:pt>
              </c:strCache>
            </c:strRef>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cat>
            <c:strRef>
              <c:f>'Fruitless &amp; Wasteful'!$B$2:$F$2</c:f>
              <c:strCache>
                <c:ptCount val="5"/>
                <c:pt idx="0">
                  <c:v>2013/14</c:v>
                </c:pt>
                <c:pt idx="1">
                  <c:v>2014/15</c:v>
                </c:pt>
                <c:pt idx="2">
                  <c:v>2015/16</c:v>
                </c:pt>
                <c:pt idx="3">
                  <c:v>2016/17</c:v>
                </c:pt>
                <c:pt idx="4">
                  <c:v>2017/18</c:v>
                </c:pt>
              </c:strCache>
            </c:strRef>
          </c:cat>
          <c:val>
            <c:numRef>
              <c:f>'Fruitless &amp; Wasteful'!$B$4:$F$4</c:f>
              <c:numCache>
                <c:formatCode>_(* #,##0_);_(* \(#,##0\);_(* "-"??_);_(@_)</c:formatCode>
                <c:ptCount val="5"/>
                <c:pt idx="0">
                  <c:v>153</c:v>
                </c:pt>
                <c:pt idx="1">
                  <c:v>137</c:v>
                </c:pt>
                <c:pt idx="2">
                  <c:v>761</c:v>
                </c:pt>
                <c:pt idx="3">
                  <c:v>363.69</c:v>
                </c:pt>
                <c:pt idx="4">
                  <c:v>1394</c:v>
                </c:pt>
              </c:numCache>
            </c:numRef>
          </c:val>
          <c:extLst xmlns:c16r2="http://schemas.microsoft.com/office/drawing/2015/06/chart">
            <c:ext xmlns:c16="http://schemas.microsoft.com/office/drawing/2014/chart" uri="{C3380CC4-5D6E-409C-BE32-E72D297353CC}">
              <c16:uniqueId val="{0000000B-FE60-460A-BAD2-DACB42CAF829}"/>
            </c:ext>
          </c:extLst>
        </c:ser>
        <c:ser>
          <c:idx val="2"/>
          <c:order val="2"/>
          <c:tx>
            <c:strRef>
              <c:f>'Fruitless &amp; Wasteful'!$A$5</c:f>
              <c:strCache>
                <c:ptCount val="1"/>
                <c:pt idx="0">
                  <c:v>Const Institutions</c:v>
                </c:pt>
              </c:strCache>
            </c:strRef>
          </c:tx>
          <c:spPr>
            <a:solidFill>
              <a:schemeClr val="accent3"/>
            </a:solidFill>
            <a:ln>
              <a:solidFill>
                <a:schemeClr val="accent3">
                  <a:lumMod val="75000"/>
                </a:schemeClr>
              </a:solidFill>
            </a:ln>
            <a:effectLst/>
            <a:scene3d>
              <a:camera prst="orthographicFront"/>
              <a:lightRig rig="threePt" dir="t"/>
            </a:scene3d>
            <a:sp3d prstMaterial="translucentPowder">
              <a:contourClr>
                <a:schemeClr val="accent3">
                  <a:lumMod val="75000"/>
                </a:schemeClr>
              </a:contourClr>
            </a:sp3d>
          </c:spPr>
          <c:cat>
            <c:strRef>
              <c:f>'Fruitless &amp; Wasteful'!$B$2:$F$2</c:f>
              <c:strCache>
                <c:ptCount val="5"/>
                <c:pt idx="0">
                  <c:v>2013/14</c:v>
                </c:pt>
                <c:pt idx="1">
                  <c:v>2014/15</c:v>
                </c:pt>
                <c:pt idx="2">
                  <c:v>2015/16</c:v>
                </c:pt>
                <c:pt idx="3">
                  <c:v>2016/17</c:v>
                </c:pt>
                <c:pt idx="4">
                  <c:v>2017/18</c:v>
                </c:pt>
              </c:strCache>
            </c:strRef>
          </c:cat>
          <c:val>
            <c:numRef>
              <c:f>'Fruitless &amp; Wasteful'!$B$5:$F$5</c:f>
              <c:numCache>
                <c:formatCode>_(* #,##0_);_(* \(#,##0\);_(* "-"??_);_(@_)</c:formatCode>
                <c:ptCount val="5"/>
                <c:pt idx="0">
                  <c:v>0</c:v>
                </c:pt>
                <c:pt idx="1">
                  <c:v>23</c:v>
                </c:pt>
                <c:pt idx="2">
                  <c:v>36</c:v>
                </c:pt>
                <c:pt idx="3">
                  <c:v>13.96</c:v>
                </c:pt>
                <c:pt idx="4">
                  <c:v>87</c:v>
                </c:pt>
              </c:numCache>
            </c:numRef>
          </c:val>
          <c:extLst xmlns:c16r2="http://schemas.microsoft.com/office/drawing/2015/06/chart">
            <c:ext xmlns:c16="http://schemas.microsoft.com/office/drawing/2014/chart" uri="{C3380CC4-5D6E-409C-BE32-E72D297353CC}">
              <c16:uniqueId val="{00000010-FE60-460A-BAD2-DACB42CAF829}"/>
            </c:ext>
          </c:extLst>
        </c:ser>
        <c:shape val="cylinder"/>
        <c:axId val="119313152"/>
        <c:axId val="119314688"/>
        <c:axId val="0"/>
      </c:bar3DChart>
      <c:catAx>
        <c:axId val="119313152"/>
        <c:scaling>
          <c:orientation val="minMax"/>
        </c:scaling>
        <c:axPos val="b"/>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9314688"/>
        <c:crosses val="autoZero"/>
        <c:auto val="1"/>
        <c:lblAlgn val="ctr"/>
        <c:lblOffset val="100"/>
      </c:catAx>
      <c:valAx>
        <c:axId val="119314688"/>
        <c:scaling>
          <c:orientation val="minMax"/>
        </c:scaling>
        <c:axPos val="l"/>
        <c:numFmt formatCode="_(* #,##0_);_(* \(#,##0\);_(* &quot;-&quot;??_);_(@_)"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931315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1"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BFA9-BA50-4411-A942-DEAC7DFF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2019-10-25T11:08:00Z</dcterms:created>
  <dcterms:modified xsi:type="dcterms:W3CDTF">2019-10-25T11:08:00Z</dcterms:modified>
</cp:coreProperties>
</file>