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A84545"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697478">
        <w:rPr>
          <w:rFonts w:ascii="Arial" w:hAnsi="Arial" w:cs="Arial"/>
          <w:b/>
          <w:bCs/>
          <w:sz w:val="20"/>
        </w:rPr>
        <w:t>952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697478">
        <w:rPr>
          <w:rFonts w:ascii="Arial" w:hAnsi="Arial" w:cs="Arial"/>
          <w:b/>
          <w:bCs/>
          <w:sz w:val="20"/>
        </w:rPr>
        <w:t>19 June</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697478">
        <w:rPr>
          <w:rFonts w:ascii="Arial" w:hAnsi="Arial" w:cs="Arial"/>
          <w:sz w:val="20"/>
          <w:szCs w:val="20"/>
        </w:rPr>
        <w:t>952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A84545"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697478">
        <w:rPr>
          <w:rFonts w:ascii="Arial" w:hAnsi="Arial" w:cs="Arial"/>
          <w:b/>
        </w:rPr>
        <w:t>952</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697478">
        <w:rPr>
          <w:rFonts w:ascii="Arial" w:hAnsi="Arial" w:cs="Arial"/>
          <w:b/>
        </w:rPr>
        <w:t>6 MAY</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2C3369" w:rsidRDefault="00697478"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952</w:t>
      </w:r>
      <w:r w:rsidR="00856D44" w:rsidRPr="002C3369">
        <w:rPr>
          <w:rFonts w:ascii="Arial" w:hAnsi="Arial" w:cs="Arial"/>
          <w:b/>
          <w:bCs/>
          <w:lang w:val="en-ZA"/>
        </w:rPr>
        <w:t xml:space="preserve">.     </w:t>
      </w:r>
      <w:r>
        <w:rPr>
          <w:rFonts w:ascii="Arial" w:hAnsi="Arial" w:cs="Arial"/>
          <w:b/>
          <w:bCs/>
          <w:lang w:val="en-ZA"/>
        </w:rPr>
        <w:t>Adv A de W Alberts (FF</w:t>
      </w:r>
      <w:r w:rsidR="008316CE">
        <w:rPr>
          <w:rFonts w:ascii="Arial" w:hAnsi="Arial" w:cs="Arial"/>
          <w:b/>
          <w:bCs/>
          <w:lang w:val="en-ZA"/>
        </w:rPr>
        <w:t>+</w:t>
      </w:r>
      <w:r>
        <w:rPr>
          <w:rFonts w:ascii="Arial" w:hAnsi="Arial" w:cs="Arial"/>
          <w:b/>
          <w:bCs/>
          <w:lang w:val="en-ZA"/>
        </w:rPr>
        <w:t>)</w:t>
      </w:r>
      <w:r w:rsidR="00856D44" w:rsidRPr="002C3369">
        <w:rPr>
          <w:rFonts w:ascii="Arial" w:hAnsi="Arial" w:cs="Arial"/>
          <w:b/>
          <w:bCs/>
          <w:lang w:val="en-ZA"/>
        </w:rPr>
        <w:t xml:space="preserve"> to ask the Minister of Public Enterprises:</w:t>
      </w:r>
    </w:p>
    <w:p w:rsidR="003709B8" w:rsidRDefault="00697478" w:rsidP="003709B8">
      <w:pPr>
        <w:spacing w:before="100" w:beforeAutospacing="1" w:after="100" w:afterAutospacing="1" w:line="360" w:lineRule="auto"/>
        <w:ind w:left="720" w:hanging="720"/>
        <w:jc w:val="both"/>
        <w:rPr>
          <w:rFonts w:ascii="Arial" w:hAnsi="Arial" w:cs="Arial"/>
          <w:bCs/>
        </w:rPr>
      </w:pPr>
      <w:r>
        <w:rPr>
          <w:rFonts w:ascii="Arial" w:hAnsi="Arial" w:cs="Arial"/>
          <w:bCs/>
        </w:rPr>
        <w:t>(1)</w:t>
      </w:r>
      <w:r>
        <w:rPr>
          <w:rFonts w:ascii="Arial" w:hAnsi="Arial" w:cs="Arial"/>
          <w:bCs/>
        </w:rPr>
        <w:tab/>
        <w:t xml:space="preserve">With regard to the contracts that Transnet concluded with certain companies (names furnished) since 2009, (a)(i) what was the purpose of each contract, </w:t>
      </w:r>
      <w:r w:rsidR="00C374C8">
        <w:rPr>
          <w:rFonts w:ascii="Arial" w:hAnsi="Arial" w:cs="Arial"/>
          <w:bCs/>
        </w:rPr>
        <w:t>(</w:t>
      </w:r>
      <w:r>
        <w:rPr>
          <w:rFonts w:ascii="Arial" w:hAnsi="Arial" w:cs="Arial"/>
          <w:bCs/>
        </w:rPr>
        <w:t>ii) what services and/or goods were procured and (iii) what was the (aa) period and (bb) financial value paid out in respect of each contract and (b) if the contracts are still current, (i) what are the payments that still need to be made and (ii) under what circumstances does the payment still need to be made;</w:t>
      </w:r>
    </w:p>
    <w:p w:rsidR="00697478" w:rsidRDefault="00697478" w:rsidP="003709B8">
      <w:pPr>
        <w:spacing w:before="100" w:beforeAutospacing="1" w:after="100" w:afterAutospacing="1" w:line="360" w:lineRule="auto"/>
        <w:ind w:left="720" w:hanging="720"/>
        <w:jc w:val="both"/>
        <w:rPr>
          <w:rFonts w:ascii="Arial" w:hAnsi="Arial" w:cs="Arial"/>
          <w:bCs/>
        </w:rPr>
      </w:pPr>
      <w:r>
        <w:rPr>
          <w:rFonts w:ascii="Arial" w:hAnsi="Arial" w:cs="Arial"/>
          <w:bCs/>
        </w:rPr>
        <w:t>(2)</w:t>
      </w:r>
      <w:r>
        <w:rPr>
          <w:rFonts w:ascii="Arial" w:hAnsi="Arial" w:cs="Arial"/>
          <w:bCs/>
        </w:rPr>
        <w:tab/>
        <w:t>Whether Transnet in each case complied with the (a) Public Finance Management Act, Act 1 of 1999, as amended, and (b) Transnet’s internal tender requirements; if not, why is it not considered necessary to follow the tender process in terms of Transnet’s rules;</w:t>
      </w:r>
    </w:p>
    <w:p w:rsidR="00B72486" w:rsidRDefault="00697478" w:rsidP="003709B8">
      <w:pPr>
        <w:spacing w:before="100" w:beforeAutospacing="1" w:after="100" w:afterAutospacing="1" w:line="360" w:lineRule="auto"/>
        <w:ind w:left="720" w:hanging="720"/>
        <w:jc w:val="both"/>
        <w:rPr>
          <w:rFonts w:ascii="Arial" w:hAnsi="Arial" w:cs="Arial"/>
          <w:bCs/>
        </w:rPr>
      </w:pPr>
      <w:r>
        <w:rPr>
          <w:rFonts w:ascii="Arial" w:hAnsi="Arial" w:cs="Arial"/>
          <w:bCs/>
        </w:rPr>
        <w:t>(3)</w:t>
      </w:r>
      <w:r>
        <w:rPr>
          <w:rFonts w:ascii="Arial" w:hAnsi="Arial" w:cs="Arial"/>
          <w:bCs/>
        </w:rPr>
        <w:tab/>
        <w:t xml:space="preserve">Whether the contracts were necessary in each case and (b) why the services could not be handled internally by Transnet? </w:t>
      </w:r>
    </w:p>
    <w:p w:rsidR="00796B78" w:rsidRDefault="00796B78" w:rsidP="0097772A">
      <w:pPr>
        <w:spacing w:before="100" w:beforeAutospacing="1" w:after="100" w:afterAutospacing="1" w:line="360" w:lineRule="auto"/>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252FF" w:rsidRPr="00B62342" w:rsidRDefault="007252FF" w:rsidP="006C7F97">
      <w:pPr>
        <w:jc w:val="both"/>
        <w:rPr>
          <w:rFonts w:ascii="Arial" w:hAnsi="Arial" w:cs="Arial"/>
          <w:b/>
          <w:bCs/>
        </w:rPr>
      </w:pPr>
      <w:r w:rsidRPr="00B62342">
        <w:rPr>
          <w:rFonts w:ascii="Arial" w:hAnsi="Arial" w:cs="Arial"/>
          <w:b/>
          <w:bCs/>
        </w:rPr>
        <w:t>Reply:</w:t>
      </w:r>
    </w:p>
    <w:p w:rsidR="00A13546" w:rsidRPr="002C3369" w:rsidRDefault="00A13546" w:rsidP="00A13546">
      <w:pPr>
        <w:jc w:val="both"/>
        <w:rPr>
          <w:rFonts w:ascii="Arial" w:hAnsi="Arial" w:cs="Arial"/>
          <w:bCs/>
        </w:rPr>
      </w:pPr>
    </w:p>
    <w:p w:rsidR="00C374C8" w:rsidRPr="00C374C8" w:rsidRDefault="00C374C8" w:rsidP="00C374C8">
      <w:pPr>
        <w:rPr>
          <w:rFonts w:ascii="Arial" w:hAnsi="Arial" w:cs="Arial"/>
          <w:b/>
        </w:rPr>
      </w:pPr>
      <w:r w:rsidRPr="00C374C8">
        <w:rPr>
          <w:rFonts w:ascii="Arial" w:hAnsi="Arial" w:cs="Arial"/>
          <w:b/>
        </w:rPr>
        <w:t>(1)(a)(i)</w:t>
      </w:r>
      <w:r w:rsidRPr="00C374C8">
        <w:rPr>
          <w:rFonts w:ascii="Arial" w:hAnsi="Arial" w:cs="Arial"/>
        </w:rPr>
        <w:t xml:space="preserve">    </w:t>
      </w:r>
    </w:p>
    <w:p w:rsidR="00C374C8" w:rsidRDefault="00C374C8" w:rsidP="00C374C8">
      <w:pPr>
        <w:jc w:val="both"/>
        <w:rPr>
          <w:rFonts w:ascii="Tahoma" w:hAnsi="Tahoma" w:cs="Tahoma"/>
          <w:b/>
          <w:bCs/>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1271"/>
        <w:gridCol w:w="1383"/>
        <w:gridCol w:w="2760"/>
        <w:gridCol w:w="1291"/>
      </w:tblGrid>
      <w:tr w:rsidR="00C374C8" w:rsidRPr="00A32081" w:rsidTr="00341526">
        <w:trPr>
          <w:trHeight w:val="300"/>
        </w:trPr>
        <w:tc>
          <w:tcPr>
            <w:tcW w:w="2208" w:type="dxa"/>
            <w:shd w:val="clear" w:color="auto" w:fill="auto"/>
            <w:noWrap/>
            <w:hideMark/>
          </w:tcPr>
          <w:p w:rsidR="00C374C8" w:rsidRPr="00834521" w:rsidRDefault="00C374C8" w:rsidP="00341526">
            <w:pPr>
              <w:rPr>
                <w:b/>
                <w:bCs/>
              </w:rPr>
            </w:pPr>
          </w:p>
        </w:tc>
        <w:tc>
          <w:tcPr>
            <w:tcW w:w="2720" w:type="dxa"/>
            <w:gridSpan w:val="2"/>
            <w:shd w:val="clear" w:color="auto" w:fill="auto"/>
            <w:noWrap/>
            <w:hideMark/>
          </w:tcPr>
          <w:p w:rsidR="00C374C8" w:rsidRPr="00834521" w:rsidRDefault="00C374C8" w:rsidP="00341526">
            <w:pPr>
              <w:jc w:val="center"/>
              <w:rPr>
                <w:b/>
                <w:bCs/>
              </w:rPr>
            </w:pPr>
            <w:r w:rsidRPr="00834521">
              <w:rPr>
                <w:b/>
                <w:bCs/>
              </w:rPr>
              <w:t>(1)(a)(iii)(aa)</w:t>
            </w:r>
          </w:p>
        </w:tc>
        <w:tc>
          <w:tcPr>
            <w:tcW w:w="2835" w:type="dxa"/>
            <w:shd w:val="clear" w:color="auto" w:fill="auto"/>
            <w:noWrap/>
            <w:hideMark/>
          </w:tcPr>
          <w:p w:rsidR="00C374C8" w:rsidRPr="00834521" w:rsidRDefault="00C374C8" w:rsidP="00341526">
            <w:pPr>
              <w:jc w:val="center"/>
              <w:rPr>
                <w:b/>
                <w:bCs/>
              </w:rPr>
            </w:pPr>
            <w:r w:rsidRPr="00834521">
              <w:rPr>
                <w:b/>
                <w:bCs/>
              </w:rPr>
              <w:t>(1)(a)(i)</w:t>
            </w:r>
          </w:p>
        </w:tc>
        <w:tc>
          <w:tcPr>
            <w:tcW w:w="1323" w:type="dxa"/>
            <w:shd w:val="clear" w:color="auto" w:fill="auto"/>
            <w:noWrap/>
            <w:hideMark/>
          </w:tcPr>
          <w:p w:rsidR="00C374C8" w:rsidRPr="00834521" w:rsidRDefault="00C374C8" w:rsidP="00341526">
            <w:pPr>
              <w:jc w:val="center"/>
              <w:rPr>
                <w:b/>
                <w:bCs/>
              </w:rPr>
            </w:pPr>
            <w:r w:rsidRPr="00834521">
              <w:rPr>
                <w:b/>
                <w:bCs/>
              </w:rPr>
              <w:t>(1)(b)</w:t>
            </w:r>
          </w:p>
        </w:tc>
      </w:tr>
      <w:tr w:rsidR="00C374C8" w:rsidRPr="00A32081" w:rsidTr="00341526">
        <w:trPr>
          <w:trHeight w:val="300"/>
        </w:trPr>
        <w:tc>
          <w:tcPr>
            <w:tcW w:w="2208" w:type="dxa"/>
            <w:shd w:val="clear" w:color="auto" w:fill="auto"/>
            <w:noWrap/>
            <w:hideMark/>
          </w:tcPr>
          <w:p w:rsidR="00C374C8" w:rsidRPr="00834521" w:rsidRDefault="00C374C8" w:rsidP="00341526">
            <w:pPr>
              <w:jc w:val="center"/>
              <w:rPr>
                <w:b/>
                <w:bCs/>
              </w:rPr>
            </w:pPr>
            <w:r w:rsidRPr="00834521">
              <w:rPr>
                <w:b/>
                <w:bCs/>
              </w:rPr>
              <w:t>Name</w:t>
            </w:r>
          </w:p>
        </w:tc>
        <w:tc>
          <w:tcPr>
            <w:tcW w:w="2720" w:type="dxa"/>
            <w:gridSpan w:val="2"/>
            <w:shd w:val="clear" w:color="auto" w:fill="auto"/>
            <w:noWrap/>
            <w:hideMark/>
          </w:tcPr>
          <w:p w:rsidR="00C374C8" w:rsidRPr="00834521" w:rsidRDefault="00C374C8" w:rsidP="00341526">
            <w:pPr>
              <w:jc w:val="center"/>
              <w:rPr>
                <w:b/>
                <w:bCs/>
              </w:rPr>
            </w:pPr>
            <w:r w:rsidRPr="00834521">
              <w:rPr>
                <w:b/>
                <w:bCs/>
              </w:rPr>
              <w:t>Period</w:t>
            </w:r>
          </w:p>
        </w:tc>
        <w:tc>
          <w:tcPr>
            <w:tcW w:w="2835" w:type="dxa"/>
            <w:shd w:val="clear" w:color="auto" w:fill="auto"/>
            <w:noWrap/>
            <w:hideMark/>
          </w:tcPr>
          <w:p w:rsidR="00C374C8" w:rsidRPr="00834521" w:rsidRDefault="00C374C8" w:rsidP="00341526">
            <w:pPr>
              <w:jc w:val="center"/>
              <w:rPr>
                <w:b/>
                <w:bCs/>
              </w:rPr>
            </w:pPr>
            <w:r w:rsidRPr="00834521">
              <w:rPr>
                <w:b/>
                <w:bCs/>
              </w:rPr>
              <w:t>Contract Purpose</w:t>
            </w:r>
          </w:p>
        </w:tc>
        <w:tc>
          <w:tcPr>
            <w:tcW w:w="1323" w:type="dxa"/>
            <w:shd w:val="clear" w:color="auto" w:fill="auto"/>
            <w:noWrap/>
            <w:hideMark/>
          </w:tcPr>
          <w:p w:rsidR="00C374C8" w:rsidRPr="00834521" w:rsidRDefault="00C374C8" w:rsidP="00341526">
            <w:pPr>
              <w:jc w:val="center"/>
              <w:rPr>
                <w:b/>
                <w:bCs/>
              </w:rPr>
            </w:pPr>
            <w:r w:rsidRPr="00834521">
              <w:rPr>
                <w:b/>
                <w:bCs/>
              </w:rPr>
              <w:t>Status</w:t>
            </w:r>
          </w:p>
        </w:tc>
      </w:tr>
      <w:tr w:rsidR="00C374C8" w:rsidRPr="00A32081" w:rsidTr="00341526">
        <w:trPr>
          <w:trHeight w:val="300"/>
        </w:trPr>
        <w:tc>
          <w:tcPr>
            <w:tcW w:w="2208" w:type="dxa"/>
            <w:shd w:val="clear" w:color="auto" w:fill="auto"/>
            <w:noWrap/>
            <w:hideMark/>
          </w:tcPr>
          <w:p w:rsidR="00C374C8" w:rsidRPr="00834521" w:rsidRDefault="00C374C8" w:rsidP="00341526">
            <w:pPr>
              <w:rPr>
                <w:b/>
                <w:bCs/>
                <w:u w:val="single"/>
              </w:rPr>
            </w:pPr>
          </w:p>
        </w:tc>
        <w:tc>
          <w:tcPr>
            <w:tcW w:w="1302" w:type="dxa"/>
            <w:shd w:val="clear" w:color="auto" w:fill="auto"/>
            <w:noWrap/>
            <w:hideMark/>
          </w:tcPr>
          <w:p w:rsidR="00C374C8" w:rsidRPr="00A32081" w:rsidRDefault="00C374C8" w:rsidP="00341526"/>
        </w:tc>
        <w:tc>
          <w:tcPr>
            <w:tcW w:w="1418" w:type="dxa"/>
            <w:shd w:val="clear" w:color="auto" w:fill="auto"/>
            <w:noWrap/>
            <w:hideMark/>
          </w:tcPr>
          <w:p w:rsidR="00C374C8" w:rsidRPr="00A32081" w:rsidRDefault="00C374C8" w:rsidP="00341526"/>
        </w:tc>
        <w:tc>
          <w:tcPr>
            <w:tcW w:w="2835" w:type="dxa"/>
            <w:shd w:val="clear" w:color="auto" w:fill="auto"/>
            <w:noWrap/>
            <w:hideMark/>
          </w:tcPr>
          <w:p w:rsidR="00C374C8" w:rsidRPr="00A32081" w:rsidRDefault="00C374C8" w:rsidP="00341526"/>
        </w:tc>
        <w:tc>
          <w:tcPr>
            <w:tcW w:w="1323" w:type="dxa"/>
            <w:shd w:val="clear" w:color="auto" w:fill="auto"/>
            <w:noWrap/>
            <w:hideMark/>
          </w:tcPr>
          <w:p w:rsidR="00C374C8" w:rsidRPr="00A32081" w:rsidRDefault="00C374C8" w:rsidP="00341526"/>
        </w:tc>
      </w:tr>
      <w:tr w:rsidR="00C374C8" w:rsidRPr="00A32081" w:rsidTr="00341526">
        <w:trPr>
          <w:trHeight w:val="300"/>
        </w:trPr>
        <w:tc>
          <w:tcPr>
            <w:tcW w:w="2208" w:type="dxa"/>
            <w:shd w:val="clear" w:color="auto" w:fill="auto"/>
            <w:noWrap/>
            <w:hideMark/>
          </w:tcPr>
          <w:p w:rsidR="00C374C8" w:rsidRPr="00A32081" w:rsidRDefault="00C374C8" w:rsidP="00341526">
            <w:r w:rsidRPr="00A32081">
              <w:t>TFR Bridging plan</w:t>
            </w:r>
          </w:p>
        </w:tc>
        <w:tc>
          <w:tcPr>
            <w:tcW w:w="1302" w:type="dxa"/>
            <w:shd w:val="clear" w:color="auto" w:fill="auto"/>
            <w:noWrap/>
            <w:hideMark/>
          </w:tcPr>
          <w:p w:rsidR="00C374C8" w:rsidRPr="00A32081" w:rsidRDefault="00C374C8" w:rsidP="00341526">
            <w:r w:rsidRPr="00A32081">
              <w:t>01-Jun-09</w:t>
            </w:r>
          </w:p>
        </w:tc>
        <w:tc>
          <w:tcPr>
            <w:tcW w:w="1418" w:type="dxa"/>
            <w:shd w:val="clear" w:color="auto" w:fill="auto"/>
            <w:noWrap/>
            <w:hideMark/>
          </w:tcPr>
          <w:p w:rsidR="00C374C8" w:rsidRPr="00A32081" w:rsidRDefault="00C374C8" w:rsidP="00341526">
            <w:r w:rsidRPr="00A32081">
              <w:t>30-Nov-10</w:t>
            </w:r>
          </w:p>
        </w:tc>
        <w:tc>
          <w:tcPr>
            <w:tcW w:w="2835" w:type="dxa"/>
            <w:shd w:val="clear" w:color="auto" w:fill="auto"/>
            <w:hideMark/>
          </w:tcPr>
          <w:p w:rsidR="00C374C8" w:rsidRPr="00A32081" w:rsidRDefault="00C374C8" w:rsidP="00341526">
            <w:r w:rsidRPr="00A32081">
              <w:t xml:space="preserve">TFR Bridging plan </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Corridors and Hubs</w:t>
            </w:r>
          </w:p>
        </w:tc>
        <w:tc>
          <w:tcPr>
            <w:tcW w:w="1302" w:type="dxa"/>
            <w:shd w:val="clear" w:color="auto" w:fill="auto"/>
            <w:noWrap/>
            <w:hideMark/>
          </w:tcPr>
          <w:p w:rsidR="00C374C8" w:rsidRPr="00A32081" w:rsidRDefault="00C374C8" w:rsidP="00341526">
            <w:r w:rsidRPr="00A32081">
              <w:t>01-Jan-09</w:t>
            </w:r>
          </w:p>
        </w:tc>
        <w:tc>
          <w:tcPr>
            <w:tcW w:w="1418" w:type="dxa"/>
            <w:shd w:val="clear" w:color="auto" w:fill="auto"/>
            <w:noWrap/>
            <w:hideMark/>
          </w:tcPr>
          <w:p w:rsidR="00C374C8" w:rsidRPr="00A32081" w:rsidRDefault="00C374C8" w:rsidP="00341526">
            <w:r w:rsidRPr="00A32081">
              <w:t>30-Jun-11</w:t>
            </w:r>
          </w:p>
        </w:tc>
        <w:tc>
          <w:tcPr>
            <w:tcW w:w="2835" w:type="dxa"/>
            <w:shd w:val="clear" w:color="auto" w:fill="auto"/>
            <w:hideMark/>
          </w:tcPr>
          <w:p w:rsidR="00C374C8" w:rsidRPr="00A32081" w:rsidRDefault="00C374C8" w:rsidP="00341526">
            <w:r w:rsidRPr="00A32081">
              <w:t>Corridor and Hub strategy and execution</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Delivering MDS</w:t>
            </w:r>
          </w:p>
        </w:tc>
        <w:tc>
          <w:tcPr>
            <w:tcW w:w="1302" w:type="dxa"/>
            <w:shd w:val="clear" w:color="auto" w:fill="auto"/>
            <w:noWrap/>
            <w:hideMark/>
          </w:tcPr>
          <w:p w:rsidR="00C374C8" w:rsidRPr="00A32081" w:rsidRDefault="00C374C8" w:rsidP="00341526">
            <w:r w:rsidRPr="00A32081">
              <w:t>01-Jan-12</w:t>
            </w:r>
          </w:p>
        </w:tc>
        <w:tc>
          <w:tcPr>
            <w:tcW w:w="1418" w:type="dxa"/>
            <w:shd w:val="clear" w:color="auto" w:fill="auto"/>
            <w:noWrap/>
            <w:hideMark/>
          </w:tcPr>
          <w:p w:rsidR="00C374C8" w:rsidRPr="00A32081" w:rsidRDefault="00C374C8" w:rsidP="00341526">
            <w:r w:rsidRPr="00A32081">
              <w:t>30-Sep-12</w:t>
            </w:r>
          </w:p>
        </w:tc>
        <w:tc>
          <w:tcPr>
            <w:tcW w:w="2835" w:type="dxa"/>
            <w:shd w:val="clear" w:color="auto" w:fill="auto"/>
            <w:hideMark/>
          </w:tcPr>
          <w:p w:rsidR="00C374C8" w:rsidRPr="00A32081" w:rsidRDefault="00C374C8" w:rsidP="00341526">
            <w:r w:rsidRPr="00A32081">
              <w:t>Delivery of the Market Demand Strategy</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TFR Operating model</w:t>
            </w:r>
          </w:p>
        </w:tc>
        <w:tc>
          <w:tcPr>
            <w:tcW w:w="1302" w:type="dxa"/>
            <w:shd w:val="clear" w:color="auto" w:fill="auto"/>
            <w:noWrap/>
            <w:hideMark/>
          </w:tcPr>
          <w:p w:rsidR="00C374C8" w:rsidRPr="00A32081" w:rsidRDefault="00C374C8" w:rsidP="00341526">
            <w:r w:rsidRPr="00A32081">
              <w:t>01-Apr-12</w:t>
            </w:r>
          </w:p>
        </w:tc>
        <w:tc>
          <w:tcPr>
            <w:tcW w:w="1418" w:type="dxa"/>
            <w:shd w:val="clear" w:color="auto" w:fill="auto"/>
            <w:noWrap/>
            <w:hideMark/>
          </w:tcPr>
          <w:p w:rsidR="00C374C8" w:rsidRPr="00A32081" w:rsidRDefault="00C374C8" w:rsidP="00341526">
            <w:r w:rsidRPr="00A32081">
              <w:t>30-Aug-13</w:t>
            </w:r>
          </w:p>
        </w:tc>
        <w:tc>
          <w:tcPr>
            <w:tcW w:w="2835" w:type="dxa"/>
            <w:shd w:val="clear" w:color="auto" w:fill="auto"/>
            <w:hideMark/>
          </w:tcPr>
          <w:p w:rsidR="00C374C8" w:rsidRPr="00A32081" w:rsidRDefault="00C374C8" w:rsidP="00341526">
            <w:r w:rsidRPr="00A32081">
              <w:t>Implementation of TFR new operating model</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SWAT 1</w:t>
            </w:r>
          </w:p>
        </w:tc>
        <w:tc>
          <w:tcPr>
            <w:tcW w:w="1302" w:type="dxa"/>
            <w:shd w:val="clear" w:color="auto" w:fill="auto"/>
            <w:noWrap/>
            <w:hideMark/>
          </w:tcPr>
          <w:p w:rsidR="00C374C8" w:rsidRPr="00A32081" w:rsidRDefault="00C374C8" w:rsidP="00341526">
            <w:r w:rsidRPr="00A32081">
              <w:t>02-Feb-13</w:t>
            </w:r>
          </w:p>
        </w:tc>
        <w:tc>
          <w:tcPr>
            <w:tcW w:w="1418" w:type="dxa"/>
            <w:shd w:val="clear" w:color="auto" w:fill="auto"/>
            <w:noWrap/>
            <w:hideMark/>
          </w:tcPr>
          <w:p w:rsidR="00C374C8" w:rsidRPr="00A32081" w:rsidRDefault="00C374C8" w:rsidP="00341526">
            <w:r w:rsidRPr="00A32081">
              <w:t>31-Jan-14</w:t>
            </w:r>
          </w:p>
        </w:tc>
        <w:tc>
          <w:tcPr>
            <w:tcW w:w="2835" w:type="dxa"/>
            <w:shd w:val="clear" w:color="auto" w:fill="auto"/>
            <w:hideMark/>
          </w:tcPr>
          <w:p w:rsidR="00C374C8" w:rsidRPr="00A32081" w:rsidRDefault="00C374C8" w:rsidP="00341526">
            <w:r w:rsidRPr="00A32081">
              <w:t>Group capital Integration and optimisation</w:t>
            </w:r>
          </w:p>
        </w:tc>
        <w:tc>
          <w:tcPr>
            <w:tcW w:w="1323" w:type="dxa"/>
            <w:shd w:val="clear" w:color="auto" w:fill="auto"/>
            <w:noWrap/>
            <w:hideMark/>
          </w:tcPr>
          <w:p w:rsidR="00C374C8" w:rsidRPr="00A32081" w:rsidRDefault="00C374C8" w:rsidP="00341526">
            <w:r>
              <w:t>Completed</w:t>
            </w:r>
          </w:p>
        </w:tc>
      </w:tr>
      <w:tr w:rsidR="00C374C8" w:rsidRPr="00A32081" w:rsidTr="00341526">
        <w:trPr>
          <w:trHeight w:val="690"/>
        </w:trPr>
        <w:tc>
          <w:tcPr>
            <w:tcW w:w="2208" w:type="dxa"/>
            <w:shd w:val="clear" w:color="auto" w:fill="auto"/>
            <w:noWrap/>
            <w:hideMark/>
          </w:tcPr>
          <w:p w:rsidR="00C374C8" w:rsidRPr="00A32081" w:rsidRDefault="00C374C8" w:rsidP="00341526">
            <w:r w:rsidRPr="00A32081">
              <w:t>Maputo Corridor</w:t>
            </w:r>
          </w:p>
        </w:tc>
        <w:tc>
          <w:tcPr>
            <w:tcW w:w="1302" w:type="dxa"/>
            <w:shd w:val="clear" w:color="auto" w:fill="auto"/>
            <w:noWrap/>
            <w:hideMark/>
          </w:tcPr>
          <w:p w:rsidR="00C374C8" w:rsidRPr="00A32081" w:rsidRDefault="00C374C8" w:rsidP="00341526">
            <w:r w:rsidRPr="00A32081">
              <w:t>01-Nov-13</w:t>
            </w:r>
          </w:p>
        </w:tc>
        <w:tc>
          <w:tcPr>
            <w:tcW w:w="1418" w:type="dxa"/>
            <w:shd w:val="clear" w:color="auto" w:fill="auto"/>
            <w:noWrap/>
            <w:hideMark/>
          </w:tcPr>
          <w:p w:rsidR="00C374C8" w:rsidRPr="00A32081" w:rsidRDefault="00C374C8" w:rsidP="00341526">
            <w:r w:rsidRPr="00A32081">
              <w:t>31-Aug-14</w:t>
            </w:r>
          </w:p>
        </w:tc>
        <w:tc>
          <w:tcPr>
            <w:tcW w:w="2835" w:type="dxa"/>
            <w:shd w:val="clear" w:color="auto" w:fill="auto"/>
            <w:hideMark/>
          </w:tcPr>
          <w:p w:rsidR="00C374C8" w:rsidRPr="00A32081" w:rsidRDefault="00C374C8" w:rsidP="00341526">
            <w:r w:rsidRPr="00A32081">
              <w:t>Strategy, design and evaluation of Maputo Corridor</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300"/>
        </w:trPr>
        <w:tc>
          <w:tcPr>
            <w:tcW w:w="2208" w:type="dxa"/>
            <w:shd w:val="clear" w:color="auto" w:fill="auto"/>
            <w:noWrap/>
            <w:hideMark/>
          </w:tcPr>
          <w:p w:rsidR="00C374C8" w:rsidRPr="00A32081" w:rsidRDefault="00C374C8" w:rsidP="00341526">
            <w:r w:rsidRPr="00A32081">
              <w:t>Capital Rooms and affordability</w:t>
            </w:r>
          </w:p>
        </w:tc>
        <w:tc>
          <w:tcPr>
            <w:tcW w:w="1302" w:type="dxa"/>
            <w:shd w:val="clear" w:color="auto" w:fill="auto"/>
            <w:noWrap/>
            <w:hideMark/>
          </w:tcPr>
          <w:p w:rsidR="00C374C8" w:rsidRPr="00A32081" w:rsidRDefault="00C374C8" w:rsidP="00341526">
            <w:r w:rsidRPr="00A32081">
              <w:t>01-Apr-14</w:t>
            </w:r>
          </w:p>
        </w:tc>
        <w:tc>
          <w:tcPr>
            <w:tcW w:w="1418" w:type="dxa"/>
            <w:shd w:val="clear" w:color="auto" w:fill="auto"/>
            <w:noWrap/>
            <w:hideMark/>
          </w:tcPr>
          <w:p w:rsidR="00C374C8" w:rsidRPr="00A32081" w:rsidRDefault="00C374C8" w:rsidP="00341526">
            <w:r w:rsidRPr="00A32081">
              <w:t>30-Dec-14</w:t>
            </w:r>
          </w:p>
        </w:tc>
        <w:tc>
          <w:tcPr>
            <w:tcW w:w="2835" w:type="dxa"/>
            <w:shd w:val="clear" w:color="auto" w:fill="auto"/>
            <w:hideMark/>
          </w:tcPr>
          <w:p w:rsidR="00C374C8" w:rsidRPr="00A32081" w:rsidRDefault="00C374C8" w:rsidP="00341526">
            <w:r w:rsidRPr="00A32081">
              <w:t>Capital structuring and affordability</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 xml:space="preserve">TCP - Capital Room </w:t>
            </w:r>
          </w:p>
        </w:tc>
        <w:tc>
          <w:tcPr>
            <w:tcW w:w="1302" w:type="dxa"/>
            <w:shd w:val="clear" w:color="auto" w:fill="auto"/>
            <w:noWrap/>
            <w:hideMark/>
          </w:tcPr>
          <w:p w:rsidR="00C374C8" w:rsidRPr="00A32081" w:rsidRDefault="00C374C8" w:rsidP="00341526">
            <w:r w:rsidRPr="00A32081">
              <w:t>01-Apr-14</w:t>
            </w:r>
          </w:p>
        </w:tc>
        <w:tc>
          <w:tcPr>
            <w:tcW w:w="1418" w:type="dxa"/>
            <w:shd w:val="clear" w:color="auto" w:fill="auto"/>
            <w:noWrap/>
            <w:hideMark/>
          </w:tcPr>
          <w:p w:rsidR="00C374C8" w:rsidRPr="00A32081" w:rsidRDefault="00C374C8" w:rsidP="00341526">
            <w:r w:rsidRPr="00A32081">
              <w:t>31-Mar-15</w:t>
            </w:r>
          </w:p>
        </w:tc>
        <w:tc>
          <w:tcPr>
            <w:tcW w:w="2835" w:type="dxa"/>
            <w:shd w:val="clear" w:color="auto" w:fill="auto"/>
            <w:hideMark/>
          </w:tcPr>
          <w:p w:rsidR="00C374C8" w:rsidRPr="00A32081" w:rsidRDefault="00C374C8" w:rsidP="00341526">
            <w:r w:rsidRPr="00A32081">
              <w:t>TCP Project Factory, War Room, Business Case and Resourcing</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480"/>
        </w:trPr>
        <w:tc>
          <w:tcPr>
            <w:tcW w:w="2208" w:type="dxa"/>
            <w:shd w:val="clear" w:color="auto" w:fill="auto"/>
            <w:noWrap/>
            <w:hideMark/>
          </w:tcPr>
          <w:p w:rsidR="00C374C8" w:rsidRPr="00A32081" w:rsidRDefault="00C374C8" w:rsidP="00341526">
            <w:r w:rsidRPr="00A32081">
              <w:t>Iron Ore</w:t>
            </w:r>
          </w:p>
        </w:tc>
        <w:tc>
          <w:tcPr>
            <w:tcW w:w="1302" w:type="dxa"/>
            <w:shd w:val="clear" w:color="auto" w:fill="auto"/>
            <w:noWrap/>
            <w:hideMark/>
          </w:tcPr>
          <w:p w:rsidR="00C374C8" w:rsidRPr="00A32081" w:rsidRDefault="00C374C8" w:rsidP="00341526">
            <w:r w:rsidRPr="00A32081">
              <w:t>09-Apr-14</w:t>
            </w:r>
          </w:p>
        </w:tc>
        <w:tc>
          <w:tcPr>
            <w:tcW w:w="1418" w:type="dxa"/>
            <w:shd w:val="clear" w:color="auto" w:fill="auto"/>
            <w:noWrap/>
            <w:hideMark/>
          </w:tcPr>
          <w:p w:rsidR="00C374C8" w:rsidRPr="00A32081" w:rsidRDefault="00C374C8" w:rsidP="00341526">
            <w:r w:rsidRPr="00A32081">
              <w:t>08-Apr-15</w:t>
            </w:r>
          </w:p>
        </w:tc>
        <w:tc>
          <w:tcPr>
            <w:tcW w:w="2835" w:type="dxa"/>
            <w:shd w:val="clear" w:color="auto" w:fill="auto"/>
            <w:hideMark/>
          </w:tcPr>
          <w:p w:rsidR="00C374C8" w:rsidRPr="00A32081" w:rsidRDefault="00C374C8" w:rsidP="00341526">
            <w:r>
              <w:t xml:space="preserve">Renegotiating </w:t>
            </w:r>
            <w:r w:rsidRPr="00A32081">
              <w:t>Iron Ore contract</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945"/>
        </w:trPr>
        <w:tc>
          <w:tcPr>
            <w:tcW w:w="2208" w:type="dxa"/>
            <w:shd w:val="clear" w:color="auto" w:fill="auto"/>
            <w:noWrap/>
            <w:hideMark/>
          </w:tcPr>
          <w:p w:rsidR="00C374C8" w:rsidRPr="00A32081" w:rsidRDefault="00C374C8" w:rsidP="00341526">
            <w:r w:rsidRPr="00A32081">
              <w:t>Coal</w:t>
            </w:r>
          </w:p>
        </w:tc>
        <w:tc>
          <w:tcPr>
            <w:tcW w:w="1302" w:type="dxa"/>
            <w:shd w:val="clear" w:color="auto" w:fill="auto"/>
            <w:noWrap/>
            <w:hideMark/>
          </w:tcPr>
          <w:p w:rsidR="00C374C8" w:rsidRPr="00A32081" w:rsidRDefault="00C374C8" w:rsidP="00341526">
            <w:r w:rsidRPr="00A32081">
              <w:t>09-Apr-14</w:t>
            </w:r>
          </w:p>
        </w:tc>
        <w:tc>
          <w:tcPr>
            <w:tcW w:w="1418" w:type="dxa"/>
            <w:shd w:val="clear" w:color="auto" w:fill="auto"/>
            <w:noWrap/>
            <w:hideMark/>
          </w:tcPr>
          <w:p w:rsidR="00C374C8" w:rsidRPr="00A32081" w:rsidRDefault="00C374C8" w:rsidP="00341526">
            <w:r w:rsidRPr="00A32081">
              <w:t>30-Sep-15</w:t>
            </w:r>
          </w:p>
        </w:tc>
        <w:tc>
          <w:tcPr>
            <w:tcW w:w="2835" w:type="dxa"/>
            <w:shd w:val="clear" w:color="auto" w:fill="auto"/>
            <w:hideMark/>
          </w:tcPr>
          <w:p w:rsidR="00C374C8" w:rsidRPr="00A32081" w:rsidRDefault="00C374C8" w:rsidP="00341526">
            <w:r w:rsidRPr="00A32081">
              <w:t>Support services for coal line increase with a breakthrough of 2mt per week for a period of 17 months</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557"/>
        </w:trPr>
        <w:tc>
          <w:tcPr>
            <w:tcW w:w="2208" w:type="dxa"/>
            <w:shd w:val="clear" w:color="auto" w:fill="auto"/>
            <w:noWrap/>
            <w:hideMark/>
          </w:tcPr>
          <w:p w:rsidR="00C374C8" w:rsidRPr="00A32081" w:rsidRDefault="00C374C8" w:rsidP="00341526">
            <w:r w:rsidRPr="00A32081">
              <w:t>NMPP</w:t>
            </w:r>
          </w:p>
        </w:tc>
        <w:tc>
          <w:tcPr>
            <w:tcW w:w="1302" w:type="dxa"/>
            <w:shd w:val="clear" w:color="auto" w:fill="auto"/>
            <w:noWrap/>
            <w:hideMark/>
          </w:tcPr>
          <w:p w:rsidR="00C374C8" w:rsidRPr="00A32081" w:rsidRDefault="00C374C8" w:rsidP="00341526">
            <w:r w:rsidRPr="00A32081">
              <w:t>09-Apr-14</w:t>
            </w:r>
          </w:p>
        </w:tc>
        <w:tc>
          <w:tcPr>
            <w:tcW w:w="1418" w:type="dxa"/>
            <w:shd w:val="clear" w:color="auto" w:fill="auto"/>
            <w:noWrap/>
            <w:hideMark/>
          </w:tcPr>
          <w:p w:rsidR="00C374C8" w:rsidRPr="00A32081" w:rsidRDefault="00C374C8" w:rsidP="00341526">
            <w:r w:rsidRPr="00A32081">
              <w:t>08-Oct-15</w:t>
            </w:r>
          </w:p>
        </w:tc>
        <w:tc>
          <w:tcPr>
            <w:tcW w:w="2835" w:type="dxa"/>
            <w:shd w:val="clear" w:color="auto" w:fill="auto"/>
            <w:hideMark/>
          </w:tcPr>
          <w:p w:rsidR="00C374C8" w:rsidRPr="00A32081" w:rsidRDefault="00C374C8" w:rsidP="00341526">
            <w:r w:rsidRPr="00A32081">
              <w:t xml:space="preserve">De-risking and acceleration of the New Multi-Product Pipeline (NMPP) for a period of 18 months </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300"/>
        </w:trPr>
        <w:tc>
          <w:tcPr>
            <w:tcW w:w="2208" w:type="dxa"/>
            <w:shd w:val="clear" w:color="auto" w:fill="auto"/>
            <w:noWrap/>
            <w:hideMark/>
          </w:tcPr>
          <w:p w:rsidR="00C374C8" w:rsidRPr="00A32081" w:rsidRDefault="00C374C8" w:rsidP="00341526">
            <w:r w:rsidRPr="00A32081">
              <w:t>Defined Benefit Fund</w:t>
            </w:r>
          </w:p>
        </w:tc>
        <w:tc>
          <w:tcPr>
            <w:tcW w:w="1302" w:type="dxa"/>
            <w:shd w:val="clear" w:color="auto" w:fill="auto"/>
            <w:noWrap/>
            <w:hideMark/>
          </w:tcPr>
          <w:p w:rsidR="00C374C8" w:rsidRPr="00A32081" w:rsidRDefault="00C374C8" w:rsidP="00341526">
            <w:r w:rsidRPr="00A32081">
              <w:t>23-Jan-14</w:t>
            </w:r>
          </w:p>
        </w:tc>
        <w:tc>
          <w:tcPr>
            <w:tcW w:w="1418" w:type="dxa"/>
            <w:shd w:val="clear" w:color="auto" w:fill="auto"/>
            <w:noWrap/>
            <w:hideMark/>
          </w:tcPr>
          <w:p w:rsidR="00C374C8" w:rsidRPr="00A32081" w:rsidRDefault="00C374C8" w:rsidP="00341526">
            <w:r w:rsidRPr="00A32081">
              <w:t>30-Jan-16</w:t>
            </w:r>
          </w:p>
        </w:tc>
        <w:tc>
          <w:tcPr>
            <w:tcW w:w="2835" w:type="dxa"/>
            <w:shd w:val="clear" w:color="auto" w:fill="auto"/>
            <w:hideMark/>
          </w:tcPr>
          <w:p w:rsidR="00C374C8" w:rsidRPr="00A32081" w:rsidRDefault="00C374C8" w:rsidP="00341526">
            <w:r w:rsidRPr="00A32081">
              <w:t>Defined benefit consulting services</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Results Management  Office</w:t>
            </w:r>
          </w:p>
        </w:tc>
        <w:tc>
          <w:tcPr>
            <w:tcW w:w="1302" w:type="dxa"/>
            <w:shd w:val="clear" w:color="auto" w:fill="auto"/>
            <w:noWrap/>
            <w:hideMark/>
          </w:tcPr>
          <w:p w:rsidR="00C374C8" w:rsidRPr="00A32081" w:rsidRDefault="00C374C8" w:rsidP="00341526">
            <w:r w:rsidRPr="00A32081">
              <w:t>15-Jan-13</w:t>
            </w:r>
          </w:p>
        </w:tc>
        <w:tc>
          <w:tcPr>
            <w:tcW w:w="1418" w:type="dxa"/>
            <w:shd w:val="clear" w:color="auto" w:fill="auto"/>
            <w:noWrap/>
            <w:hideMark/>
          </w:tcPr>
          <w:p w:rsidR="00C374C8" w:rsidRPr="00A32081" w:rsidRDefault="00C374C8" w:rsidP="00341526">
            <w:r w:rsidRPr="00A32081">
              <w:t>13-Mar-16</w:t>
            </w:r>
          </w:p>
        </w:tc>
        <w:tc>
          <w:tcPr>
            <w:tcW w:w="2835" w:type="dxa"/>
            <w:shd w:val="clear" w:color="auto" w:fill="auto"/>
            <w:hideMark/>
          </w:tcPr>
          <w:p w:rsidR="00C374C8" w:rsidRPr="00A32081" w:rsidRDefault="00C374C8" w:rsidP="00341526">
            <w:r w:rsidRPr="00A32081">
              <w:t>Implementing and embedding a RMO facility</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SWAT II</w:t>
            </w:r>
          </w:p>
        </w:tc>
        <w:tc>
          <w:tcPr>
            <w:tcW w:w="1302" w:type="dxa"/>
            <w:shd w:val="clear" w:color="auto" w:fill="auto"/>
            <w:noWrap/>
            <w:hideMark/>
          </w:tcPr>
          <w:p w:rsidR="00C374C8" w:rsidRPr="00A32081" w:rsidRDefault="00C374C8" w:rsidP="00341526">
            <w:r w:rsidRPr="00A32081">
              <w:t>09-Apr-14</w:t>
            </w:r>
          </w:p>
        </w:tc>
        <w:tc>
          <w:tcPr>
            <w:tcW w:w="1418" w:type="dxa"/>
            <w:shd w:val="clear" w:color="auto" w:fill="auto"/>
            <w:noWrap/>
            <w:hideMark/>
          </w:tcPr>
          <w:p w:rsidR="00C374C8" w:rsidRPr="00A32081" w:rsidRDefault="00C374C8" w:rsidP="00341526">
            <w:r w:rsidRPr="00A32081">
              <w:t>08-Apr-16</w:t>
            </w:r>
          </w:p>
        </w:tc>
        <w:tc>
          <w:tcPr>
            <w:tcW w:w="2835" w:type="dxa"/>
            <w:shd w:val="clear" w:color="auto" w:fill="auto"/>
            <w:hideMark/>
          </w:tcPr>
          <w:p w:rsidR="00C374C8" w:rsidRPr="00A32081" w:rsidRDefault="00C374C8" w:rsidP="00341526">
            <w:r w:rsidRPr="00A32081">
              <w:t>Capital optimisation and implementation support services</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420"/>
        </w:trPr>
        <w:tc>
          <w:tcPr>
            <w:tcW w:w="2208" w:type="dxa"/>
            <w:shd w:val="clear" w:color="auto" w:fill="auto"/>
            <w:noWrap/>
            <w:hideMark/>
          </w:tcPr>
          <w:p w:rsidR="00C374C8" w:rsidRPr="00A32081" w:rsidRDefault="00C374C8" w:rsidP="00341526">
            <w:r w:rsidRPr="00A32081">
              <w:t>Transaction Advisory</w:t>
            </w:r>
          </w:p>
        </w:tc>
        <w:tc>
          <w:tcPr>
            <w:tcW w:w="1302" w:type="dxa"/>
            <w:shd w:val="clear" w:color="auto" w:fill="auto"/>
            <w:noWrap/>
            <w:hideMark/>
          </w:tcPr>
          <w:p w:rsidR="00C374C8" w:rsidRPr="00A32081" w:rsidRDefault="00C374C8" w:rsidP="00341526">
            <w:r w:rsidRPr="00A32081">
              <w:t>15-Jan-13</w:t>
            </w:r>
          </w:p>
        </w:tc>
        <w:tc>
          <w:tcPr>
            <w:tcW w:w="1418" w:type="dxa"/>
            <w:shd w:val="clear" w:color="auto" w:fill="auto"/>
            <w:noWrap/>
            <w:hideMark/>
          </w:tcPr>
          <w:p w:rsidR="00C374C8" w:rsidRPr="00A32081" w:rsidRDefault="00C374C8" w:rsidP="00341526">
            <w:r w:rsidRPr="00A32081">
              <w:t>18-May-16</w:t>
            </w:r>
          </w:p>
        </w:tc>
        <w:tc>
          <w:tcPr>
            <w:tcW w:w="2835" w:type="dxa"/>
            <w:shd w:val="clear" w:color="auto" w:fill="auto"/>
            <w:hideMark/>
          </w:tcPr>
          <w:p w:rsidR="00C374C8" w:rsidRPr="00A32081" w:rsidRDefault="00C374C8" w:rsidP="00341526">
            <w:r w:rsidRPr="00A32081">
              <w:t>Acquisition of 1064 locomotives tender</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Manganese</w:t>
            </w:r>
          </w:p>
        </w:tc>
        <w:tc>
          <w:tcPr>
            <w:tcW w:w="1302" w:type="dxa"/>
            <w:shd w:val="clear" w:color="auto" w:fill="auto"/>
            <w:noWrap/>
            <w:hideMark/>
          </w:tcPr>
          <w:p w:rsidR="00C374C8" w:rsidRPr="00A32081" w:rsidRDefault="00C374C8" w:rsidP="00341526">
            <w:r w:rsidRPr="00A32081">
              <w:t>09-Apr-14</w:t>
            </w:r>
          </w:p>
        </w:tc>
        <w:tc>
          <w:tcPr>
            <w:tcW w:w="1418" w:type="dxa"/>
            <w:shd w:val="clear" w:color="auto" w:fill="auto"/>
            <w:noWrap/>
            <w:hideMark/>
          </w:tcPr>
          <w:p w:rsidR="00C374C8" w:rsidRPr="00A32081" w:rsidRDefault="00C374C8" w:rsidP="00341526">
            <w:r w:rsidRPr="00A32081">
              <w:t>08-Oct-16</w:t>
            </w:r>
          </w:p>
        </w:tc>
        <w:tc>
          <w:tcPr>
            <w:tcW w:w="2835" w:type="dxa"/>
            <w:shd w:val="clear" w:color="auto" w:fill="auto"/>
            <w:hideMark/>
          </w:tcPr>
          <w:p w:rsidR="00C374C8" w:rsidRPr="00A32081" w:rsidRDefault="00C374C8" w:rsidP="00341526">
            <w:r w:rsidRPr="00A32081">
              <w:t>Manganese execution support for a period of 30 months</w:t>
            </w:r>
          </w:p>
        </w:tc>
        <w:tc>
          <w:tcPr>
            <w:tcW w:w="1323" w:type="dxa"/>
            <w:shd w:val="clear" w:color="auto" w:fill="auto"/>
            <w:noWrap/>
            <w:hideMark/>
          </w:tcPr>
          <w:p w:rsidR="00C374C8" w:rsidRPr="00A32081" w:rsidRDefault="00C374C8" w:rsidP="00341526">
            <w:r w:rsidRPr="00A32081">
              <w:t>Complete</w:t>
            </w:r>
          </w:p>
        </w:tc>
      </w:tr>
      <w:tr w:rsidR="00C374C8" w:rsidRPr="00A32081" w:rsidTr="00341526">
        <w:trPr>
          <w:trHeight w:val="600"/>
        </w:trPr>
        <w:tc>
          <w:tcPr>
            <w:tcW w:w="2208" w:type="dxa"/>
            <w:shd w:val="clear" w:color="auto" w:fill="auto"/>
            <w:noWrap/>
            <w:hideMark/>
          </w:tcPr>
          <w:p w:rsidR="00C374C8" w:rsidRPr="00A32081" w:rsidRDefault="00C374C8" w:rsidP="00341526">
            <w:r w:rsidRPr="00A32081">
              <w:t>General Freight Business</w:t>
            </w:r>
          </w:p>
        </w:tc>
        <w:tc>
          <w:tcPr>
            <w:tcW w:w="1302" w:type="dxa"/>
            <w:shd w:val="clear" w:color="auto" w:fill="auto"/>
            <w:noWrap/>
            <w:hideMark/>
          </w:tcPr>
          <w:p w:rsidR="00C374C8" w:rsidRPr="00A32081" w:rsidRDefault="00C374C8" w:rsidP="00341526">
            <w:r w:rsidRPr="00A32081">
              <w:t>19-May-15</w:t>
            </w:r>
          </w:p>
        </w:tc>
        <w:tc>
          <w:tcPr>
            <w:tcW w:w="1418" w:type="dxa"/>
            <w:shd w:val="clear" w:color="auto" w:fill="auto"/>
            <w:noWrap/>
            <w:hideMark/>
          </w:tcPr>
          <w:p w:rsidR="00C374C8" w:rsidRPr="00A32081" w:rsidRDefault="00C374C8" w:rsidP="00341526">
            <w:r w:rsidRPr="00A32081">
              <w:t>15-Nov-16</w:t>
            </w:r>
          </w:p>
        </w:tc>
        <w:tc>
          <w:tcPr>
            <w:tcW w:w="2835" w:type="dxa"/>
            <w:shd w:val="clear" w:color="auto" w:fill="auto"/>
            <w:hideMark/>
          </w:tcPr>
          <w:p w:rsidR="00C374C8" w:rsidRPr="00A32081" w:rsidRDefault="00C374C8" w:rsidP="00341526">
            <w:r w:rsidRPr="00A32081">
              <w:t xml:space="preserve">Support Transnet in increasing General Freight Business </w:t>
            </w:r>
          </w:p>
        </w:tc>
        <w:tc>
          <w:tcPr>
            <w:tcW w:w="1323" w:type="dxa"/>
            <w:shd w:val="clear" w:color="auto" w:fill="auto"/>
            <w:noWrap/>
            <w:hideMark/>
          </w:tcPr>
          <w:p w:rsidR="00C374C8" w:rsidRPr="00A32081" w:rsidRDefault="00C374C8" w:rsidP="00341526">
            <w:r w:rsidRPr="00A32081">
              <w:t>Terminated</w:t>
            </w:r>
          </w:p>
        </w:tc>
      </w:tr>
      <w:tr w:rsidR="00C374C8" w:rsidRPr="00A32081" w:rsidTr="00341526">
        <w:trPr>
          <w:trHeight w:val="300"/>
        </w:trPr>
        <w:tc>
          <w:tcPr>
            <w:tcW w:w="2208" w:type="dxa"/>
            <w:shd w:val="clear" w:color="auto" w:fill="auto"/>
            <w:noWrap/>
            <w:hideMark/>
          </w:tcPr>
          <w:p w:rsidR="00C374C8" w:rsidRPr="00A32081" w:rsidRDefault="00C374C8" w:rsidP="00341526">
            <w:r w:rsidRPr="00A32081">
              <w:t>Liquid Fuel and Gas demand</w:t>
            </w:r>
          </w:p>
        </w:tc>
        <w:tc>
          <w:tcPr>
            <w:tcW w:w="1302" w:type="dxa"/>
            <w:shd w:val="clear" w:color="auto" w:fill="auto"/>
            <w:noWrap/>
            <w:hideMark/>
          </w:tcPr>
          <w:p w:rsidR="00C374C8" w:rsidRPr="00A32081" w:rsidRDefault="00C374C8" w:rsidP="00341526">
            <w:r w:rsidRPr="00A32081">
              <w:t>24-Mar-15</w:t>
            </w:r>
          </w:p>
        </w:tc>
        <w:tc>
          <w:tcPr>
            <w:tcW w:w="1418" w:type="dxa"/>
            <w:shd w:val="clear" w:color="auto" w:fill="auto"/>
            <w:noWrap/>
            <w:hideMark/>
          </w:tcPr>
          <w:p w:rsidR="00C374C8" w:rsidRPr="00A32081" w:rsidRDefault="00C374C8" w:rsidP="00341526">
            <w:r w:rsidRPr="00A32081">
              <w:t>23-Mar-18</w:t>
            </w:r>
          </w:p>
        </w:tc>
        <w:tc>
          <w:tcPr>
            <w:tcW w:w="2835" w:type="dxa"/>
            <w:shd w:val="clear" w:color="auto" w:fill="auto"/>
            <w:hideMark/>
          </w:tcPr>
          <w:p w:rsidR="00C374C8" w:rsidRPr="00A32081" w:rsidRDefault="00C374C8" w:rsidP="00341526">
            <w:r w:rsidRPr="00A32081">
              <w:t>Gas demand forecasting</w:t>
            </w:r>
          </w:p>
        </w:tc>
        <w:tc>
          <w:tcPr>
            <w:tcW w:w="1323" w:type="dxa"/>
            <w:shd w:val="clear" w:color="auto" w:fill="auto"/>
            <w:noWrap/>
            <w:hideMark/>
          </w:tcPr>
          <w:p w:rsidR="00C374C8" w:rsidRPr="00A32081" w:rsidRDefault="00C374C8" w:rsidP="00341526">
            <w:r w:rsidRPr="00A32081">
              <w:t>Complete</w:t>
            </w:r>
          </w:p>
        </w:tc>
      </w:tr>
    </w:tbl>
    <w:p w:rsidR="00C374C8" w:rsidRDefault="00C374C8" w:rsidP="00C374C8"/>
    <w:p w:rsidR="00C374C8" w:rsidRPr="00C374C8" w:rsidRDefault="00C374C8" w:rsidP="00C374C8">
      <w:pPr>
        <w:spacing w:line="360" w:lineRule="auto"/>
        <w:ind w:left="1440" w:hanging="1440"/>
        <w:rPr>
          <w:rFonts w:ascii="Arial" w:hAnsi="Arial" w:cs="Arial"/>
        </w:rPr>
      </w:pPr>
      <w:r w:rsidRPr="00C374C8">
        <w:rPr>
          <w:rFonts w:ascii="Arial" w:hAnsi="Arial" w:cs="Arial"/>
          <w:b/>
        </w:rPr>
        <w:t>(1)(a)(ii)</w:t>
      </w:r>
      <w:r>
        <w:rPr>
          <w:rFonts w:ascii="Arial" w:hAnsi="Arial" w:cs="Arial"/>
          <w:b/>
        </w:rPr>
        <w:tab/>
      </w:r>
      <w:r w:rsidRPr="00C374C8">
        <w:rPr>
          <w:rFonts w:ascii="Arial" w:hAnsi="Arial" w:cs="Arial"/>
        </w:rPr>
        <w:t>Professional business and consulting services to support the short to medium term requirements of Transnet in the delivery of the various strategies over this timeframe, the strategies included the Four Point Turnaround plan, the Quantum leap program and now the Market Demand Strategy (MDS) as well as the Earnings Before Interest, Taxes, Depreciation and Amortization (EBIDTA) risks to the MDS as a result of the economic conditions in the past 3 years.</w:t>
      </w:r>
    </w:p>
    <w:p w:rsidR="00C374C8" w:rsidRPr="00C374C8" w:rsidRDefault="00C374C8" w:rsidP="00C374C8">
      <w:pPr>
        <w:spacing w:line="360" w:lineRule="auto"/>
        <w:jc w:val="both"/>
        <w:rPr>
          <w:rFonts w:ascii="Arial" w:hAnsi="Arial" w:cs="Arial"/>
        </w:rPr>
      </w:pPr>
    </w:p>
    <w:p w:rsidR="00C374C8" w:rsidRPr="00C374C8" w:rsidRDefault="00C374C8" w:rsidP="00C374C8">
      <w:pPr>
        <w:jc w:val="both"/>
        <w:rPr>
          <w:rFonts w:ascii="Arial" w:hAnsi="Arial" w:cs="Arial"/>
          <w:b/>
        </w:rPr>
      </w:pPr>
      <w:r w:rsidRPr="00C374C8">
        <w:rPr>
          <w:rFonts w:ascii="Arial" w:hAnsi="Arial" w:cs="Arial"/>
          <w:b/>
        </w:rPr>
        <w:t>(1)(a)(iii)(bb) and (1)(b)(ii)</w:t>
      </w:r>
    </w:p>
    <w:p w:rsidR="00C374C8" w:rsidRPr="00C374C8" w:rsidRDefault="00C374C8" w:rsidP="006F2ECA">
      <w:pPr>
        <w:spacing w:line="360" w:lineRule="auto"/>
        <w:ind w:left="1440"/>
        <w:jc w:val="both"/>
        <w:rPr>
          <w:rFonts w:ascii="Arial" w:hAnsi="Arial" w:cs="Arial"/>
        </w:rPr>
      </w:pPr>
      <w:r w:rsidRPr="00C374C8">
        <w:rPr>
          <w:rFonts w:ascii="Arial" w:hAnsi="Arial" w:cs="Arial"/>
        </w:rPr>
        <w:t>Whilst Transnet is committed to providing as transparent an account of the information requested, Transnet is bound by contractual obligations it owes to these suppliers and the disclosure of the values would be in breach of the confidentiality clauses of the contracts Transnet has with these suppliers and the disclosure of the financial information regarding these contracts would prejudice the commercial interests and rights of these suppliers. Such unauthorised disclosure may expose Transnet to legal proceedings and its directors and officers to charges of failing to comply with their fiduciary duties to the company.</w:t>
      </w:r>
    </w:p>
    <w:p w:rsidR="00C374C8" w:rsidRPr="00C374C8" w:rsidRDefault="00C374C8" w:rsidP="00C374C8">
      <w:pPr>
        <w:jc w:val="both"/>
        <w:rPr>
          <w:rFonts w:ascii="Arial" w:hAnsi="Arial" w:cs="Arial"/>
        </w:rPr>
      </w:pPr>
    </w:p>
    <w:p w:rsidR="00C374C8" w:rsidRPr="006F2ECA" w:rsidRDefault="00C374C8" w:rsidP="006F2ECA">
      <w:pPr>
        <w:ind w:left="1440" w:hanging="1368"/>
        <w:jc w:val="both"/>
        <w:rPr>
          <w:rFonts w:ascii="Arial" w:hAnsi="Arial" w:cs="Arial"/>
          <w:b/>
        </w:rPr>
      </w:pPr>
      <w:r w:rsidRPr="00C374C8">
        <w:rPr>
          <w:rFonts w:ascii="Arial" w:hAnsi="Arial" w:cs="Arial"/>
          <w:b/>
        </w:rPr>
        <w:t>(2)(a)</w:t>
      </w:r>
      <w:r w:rsidR="006F2ECA">
        <w:rPr>
          <w:rFonts w:ascii="Arial" w:hAnsi="Arial" w:cs="Arial"/>
          <w:b/>
        </w:rPr>
        <w:tab/>
      </w:r>
      <w:r w:rsidRPr="00C374C8">
        <w:rPr>
          <w:rFonts w:ascii="Arial" w:hAnsi="Arial" w:cs="Arial"/>
        </w:rPr>
        <w:t>To the best of our knowledge, it appears Transnet complied with the Public Finance Management Act, Act 1 of 1999 in all cases.</w:t>
      </w:r>
    </w:p>
    <w:p w:rsidR="00C374C8" w:rsidRPr="002543D6" w:rsidRDefault="00C374C8" w:rsidP="00C374C8">
      <w:pPr>
        <w:jc w:val="both"/>
        <w:rPr>
          <w:rFonts w:ascii="Tahoma" w:hAnsi="Tahoma" w:cs="Tahoma"/>
        </w:rPr>
      </w:pPr>
    </w:p>
    <w:p w:rsidR="00C374C8" w:rsidRPr="00C374C8" w:rsidRDefault="00C374C8" w:rsidP="006F2ECA">
      <w:pPr>
        <w:ind w:left="1440" w:hanging="1440"/>
        <w:jc w:val="both"/>
        <w:rPr>
          <w:rFonts w:ascii="Arial" w:hAnsi="Arial" w:cs="Arial"/>
        </w:rPr>
      </w:pPr>
      <w:r w:rsidRPr="00C374C8">
        <w:rPr>
          <w:rFonts w:ascii="Arial" w:hAnsi="Arial" w:cs="Arial"/>
          <w:b/>
        </w:rPr>
        <w:t>(2)(b)</w:t>
      </w:r>
      <w:r w:rsidR="006F2ECA">
        <w:rPr>
          <w:rFonts w:ascii="Arial" w:hAnsi="Arial" w:cs="Arial"/>
          <w:b/>
        </w:rPr>
        <w:tab/>
      </w:r>
      <w:r w:rsidRPr="00C374C8">
        <w:rPr>
          <w:rFonts w:ascii="Arial" w:hAnsi="Arial" w:cs="Arial"/>
        </w:rPr>
        <w:t>Transnet complied with its internal procurement policies and procedures in each case.</w:t>
      </w:r>
    </w:p>
    <w:p w:rsidR="00C374C8" w:rsidRPr="00C374C8" w:rsidRDefault="00C374C8" w:rsidP="00C374C8">
      <w:pPr>
        <w:jc w:val="both"/>
        <w:rPr>
          <w:rFonts w:ascii="Arial" w:hAnsi="Arial" w:cs="Arial"/>
        </w:rPr>
      </w:pPr>
    </w:p>
    <w:p w:rsidR="00C374C8" w:rsidRDefault="00C374C8" w:rsidP="006F2ECA">
      <w:pPr>
        <w:ind w:left="1440" w:hanging="1440"/>
        <w:jc w:val="both"/>
        <w:rPr>
          <w:rFonts w:ascii="Arial" w:hAnsi="Arial" w:cs="Arial"/>
        </w:rPr>
      </w:pPr>
      <w:r w:rsidRPr="00C374C8">
        <w:rPr>
          <w:rFonts w:ascii="Arial" w:hAnsi="Arial" w:cs="Arial"/>
          <w:b/>
        </w:rPr>
        <w:t>(3)(a)</w:t>
      </w:r>
      <w:r w:rsidR="006F2ECA">
        <w:rPr>
          <w:rFonts w:ascii="Arial" w:hAnsi="Arial" w:cs="Arial"/>
          <w:b/>
        </w:rPr>
        <w:tab/>
      </w:r>
      <w:r w:rsidRPr="00C374C8">
        <w:rPr>
          <w:rFonts w:ascii="Arial" w:hAnsi="Arial" w:cs="Arial"/>
        </w:rPr>
        <w:t xml:space="preserve">In all cases, the contracts were necessary as a result of internal resourcing constraints and the requirement for specialised skills. </w:t>
      </w:r>
    </w:p>
    <w:p w:rsidR="006F2ECA" w:rsidRDefault="006F2ECA" w:rsidP="006F2ECA">
      <w:pPr>
        <w:ind w:left="1440" w:hanging="1440"/>
        <w:jc w:val="both"/>
        <w:rPr>
          <w:rFonts w:ascii="Arial" w:hAnsi="Arial" w:cs="Arial"/>
        </w:rPr>
      </w:pPr>
    </w:p>
    <w:p w:rsidR="006F2ECA" w:rsidRPr="00C374C8" w:rsidRDefault="006F2ECA" w:rsidP="006F2ECA">
      <w:pPr>
        <w:ind w:left="1440" w:hanging="1440"/>
        <w:jc w:val="both"/>
        <w:rPr>
          <w:rFonts w:ascii="Arial" w:hAnsi="Arial" w:cs="Arial"/>
        </w:rPr>
      </w:pPr>
    </w:p>
    <w:p w:rsidR="00C374C8" w:rsidRPr="00C374C8" w:rsidRDefault="00C374C8" w:rsidP="00C374C8">
      <w:pPr>
        <w:rPr>
          <w:rFonts w:ascii="Arial" w:hAnsi="Arial" w:cs="Arial"/>
        </w:rPr>
      </w:pPr>
    </w:p>
    <w:p w:rsidR="00C374C8" w:rsidRPr="00C374C8" w:rsidRDefault="00C374C8" w:rsidP="006F2ECA">
      <w:pPr>
        <w:ind w:left="1440" w:hanging="1440"/>
        <w:rPr>
          <w:rFonts w:ascii="Arial" w:hAnsi="Arial" w:cs="Arial"/>
        </w:rPr>
      </w:pPr>
      <w:r w:rsidRPr="00C374C8">
        <w:rPr>
          <w:rFonts w:ascii="Arial" w:hAnsi="Arial" w:cs="Arial"/>
          <w:b/>
        </w:rPr>
        <w:t>(3)(b)</w:t>
      </w:r>
      <w:r w:rsidR="006F2ECA">
        <w:rPr>
          <w:rFonts w:ascii="Arial" w:hAnsi="Arial" w:cs="Arial"/>
          <w:b/>
        </w:rPr>
        <w:tab/>
      </w:r>
      <w:r w:rsidRPr="00C374C8">
        <w:rPr>
          <w:rFonts w:ascii="Arial" w:hAnsi="Arial" w:cs="Arial"/>
        </w:rPr>
        <w:t xml:space="preserve">The specialised nature of the contracts required specialist skills which were not available within Transnet. These specialised skills were only required for the duration of the contracts. </w:t>
      </w:r>
    </w:p>
    <w:p w:rsidR="00C374C8" w:rsidRPr="00C374C8" w:rsidRDefault="00C374C8" w:rsidP="00C374C8">
      <w:pPr>
        <w:jc w:val="both"/>
        <w:rPr>
          <w:rFonts w:ascii="Arial" w:hAnsi="Arial" w:cs="Arial"/>
        </w:rPr>
      </w:pPr>
    </w:p>
    <w:p w:rsidR="00C374C8" w:rsidRPr="00C374C8" w:rsidRDefault="00C374C8" w:rsidP="006F2ECA">
      <w:pPr>
        <w:ind w:left="1440"/>
        <w:jc w:val="both"/>
        <w:rPr>
          <w:rFonts w:ascii="Arial" w:hAnsi="Arial" w:cs="Arial"/>
        </w:rPr>
      </w:pPr>
      <w:r w:rsidRPr="00C374C8">
        <w:rPr>
          <w:rFonts w:ascii="Arial" w:hAnsi="Arial" w:cs="Arial"/>
        </w:rPr>
        <w:t>The appointment complies with paragraph 15.8 of the Transnet Procurement Procedures Manual which refers to the appointment of consultants.</w:t>
      </w:r>
    </w:p>
    <w:p w:rsidR="00C374C8" w:rsidRDefault="00C374C8" w:rsidP="00C374C8">
      <w:pPr>
        <w:jc w:val="both"/>
        <w:rPr>
          <w:rFonts w:ascii="Tahoma" w:hAnsi="Tahoma" w:cs="Tahoma"/>
        </w:rPr>
      </w:pPr>
      <w:r>
        <w:rPr>
          <w:rFonts w:ascii="Tahoma" w:hAnsi="Tahoma" w:cs="Tahoma"/>
        </w:rPr>
        <w:t xml:space="preserve">  </w:t>
      </w:r>
    </w:p>
    <w:p w:rsidR="00C374C8" w:rsidRDefault="00C374C8" w:rsidP="00C374C8">
      <w:pPr>
        <w:rPr>
          <w:rFonts w:ascii="Tahoma" w:hAnsi="Tahoma" w:cs="Tahoma"/>
        </w:rPr>
      </w:pPr>
    </w:p>
    <w:p w:rsidR="00C374C8" w:rsidRDefault="00C374C8" w:rsidP="00C374C8">
      <w:pPr>
        <w:rPr>
          <w:rFonts w:ascii="Tahoma" w:hAnsi="Tahoma" w:cs="Tahoma"/>
        </w:rPr>
      </w:pPr>
    </w:p>
    <w:p w:rsidR="00522118" w:rsidRDefault="00522118" w:rsidP="001F720D">
      <w:pPr>
        <w:spacing w:line="360" w:lineRule="auto"/>
        <w:ind w:left="720" w:hanging="720"/>
        <w:jc w:val="both"/>
        <w:rPr>
          <w:rFonts w:ascii="Arial" w:hAnsi="Arial" w:cs="Arial"/>
          <w:bCs/>
        </w:rPr>
      </w:pPr>
    </w:p>
    <w:p w:rsidR="00D277B1" w:rsidRPr="00796B78" w:rsidRDefault="00D277B1" w:rsidP="0007707F">
      <w:pPr>
        <w:spacing w:line="360" w:lineRule="auto"/>
        <w:ind w:left="720" w:hanging="720"/>
        <w:jc w:val="both"/>
        <w:rPr>
          <w:rFonts w:ascii="Arial" w:hAnsi="Arial" w:cs="Arial"/>
          <w:bCs/>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B72486" w:rsidRPr="00EA3DFB" w:rsidRDefault="00B72486" w:rsidP="006C7F97">
      <w:pPr>
        <w:jc w:val="both"/>
        <w:rPr>
          <w:rFonts w:ascii="Arial" w:hAnsi="Arial" w:cs="Arial"/>
          <w:b/>
        </w:rPr>
      </w:pPr>
    </w:p>
    <w:sectPr w:rsidR="00B72486"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AF" w:rsidRDefault="00FD19AF" w:rsidP="002F7B6C">
      <w:r>
        <w:separator/>
      </w:r>
    </w:p>
  </w:endnote>
  <w:endnote w:type="continuationSeparator" w:id="0">
    <w:p w:rsidR="00FD19AF" w:rsidRDefault="00FD19A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D19A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AF" w:rsidRDefault="00FD19AF" w:rsidP="002F7B6C">
      <w:r>
        <w:separator/>
      </w:r>
    </w:p>
  </w:footnote>
  <w:footnote w:type="continuationSeparator" w:id="0">
    <w:p w:rsidR="00FD19AF" w:rsidRDefault="00FD19A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CF6"/>
    <w:rsid w:val="00026896"/>
    <w:rsid w:val="00026961"/>
    <w:rsid w:val="00037BA8"/>
    <w:rsid w:val="00053958"/>
    <w:rsid w:val="00063424"/>
    <w:rsid w:val="000761C1"/>
    <w:rsid w:val="0007707F"/>
    <w:rsid w:val="00082DF7"/>
    <w:rsid w:val="00093C4D"/>
    <w:rsid w:val="000A3610"/>
    <w:rsid w:val="000A6768"/>
    <w:rsid w:val="000B0078"/>
    <w:rsid w:val="000B0758"/>
    <w:rsid w:val="000B6C62"/>
    <w:rsid w:val="000D0546"/>
    <w:rsid w:val="000E13FF"/>
    <w:rsid w:val="000E5477"/>
    <w:rsid w:val="000F170E"/>
    <w:rsid w:val="000F4733"/>
    <w:rsid w:val="000F4C3B"/>
    <w:rsid w:val="0010539F"/>
    <w:rsid w:val="0011128E"/>
    <w:rsid w:val="00112AA6"/>
    <w:rsid w:val="00121003"/>
    <w:rsid w:val="00143667"/>
    <w:rsid w:val="001465A8"/>
    <w:rsid w:val="00147ADE"/>
    <w:rsid w:val="00154917"/>
    <w:rsid w:val="001617C6"/>
    <w:rsid w:val="001740EB"/>
    <w:rsid w:val="001768FA"/>
    <w:rsid w:val="00180887"/>
    <w:rsid w:val="001835A6"/>
    <w:rsid w:val="00187731"/>
    <w:rsid w:val="001A15FB"/>
    <w:rsid w:val="001A2020"/>
    <w:rsid w:val="001A63AA"/>
    <w:rsid w:val="001B58A0"/>
    <w:rsid w:val="001B5E1F"/>
    <w:rsid w:val="001D6636"/>
    <w:rsid w:val="001E36FF"/>
    <w:rsid w:val="001F68BA"/>
    <w:rsid w:val="001F720D"/>
    <w:rsid w:val="00202E8D"/>
    <w:rsid w:val="00204BA5"/>
    <w:rsid w:val="00205793"/>
    <w:rsid w:val="002102C5"/>
    <w:rsid w:val="00226482"/>
    <w:rsid w:val="00231713"/>
    <w:rsid w:val="00236A8D"/>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1526"/>
    <w:rsid w:val="00344369"/>
    <w:rsid w:val="003502E6"/>
    <w:rsid w:val="003709B8"/>
    <w:rsid w:val="00375892"/>
    <w:rsid w:val="003828D9"/>
    <w:rsid w:val="0039441D"/>
    <w:rsid w:val="00397F90"/>
    <w:rsid w:val="003A0568"/>
    <w:rsid w:val="003A7F30"/>
    <w:rsid w:val="003B107C"/>
    <w:rsid w:val="003E19BD"/>
    <w:rsid w:val="003E4CFD"/>
    <w:rsid w:val="003F04C2"/>
    <w:rsid w:val="004278AA"/>
    <w:rsid w:val="0046734D"/>
    <w:rsid w:val="00470635"/>
    <w:rsid w:val="00492EBD"/>
    <w:rsid w:val="00493249"/>
    <w:rsid w:val="004941C3"/>
    <w:rsid w:val="004A79CE"/>
    <w:rsid w:val="004B635B"/>
    <w:rsid w:val="004C4CB3"/>
    <w:rsid w:val="004C5539"/>
    <w:rsid w:val="004D461D"/>
    <w:rsid w:val="004D772A"/>
    <w:rsid w:val="004E1FD7"/>
    <w:rsid w:val="004E3AE1"/>
    <w:rsid w:val="005007A5"/>
    <w:rsid w:val="005047F1"/>
    <w:rsid w:val="00522118"/>
    <w:rsid w:val="005240E0"/>
    <w:rsid w:val="00530AF1"/>
    <w:rsid w:val="00541AB0"/>
    <w:rsid w:val="00543405"/>
    <w:rsid w:val="00543F78"/>
    <w:rsid w:val="0054476C"/>
    <w:rsid w:val="00550D7F"/>
    <w:rsid w:val="00557E9E"/>
    <w:rsid w:val="00572202"/>
    <w:rsid w:val="00584888"/>
    <w:rsid w:val="005A234A"/>
    <w:rsid w:val="005A49C8"/>
    <w:rsid w:val="005B5054"/>
    <w:rsid w:val="005C2BD3"/>
    <w:rsid w:val="005C3BE9"/>
    <w:rsid w:val="005D4452"/>
    <w:rsid w:val="005E232A"/>
    <w:rsid w:val="005F2D94"/>
    <w:rsid w:val="00600858"/>
    <w:rsid w:val="00617391"/>
    <w:rsid w:val="00632C36"/>
    <w:rsid w:val="00634841"/>
    <w:rsid w:val="006522AE"/>
    <w:rsid w:val="00674548"/>
    <w:rsid w:val="00683DF1"/>
    <w:rsid w:val="00691516"/>
    <w:rsid w:val="00692C78"/>
    <w:rsid w:val="00693729"/>
    <w:rsid w:val="00697478"/>
    <w:rsid w:val="006B1B03"/>
    <w:rsid w:val="006B6CAA"/>
    <w:rsid w:val="006C24C3"/>
    <w:rsid w:val="006C3A71"/>
    <w:rsid w:val="006C63EE"/>
    <w:rsid w:val="006C7F97"/>
    <w:rsid w:val="006E0341"/>
    <w:rsid w:val="006F2ECA"/>
    <w:rsid w:val="006F45E6"/>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96B78"/>
    <w:rsid w:val="007A0A55"/>
    <w:rsid w:val="007A205F"/>
    <w:rsid w:val="007A309E"/>
    <w:rsid w:val="007A5976"/>
    <w:rsid w:val="007B3B72"/>
    <w:rsid w:val="007C59C4"/>
    <w:rsid w:val="007D3B93"/>
    <w:rsid w:val="007D51A4"/>
    <w:rsid w:val="007D5303"/>
    <w:rsid w:val="007E303E"/>
    <w:rsid w:val="007E573D"/>
    <w:rsid w:val="007E662D"/>
    <w:rsid w:val="007F06CF"/>
    <w:rsid w:val="007F5018"/>
    <w:rsid w:val="008316CE"/>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A5610"/>
    <w:rsid w:val="008E0C4E"/>
    <w:rsid w:val="008F31BE"/>
    <w:rsid w:val="008F4E54"/>
    <w:rsid w:val="008F65CE"/>
    <w:rsid w:val="00900509"/>
    <w:rsid w:val="00933A9C"/>
    <w:rsid w:val="00956CC7"/>
    <w:rsid w:val="0097772A"/>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84545"/>
    <w:rsid w:val="00A90682"/>
    <w:rsid w:val="00A908B2"/>
    <w:rsid w:val="00A940D5"/>
    <w:rsid w:val="00A96A18"/>
    <w:rsid w:val="00A96A47"/>
    <w:rsid w:val="00AA2FC2"/>
    <w:rsid w:val="00AB1C3D"/>
    <w:rsid w:val="00AB59BD"/>
    <w:rsid w:val="00AB609C"/>
    <w:rsid w:val="00AC40F3"/>
    <w:rsid w:val="00AD1830"/>
    <w:rsid w:val="00AE041D"/>
    <w:rsid w:val="00B06002"/>
    <w:rsid w:val="00B21B4E"/>
    <w:rsid w:val="00B329AC"/>
    <w:rsid w:val="00B4224B"/>
    <w:rsid w:val="00B52D1A"/>
    <w:rsid w:val="00B62342"/>
    <w:rsid w:val="00B64C51"/>
    <w:rsid w:val="00B65996"/>
    <w:rsid w:val="00B72486"/>
    <w:rsid w:val="00B818B9"/>
    <w:rsid w:val="00B84C5C"/>
    <w:rsid w:val="00B86DE5"/>
    <w:rsid w:val="00B91B50"/>
    <w:rsid w:val="00B977DB"/>
    <w:rsid w:val="00BC2946"/>
    <w:rsid w:val="00BD652C"/>
    <w:rsid w:val="00BE2C89"/>
    <w:rsid w:val="00C02B81"/>
    <w:rsid w:val="00C05B52"/>
    <w:rsid w:val="00C163FA"/>
    <w:rsid w:val="00C2147A"/>
    <w:rsid w:val="00C21C8D"/>
    <w:rsid w:val="00C33AC7"/>
    <w:rsid w:val="00C34EA5"/>
    <w:rsid w:val="00C35B67"/>
    <w:rsid w:val="00C35C85"/>
    <w:rsid w:val="00C36C5A"/>
    <w:rsid w:val="00C374C8"/>
    <w:rsid w:val="00C37C01"/>
    <w:rsid w:val="00C414EF"/>
    <w:rsid w:val="00C51DD6"/>
    <w:rsid w:val="00C673A6"/>
    <w:rsid w:val="00C9463B"/>
    <w:rsid w:val="00CA09C4"/>
    <w:rsid w:val="00CB5861"/>
    <w:rsid w:val="00CB5C46"/>
    <w:rsid w:val="00CB74D7"/>
    <w:rsid w:val="00CC4BAD"/>
    <w:rsid w:val="00CE514E"/>
    <w:rsid w:val="00CE6D28"/>
    <w:rsid w:val="00CF5106"/>
    <w:rsid w:val="00CF5D4B"/>
    <w:rsid w:val="00D01AC9"/>
    <w:rsid w:val="00D03979"/>
    <w:rsid w:val="00D042B8"/>
    <w:rsid w:val="00D25ED9"/>
    <w:rsid w:val="00D277B1"/>
    <w:rsid w:val="00D301BD"/>
    <w:rsid w:val="00D37BD8"/>
    <w:rsid w:val="00D4715B"/>
    <w:rsid w:val="00D60634"/>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A6871"/>
    <w:rsid w:val="00ED3319"/>
    <w:rsid w:val="00EE1975"/>
    <w:rsid w:val="00EE4B89"/>
    <w:rsid w:val="00EF5F14"/>
    <w:rsid w:val="00F10337"/>
    <w:rsid w:val="00F24B6C"/>
    <w:rsid w:val="00F33528"/>
    <w:rsid w:val="00F544FA"/>
    <w:rsid w:val="00F75EA0"/>
    <w:rsid w:val="00F80BD9"/>
    <w:rsid w:val="00F968DE"/>
    <w:rsid w:val="00FA4243"/>
    <w:rsid w:val="00FB043B"/>
    <w:rsid w:val="00FB0CBE"/>
    <w:rsid w:val="00FD19AF"/>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5535</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2017-07-06T08:03:00Z</cp:lastPrinted>
  <dcterms:created xsi:type="dcterms:W3CDTF">2017-07-31T09:49:00Z</dcterms:created>
  <dcterms:modified xsi:type="dcterms:W3CDTF">2017-07-31T09:49:00Z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00000000BC095E7D7A071E45AEB31986C17B1DABA4CB7500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