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E215C" w14:textId="134BC685" w:rsidR="00BA7B88" w:rsidRDefault="005A364D" w:rsidP="005A364D">
      <w:pPr>
        <w:pStyle w:val="Body1"/>
        <w:jc w:val="center"/>
        <w:rPr>
          <w:rFonts w:ascii="Arial" w:hAnsi="Arial"/>
          <w:sz w:val="24"/>
        </w:rPr>
      </w:pPr>
      <w:r>
        <w:rPr>
          <w:rFonts w:ascii="Arial" w:eastAsia="Batang" w:hAnsi="Arial"/>
          <w:noProof/>
          <w:sz w:val="24"/>
        </w:rPr>
        <w:drawing>
          <wp:inline distT="0" distB="0" distL="0" distR="0" wp14:anchorId="44314BE6" wp14:editId="40DDAD3D">
            <wp:extent cx="1181100" cy="1509395"/>
            <wp:effectExtent l="0" t="0" r="0" b="0"/>
            <wp:docPr id="2" name="Picture 2"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560" cy="1517651"/>
                    </a:xfrm>
                    <a:prstGeom prst="rect">
                      <a:avLst/>
                    </a:prstGeom>
                    <a:noFill/>
                    <a:ln>
                      <a:noFill/>
                    </a:ln>
                  </pic:spPr>
                </pic:pic>
              </a:graphicData>
            </a:graphic>
          </wp:inline>
        </w:drawing>
      </w:r>
    </w:p>
    <w:p w14:paraId="3B429E03" w14:textId="77777777" w:rsidR="00BA7B88" w:rsidRDefault="00BA7B88">
      <w:pPr>
        <w:pStyle w:val="Body1"/>
        <w:rPr>
          <w:rFonts w:ascii="Arial" w:hAnsi="Arial"/>
          <w:sz w:val="24"/>
        </w:rPr>
      </w:pPr>
    </w:p>
    <w:p w14:paraId="14F99884" w14:textId="77777777"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14:paraId="465CC0C4" w14:textId="77777777"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14:paraId="6F5BFD9C" w14:textId="77777777" w:rsidR="00BA7B88" w:rsidRDefault="00BA7B88" w:rsidP="005450F6">
      <w:pPr>
        <w:pStyle w:val="Body1"/>
        <w:spacing w:line="276" w:lineRule="auto"/>
        <w:rPr>
          <w:rFonts w:ascii="Arial" w:hAnsi="Arial"/>
          <w:b/>
          <w:sz w:val="24"/>
        </w:rPr>
      </w:pPr>
    </w:p>
    <w:p w14:paraId="371D44C8" w14:textId="77777777" w:rsidR="00007611" w:rsidRPr="00255734" w:rsidRDefault="00007611" w:rsidP="00936D26">
      <w:pPr>
        <w:pStyle w:val="Body1"/>
        <w:spacing w:line="276" w:lineRule="auto"/>
        <w:rPr>
          <w:rFonts w:ascii="Arial" w:hAnsi="Arial" w:cs="Arial"/>
          <w:b/>
          <w:sz w:val="16"/>
          <w:szCs w:val="16"/>
        </w:rPr>
      </w:pPr>
    </w:p>
    <w:p w14:paraId="78E470EA" w14:textId="77777777"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14:paraId="6ECCAD0D" w14:textId="77777777" w:rsidR="00BA7B88" w:rsidRPr="00F45438" w:rsidRDefault="00BA7B88" w:rsidP="00936D26">
      <w:pPr>
        <w:pStyle w:val="Body1"/>
        <w:spacing w:line="276" w:lineRule="auto"/>
        <w:jc w:val="center"/>
        <w:rPr>
          <w:rFonts w:ascii="Arial" w:hAnsi="Arial" w:cs="Arial"/>
          <w:b/>
          <w:sz w:val="24"/>
          <w:szCs w:val="24"/>
        </w:rPr>
      </w:pPr>
    </w:p>
    <w:p w14:paraId="3D17C93A" w14:textId="77777777"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14:paraId="548F9980" w14:textId="77777777" w:rsidR="00BA7B88" w:rsidRPr="006E7B1D" w:rsidRDefault="00BA7B88" w:rsidP="00936D26">
      <w:pPr>
        <w:pStyle w:val="Body1"/>
        <w:spacing w:line="276" w:lineRule="auto"/>
        <w:rPr>
          <w:rStyle w:val="SubtleEmphasis"/>
        </w:rPr>
      </w:pPr>
    </w:p>
    <w:p w14:paraId="24009EC4" w14:textId="56B38A60" w:rsidR="00007611"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bookmarkStart w:id="0" w:name="_Hlk2897684"/>
      <w:bookmarkStart w:id="1" w:name="_Hlk2897856"/>
      <w:r w:rsidR="00A22595" w:rsidRPr="00A22595">
        <w:rPr>
          <w:rFonts w:ascii="Arial" w:hAnsi="Arial" w:cs="Arial"/>
          <w:b/>
          <w:sz w:val="24"/>
          <w:szCs w:val="24"/>
        </w:rPr>
        <w:t>95.</w:t>
      </w:r>
      <w:r w:rsidR="00E52F31" w:rsidRPr="00E52F31">
        <w:rPr>
          <w:rFonts w:ascii="Arial" w:hAnsi="Arial" w:cs="Arial"/>
          <w:b/>
          <w:sz w:val="24"/>
          <w:szCs w:val="24"/>
        </w:rPr>
        <w:tab/>
      </w:r>
      <w:bookmarkEnd w:id="0"/>
      <w:bookmarkEnd w:id="1"/>
      <w:r w:rsidR="004F4221" w:rsidRPr="004F4221">
        <w:rPr>
          <w:rFonts w:ascii="Arial" w:hAnsi="Arial" w:cs="Arial"/>
          <w:b/>
          <w:sz w:val="24"/>
          <w:szCs w:val="24"/>
        </w:rPr>
        <w:tab/>
      </w:r>
      <w:r w:rsidR="004E606D" w:rsidRPr="004E606D">
        <w:rPr>
          <w:rFonts w:ascii="Arial" w:hAnsi="Arial" w:cs="Arial"/>
          <w:b/>
          <w:sz w:val="24"/>
          <w:szCs w:val="24"/>
        </w:rPr>
        <w:tab/>
      </w:r>
      <w:r w:rsidR="00102110" w:rsidRPr="00102110">
        <w:rPr>
          <w:rFonts w:ascii="Arial" w:hAnsi="Arial" w:cs="Arial"/>
          <w:b/>
          <w:sz w:val="24"/>
          <w:szCs w:val="24"/>
        </w:rPr>
        <w:tab/>
      </w:r>
      <w:r w:rsidR="00026762" w:rsidRPr="00026762">
        <w:rPr>
          <w:rFonts w:ascii="Arial" w:hAnsi="Arial" w:cs="Arial"/>
          <w:b/>
          <w:sz w:val="24"/>
          <w:szCs w:val="24"/>
        </w:rPr>
        <w:tab/>
      </w:r>
      <w:r w:rsidR="000C5C0A" w:rsidRPr="000C5C0A">
        <w:rPr>
          <w:rFonts w:ascii="Arial" w:hAnsi="Arial" w:cs="Arial"/>
          <w:b/>
          <w:sz w:val="24"/>
          <w:szCs w:val="24"/>
        </w:rPr>
        <w:tab/>
      </w:r>
      <w:r w:rsidR="00AF170F" w:rsidRPr="00AF170F">
        <w:rPr>
          <w:rFonts w:ascii="Arial" w:hAnsi="Arial" w:cs="Arial"/>
          <w:b/>
          <w:sz w:val="24"/>
          <w:szCs w:val="24"/>
        </w:rPr>
        <w:tab/>
      </w:r>
      <w:r w:rsidR="00E65BA1" w:rsidRPr="00E65BA1">
        <w:rPr>
          <w:rFonts w:ascii="Arial" w:hAnsi="Arial" w:cs="Arial"/>
          <w:b/>
          <w:sz w:val="24"/>
          <w:szCs w:val="24"/>
        </w:rPr>
        <w:tab/>
      </w:r>
      <w:r w:rsidR="00EF0A3A" w:rsidRPr="00EF0A3A">
        <w:rPr>
          <w:rFonts w:ascii="Arial" w:hAnsi="Arial" w:cs="Arial"/>
          <w:b/>
          <w:sz w:val="24"/>
          <w:szCs w:val="24"/>
        </w:rPr>
        <w:tab/>
      </w:r>
    </w:p>
    <w:p w14:paraId="46D781D2" w14:textId="77777777" w:rsidR="00BA7B88" w:rsidRPr="00A250F5" w:rsidRDefault="00CB5ADD" w:rsidP="00255734">
      <w:pPr>
        <w:pStyle w:val="NoSpacing"/>
      </w:pPr>
      <w:r w:rsidRPr="00CB5ADD">
        <w:tab/>
      </w:r>
      <w:r w:rsidR="00786E18" w:rsidRPr="00786E18">
        <w:rPr>
          <w:lang w:val="af-ZA"/>
        </w:rPr>
        <w:tab/>
      </w:r>
      <w:r w:rsidR="00A11497" w:rsidRPr="00A11497">
        <w:rPr>
          <w:lang w:val="af-ZA"/>
        </w:rPr>
        <w:tab/>
      </w:r>
      <w:r w:rsidR="00A0326A" w:rsidRPr="00ED4F6B">
        <w:tab/>
      </w:r>
      <w:r w:rsidR="00417319" w:rsidRPr="00A250F5">
        <w:rPr>
          <w:lang w:val="af-ZA"/>
        </w:rPr>
        <w:tab/>
      </w:r>
      <w:r w:rsidR="005450F6" w:rsidRPr="00A250F5">
        <w:tab/>
      </w:r>
      <w:r w:rsidR="00DF7F34" w:rsidRPr="00A250F5">
        <w:tab/>
      </w:r>
    </w:p>
    <w:p w14:paraId="36E9631D" w14:textId="40D05CFE" w:rsidR="00A22595" w:rsidRPr="00A22595" w:rsidRDefault="00A22595" w:rsidP="00A22595">
      <w:pPr>
        <w:spacing w:before="100" w:beforeAutospacing="1" w:after="100" w:afterAutospacing="1" w:line="276" w:lineRule="auto"/>
        <w:jc w:val="both"/>
        <w:rPr>
          <w:rFonts w:ascii="Arial" w:eastAsia="Calibri" w:hAnsi="Arial" w:cs="Arial"/>
          <w:b/>
          <w:lang w:val="af-ZA"/>
        </w:rPr>
      </w:pPr>
      <w:r w:rsidRPr="00A22595">
        <w:rPr>
          <w:rFonts w:ascii="Arial" w:eastAsia="Calibri" w:hAnsi="Arial" w:cs="Arial"/>
          <w:b/>
          <w:lang w:val="af-ZA"/>
        </w:rPr>
        <w:t>Mr M Hlengwa (IFP) to ask Minister of Public Service and Administration:</w:t>
      </w:r>
    </w:p>
    <w:p w14:paraId="478C08FE" w14:textId="3A040593" w:rsidR="00A22595" w:rsidRDefault="00A22595" w:rsidP="00A22595">
      <w:pPr>
        <w:spacing w:before="100" w:beforeAutospacing="1" w:after="100" w:afterAutospacing="1" w:line="276" w:lineRule="auto"/>
        <w:jc w:val="both"/>
        <w:rPr>
          <w:rFonts w:ascii="Arial" w:eastAsia="Calibri" w:hAnsi="Arial" w:cs="Arial"/>
          <w:sz w:val="22"/>
          <w:szCs w:val="22"/>
          <w:lang w:val="af-ZA"/>
        </w:rPr>
      </w:pPr>
      <w:r w:rsidRPr="00A22595">
        <w:rPr>
          <w:rFonts w:ascii="Arial" w:eastAsia="Calibri" w:hAnsi="Arial" w:cs="Arial"/>
          <w:lang w:val="af-ZA"/>
        </w:rPr>
        <w:t>Whether his department has made any progress to reduce the public wage bill; if not, why not; if so, what are the relevant details?</w:t>
      </w:r>
      <w:r w:rsidRPr="00A22595">
        <w:rPr>
          <w:rFonts w:ascii="Arial" w:eastAsia="Calibri" w:hAnsi="Arial" w:cs="Arial"/>
          <w:lang w:val="af-ZA"/>
        </w:rPr>
        <w:tab/>
      </w:r>
      <w:r w:rsidRPr="00A22595">
        <w:rPr>
          <w:rFonts w:ascii="Arial" w:eastAsia="Calibri" w:hAnsi="Arial" w:cs="Arial"/>
          <w:lang w:val="af-ZA"/>
        </w:rPr>
        <w:tab/>
      </w:r>
      <w:r w:rsidRPr="00A22595">
        <w:rPr>
          <w:rFonts w:ascii="Arial" w:eastAsia="Calibri" w:hAnsi="Arial" w:cs="Arial"/>
          <w:lang w:val="af-ZA"/>
        </w:rPr>
        <w:tab/>
      </w:r>
      <w:r w:rsidRPr="00A22595">
        <w:rPr>
          <w:rFonts w:ascii="Arial" w:eastAsia="Calibri" w:hAnsi="Arial" w:cs="Arial"/>
          <w:lang w:val="af-ZA"/>
        </w:rPr>
        <w:tab/>
      </w:r>
      <w:r w:rsidRPr="00A22595">
        <w:rPr>
          <w:rFonts w:ascii="Arial" w:eastAsia="Calibri" w:hAnsi="Arial" w:cs="Arial"/>
          <w:lang w:val="af-ZA"/>
        </w:rPr>
        <w:tab/>
      </w:r>
      <w:r>
        <w:rPr>
          <w:rFonts w:ascii="Arial" w:eastAsia="Calibri" w:hAnsi="Arial" w:cs="Arial"/>
          <w:lang w:val="af-ZA"/>
        </w:rPr>
        <w:tab/>
        <w:t xml:space="preserve">         </w:t>
      </w:r>
      <w:r w:rsidRPr="00A22595">
        <w:rPr>
          <w:rFonts w:ascii="Arial" w:eastAsia="Calibri" w:hAnsi="Arial" w:cs="Arial"/>
          <w:sz w:val="22"/>
          <w:szCs w:val="22"/>
          <w:lang w:val="af-ZA"/>
        </w:rPr>
        <w:t>NW1056E</w:t>
      </w:r>
    </w:p>
    <w:p w14:paraId="197D465A" w14:textId="77777777" w:rsidR="005666F9" w:rsidRPr="005666F9" w:rsidRDefault="005666F9" w:rsidP="005666F9">
      <w:pPr>
        <w:pStyle w:val="NoSpacing"/>
        <w:rPr>
          <w:sz w:val="16"/>
          <w:szCs w:val="16"/>
        </w:rPr>
      </w:pPr>
    </w:p>
    <w:p w14:paraId="0D3279C6" w14:textId="77777777" w:rsidR="00E65BA1" w:rsidRDefault="004B1243" w:rsidP="00007611">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p>
    <w:p w14:paraId="2E018ED1" w14:textId="77777777" w:rsidR="00255734" w:rsidRDefault="00530717" w:rsidP="00102110">
      <w:pPr>
        <w:tabs>
          <w:tab w:val="left" w:pos="7545"/>
        </w:tabs>
        <w:spacing w:before="100" w:beforeAutospacing="1" w:after="100" w:afterAutospacing="1" w:line="276" w:lineRule="auto"/>
        <w:jc w:val="both"/>
        <w:rPr>
          <w:rFonts w:ascii="Arial" w:hAnsi="Arial" w:cs="Arial"/>
          <w:lang w:val="en-ZA"/>
        </w:rPr>
      </w:pPr>
      <w:r>
        <w:rPr>
          <w:rFonts w:ascii="Arial" w:hAnsi="Arial" w:cs="Arial"/>
          <w:lang w:val="en-ZA"/>
        </w:rPr>
        <w:t xml:space="preserve">Yes. </w:t>
      </w:r>
      <w:r w:rsidR="00A17EC3" w:rsidRPr="00A17EC3">
        <w:rPr>
          <w:rFonts w:ascii="Arial" w:hAnsi="Arial" w:cs="Arial"/>
          <w:lang w:val="en-ZA"/>
        </w:rPr>
        <w:t xml:space="preserve">During </w:t>
      </w:r>
      <w:r w:rsidR="00A17EC3">
        <w:rPr>
          <w:rFonts w:ascii="Arial" w:hAnsi="Arial" w:cs="Arial"/>
          <w:lang w:val="en-ZA"/>
        </w:rPr>
        <w:t xml:space="preserve">and post </w:t>
      </w:r>
      <w:r w:rsidR="00A17EC3" w:rsidRPr="00A17EC3">
        <w:rPr>
          <w:rFonts w:ascii="Arial" w:hAnsi="Arial" w:cs="Arial"/>
          <w:lang w:val="en-ZA"/>
        </w:rPr>
        <w:t>the</w:t>
      </w:r>
      <w:r w:rsidR="00A17EC3">
        <w:rPr>
          <w:rFonts w:ascii="Arial" w:hAnsi="Arial" w:cs="Arial"/>
          <w:lang w:val="en-ZA"/>
        </w:rPr>
        <w:t xml:space="preserve"> 2018 Wage negotiations, economic realities and financial pressures were discussed with organised labour. </w:t>
      </w:r>
      <w:r w:rsidR="00343724">
        <w:rPr>
          <w:rFonts w:ascii="Arial" w:hAnsi="Arial" w:cs="Arial"/>
          <w:lang w:val="en-ZA"/>
        </w:rPr>
        <w:t>The purpose was to jointly look at tangible measures going forward, to remain within the budgetary ceiling without negatively impacting on job securi</w:t>
      </w:r>
      <w:r w:rsidR="007C5F93">
        <w:rPr>
          <w:rFonts w:ascii="Arial" w:hAnsi="Arial" w:cs="Arial"/>
          <w:lang w:val="en-ZA"/>
        </w:rPr>
        <w:t>t</w:t>
      </w:r>
      <w:r w:rsidR="00343724">
        <w:rPr>
          <w:rFonts w:ascii="Arial" w:hAnsi="Arial" w:cs="Arial"/>
          <w:lang w:val="en-ZA"/>
        </w:rPr>
        <w:t xml:space="preserve">y, as well as </w:t>
      </w:r>
      <w:r w:rsidR="007C5F93">
        <w:rPr>
          <w:rFonts w:ascii="Arial" w:hAnsi="Arial" w:cs="Arial"/>
          <w:lang w:val="en-ZA"/>
        </w:rPr>
        <w:t>ensuring continuous efficient and effective functionality of departments within the Medium</w:t>
      </w:r>
      <w:r w:rsidR="004B6FA2">
        <w:rPr>
          <w:rFonts w:ascii="Arial" w:hAnsi="Arial" w:cs="Arial"/>
          <w:lang w:val="en-ZA"/>
        </w:rPr>
        <w:t xml:space="preserve"> </w:t>
      </w:r>
      <w:r w:rsidR="007C5F93">
        <w:rPr>
          <w:rFonts w:ascii="Arial" w:hAnsi="Arial" w:cs="Arial"/>
          <w:lang w:val="en-ZA"/>
        </w:rPr>
        <w:t xml:space="preserve">Term Expenditure Framework (MTEF) and beyond. </w:t>
      </w:r>
    </w:p>
    <w:p w14:paraId="16E195B7" w14:textId="0CD0C118" w:rsidR="007C5F93" w:rsidRDefault="007C5F93" w:rsidP="00102110">
      <w:pPr>
        <w:tabs>
          <w:tab w:val="left" w:pos="7545"/>
        </w:tabs>
        <w:spacing w:before="100" w:beforeAutospacing="1" w:after="100" w:afterAutospacing="1" w:line="276" w:lineRule="auto"/>
        <w:jc w:val="both"/>
        <w:rPr>
          <w:rFonts w:ascii="Arial" w:hAnsi="Arial" w:cs="Arial"/>
          <w:lang w:val="en-ZA"/>
        </w:rPr>
      </w:pPr>
      <w:r>
        <w:rPr>
          <w:rFonts w:ascii="Arial" w:hAnsi="Arial" w:cs="Arial"/>
          <w:lang w:val="en-ZA"/>
        </w:rPr>
        <w:t>Numerous Human Resources (HR) related areas to reduce the Public Service wage bill have been jointly identified between the Department of Public Service and Administration (DPSA) and the National Treasury (NT) as follows:</w:t>
      </w:r>
    </w:p>
    <w:p w14:paraId="06F8DEEB" w14:textId="77777777" w:rsidR="006E7B1D" w:rsidRDefault="006E7B1D" w:rsidP="007C5F93">
      <w:pPr>
        <w:pStyle w:val="ListParagraph"/>
        <w:numPr>
          <w:ilvl w:val="0"/>
          <w:numId w:val="17"/>
        </w:numPr>
        <w:tabs>
          <w:tab w:val="left" w:pos="7545"/>
        </w:tabs>
        <w:spacing w:before="100" w:beforeAutospacing="1" w:after="100" w:afterAutospacing="1" w:line="276" w:lineRule="auto"/>
        <w:ind w:left="567" w:hanging="567"/>
        <w:jc w:val="both"/>
        <w:rPr>
          <w:rFonts w:ascii="Arial" w:hAnsi="Arial" w:cs="Arial"/>
          <w:b/>
          <w:lang w:val="en-ZA"/>
        </w:rPr>
      </w:pPr>
      <w:r>
        <w:rPr>
          <w:rFonts w:ascii="Arial" w:hAnsi="Arial" w:cs="Arial"/>
          <w:b/>
          <w:lang w:val="en-ZA"/>
        </w:rPr>
        <w:t>Organisational structures interim measures</w:t>
      </w:r>
    </w:p>
    <w:p w14:paraId="63D3A191" w14:textId="77777777" w:rsidR="00255734" w:rsidRDefault="00255734" w:rsidP="00255734">
      <w:pPr>
        <w:pStyle w:val="ListParagraph"/>
        <w:tabs>
          <w:tab w:val="left" w:pos="7545"/>
        </w:tabs>
        <w:spacing w:before="100" w:beforeAutospacing="1" w:after="100" w:afterAutospacing="1" w:line="276" w:lineRule="auto"/>
        <w:ind w:left="567"/>
        <w:jc w:val="both"/>
        <w:rPr>
          <w:rFonts w:ascii="Arial" w:hAnsi="Arial" w:cs="Arial"/>
          <w:b/>
          <w:lang w:val="en-ZA"/>
        </w:rPr>
      </w:pPr>
    </w:p>
    <w:p w14:paraId="21DD84D8" w14:textId="2FF56944" w:rsidR="006E7B1D" w:rsidRDefault="006E7B1D" w:rsidP="006E7B1D">
      <w:pPr>
        <w:pStyle w:val="ListParagraph"/>
        <w:tabs>
          <w:tab w:val="left" w:pos="7545"/>
        </w:tabs>
        <w:spacing w:before="100" w:beforeAutospacing="1" w:after="100" w:afterAutospacing="1" w:line="276" w:lineRule="auto"/>
        <w:ind w:left="567"/>
        <w:jc w:val="both"/>
        <w:rPr>
          <w:rFonts w:ascii="Arial" w:hAnsi="Arial" w:cs="Arial"/>
          <w:lang w:val="en-ZA"/>
        </w:rPr>
      </w:pPr>
      <w:r>
        <w:rPr>
          <w:rFonts w:ascii="Arial" w:hAnsi="Arial" w:cs="Arial"/>
          <w:lang w:val="en-ZA"/>
        </w:rPr>
        <w:t>Regulation 25(2) of the Public Service Regulations</w:t>
      </w:r>
      <w:r w:rsidR="005D5D70">
        <w:rPr>
          <w:rFonts w:ascii="Arial" w:hAnsi="Arial" w:cs="Arial"/>
          <w:lang w:val="en-ZA"/>
        </w:rPr>
        <w:t xml:space="preserve"> (PSR)</w:t>
      </w:r>
      <w:r>
        <w:rPr>
          <w:rFonts w:ascii="Arial" w:hAnsi="Arial" w:cs="Arial"/>
          <w:lang w:val="en-ZA"/>
        </w:rPr>
        <w:t xml:space="preserve">, 2016 confers the authority to executive authorities to determine their department’s organisational structures, </w:t>
      </w:r>
      <w:r w:rsidR="00BE1FCE">
        <w:rPr>
          <w:rFonts w:ascii="Arial" w:hAnsi="Arial" w:cs="Arial"/>
          <w:lang w:val="en-ZA"/>
        </w:rPr>
        <w:t>define</w:t>
      </w:r>
      <w:r>
        <w:rPr>
          <w:rFonts w:ascii="Arial" w:hAnsi="Arial" w:cs="Arial"/>
          <w:lang w:val="en-ZA"/>
        </w:rPr>
        <w:t xml:space="preserve"> and create posts necessary to perform the relevant functions of the department, grade the proposed new jobs and to engage in human resources planning. </w:t>
      </w:r>
    </w:p>
    <w:p w14:paraId="0378CE02" w14:textId="77777777" w:rsidR="005666F9" w:rsidRDefault="005666F9" w:rsidP="006E7B1D">
      <w:pPr>
        <w:pStyle w:val="ListParagraph"/>
        <w:tabs>
          <w:tab w:val="left" w:pos="7545"/>
        </w:tabs>
        <w:spacing w:before="100" w:beforeAutospacing="1" w:after="100" w:afterAutospacing="1" w:line="276" w:lineRule="auto"/>
        <w:ind w:left="567"/>
        <w:jc w:val="both"/>
        <w:rPr>
          <w:rFonts w:ascii="Arial" w:hAnsi="Arial" w:cs="Arial"/>
          <w:lang w:val="en-ZA"/>
        </w:rPr>
      </w:pPr>
    </w:p>
    <w:p w14:paraId="7F007822" w14:textId="58C4E70A" w:rsidR="00BE1FCE" w:rsidRDefault="00B66EB3" w:rsidP="006E7B1D">
      <w:pPr>
        <w:pStyle w:val="ListParagraph"/>
        <w:tabs>
          <w:tab w:val="left" w:pos="7545"/>
        </w:tabs>
        <w:spacing w:before="100" w:beforeAutospacing="1" w:after="100" w:afterAutospacing="1" w:line="276" w:lineRule="auto"/>
        <w:ind w:left="567"/>
        <w:jc w:val="both"/>
        <w:rPr>
          <w:rFonts w:ascii="Arial" w:hAnsi="Arial" w:cs="Arial"/>
          <w:lang w:val="en-ZA"/>
        </w:rPr>
      </w:pPr>
      <w:r>
        <w:rPr>
          <w:rFonts w:ascii="Arial" w:hAnsi="Arial" w:cs="Arial"/>
          <w:lang w:val="en-ZA"/>
        </w:rPr>
        <w:t>O</w:t>
      </w:r>
      <w:r w:rsidR="006E7B1D">
        <w:rPr>
          <w:rFonts w:ascii="Arial" w:hAnsi="Arial" w:cs="Arial"/>
          <w:lang w:val="en-ZA"/>
        </w:rPr>
        <w:t>rganisational structure</w:t>
      </w:r>
      <w:r w:rsidR="005666F9">
        <w:rPr>
          <w:rFonts w:ascii="Arial" w:hAnsi="Arial" w:cs="Arial"/>
          <w:lang w:val="en-ZA"/>
        </w:rPr>
        <w:t xml:space="preserve"> of </w:t>
      </w:r>
      <w:r>
        <w:rPr>
          <w:rFonts w:ascii="Arial" w:hAnsi="Arial" w:cs="Arial"/>
          <w:lang w:val="en-ZA"/>
        </w:rPr>
        <w:t xml:space="preserve">each </w:t>
      </w:r>
      <w:r w:rsidR="005666F9">
        <w:rPr>
          <w:rFonts w:ascii="Arial" w:hAnsi="Arial" w:cs="Arial"/>
          <w:lang w:val="en-ZA"/>
        </w:rPr>
        <w:t>government departments</w:t>
      </w:r>
      <w:r w:rsidR="006E7B1D">
        <w:rPr>
          <w:rFonts w:ascii="Arial" w:hAnsi="Arial" w:cs="Arial"/>
          <w:lang w:val="en-ZA"/>
        </w:rPr>
        <w:t xml:space="preserve"> </w:t>
      </w:r>
      <w:r w:rsidR="005666F9">
        <w:rPr>
          <w:rFonts w:ascii="Arial" w:hAnsi="Arial" w:cs="Arial"/>
          <w:lang w:val="en-ZA"/>
        </w:rPr>
        <w:t>will be finalised</w:t>
      </w:r>
      <w:r w:rsidR="00BE1FCE">
        <w:rPr>
          <w:rFonts w:ascii="Arial" w:hAnsi="Arial" w:cs="Arial"/>
          <w:lang w:val="en-ZA"/>
        </w:rPr>
        <w:t xml:space="preserve"> </w:t>
      </w:r>
      <w:r w:rsidR="005666F9">
        <w:rPr>
          <w:rFonts w:ascii="Arial" w:hAnsi="Arial" w:cs="Arial"/>
          <w:lang w:val="en-ZA"/>
        </w:rPr>
        <w:t>when the</w:t>
      </w:r>
      <w:r w:rsidR="00BE1FCE">
        <w:rPr>
          <w:rFonts w:ascii="Arial" w:hAnsi="Arial" w:cs="Arial"/>
          <w:lang w:val="en-ZA"/>
        </w:rPr>
        <w:t xml:space="preserve"> National Macro Organisation of Government (NMOG) </w:t>
      </w:r>
      <w:r>
        <w:rPr>
          <w:rFonts w:ascii="Arial" w:hAnsi="Arial" w:cs="Arial"/>
          <w:lang w:val="en-ZA"/>
        </w:rPr>
        <w:t>P</w:t>
      </w:r>
      <w:r w:rsidR="005666F9">
        <w:rPr>
          <w:rFonts w:ascii="Arial" w:hAnsi="Arial" w:cs="Arial"/>
          <w:lang w:val="en-ZA"/>
        </w:rPr>
        <w:t xml:space="preserve">roject has been concluded </w:t>
      </w:r>
      <w:r w:rsidR="00BE1FCE">
        <w:rPr>
          <w:rFonts w:ascii="Arial" w:hAnsi="Arial" w:cs="Arial"/>
          <w:lang w:val="en-ZA"/>
        </w:rPr>
        <w:t>by the 6</w:t>
      </w:r>
      <w:r w:rsidR="00BE1FCE" w:rsidRPr="00BE1FCE">
        <w:rPr>
          <w:rFonts w:ascii="Arial" w:hAnsi="Arial" w:cs="Arial"/>
          <w:vertAlign w:val="superscript"/>
          <w:lang w:val="en-ZA"/>
        </w:rPr>
        <w:t>th</w:t>
      </w:r>
      <w:r w:rsidR="005666F9">
        <w:rPr>
          <w:rFonts w:ascii="Arial" w:hAnsi="Arial" w:cs="Arial"/>
          <w:lang w:val="en-ZA"/>
        </w:rPr>
        <w:t xml:space="preserve"> Administration.</w:t>
      </w:r>
      <w:r w:rsidR="00BE1FCE">
        <w:rPr>
          <w:rFonts w:ascii="Arial" w:hAnsi="Arial" w:cs="Arial"/>
          <w:lang w:val="en-ZA"/>
        </w:rPr>
        <w:t xml:space="preserve"> </w:t>
      </w:r>
    </w:p>
    <w:p w14:paraId="66C887E7" w14:textId="500DA131" w:rsidR="006E7B1D" w:rsidRPr="006E7B1D" w:rsidRDefault="00BE1FCE" w:rsidP="006E7B1D">
      <w:pPr>
        <w:pStyle w:val="ListParagraph"/>
        <w:tabs>
          <w:tab w:val="left" w:pos="7545"/>
        </w:tabs>
        <w:spacing w:before="100" w:beforeAutospacing="1" w:after="100" w:afterAutospacing="1" w:line="276" w:lineRule="auto"/>
        <w:ind w:left="567"/>
        <w:jc w:val="both"/>
        <w:rPr>
          <w:rFonts w:ascii="Arial" w:hAnsi="Arial" w:cs="Arial"/>
          <w:lang w:val="en-ZA"/>
        </w:rPr>
      </w:pPr>
      <w:r>
        <w:rPr>
          <w:rFonts w:ascii="Arial" w:hAnsi="Arial" w:cs="Arial"/>
          <w:lang w:val="en-ZA"/>
        </w:rPr>
        <w:t xml:space="preserve"> </w:t>
      </w:r>
      <w:r w:rsidR="006E7B1D">
        <w:rPr>
          <w:rFonts w:ascii="Arial" w:hAnsi="Arial" w:cs="Arial"/>
          <w:lang w:val="en-ZA"/>
        </w:rPr>
        <w:t xml:space="preserve"> </w:t>
      </w:r>
    </w:p>
    <w:p w14:paraId="48B6A4A7" w14:textId="77777777" w:rsidR="006F0C19" w:rsidRDefault="006F0C19" w:rsidP="007C5F93">
      <w:pPr>
        <w:pStyle w:val="ListParagraph"/>
        <w:numPr>
          <w:ilvl w:val="0"/>
          <w:numId w:val="17"/>
        </w:numPr>
        <w:tabs>
          <w:tab w:val="left" w:pos="7545"/>
        </w:tabs>
        <w:spacing w:before="100" w:beforeAutospacing="1" w:after="100" w:afterAutospacing="1" w:line="276" w:lineRule="auto"/>
        <w:ind w:left="567" w:hanging="567"/>
        <w:jc w:val="both"/>
        <w:rPr>
          <w:rFonts w:ascii="Arial" w:hAnsi="Arial" w:cs="Arial"/>
          <w:b/>
          <w:lang w:val="en-ZA"/>
        </w:rPr>
      </w:pPr>
      <w:r>
        <w:rPr>
          <w:rFonts w:ascii="Arial" w:hAnsi="Arial" w:cs="Arial"/>
          <w:b/>
          <w:lang w:val="en-ZA"/>
        </w:rPr>
        <w:t>Creation and filling of posts</w:t>
      </w:r>
    </w:p>
    <w:p w14:paraId="603BE0CE" w14:textId="77777777" w:rsidR="006F0C19" w:rsidRDefault="006F0C19" w:rsidP="006F0C19">
      <w:pPr>
        <w:pStyle w:val="ListParagraph"/>
        <w:tabs>
          <w:tab w:val="left" w:pos="7545"/>
        </w:tabs>
        <w:spacing w:before="100" w:beforeAutospacing="1" w:after="100" w:afterAutospacing="1" w:line="276" w:lineRule="auto"/>
        <w:ind w:left="567"/>
        <w:jc w:val="both"/>
        <w:rPr>
          <w:rFonts w:ascii="Arial" w:hAnsi="Arial" w:cs="Arial"/>
          <w:b/>
          <w:lang w:val="en-ZA"/>
        </w:rPr>
      </w:pPr>
    </w:p>
    <w:p w14:paraId="16FB567D" w14:textId="5BF0AE12" w:rsidR="00924113" w:rsidRDefault="006F0C19" w:rsidP="006F0C19">
      <w:pPr>
        <w:pStyle w:val="ListParagraph"/>
        <w:tabs>
          <w:tab w:val="left" w:pos="7545"/>
        </w:tabs>
        <w:spacing w:before="100" w:beforeAutospacing="1" w:after="100" w:afterAutospacing="1" w:line="276" w:lineRule="auto"/>
        <w:ind w:left="567"/>
        <w:jc w:val="both"/>
        <w:rPr>
          <w:rFonts w:ascii="Arial" w:hAnsi="Arial" w:cs="Arial"/>
          <w:lang w:val="en-ZA"/>
        </w:rPr>
      </w:pPr>
      <w:r w:rsidRPr="006F0C19">
        <w:rPr>
          <w:rFonts w:ascii="Arial" w:hAnsi="Arial" w:cs="Arial"/>
          <w:lang w:val="en-ZA"/>
        </w:rPr>
        <w:t>Due to the current</w:t>
      </w:r>
      <w:r>
        <w:rPr>
          <w:rFonts w:ascii="Arial" w:hAnsi="Arial" w:cs="Arial"/>
          <w:lang w:val="en-ZA"/>
        </w:rPr>
        <w:t xml:space="preserve"> financial constraints, executive authorities </w:t>
      </w:r>
      <w:r w:rsidR="00924113">
        <w:rPr>
          <w:rFonts w:ascii="Arial" w:hAnsi="Arial" w:cs="Arial"/>
          <w:lang w:val="en-ZA"/>
        </w:rPr>
        <w:t>of the 5</w:t>
      </w:r>
      <w:r w:rsidR="00924113" w:rsidRPr="00924113">
        <w:rPr>
          <w:rFonts w:ascii="Arial" w:hAnsi="Arial" w:cs="Arial"/>
          <w:vertAlign w:val="superscript"/>
          <w:lang w:val="en-ZA"/>
        </w:rPr>
        <w:t>th</w:t>
      </w:r>
      <w:r w:rsidR="00924113">
        <w:rPr>
          <w:rFonts w:ascii="Arial" w:hAnsi="Arial" w:cs="Arial"/>
          <w:lang w:val="en-ZA"/>
        </w:rPr>
        <w:t xml:space="preserve"> Administration were </w:t>
      </w:r>
      <w:r>
        <w:rPr>
          <w:rFonts w:ascii="Arial" w:hAnsi="Arial" w:cs="Arial"/>
          <w:lang w:val="en-ZA"/>
        </w:rPr>
        <w:t xml:space="preserve">encouraged </w:t>
      </w:r>
      <w:r w:rsidR="00924113">
        <w:rPr>
          <w:rFonts w:ascii="Arial" w:hAnsi="Arial" w:cs="Arial"/>
          <w:lang w:val="en-ZA"/>
        </w:rPr>
        <w:t>to align their organisational structures with their respective personnel budgets, and to create posts within the available funds in the current MTEF. Furthermore, executive authorities were encouraged to only fill critical posts in terms of section 9 of the Public Service Act</w:t>
      </w:r>
      <w:r w:rsidR="007914A9">
        <w:rPr>
          <w:rFonts w:ascii="Arial" w:hAnsi="Arial" w:cs="Arial"/>
          <w:lang w:val="en-ZA"/>
        </w:rPr>
        <w:t xml:space="preserve"> (PSA)</w:t>
      </w:r>
      <w:r w:rsidR="00924113">
        <w:rPr>
          <w:rFonts w:ascii="Arial" w:hAnsi="Arial" w:cs="Arial"/>
          <w:lang w:val="en-ZA"/>
        </w:rPr>
        <w:t>, 1994.</w:t>
      </w:r>
    </w:p>
    <w:p w14:paraId="644C4BED" w14:textId="77777777" w:rsidR="00924113" w:rsidRDefault="00924113" w:rsidP="006F0C19">
      <w:pPr>
        <w:pStyle w:val="ListParagraph"/>
        <w:tabs>
          <w:tab w:val="left" w:pos="7545"/>
        </w:tabs>
        <w:spacing w:before="100" w:beforeAutospacing="1" w:after="100" w:afterAutospacing="1" w:line="276" w:lineRule="auto"/>
        <w:ind w:left="567"/>
        <w:jc w:val="both"/>
        <w:rPr>
          <w:rFonts w:ascii="Arial" w:hAnsi="Arial" w:cs="Arial"/>
          <w:lang w:val="en-ZA"/>
        </w:rPr>
      </w:pPr>
    </w:p>
    <w:p w14:paraId="437E1D7B" w14:textId="77777777" w:rsidR="00924113" w:rsidRDefault="00924113" w:rsidP="006F0C19">
      <w:pPr>
        <w:pStyle w:val="ListParagraph"/>
        <w:tabs>
          <w:tab w:val="left" w:pos="7545"/>
        </w:tabs>
        <w:spacing w:before="100" w:beforeAutospacing="1" w:after="100" w:afterAutospacing="1" w:line="276" w:lineRule="auto"/>
        <w:ind w:left="567"/>
        <w:jc w:val="both"/>
        <w:rPr>
          <w:rFonts w:ascii="Arial" w:hAnsi="Arial" w:cs="Arial"/>
          <w:lang w:val="en-ZA"/>
        </w:rPr>
      </w:pPr>
      <w:r>
        <w:rPr>
          <w:rFonts w:ascii="Arial" w:hAnsi="Arial" w:cs="Arial"/>
          <w:lang w:val="en-ZA"/>
        </w:rPr>
        <w:t xml:space="preserve">Where the creation of a post is based on the redirection of funding from an abolished post to another post, the redundant post must first be abolished before the creation of the newly funded post. </w:t>
      </w:r>
    </w:p>
    <w:p w14:paraId="58875D3C" w14:textId="77777777" w:rsidR="00924113" w:rsidRDefault="00924113" w:rsidP="006F0C19">
      <w:pPr>
        <w:pStyle w:val="ListParagraph"/>
        <w:tabs>
          <w:tab w:val="left" w:pos="7545"/>
        </w:tabs>
        <w:spacing w:before="100" w:beforeAutospacing="1" w:after="100" w:afterAutospacing="1" w:line="276" w:lineRule="auto"/>
        <w:ind w:left="567"/>
        <w:jc w:val="both"/>
        <w:rPr>
          <w:rFonts w:ascii="Arial" w:hAnsi="Arial" w:cs="Arial"/>
          <w:lang w:val="en-ZA"/>
        </w:rPr>
      </w:pPr>
    </w:p>
    <w:p w14:paraId="5364BDAA" w14:textId="5E071F06" w:rsidR="005D5D70" w:rsidRDefault="005D5D70" w:rsidP="007C5F93">
      <w:pPr>
        <w:pStyle w:val="ListParagraph"/>
        <w:numPr>
          <w:ilvl w:val="0"/>
          <w:numId w:val="17"/>
        </w:numPr>
        <w:tabs>
          <w:tab w:val="left" w:pos="7545"/>
        </w:tabs>
        <w:spacing w:before="100" w:beforeAutospacing="1" w:after="100" w:afterAutospacing="1" w:line="276" w:lineRule="auto"/>
        <w:ind w:left="567" w:hanging="567"/>
        <w:jc w:val="both"/>
        <w:rPr>
          <w:rFonts w:ascii="Arial" w:hAnsi="Arial" w:cs="Arial"/>
          <w:b/>
          <w:lang w:val="en-ZA"/>
        </w:rPr>
      </w:pPr>
      <w:r>
        <w:rPr>
          <w:rFonts w:ascii="Arial" w:hAnsi="Arial" w:cs="Arial"/>
          <w:b/>
          <w:lang w:val="en-ZA"/>
        </w:rPr>
        <w:t xml:space="preserve">Employment of persons additional to the approved fixed establishment </w:t>
      </w:r>
    </w:p>
    <w:p w14:paraId="586CB921" w14:textId="77777777" w:rsidR="005D5D70" w:rsidRDefault="005D5D70" w:rsidP="005D5D70">
      <w:pPr>
        <w:pStyle w:val="ListParagraph"/>
        <w:tabs>
          <w:tab w:val="left" w:pos="7545"/>
        </w:tabs>
        <w:spacing w:before="100" w:beforeAutospacing="1" w:after="100" w:afterAutospacing="1" w:line="276" w:lineRule="auto"/>
        <w:ind w:left="567"/>
        <w:jc w:val="both"/>
        <w:rPr>
          <w:rFonts w:ascii="Arial" w:hAnsi="Arial" w:cs="Arial"/>
          <w:b/>
          <w:lang w:val="en-ZA"/>
        </w:rPr>
      </w:pPr>
    </w:p>
    <w:p w14:paraId="04F7CBC6" w14:textId="4ADF4B7C" w:rsidR="005D5D70" w:rsidRDefault="005D5D70" w:rsidP="005D5D70">
      <w:pPr>
        <w:pStyle w:val="ListParagraph"/>
        <w:tabs>
          <w:tab w:val="left" w:pos="7545"/>
        </w:tabs>
        <w:spacing w:before="100" w:beforeAutospacing="1" w:after="100" w:afterAutospacing="1" w:line="276" w:lineRule="auto"/>
        <w:ind w:left="567"/>
        <w:jc w:val="both"/>
        <w:rPr>
          <w:rFonts w:ascii="Arial" w:hAnsi="Arial" w:cs="Arial"/>
          <w:lang w:val="en-ZA"/>
        </w:rPr>
      </w:pPr>
      <w:r w:rsidRPr="005D5D70">
        <w:rPr>
          <w:rFonts w:ascii="Arial" w:hAnsi="Arial" w:cs="Arial"/>
          <w:lang w:val="en-ZA"/>
        </w:rPr>
        <w:t xml:space="preserve">Regulation </w:t>
      </w:r>
      <w:r>
        <w:rPr>
          <w:rFonts w:ascii="Arial" w:hAnsi="Arial" w:cs="Arial"/>
          <w:lang w:val="en-ZA"/>
        </w:rPr>
        <w:t xml:space="preserve">57(2) of the PSR, 2016 states that “an executive authority </w:t>
      </w:r>
      <w:r w:rsidR="00BE0770">
        <w:rPr>
          <w:rFonts w:ascii="Arial" w:hAnsi="Arial" w:cs="Arial"/>
          <w:lang w:val="en-ZA"/>
        </w:rPr>
        <w:t xml:space="preserve">may, unless otherwise authorised by the Act, within the available budget and at a salary linked to a grade determined through job evaluation or as determined in an OSD, employ persons additional to the establishment”. </w:t>
      </w:r>
    </w:p>
    <w:p w14:paraId="735FC350" w14:textId="77777777" w:rsidR="00BE0770" w:rsidRDefault="00BE0770" w:rsidP="005D5D70">
      <w:pPr>
        <w:pStyle w:val="ListParagraph"/>
        <w:tabs>
          <w:tab w:val="left" w:pos="7545"/>
        </w:tabs>
        <w:spacing w:before="100" w:beforeAutospacing="1" w:after="100" w:afterAutospacing="1" w:line="276" w:lineRule="auto"/>
        <w:ind w:left="567"/>
        <w:jc w:val="both"/>
        <w:rPr>
          <w:rFonts w:ascii="Arial" w:hAnsi="Arial" w:cs="Arial"/>
          <w:lang w:val="en-ZA"/>
        </w:rPr>
      </w:pPr>
    </w:p>
    <w:p w14:paraId="75EDF0C4" w14:textId="275E23E2" w:rsidR="00BE0770" w:rsidRDefault="00BE0770" w:rsidP="005D5D70">
      <w:pPr>
        <w:pStyle w:val="ListParagraph"/>
        <w:tabs>
          <w:tab w:val="left" w:pos="7545"/>
        </w:tabs>
        <w:spacing w:before="100" w:beforeAutospacing="1" w:after="100" w:afterAutospacing="1" w:line="276" w:lineRule="auto"/>
        <w:ind w:left="567"/>
        <w:jc w:val="both"/>
        <w:rPr>
          <w:rFonts w:ascii="Arial" w:hAnsi="Arial" w:cs="Arial"/>
          <w:lang w:val="en-ZA"/>
        </w:rPr>
      </w:pPr>
      <w:r>
        <w:rPr>
          <w:rFonts w:ascii="Arial" w:hAnsi="Arial" w:cs="Arial"/>
          <w:lang w:val="en-ZA"/>
        </w:rPr>
        <w:t xml:space="preserve">The employment of persons additional to the establishment shall not exceed 12 consecutive calendar months unless otherwise directed by the MPSA. Requests made for the extension or continuation of the employment for periods longer than 12 months, must be assessed against the original reasons for the employment of persons additional to the fixed establishment to reduce such expenditure if no longer necessary. </w:t>
      </w:r>
    </w:p>
    <w:p w14:paraId="155D1D60" w14:textId="410B82B5" w:rsidR="00BE0770" w:rsidRDefault="00BE0770" w:rsidP="005D5D70">
      <w:pPr>
        <w:pStyle w:val="ListParagraph"/>
        <w:tabs>
          <w:tab w:val="left" w:pos="7545"/>
        </w:tabs>
        <w:spacing w:before="100" w:beforeAutospacing="1" w:after="100" w:afterAutospacing="1" w:line="276" w:lineRule="auto"/>
        <w:ind w:left="567"/>
        <w:jc w:val="both"/>
        <w:rPr>
          <w:rFonts w:ascii="Arial" w:hAnsi="Arial" w:cs="Arial"/>
          <w:lang w:val="en-ZA"/>
        </w:rPr>
      </w:pPr>
    </w:p>
    <w:p w14:paraId="516AA23B" w14:textId="77777777" w:rsidR="007914A9" w:rsidRDefault="007914A9" w:rsidP="007C5F93">
      <w:pPr>
        <w:pStyle w:val="ListParagraph"/>
        <w:numPr>
          <w:ilvl w:val="0"/>
          <w:numId w:val="17"/>
        </w:numPr>
        <w:tabs>
          <w:tab w:val="left" w:pos="7545"/>
        </w:tabs>
        <w:spacing w:before="100" w:beforeAutospacing="1" w:after="100" w:afterAutospacing="1" w:line="276" w:lineRule="auto"/>
        <w:ind w:left="567" w:hanging="567"/>
        <w:jc w:val="both"/>
        <w:rPr>
          <w:rFonts w:ascii="Arial" w:hAnsi="Arial" w:cs="Arial"/>
          <w:b/>
          <w:lang w:val="en-ZA"/>
        </w:rPr>
      </w:pPr>
      <w:r>
        <w:rPr>
          <w:rFonts w:ascii="Arial" w:hAnsi="Arial" w:cs="Arial"/>
          <w:b/>
          <w:lang w:val="en-ZA"/>
        </w:rPr>
        <w:t>Posts in the Offices of Executive Authorities</w:t>
      </w:r>
    </w:p>
    <w:p w14:paraId="2FE21EF9" w14:textId="77777777" w:rsidR="007914A9" w:rsidRDefault="007914A9" w:rsidP="007914A9">
      <w:pPr>
        <w:pStyle w:val="ListParagraph"/>
        <w:tabs>
          <w:tab w:val="left" w:pos="7545"/>
        </w:tabs>
        <w:spacing w:before="100" w:beforeAutospacing="1" w:after="100" w:afterAutospacing="1" w:line="276" w:lineRule="auto"/>
        <w:ind w:left="567"/>
        <w:jc w:val="both"/>
        <w:rPr>
          <w:rFonts w:ascii="Arial" w:hAnsi="Arial" w:cs="Arial"/>
          <w:b/>
          <w:lang w:val="en-ZA"/>
        </w:rPr>
      </w:pPr>
    </w:p>
    <w:p w14:paraId="10CAFA0C" w14:textId="17CB1657" w:rsidR="007914A9" w:rsidRDefault="007914A9" w:rsidP="007914A9">
      <w:pPr>
        <w:pStyle w:val="ListParagraph"/>
        <w:tabs>
          <w:tab w:val="left" w:pos="7545"/>
        </w:tabs>
        <w:spacing w:before="100" w:beforeAutospacing="1" w:after="100" w:afterAutospacing="1" w:line="276" w:lineRule="auto"/>
        <w:ind w:left="567"/>
        <w:jc w:val="both"/>
        <w:rPr>
          <w:rFonts w:ascii="Arial" w:hAnsi="Arial" w:cs="Arial"/>
          <w:lang w:val="en-ZA"/>
        </w:rPr>
      </w:pPr>
      <w:r w:rsidRPr="007914A9">
        <w:rPr>
          <w:rFonts w:ascii="Arial" w:hAnsi="Arial" w:cs="Arial"/>
          <w:lang w:val="en-ZA"/>
        </w:rPr>
        <w:t>Chapter 3 of the guide to Members of the Execut</w:t>
      </w:r>
      <w:r w:rsidR="00530717">
        <w:rPr>
          <w:rFonts w:ascii="Arial" w:hAnsi="Arial" w:cs="Arial"/>
          <w:lang w:val="en-ZA"/>
        </w:rPr>
        <w:t>ive and regulation 66 of the Public Service Regulation (PSR)</w:t>
      </w:r>
      <w:r w:rsidRPr="007914A9">
        <w:rPr>
          <w:rFonts w:ascii="Arial" w:hAnsi="Arial" w:cs="Arial"/>
          <w:lang w:val="en-ZA"/>
        </w:rPr>
        <w:t>, read in conjun</w:t>
      </w:r>
      <w:r w:rsidR="00530717">
        <w:rPr>
          <w:rFonts w:ascii="Arial" w:hAnsi="Arial" w:cs="Arial"/>
          <w:lang w:val="en-ZA"/>
        </w:rPr>
        <w:t>ction with section 9 of the Public Service Act (PSA)</w:t>
      </w:r>
      <w:r w:rsidRPr="007914A9">
        <w:rPr>
          <w:rFonts w:ascii="Arial" w:hAnsi="Arial" w:cs="Arial"/>
          <w:lang w:val="en-ZA"/>
        </w:rPr>
        <w:t xml:space="preserve"> 1994</w:t>
      </w:r>
      <w:r w:rsidR="00530717">
        <w:rPr>
          <w:rFonts w:ascii="Arial" w:hAnsi="Arial" w:cs="Arial"/>
          <w:lang w:val="en-ZA"/>
        </w:rPr>
        <w:t>,</w:t>
      </w:r>
      <w:r w:rsidRPr="007914A9">
        <w:rPr>
          <w:rFonts w:ascii="Arial" w:hAnsi="Arial" w:cs="Arial"/>
          <w:lang w:val="en-ZA"/>
        </w:rPr>
        <w:t xml:space="preserve"> </w:t>
      </w:r>
      <w:r>
        <w:rPr>
          <w:rFonts w:ascii="Arial" w:hAnsi="Arial" w:cs="Arial"/>
          <w:lang w:val="en-ZA"/>
        </w:rPr>
        <w:t>stipulates the standard configuration of Offices of executive authorities and the capacity requirements for such offices.</w:t>
      </w:r>
    </w:p>
    <w:p w14:paraId="3083F09D" w14:textId="77777777" w:rsidR="007914A9" w:rsidRDefault="007914A9" w:rsidP="007914A9">
      <w:pPr>
        <w:pStyle w:val="ListParagraph"/>
        <w:tabs>
          <w:tab w:val="left" w:pos="7545"/>
        </w:tabs>
        <w:spacing w:before="100" w:beforeAutospacing="1" w:after="100" w:afterAutospacing="1" w:line="276" w:lineRule="auto"/>
        <w:ind w:left="567"/>
        <w:jc w:val="both"/>
        <w:rPr>
          <w:rFonts w:ascii="Arial" w:hAnsi="Arial" w:cs="Arial"/>
          <w:lang w:val="en-ZA"/>
        </w:rPr>
      </w:pPr>
    </w:p>
    <w:p w14:paraId="69116539" w14:textId="39C25C56" w:rsidR="007914A9" w:rsidRDefault="000E3229" w:rsidP="007914A9">
      <w:pPr>
        <w:pStyle w:val="ListParagraph"/>
        <w:tabs>
          <w:tab w:val="left" w:pos="7545"/>
        </w:tabs>
        <w:spacing w:before="100" w:beforeAutospacing="1" w:after="100" w:afterAutospacing="1" w:line="276" w:lineRule="auto"/>
        <w:ind w:left="567"/>
        <w:jc w:val="both"/>
        <w:rPr>
          <w:rFonts w:ascii="Arial" w:hAnsi="Arial" w:cs="Arial"/>
          <w:lang w:val="en-ZA"/>
        </w:rPr>
      </w:pPr>
      <w:r>
        <w:rPr>
          <w:rFonts w:ascii="Arial" w:hAnsi="Arial" w:cs="Arial"/>
          <w:lang w:val="en-ZA"/>
        </w:rPr>
        <w:t>The DPSA has issued a circular informing government departments that appointment</w:t>
      </w:r>
      <w:r w:rsidR="007914A9">
        <w:rPr>
          <w:rFonts w:ascii="Arial" w:hAnsi="Arial" w:cs="Arial"/>
          <w:lang w:val="en-ZA"/>
        </w:rPr>
        <w:t xml:space="preserve"> made</w:t>
      </w:r>
      <w:r>
        <w:rPr>
          <w:rFonts w:ascii="Arial" w:hAnsi="Arial" w:cs="Arial"/>
          <w:lang w:val="en-ZA"/>
        </w:rPr>
        <w:t xml:space="preserve"> to private office of Executive Authority or Deputy Minister</w:t>
      </w:r>
      <w:r w:rsidR="007914A9">
        <w:rPr>
          <w:rFonts w:ascii="Arial" w:hAnsi="Arial" w:cs="Arial"/>
          <w:lang w:val="en-ZA"/>
        </w:rPr>
        <w:t xml:space="preserve"> in terms of Regulation 66 of the PSR should be linked to the</w:t>
      </w:r>
      <w:r>
        <w:rPr>
          <w:rFonts w:ascii="Arial" w:hAnsi="Arial" w:cs="Arial"/>
          <w:lang w:val="en-ZA"/>
        </w:rPr>
        <w:t>ir term of office of the relevant Executive Authority or Deputy Minister</w:t>
      </w:r>
      <w:r w:rsidR="007823CD">
        <w:rPr>
          <w:rFonts w:ascii="Arial" w:hAnsi="Arial" w:cs="Arial"/>
          <w:lang w:val="en-ZA"/>
        </w:rPr>
        <w:t>.</w:t>
      </w:r>
      <w:bookmarkStart w:id="2" w:name="_GoBack"/>
      <w:bookmarkEnd w:id="2"/>
    </w:p>
    <w:p w14:paraId="0D594BC2" w14:textId="77777777" w:rsidR="007914A9" w:rsidRPr="007914A9" w:rsidRDefault="007914A9" w:rsidP="007914A9">
      <w:pPr>
        <w:pStyle w:val="ListParagraph"/>
        <w:tabs>
          <w:tab w:val="left" w:pos="7545"/>
        </w:tabs>
        <w:spacing w:before="100" w:beforeAutospacing="1" w:after="100" w:afterAutospacing="1" w:line="276" w:lineRule="auto"/>
        <w:ind w:left="567"/>
        <w:jc w:val="both"/>
        <w:rPr>
          <w:rFonts w:ascii="Arial" w:hAnsi="Arial" w:cs="Arial"/>
          <w:lang w:val="en-ZA"/>
        </w:rPr>
      </w:pPr>
    </w:p>
    <w:p w14:paraId="2EB595EF" w14:textId="02DE940B" w:rsidR="00D17845" w:rsidRPr="004C4757" w:rsidRDefault="00D17845" w:rsidP="007C5F93">
      <w:pPr>
        <w:pStyle w:val="ListParagraph"/>
        <w:numPr>
          <w:ilvl w:val="0"/>
          <w:numId w:val="17"/>
        </w:numPr>
        <w:tabs>
          <w:tab w:val="left" w:pos="7545"/>
        </w:tabs>
        <w:spacing w:before="100" w:beforeAutospacing="1" w:after="100" w:afterAutospacing="1" w:line="276" w:lineRule="auto"/>
        <w:ind w:left="567" w:hanging="567"/>
        <w:jc w:val="both"/>
        <w:rPr>
          <w:rFonts w:ascii="Arial" w:hAnsi="Arial" w:cs="Arial"/>
          <w:b/>
          <w:lang w:val="en-ZA"/>
        </w:rPr>
      </w:pPr>
      <w:r w:rsidRPr="004C4757">
        <w:rPr>
          <w:rFonts w:ascii="Arial" w:hAnsi="Arial" w:cs="Arial"/>
          <w:b/>
          <w:lang w:val="en-ZA"/>
        </w:rPr>
        <w:t>Granting of Early Retirement without penalty for employees between 55 and 60 years</w:t>
      </w:r>
    </w:p>
    <w:p w14:paraId="0DC83890" w14:textId="77777777" w:rsidR="004C4757" w:rsidRDefault="004C4757" w:rsidP="004C4757">
      <w:pPr>
        <w:pStyle w:val="ListParagraph"/>
        <w:tabs>
          <w:tab w:val="left" w:pos="7545"/>
        </w:tabs>
        <w:spacing w:before="100" w:beforeAutospacing="1" w:after="100" w:afterAutospacing="1" w:line="276" w:lineRule="auto"/>
        <w:ind w:left="567"/>
        <w:jc w:val="both"/>
        <w:rPr>
          <w:rFonts w:ascii="Arial" w:hAnsi="Arial" w:cs="Arial"/>
          <w:lang w:val="en-ZA"/>
        </w:rPr>
      </w:pPr>
    </w:p>
    <w:p w14:paraId="552E9B11" w14:textId="54EF0F03" w:rsidR="004C4757" w:rsidRDefault="004C4757" w:rsidP="004C4757">
      <w:pPr>
        <w:pStyle w:val="ListParagraph"/>
        <w:tabs>
          <w:tab w:val="left" w:pos="7545"/>
        </w:tabs>
        <w:spacing w:before="100" w:beforeAutospacing="1" w:after="100" w:afterAutospacing="1" w:line="276" w:lineRule="auto"/>
        <w:ind w:left="567"/>
        <w:jc w:val="both"/>
        <w:rPr>
          <w:rFonts w:ascii="Arial" w:hAnsi="Arial" w:cs="Arial"/>
          <w:lang w:val="en-ZA"/>
        </w:rPr>
      </w:pPr>
      <w:r>
        <w:rPr>
          <w:rFonts w:ascii="Arial" w:hAnsi="Arial" w:cs="Arial"/>
          <w:lang w:val="en-ZA"/>
        </w:rPr>
        <w:t xml:space="preserve">Section 16(6) of the Public Service Act, 1994 as amended states that </w:t>
      </w:r>
      <w:r w:rsidRPr="002D2275">
        <w:rPr>
          <w:rFonts w:ascii="Arial" w:hAnsi="Arial" w:cs="Arial"/>
          <w:i/>
          <w:lang w:val="en-ZA"/>
        </w:rPr>
        <w:t>“an executive authority may at the request of an employee allow him or her to retire from the public service before reaching the age of 60, notwithstanding the absence of any reason for dismissal in terms of section 17(2) if sufficient reasons exist for the retirement”</w:t>
      </w:r>
      <w:r>
        <w:rPr>
          <w:rFonts w:ascii="Arial" w:hAnsi="Arial" w:cs="Arial"/>
          <w:lang w:val="en-ZA"/>
        </w:rPr>
        <w:t>.</w:t>
      </w:r>
    </w:p>
    <w:p w14:paraId="5194CFA7" w14:textId="77777777" w:rsidR="004C4757" w:rsidRDefault="004C4757" w:rsidP="004C4757">
      <w:pPr>
        <w:pStyle w:val="ListParagraph"/>
        <w:tabs>
          <w:tab w:val="left" w:pos="7545"/>
        </w:tabs>
        <w:spacing w:before="100" w:beforeAutospacing="1" w:after="100" w:afterAutospacing="1" w:line="276" w:lineRule="auto"/>
        <w:ind w:left="567"/>
        <w:jc w:val="both"/>
        <w:rPr>
          <w:rFonts w:ascii="Arial" w:hAnsi="Arial" w:cs="Arial"/>
          <w:lang w:val="en-ZA"/>
        </w:rPr>
      </w:pPr>
    </w:p>
    <w:p w14:paraId="2068732A" w14:textId="06850B13" w:rsidR="00E44B04" w:rsidRPr="00B66EB3" w:rsidRDefault="00B66EB3" w:rsidP="00B66EB3">
      <w:pPr>
        <w:pStyle w:val="ListParagraph"/>
        <w:tabs>
          <w:tab w:val="left" w:pos="7545"/>
        </w:tabs>
        <w:spacing w:before="100" w:beforeAutospacing="1" w:after="100" w:afterAutospacing="1" w:line="276" w:lineRule="auto"/>
        <w:ind w:left="567"/>
        <w:jc w:val="both"/>
        <w:rPr>
          <w:rFonts w:ascii="Arial" w:hAnsi="Arial" w:cs="Arial"/>
          <w:lang w:val="en-ZA"/>
        </w:rPr>
      </w:pPr>
      <w:r>
        <w:rPr>
          <w:rFonts w:ascii="Arial" w:hAnsi="Arial" w:cs="Arial"/>
          <w:bCs/>
          <w:iCs/>
        </w:rPr>
        <w:t>Granting of</w:t>
      </w:r>
      <w:r w:rsidRPr="00B66EB3">
        <w:rPr>
          <w:rFonts w:ascii="Arial" w:hAnsi="Arial" w:cs="Arial"/>
          <w:lang w:val="en-ZA"/>
        </w:rPr>
        <w:t xml:space="preserve"> Early Retirement without penalty for e</w:t>
      </w:r>
      <w:r w:rsidR="000E3229">
        <w:rPr>
          <w:rFonts w:ascii="Arial" w:hAnsi="Arial" w:cs="Arial"/>
          <w:lang w:val="en-ZA"/>
        </w:rPr>
        <w:t>mployees</w:t>
      </w:r>
      <w:r>
        <w:rPr>
          <w:rFonts w:ascii="Arial" w:hAnsi="Arial" w:cs="Arial"/>
          <w:lang w:val="en-ZA"/>
        </w:rPr>
        <w:t xml:space="preserve"> </w:t>
      </w:r>
      <w:r w:rsidR="004F161C" w:rsidRPr="00B66EB3">
        <w:rPr>
          <w:rFonts w:ascii="Arial" w:hAnsi="Arial" w:cs="Arial"/>
          <w:lang w:val="en-ZA"/>
        </w:rPr>
        <w:t>is in response to a need identified by employees who wish to exist the public service before the official retirement age</w:t>
      </w:r>
      <w:r w:rsidR="00A90FAF" w:rsidRPr="00B66EB3">
        <w:rPr>
          <w:rFonts w:ascii="Arial" w:hAnsi="Arial" w:cs="Arial"/>
          <w:lang w:val="en-ZA"/>
        </w:rPr>
        <w:t xml:space="preserve"> of 60 years.</w:t>
      </w:r>
    </w:p>
    <w:p w14:paraId="23ABB56C" w14:textId="77777777" w:rsidR="00E44B04" w:rsidRDefault="00E44B04" w:rsidP="004C4757">
      <w:pPr>
        <w:pStyle w:val="ListParagraph"/>
        <w:tabs>
          <w:tab w:val="left" w:pos="7545"/>
        </w:tabs>
        <w:spacing w:before="100" w:beforeAutospacing="1" w:after="100" w:afterAutospacing="1" w:line="276" w:lineRule="auto"/>
        <w:ind w:left="567"/>
        <w:jc w:val="both"/>
        <w:rPr>
          <w:rFonts w:ascii="Arial" w:hAnsi="Arial" w:cs="Arial"/>
          <w:lang w:val="en-ZA"/>
        </w:rPr>
      </w:pPr>
    </w:p>
    <w:p w14:paraId="6AB2AF7B" w14:textId="06FC7645" w:rsidR="00A90FAF" w:rsidRDefault="00A90FAF" w:rsidP="004C4757">
      <w:pPr>
        <w:pStyle w:val="ListParagraph"/>
        <w:tabs>
          <w:tab w:val="left" w:pos="7545"/>
        </w:tabs>
        <w:spacing w:before="100" w:beforeAutospacing="1" w:after="100" w:afterAutospacing="1" w:line="276" w:lineRule="auto"/>
        <w:ind w:left="567"/>
        <w:jc w:val="both"/>
        <w:rPr>
          <w:rFonts w:ascii="Arial" w:hAnsi="Arial" w:cs="Arial"/>
          <w:lang w:val="en-ZA"/>
        </w:rPr>
      </w:pPr>
      <w:r>
        <w:rPr>
          <w:rFonts w:ascii="Arial" w:hAnsi="Arial" w:cs="Arial"/>
          <w:lang w:val="en-ZA"/>
        </w:rPr>
        <w:t>The p</w:t>
      </w:r>
      <w:r w:rsidR="00530717">
        <w:rPr>
          <w:rFonts w:ascii="Arial" w:hAnsi="Arial" w:cs="Arial"/>
          <w:lang w:val="en-ZA"/>
        </w:rPr>
        <w:t>rovision for applications for early retirement</w:t>
      </w:r>
      <w:r>
        <w:rPr>
          <w:rFonts w:ascii="Arial" w:hAnsi="Arial" w:cs="Arial"/>
          <w:lang w:val="en-ZA"/>
        </w:rPr>
        <w:t>, where National Treasury provides funding support to departme</w:t>
      </w:r>
      <w:r w:rsidR="00255734">
        <w:rPr>
          <w:rFonts w:ascii="Arial" w:hAnsi="Arial" w:cs="Arial"/>
          <w:lang w:val="en-ZA"/>
        </w:rPr>
        <w:t>nts, is limited to the period</w:t>
      </w:r>
      <w:r w:rsidR="00FA02DF">
        <w:rPr>
          <w:rFonts w:ascii="Arial" w:hAnsi="Arial" w:cs="Arial"/>
          <w:lang w:val="en-ZA"/>
        </w:rPr>
        <w:t xml:space="preserve"> </w:t>
      </w:r>
      <w:r w:rsidR="00FA02DF" w:rsidRPr="00FA02DF">
        <w:rPr>
          <w:rFonts w:ascii="Arial" w:hAnsi="Arial" w:cs="Arial"/>
          <w:b/>
          <w:lang w:val="en-ZA"/>
        </w:rPr>
        <w:t>0</w:t>
      </w:r>
      <w:r w:rsidRPr="00FA02DF">
        <w:rPr>
          <w:rFonts w:ascii="Arial" w:hAnsi="Arial" w:cs="Arial"/>
          <w:b/>
          <w:lang w:val="en-ZA"/>
        </w:rPr>
        <w:t>1 April 2019</w:t>
      </w:r>
      <w:r w:rsidR="00255734">
        <w:rPr>
          <w:rFonts w:ascii="Arial" w:hAnsi="Arial" w:cs="Arial"/>
          <w:lang w:val="en-ZA"/>
        </w:rPr>
        <w:t xml:space="preserve"> to</w:t>
      </w:r>
      <w:r w:rsidR="00FA02DF">
        <w:rPr>
          <w:rFonts w:ascii="Arial" w:hAnsi="Arial" w:cs="Arial"/>
          <w:lang w:val="en-ZA"/>
        </w:rPr>
        <w:t xml:space="preserve"> </w:t>
      </w:r>
      <w:r w:rsidRPr="00FA02DF">
        <w:rPr>
          <w:rFonts w:ascii="Arial" w:hAnsi="Arial" w:cs="Arial"/>
          <w:b/>
          <w:lang w:val="en-ZA"/>
        </w:rPr>
        <w:t>30 September 2019</w:t>
      </w:r>
      <w:r>
        <w:rPr>
          <w:rFonts w:ascii="Arial" w:hAnsi="Arial" w:cs="Arial"/>
          <w:lang w:val="en-ZA"/>
        </w:rPr>
        <w:t>. An assessment will therefore be conducted to determine whether a further n</w:t>
      </w:r>
      <w:r w:rsidR="00530717">
        <w:rPr>
          <w:rFonts w:ascii="Arial" w:hAnsi="Arial" w:cs="Arial"/>
          <w:lang w:val="en-ZA"/>
        </w:rPr>
        <w:t>eed for financial support for early Retirement</w:t>
      </w:r>
      <w:r>
        <w:rPr>
          <w:rFonts w:ascii="Arial" w:hAnsi="Arial" w:cs="Arial"/>
          <w:lang w:val="en-ZA"/>
        </w:rPr>
        <w:t xml:space="preserve"> is required by departments.</w:t>
      </w:r>
    </w:p>
    <w:p w14:paraId="6CF5E66B" w14:textId="77777777" w:rsidR="009724B0" w:rsidRDefault="009724B0" w:rsidP="004C4757">
      <w:pPr>
        <w:pStyle w:val="ListParagraph"/>
        <w:tabs>
          <w:tab w:val="left" w:pos="7545"/>
        </w:tabs>
        <w:spacing w:before="100" w:beforeAutospacing="1" w:after="100" w:afterAutospacing="1" w:line="276" w:lineRule="auto"/>
        <w:ind w:left="567"/>
        <w:jc w:val="both"/>
        <w:rPr>
          <w:rFonts w:ascii="Arial" w:hAnsi="Arial" w:cs="Arial"/>
          <w:lang w:val="en-ZA"/>
        </w:rPr>
      </w:pPr>
    </w:p>
    <w:p w14:paraId="6A6AD631" w14:textId="6E6BE252" w:rsidR="004C4757" w:rsidRDefault="009724B0" w:rsidP="004C4757">
      <w:pPr>
        <w:pStyle w:val="ListParagraph"/>
        <w:tabs>
          <w:tab w:val="left" w:pos="7545"/>
        </w:tabs>
        <w:spacing w:before="100" w:beforeAutospacing="1" w:after="100" w:afterAutospacing="1" w:line="276" w:lineRule="auto"/>
        <w:ind w:left="567"/>
        <w:jc w:val="both"/>
        <w:rPr>
          <w:rFonts w:ascii="Arial" w:hAnsi="Arial" w:cs="Arial"/>
          <w:lang w:val="en-ZA"/>
        </w:rPr>
      </w:pPr>
      <w:r w:rsidRPr="009724B0">
        <w:rPr>
          <w:rFonts w:ascii="Arial" w:hAnsi="Arial" w:cs="Arial"/>
          <w:lang w:val="en-ZA"/>
        </w:rPr>
        <w:t xml:space="preserve">The DPSA and NT have between April and June 2019 concluded National, Provincial and Sectoral workshops with the relevant human resource officials to support implementation.  In addition the requisite governance, financial and administrative tools, documentation and reporting templates have been issued to departments. </w:t>
      </w:r>
    </w:p>
    <w:p w14:paraId="3BD6541B" w14:textId="77777777" w:rsidR="00B66EB3" w:rsidRDefault="00B66EB3" w:rsidP="004C4757">
      <w:pPr>
        <w:pStyle w:val="ListParagraph"/>
        <w:tabs>
          <w:tab w:val="left" w:pos="7545"/>
        </w:tabs>
        <w:spacing w:before="100" w:beforeAutospacing="1" w:after="100" w:afterAutospacing="1" w:line="276" w:lineRule="auto"/>
        <w:ind w:left="567"/>
        <w:jc w:val="both"/>
        <w:rPr>
          <w:rFonts w:ascii="Arial" w:hAnsi="Arial" w:cs="Arial"/>
          <w:lang w:val="en-ZA"/>
        </w:rPr>
      </w:pPr>
    </w:p>
    <w:p w14:paraId="1FA7FD94" w14:textId="77777777" w:rsidR="004C4757" w:rsidRPr="0010476A" w:rsidRDefault="00D17845" w:rsidP="007C5F93">
      <w:pPr>
        <w:pStyle w:val="ListParagraph"/>
        <w:numPr>
          <w:ilvl w:val="0"/>
          <w:numId w:val="17"/>
        </w:numPr>
        <w:tabs>
          <w:tab w:val="left" w:pos="7545"/>
        </w:tabs>
        <w:spacing w:before="100" w:beforeAutospacing="1" w:after="100" w:afterAutospacing="1" w:line="276" w:lineRule="auto"/>
        <w:ind w:left="567" w:hanging="567"/>
        <w:jc w:val="both"/>
        <w:rPr>
          <w:rFonts w:ascii="Arial" w:hAnsi="Arial" w:cs="Arial"/>
          <w:b/>
          <w:lang w:val="en-ZA"/>
        </w:rPr>
      </w:pPr>
      <w:proofErr w:type="spellStart"/>
      <w:r w:rsidRPr="0010476A">
        <w:rPr>
          <w:rFonts w:ascii="Arial" w:hAnsi="Arial" w:cs="Arial"/>
          <w:b/>
          <w:lang w:val="en-ZA"/>
        </w:rPr>
        <w:t>Decremental</w:t>
      </w:r>
      <w:proofErr w:type="spellEnd"/>
      <w:r w:rsidRPr="0010476A">
        <w:rPr>
          <w:rFonts w:ascii="Arial" w:hAnsi="Arial" w:cs="Arial"/>
          <w:b/>
          <w:lang w:val="en-ZA"/>
        </w:rPr>
        <w:t xml:space="preserve"> Budgets allocated for payment of Performance Bonus</w:t>
      </w:r>
    </w:p>
    <w:p w14:paraId="77131805" w14:textId="77777777" w:rsidR="002D2275" w:rsidRDefault="002D2275" w:rsidP="002D2275">
      <w:pPr>
        <w:pStyle w:val="ListParagraph"/>
        <w:tabs>
          <w:tab w:val="left" w:pos="7545"/>
        </w:tabs>
        <w:spacing w:before="100" w:beforeAutospacing="1" w:after="100" w:afterAutospacing="1" w:line="276" w:lineRule="auto"/>
        <w:ind w:left="567"/>
        <w:jc w:val="both"/>
        <w:rPr>
          <w:rFonts w:ascii="Arial" w:hAnsi="Arial" w:cs="Arial"/>
          <w:lang w:val="en-ZA"/>
        </w:rPr>
      </w:pPr>
    </w:p>
    <w:p w14:paraId="328D69B5" w14:textId="26B0E840" w:rsidR="002D2275" w:rsidRDefault="002D2275" w:rsidP="002D2275">
      <w:pPr>
        <w:pStyle w:val="ListParagraph"/>
        <w:tabs>
          <w:tab w:val="left" w:pos="7545"/>
        </w:tabs>
        <w:spacing w:before="100" w:beforeAutospacing="1" w:after="100" w:afterAutospacing="1" w:line="276" w:lineRule="auto"/>
        <w:ind w:left="567"/>
        <w:jc w:val="both"/>
        <w:rPr>
          <w:rFonts w:ascii="Arial" w:hAnsi="Arial" w:cs="Arial"/>
          <w:lang w:val="en-ZA"/>
        </w:rPr>
      </w:pPr>
      <w:r>
        <w:rPr>
          <w:rFonts w:ascii="Arial" w:hAnsi="Arial" w:cs="Arial"/>
          <w:lang w:val="en-ZA"/>
        </w:rPr>
        <w:t xml:space="preserve">Regulation 73(3) of the Public Service Regulations, 2016 states that </w:t>
      </w:r>
      <w:r w:rsidRPr="00D91EDA">
        <w:rPr>
          <w:rFonts w:ascii="Arial" w:hAnsi="Arial" w:cs="Arial"/>
          <w:i/>
          <w:lang w:val="en-ZA"/>
        </w:rPr>
        <w:t>“the Minister shall from time to time determine a percentage of a department’s remuneration budget that shall not be exceeded for the purpose of granting performance rewards</w:t>
      </w:r>
      <w:r w:rsidR="00D91EDA" w:rsidRPr="00D91EDA">
        <w:rPr>
          <w:rFonts w:ascii="Arial" w:hAnsi="Arial" w:cs="Arial"/>
          <w:i/>
          <w:lang w:val="en-ZA"/>
        </w:rPr>
        <w:t>”</w:t>
      </w:r>
      <w:r w:rsidR="00D91EDA">
        <w:rPr>
          <w:rFonts w:ascii="Arial" w:hAnsi="Arial" w:cs="Arial"/>
          <w:lang w:val="en-ZA"/>
        </w:rPr>
        <w:t xml:space="preserve">. This regulation is supported by regulation 73(4) which states that </w:t>
      </w:r>
      <w:r w:rsidR="00D91EDA" w:rsidRPr="00D91EDA">
        <w:rPr>
          <w:rFonts w:ascii="Arial" w:hAnsi="Arial" w:cs="Arial"/>
          <w:i/>
          <w:lang w:val="en-ZA"/>
        </w:rPr>
        <w:t>“the Minister shall from time to time determine the maximum percentage reward to be granted to an employee or category of employees”</w:t>
      </w:r>
      <w:r w:rsidR="00D91EDA">
        <w:rPr>
          <w:rFonts w:ascii="Arial" w:hAnsi="Arial" w:cs="Arial"/>
          <w:lang w:val="en-ZA"/>
        </w:rPr>
        <w:t xml:space="preserve">. </w:t>
      </w:r>
    </w:p>
    <w:p w14:paraId="1ED871F0" w14:textId="77777777" w:rsidR="007762A2" w:rsidRDefault="007762A2" w:rsidP="002D2275">
      <w:pPr>
        <w:pStyle w:val="ListParagraph"/>
        <w:tabs>
          <w:tab w:val="left" w:pos="7545"/>
        </w:tabs>
        <w:spacing w:before="100" w:beforeAutospacing="1" w:after="100" w:afterAutospacing="1" w:line="276" w:lineRule="auto"/>
        <w:ind w:left="567"/>
        <w:jc w:val="both"/>
        <w:rPr>
          <w:rFonts w:ascii="Arial" w:hAnsi="Arial" w:cs="Arial"/>
          <w:lang w:val="en-ZA"/>
        </w:rPr>
      </w:pPr>
    </w:p>
    <w:p w14:paraId="6948F4CD" w14:textId="60E2BAF8" w:rsidR="00D91EDA" w:rsidRDefault="00D91EDA" w:rsidP="002D2275">
      <w:pPr>
        <w:pStyle w:val="ListParagraph"/>
        <w:tabs>
          <w:tab w:val="left" w:pos="7545"/>
        </w:tabs>
        <w:spacing w:before="100" w:beforeAutospacing="1" w:after="100" w:afterAutospacing="1" w:line="276" w:lineRule="auto"/>
        <w:ind w:left="567"/>
        <w:jc w:val="both"/>
        <w:rPr>
          <w:rFonts w:ascii="Arial" w:hAnsi="Arial" w:cs="Arial"/>
          <w:lang w:val="en-ZA"/>
        </w:rPr>
      </w:pPr>
      <w:r>
        <w:rPr>
          <w:rFonts w:ascii="Arial" w:hAnsi="Arial" w:cs="Arial"/>
          <w:lang w:val="en-ZA"/>
        </w:rPr>
        <w:t xml:space="preserve">A strategy to decrease the percentage of a department’s allocated remuneration budget for the </w:t>
      </w:r>
      <w:r w:rsidR="00157020">
        <w:rPr>
          <w:rFonts w:ascii="Arial" w:hAnsi="Arial" w:cs="Arial"/>
          <w:lang w:val="en-ZA"/>
        </w:rPr>
        <w:t xml:space="preserve">payment of performance rewards </w:t>
      </w:r>
      <w:r w:rsidR="00B66EB3">
        <w:rPr>
          <w:rFonts w:ascii="Arial" w:hAnsi="Arial" w:cs="Arial"/>
          <w:lang w:val="en-ZA"/>
        </w:rPr>
        <w:t>has</w:t>
      </w:r>
      <w:r w:rsidR="00157020">
        <w:rPr>
          <w:rFonts w:ascii="Arial" w:hAnsi="Arial" w:cs="Arial"/>
          <w:lang w:val="en-ZA"/>
        </w:rPr>
        <w:t xml:space="preserve"> been developed together with the National Treasury. </w:t>
      </w:r>
    </w:p>
    <w:p w14:paraId="301C18D5" w14:textId="77777777" w:rsidR="007762A2" w:rsidRDefault="007762A2" w:rsidP="002D2275">
      <w:pPr>
        <w:pStyle w:val="ListParagraph"/>
        <w:tabs>
          <w:tab w:val="left" w:pos="7545"/>
        </w:tabs>
        <w:spacing w:before="100" w:beforeAutospacing="1" w:after="100" w:afterAutospacing="1" w:line="276" w:lineRule="auto"/>
        <w:ind w:left="567"/>
        <w:jc w:val="both"/>
        <w:rPr>
          <w:rFonts w:ascii="Arial" w:hAnsi="Arial" w:cs="Arial"/>
          <w:lang w:val="en-ZA"/>
        </w:rPr>
      </w:pPr>
    </w:p>
    <w:p w14:paraId="277FD2CC" w14:textId="77777777" w:rsidR="007762A2" w:rsidRDefault="007762A2" w:rsidP="002D2275">
      <w:pPr>
        <w:pStyle w:val="ListParagraph"/>
        <w:tabs>
          <w:tab w:val="left" w:pos="7545"/>
        </w:tabs>
        <w:spacing w:before="100" w:beforeAutospacing="1" w:after="100" w:afterAutospacing="1" w:line="276" w:lineRule="auto"/>
        <w:ind w:left="567"/>
        <w:jc w:val="both"/>
        <w:rPr>
          <w:rFonts w:ascii="Arial" w:hAnsi="Arial" w:cs="Arial"/>
          <w:lang w:val="en-ZA"/>
        </w:rPr>
      </w:pPr>
      <w:r>
        <w:rPr>
          <w:rFonts w:ascii="Arial" w:hAnsi="Arial" w:cs="Arial"/>
          <w:lang w:val="en-ZA"/>
        </w:rPr>
        <w:t>The approved Incentive Policy Framework (2017), provides that departments may not utilise more than 1.5% of their annual remuneration budget for the payment of performance rewards. The strategy decreases the budget allocation as follows:</w:t>
      </w:r>
    </w:p>
    <w:p w14:paraId="7795E71B" w14:textId="77777777" w:rsidR="007762A2" w:rsidRDefault="007762A2" w:rsidP="002D2275">
      <w:pPr>
        <w:pStyle w:val="ListParagraph"/>
        <w:tabs>
          <w:tab w:val="left" w:pos="7545"/>
        </w:tabs>
        <w:spacing w:before="100" w:beforeAutospacing="1" w:after="100" w:afterAutospacing="1" w:line="276" w:lineRule="auto"/>
        <w:ind w:left="567"/>
        <w:jc w:val="both"/>
        <w:rPr>
          <w:rFonts w:ascii="Arial" w:hAnsi="Arial" w:cs="Arial"/>
          <w:lang w:val="en-ZA"/>
        </w:rPr>
      </w:pPr>
    </w:p>
    <w:tbl>
      <w:tblPr>
        <w:tblStyle w:val="TableGrid"/>
        <w:tblW w:w="0" w:type="auto"/>
        <w:tblInd w:w="567" w:type="dxa"/>
        <w:tblLook w:val="04A0" w:firstRow="1" w:lastRow="0" w:firstColumn="1" w:lastColumn="0" w:noHBand="0" w:noVBand="1"/>
      </w:tblPr>
      <w:tblGrid>
        <w:gridCol w:w="3256"/>
        <w:gridCol w:w="5797"/>
      </w:tblGrid>
      <w:tr w:rsidR="007762A2" w:rsidRPr="0010476A" w14:paraId="7E4749BF" w14:textId="77777777" w:rsidTr="0010476A">
        <w:tc>
          <w:tcPr>
            <w:tcW w:w="3256" w:type="dxa"/>
          </w:tcPr>
          <w:p w14:paraId="27A7B74A" w14:textId="7A292242" w:rsidR="007762A2" w:rsidRPr="0010476A" w:rsidRDefault="007762A2" w:rsidP="002D2275">
            <w:pPr>
              <w:pStyle w:val="ListParagraph"/>
              <w:tabs>
                <w:tab w:val="left" w:pos="7545"/>
              </w:tabs>
              <w:spacing w:before="100" w:beforeAutospacing="1" w:after="100" w:afterAutospacing="1" w:line="276" w:lineRule="auto"/>
              <w:ind w:left="0"/>
              <w:jc w:val="both"/>
              <w:rPr>
                <w:rFonts w:ascii="Arial" w:hAnsi="Arial" w:cs="Arial"/>
                <w:b/>
                <w:lang w:val="en-ZA"/>
              </w:rPr>
            </w:pPr>
            <w:r w:rsidRPr="0010476A">
              <w:rPr>
                <w:rFonts w:ascii="Arial" w:hAnsi="Arial" w:cs="Arial"/>
                <w:b/>
                <w:lang w:val="en-ZA"/>
              </w:rPr>
              <w:t>Financial Year</w:t>
            </w:r>
          </w:p>
        </w:tc>
        <w:tc>
          <w:tcPr>
            <w:tcW w:w="5797" w:type="dxa"/>
          </w:tcPr>
          <w:p w14:paraId="682F6BCB" w14:textId="17143F9B" w:rsidR="007762A2" w:rsidRPr="0010476A" w:rsidRDefault="007762A2" w:rsidP="002D2275">
            <w:pPr>
              <w:pStyle w:val="ListParagraph"/>
              <w:tabs>
                <w:tab w:val="left" w:pos="7545"/>
              </w:tabs>
              <w:spacing w:before="100" w:beforeAutospacing="1" w:after="100" w:afterAutospacing="1" w:line="276" w:lineRule="auto"/>
              <w:ind w:left="0"/>
              <w:jc w:val="both"/>
              <w:rPr>
                <w:rFonts w:ascii="Arial" w:hAnsi="Arial" w:cs="Arial"/>
                <w:b/>
                <w:lang w:val="en-ZA"/>
              </w:rPr>
            </w:pPr>
            <w:r w:rsidRPr="0010476A">
              <w:rPr>
                <w:rFonts w:ascii="Arial" w:hAnsi="Arial" w:cs="Arial"/>
                <w:b/>
                <w:lang w:val="en-ZA"/>
              </w:rPr>
              <w:t>Maximum % of Remuneration Budget</w:t>
            </w:r>
          </w:p>
        </w:tc>
      </w:tr>
      <w:tr w:rsidR="007762A2" w14:paraId="75A946D7" w14:textId="77777777" w:rsidTr="0010476A">
        <w:tc>
          <w:tcPr>
            <w:tcW w:w="3256" w:type="dxa"/>
          </w:tcPr>
          <w:p w14:paraId="0FE52006" w14:textId="17B79907" w:rsidR="007762A2" w:rsidRDefault="0010476A" w:rsidP="002D2275">
            <w:pPr>
              <w:pStyle w:val="ListParagraph"/>
              <w:tabs>
                <w:tab w:val="left" w:pos="7545"/>
              </w:tabs>
              <w:spacing w:before="100" w:beforeAutospacing="1" w:after="100" w:afterAutospacing="1" w:line="276" w:lineRule="auto"/>
              <w:ind w:left="0"/>
              <w:jc w:val="both"/>
              <w:rPr>
                <w:rFonts w:ascii="Arial" w:hAnsi="Arial" w:cs="Arial"/>
                <w:lang w:val="en-ZA"/>
              </w:rPr>
            </w:pPr>
            <w:r>
              <w:rPr>
                <w:rFonts w:ascii="Arial" w:hAnsi="Arial" w:cs="Arial"/>
                <w:lang w:val="en-ZA"/>
              </w:rPr>
              <w:t>2018/19</w:t>
            </w:r>
          </w:p>
        </w:tc>
        <w:tc>
          <w:tcPr>
            <w:tcW w:w="5797" w:type="dxa"/>
          </w:tcPr>
          <w:p w14:paraId="640A2E90" w14:textId="79765A43" w:rsidR="007762A2" w:rsidRDefault="0010476A" w:rsidP="0010476A">
            <w:pPr>
              <w:pStyle w:val="ListParagraph"/>
              <w:tabs>
                <w:tab w:val="left" w:pos="7545"/>
              </w:tabs>
              <w:spacing w:before="100" w:beforeAutospacing="1" w:after="100" w:afterAutospacing="1" w:line="276" w:lineRule="auto"/>
              <w:ind w:left="0"/>
              <w:jc w:val="center"/>
              <w:rPr>
                <w:rFonts w:ascii="Arial" w:hAnsi="Arial" w:cs="Arial"/>
                <w:lang w:val="en-ZA"/>
              </w:rPr>
            </w:pPr>
            <w:r>
              <w:rPr>
                <w:rFonts w:ascii="Arial" w:hAnsi="Arial" w:cs="Arial"/>
                <w:lang w:val="en-ZA"/>
              </w:rPr>
              <w:t>1.5%</w:t>
            </w:r>
          </w:p>
        </w:tc>
      </w:tr>
      <w:tr w:rsidR="007762A2" w14:paraId="5DE65630" w14:textId="77777777" w:rsidTr="0010476A">
        <w:tc>
          <w:tcPr>
            <w:tcW w:w="3256" w:type="dxa"/>
          </w:tcPr>
          <w:p w14:paraId="7A0FA1F5" w14:textId="4C71A96F" w:rsidR="007762A2" w:rsidRDefault="0010476A" w:rsidP="002D2275">
            <w:pPr>
              <w:pStyle w:val="ListParagraph"/>
              <w:tabs>
                <w:tab w:val="left" w:pos="7545"/>
              </w:tabs>
              <w:spacing w:before="100" w:beforeAutospacing="1" w:after="100" w:afterAutospacing="1" w:line="276" w:lineRule="auto"/>
              <w:ind w:left="0"/>
              <w:jc w:val="both"/>
              <w:rPr>
                <w:rFonts w:ascii="Arial" w:hAnsi="Arial" w:cs="Arial"/>
                <w:lang w:val="en-ZA"/>
              </w:rPr>
            </w:pPr>
            <w:r>
              <w:rPr>
                <w:rFonts w:ascii="Arial" w:hAnsi="Arial" w:cs="Arial"/>
                <w:lang w:val="en-ZA"/>
              </w:rPr>
              <w:t>2019/20</w:t>
            </w:r>
          </w:p>
        </w:tc>
        <w:tc>
          <w:tcPr>
            <w:tcW w:w="5797" w:type="dxa"/>
          </w:tcPr>
          <w:p w14:paraId="44C53DF2" w14:textId="3F7DF325" w:rsidR="007762A2" w:rsidRDefault="0010476A" w:rsidP="0010476A">
            <w:pPr>
              <w:pStyle w:val="ListParagraph"/>
              <w:tabs>
                <w:tab w:val="left" w:pos="7545"/>
              </w:tabs>
              <w:spacing w:before="100" w:beforeAutospacing="1" w:after="100" w:afterAutospacing="1" w:line="276" w:lineRule="auto"/>
              <w:ind w:left="0"/>
              <w:jc w:val="center"/>
              <w:rPr>
                <w:rFonts w:ascii="Arial" w:hAnsi="Arial" w:cs="Arial"/>
                <w:lang w:val="en-ZA"/>
              </w:rPr>
            </w:pPr>
            <w:r>
              <w:rPr>
                <w:rFonts w:ascii="Arial" w:hAnsi="Arial" w:cs="Arial"/>
                <w:lang w:val="en-ZA"/>
              </w:rPr>
              <w:t>0.75%</w:t>
            </w:r>
          </w:p>
        </w:tc>
      </w:tr>
      <w:tr w:rsidR="007762A2" w14:paraId="176EEF24" w14:textId="77777777" w:rsidTr="0010476A">
        <w:tc>
          <w:tcPr>
            <w:tcW w:w="3256" w:type="dxa"/>
          </w:tcPr>
          <w:p w14:paraId="68855124" w14:textId="5DE5BAE4" w:rsidR="007762A2" w:rsidRDefault="0010476A" w:rsidP="002D2275">
            <w:pPr>
              <w:pStyle w:val="ListParagraph"/>
              <w:tabs>
                <w:tab w:val="left" w:pos="7545"/>
              </w:tabs>
              <w:spacing w:before="100" w:beforeAutospacing="1" w:after="100" w:afterAutospacing="1" w:line="276" w:lineRule="auto"/>
              <w:ind w:left="0"/>
              <w:jc w:val="both"/>
              <w:rPr>
                <w:rFonts w:ascii="Arial" w:hAnsi="Arial" w:cs="Arial"/>
                <w:lang w:val="en-ZA"/>
              </w:rPr>
            </w:pPr>
            <w:r>
              <w:rPr>
                <w:rFonts w:ascii="Arial" w:hAnsi="Arial" w:cs="Arial"/>
                <w:lang w:val="en-ZA"/>
              </w:rPr>
              <w:t>2020/21</w:t>
            </w:r>
          </w:p>
        </w:tc>
        <w:tc>
          <w:tcPr>
            <w:tcW w:w="5797" w:type="dxa"/>
          </w:tcPr>
          <w:p w14:paraId="5D86CCE2" w14:textId="513F9E9C" w:rsidR="007762A2" w:rsidRDefault="0010476A" w:rsidP="0010476A">
            <w:pPr>
              <w:pStyle w:val="ListParagraph"/>
              <w:tabs>
                <w:tab w:val="left" w:pos="7545"/>
              </w:tabs>
              <w:spacing w:before="100" w:beforeAutospacing="1" w:after="100" w:afterAutospacing="1" w:line="276" w:lineRule="auto"/>
              <w:ind w:left="0"/>
              <w:jc w:val="center"/>
              <w:rPr>
                <w:rFonts w:ascii="Arial" w:hAnsi="Arial" w:cs="Arial"/>
                <w:lang w:val="en-ZA"/>
              </w:rPr>
            </w:pPr>
            <w:r>
              <w:rPr>
                <w:rFonts w:ascii="Arial" w:hAnsi="Arial" w:cs="Arial"/>
                <w:lang w:val="en-ZA"/>
              </w:rPr>
              <w:t>0.5%</w:t>
            </w:r>
          </w:p>
        </w:tc>
      </w:tr>
      <w:tr w:rsidR="007762A2" w14:paraId="09C460EA" w14:textId="77777777" w:rsidTr="0010476A">
        <w:tc>
          <w:tcPr>
            <w:tcW w:w="3256" w:type="dxa"/>
          </w:tcPr>
          <w:p w14:paraId="15D90748" w14:textId="10B4A216" w:rsidR="007762A2" w:rsidRDefault="0010476A" w:rsidP="002D2275">
            <w:pPr>
              <w:pStyle w:val="ListParagraph"/>
              <w:tabs>
                <w:tab w:val="left" w:pos="7545"/>
              </w:tabs>
              <w:spacing w:before="100" w:beforeAutospacing="1" w:after="100" w:afterAutospacing="1" w:line="276" w:lineRule="auto"/>
              <w:ind w:left="0"/>
              <w:jc w:val="both"/>
              <w:rPr>
                <w:rFonts w:ascii="Arial" w:hAnsi="Arial" w:cs="Arial"/>
                <w:lang w:val="en-ZA"/>
              </w:rPr>
            </w:pPr>
            <w:r>
              <w:rPr>
                <w:rFonts w:ascii="Arial" w:hAnsi="Arial" w:cs="Arial"/>
                <w:lang w:val="en-ZA"/>
              </w:rPr>
              <w:t>2021/22</w:t>
            </w:r>
          </w:p>
        </w:tc>
        <w:tc>
          <w:tcPr>
            <w:tcW w:w="5797" w:type="dxa"/>
          </w:tcPr>
          <w:p w14:paraId="41F90868" w14:textId="7CBAF08B" w:rsidR="007762A2" w:rsidRDefault="0010476A" w:rsidP="0010476A">
            <w:pPr>
              <w:pStyle w:val="ListParagraph"/>
              <w:tabs>
                <w:tab w:val="left" w:pos="7545"/>
              </w:tabs>
              <w:spacing w:before="100" w:beforeAutospacing="1" w:after="100" w:afterAutospacing="1" w:line="276" w:lineRule="auto"/>
              <w:ind w:left="0"/>
              <w:jc w:val="center"/>
              <w:rPr>
                <w:rFonts w:ascii="Arial" w:hAnsi="Arial" w:cs="Arial"/>
                <w:lang w:val="en-ZA"/>
              </w:rPr>
            </w:pPr>
            <w:r>
              <w:rPr>
                <w:rFonts w:ascii="Arial" w:hAnsi="Arial" w:cs="Arial"/>
                <w:lang w:val="en-ZA"/>
              </w:rPr>
              <w:t>0%</w:t>
            </w:r>
          </w:p>
        </w:tc>
      </w:tr>
      <w:tr w:rsidR="007762A2" w14:paraId="307B02DA" w14:textId="77777777" w:rsidTr="0010476A">
        <w:tc>
          <w:tcPr>
            <w:tcW w:w="3256" w:type="dxa"/>
          </w:tcPr>
          <w:p w14:paraId="4DC6B066" w14:textId="236F1340" w:rsidR="007762A2" w:rsidRDefault="0010476A" w:rsidP="002D2275">
            <w:pPr>
              <w:pStyle w:val="ListParagraph"/>
              <w:tabs>
                <w:tab w:val="left" w:pos="7545"/>
              </w:tabs>
              <w:spacing w:before="100" w:beforeAutospacing="1" w:after="100" w:afterAutospacing="1" w:line="276" w:lineRule="auto"/>
              <w:ind w:left="0"/>
              <w:jc w:val="both"/>
              <w:rPr>
                <w:rFonts w:ascii="Arial" w:hAnsi="Arial" w:cs="Arial"/>
                <w:lang w:val="en-ZA"/>
              </w:rPr>
            </w:pPr>
            <w:r>
              <w:rPr>
                <w:rFonts w:ascii="Arial" w:hAnsi="Arial" w:cs="Arial"/>
                <w:lang w:val="en-ZA"/>
              </w:rPr>
              <w:t>Post 2022</w:t>
            </w:r>
          </w:p>
        </w:tc>
        <w:tc>
          <w:tcPr>
            <w:tcW w:w="5797" w:type="dxa"/>
          </w:tcPr>
          <w:p w14:paraId="5A6A0628" w14:textId="7CF5518A" w:rsidR="007762A2" w:rsidRDefault="0010476A" w:rsidP="002D2275">
            <w:pPr>
              <w:pStyle w:val="ListParagraph"/>
              <w:tabs>
                <w:tab w:val="left" w:pos="7545"/>
              </w:tabs>
              <w:spacing w:before="100" w:beforeAutospacing="1" w:after="100" w:afterAutospacing="1" w:line="276" w:lineRule="auto"/>
              <w:ind w:left="0"/>
              <w:jc w:val="both"/>
              <w:rPr>
                <w:rFonts w:ascii="Arial" w:hAnsi="Arial" w:cs="Arial"/>
                <w:lang w:val="en-ZA"/>
              </w:rPr>
            </w:pPr>
            <w:r>
              <w:rPr>
                <w:rFonts w:ascii="Arial" w:hAnsi="Arial" w:cs="Arial"/>
                <w:lang w:val="en-ZA"/>
              </w:rPr>
              <w:t>To be determined based on the comprehensive review of all PMDSs for all categories of employees</w:t>
            </w:r>
          </w:p>
        </w:tc>
      </w:tr>
    </w:tbl>
    <w:p w14:paraId="52532CAE" w14:textId="4C79AA43" w:rsidR="007914A9" w:rsidRDefault="00201AE3" w:rsidP="00102110">
      <w:pPr>
        <w:tabs>
          <w:tab w:val="left" w:pos="7545"/>
        </w:tabs>
        <w:spacing w:before="100" w:beforeAutospacing="1" w:after="100" w:afterAutospacing="1" w:line="276" w:lineRule="auto"/>
        <w:jc w:val="both"/>
        <w:rPr>
          <w:rFonts w:ascii="Arial" w:hAnsi="Arial" w:cs="Arial"/>
          <w:lang w:val="en-ZA"/>
        </w:rPr>
      </w:pPr>
      <w:r w:rsidRPr="00201AE3">
        <w:rPr>
          <w:rFonts w:ascii="Arial" w:hAnsi="Arial" w:cs="Arial"/>
          <w:lang w:val="en-ZA"/>
        </w:rPr>
        <w:t xml:space="preserve">The above initiatives are envisaged to support government’s approach to </w:t>
      </w:r>
      <w:r w:rsidR="000E3229">
        <w:rPr>
          <w:rFonts w:ascii="Arial" w:hAnsi="Arial" w:cs="Arial"/>
          <w:lang w:val="en-ZA"/>
        </w:rPr>
        <w:t>manage</w:t>
      </w:r>
      <w:r w:rsidR="00255734">
        <w:rPr>
          <w:rFonts w:ascii="Arial" w:hAnsi="Arial" w:cs="Arial"/>
          <w:lang w:val="en-ZA"/>
        </w:rPr>
        <w:t xml:space="preserve"> the wage bill</w:t>
      </w:r>
      <w:r w:rsidR="00811981">
        <w:rPr>
          <w:rFonts w:ascii="Arial" w:hAnsi="Arial" w:cs="Arial"/>
          <w:lang w:val="en-ZA"/>
        </w:rPr>
        <w:t xml:space="preserve">. </w:t>
      </w:r>
      <w:r w:rsidR="00255734">
        <w:rPr>
          <w:rFonts w:ascii="Arial" w:hAnsi="Arial" w:cs="Arial"/>
          <w:lang w:val="en-ZA"/>
        </w:rPr>
        <w:t>The DPSA and NT</w:t>
      </w:r>
      <w:r w:rsidRPr="00201AE3">
        <w:rPr>
          <w:rFonts w:ascii="Arial" w:hAnsi="Arial" w:cs="Arial"/>
          <w:lang w:val="en-ZA"/>
        </w:rPr>
        <w:t xml:space="preserve"> monitor </w:t>
      </w:r>
      <w:r w:rsidR="00255734">
        <w:rPr>
          <w:rFonts w:ascii="Arial" w:hAnsi="Arial" w:cs="Arial"/>
          <w:lang w:val="en-ZA"/>
        </w:rPr>
        <w:t xml:space="preserve">the public service </w:t>
      </w:r>
      <w:r w:rsidRPr="00201AE3">
        <w:rPr>
          <w:rFonts w:ascii="Arial" w:hAnsi="Arial" w:cs="Arial"/>
          <w:lang w:val="en-ZA"/>
        </w:rPr>
        <w:t>wage expenditure to identify new and further areas for potential savings.</w:t>
      </w:r>
      <w:r w:rsidR="007914A9" w:rsidRPr="00201AE3">
        <w:rPr>
          <w:rFonts w:ascii="Arial" w:hAnsi="Arial" w:cs="Arial"/>
          <w:lang w:val="en-ZA"/>
        </w:rPr>
        <w:t xml:space="preserve"> </w:t>
      </w:r>
    </w:p>
    <w:p w14:paraId="1EAC84B9" w14:textId="5B6C67A6" w:rsidR="005C30D7" w:rsidRDefault="005C30D7" w:rsidP="00102110">
      <w:pPr>
        <w:tabs>
          <w:tab w:val="left" w:pos="7545"/>
        </w:tabs>
        <w:spacing w:before="100" w:beforeAutospacing="1" w:after="100" w:afterAutospacing="1" w:line="276" w:lineRule="auto"/>
        <w:jc w:val="both"/>
        <w:rPr>
          <w:rFonts w:ascii="Arial" w:hAnsi="Arial" w:cs="Arial"/>
          <w:lang w:val="en-ZA"/>
        </w:rPr>
      </w:pPr>
    </w:p>
    <w:sectPr w:rsidR="005C30D7" w:rsidSect="00255734">
      <w:footerReference w:type="default" r:id="rId9"/>
      <w:headerReference w:type="first" r:id="rId10"/>
      <w:footerReference w:type="first" r:id="rId11"/>
      <w:pgSz w:w="12240" w:h="15840"/>
      <w:pgMar w:top="1135" w:right="1350" w:bottom="1134" w:left="1260" w:header="28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1ECDF" w14:textId="77777777" w:rsidR="00503E60" w:rsidRDefault="00503E60">
      <w:r>
        <w:separator/>
      </w:r>
    </w:p>
  </w:endnote>
  <w:endnote w:type="continuationSeparator" w:id="0">
    <w:p w14:paraId="33B9C24D" w14:textId="77777777" w:rsidR="00503E60" w:rsidRDefault="0050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D6758" w14:textId="77777777" w:rsidR="0065307E" w:rsidRPr="0065307E" w:rsidRDefault="0065307E" w:rsidP="0065307E">
    <w:pPr>
      <w:pStyle w:val="Footer"/>
      <w:jc w:val="both"/>
      <w:rPr>
        <w:rFonts w:ascii="Arial" w:hAnsi="Arial" w:cs="Arial"/>
        <w:b/>
        <w:color w:val="808080"/>
        <w:sz w:val="22"/>
        <w:szCs w:val="22"/>
      </w:rPr>
    </w:pPr>
    <w:r w:rsidRPr="0065307E">
      <w:rPr>
        <w:rFonts w:ascii="Arial" w:hAnsi="Arial" w:cs="Arial"/>
        <w:b/>
        <w:color w:val="808080"/>
        <w:sz w:val="22"/>
        <w:szCs w:val="22"/>
      </w:rPr>
      <w:t>______________________________________________________________________________</w:t>
    </w:r>
  </w:p>
  <w:p w14:paraId="67A26153" w14:textId="6D59F8E0" w:rsidR="0072142B" w:rsidRPr="0065307E" w:rsidRDefault="002059EE" w:rsidP="0065307E">
    <w:pPr>
      <w:pStyle w:val="Footer"/>
      <w:jc w:val="both"/>
      <w:rPr>
        <w:rFonts w:ascii="Arial" w:hAnsi="Arial" w:cs="Arial"/>
        <w:b/>
        <w:color w:val="808080"/>
        <w:sz w:val="22"/>
        <w:szCs w:val="22"/>
      </w:rPr>
    </w:pPr>
    <w:r w:rsidRPr="002059EE">
      <w:rPr>
        <w:rFonts w:ascii="Arial" w:hAnsi="Arial" w:cs="Arial"/>
        <w:b/>
        <w:color w:val="808080"/>
        <w:sz w:val="22"/>
        <w:szCs w:val="22"/>
      </w:rPr>
      <w:t>Reply to the Parliamentary Question 273</w:t>
    </w:r>
    <w:r w:rsidRPr="002059EE">
      <w:rPr>
        <w:rFonts w:ascii="Arial" w:hAnsi="Arial" w:cs="Arial"/>
        <w:b/>
        <w:color w:val="808080"/>
        <w:sz w:val="22"/>
        <w:szCs w:val="22"/>
      </w:rPr>
      <w:tab/>
      <w:t xml:space="preserve"> [NW 286E] ask by Mr M </w:t>
    </w:r>
    <w:proofErr w:type="spellStart"/>
    <w:r w:rsidRPr="002059EE">
      <w:rPr>
        <w:rFonts w:ascii="Arial" w:hAnsi="Arial" w:cs="Arial"/>
        <w:b/>
        <w:color w:val="808080"/>
        <w:sz w:val="22"/>
        <w:szCs w:val="22"/>
      </w:rPr>
      <w:t>Hlengwa</w:t>
    </w:r>
    <w:proofErr w:type="spellEnd"/>
    <w:r w:rsidRPr="002059EE">
      <w:rPr>
        <w:rFonts w:ascii="Arial" w:hAnsi="Arial" w:cs="Arial"/>
        <w:b/>
        <w:color w:val="808080"/>
        <w:sz w:val="22"/>
        <w:szCs w:val="22"/>
      </w:rPr>
      <w:t xml:space="preserve"> (IFP) to the Minister for the Pu</w:t>
    </w:r>
    <w:r>
      <w:rPr>
        <w:rFonts w:ascii="Arial" w:hAnsi="Arial" w:cs="Arial"/>
        <w:b/>
        <w:color w:val="808080"/>
        <w:sz w:val="22"/>
        <w:szCs w:val="22"/>
      </w:rPr>
      <w:t>blic Service and Administration</w:t>
    </w:r>
    <w:r w:rsidRPr="002059EE">
      <w:rPr>
        <w:rFonts w:ascii="Arial" w:hAnsi="Arial" w:cs="Arial"/>
        <w:b/>
        <w:color w:val="808080"/>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38C1" w14:textId="77777777" w:rsidR="00E65BA1" w:rsidRPr="00E65BA1" w:rsidRDefault="00E65BA1" w:rsidP="00E65BA1">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______________________________________________________________________________</w:t>
    </w:r>
  </w:p>
  <w:p w14:paraId="086028F8" w14:textId="68B413AD" w:rsidR="0028475F" w:rsidRPr="00E65BA1" w:rsidRDefault="005A364D" w:rsidP="00E65BA1">
    <w:pPr>
      <w:tabs>
        <w:tab w:val="center" w:pos="4513"/>
        <w:tab w:val="right" w:pos="9026"/>
      </w:tabs>
      <w:jc w:val="both"/>
      <w:rPr>
        <w:rFonts w:ascii="Arial" w:hAnsi="Arial" w:cs="Arial"/>
        <w:b/>
        <w:color w:val="808080"/>
        <w:sz w:val="22"/>
        <w:szCs w:val="22"/>
      </w:rPr>
    </w:pPr>
    <w:bookmarkStart w:id="3" w:name="_Hlk2897709"/>
    <w:bookmarkStart w:id="4" w:name="_Hlk2897710"/>
    <w:r>
      <w:rPr>
        <w:rFonts w:ascii="Arial" w:hAnsi="Arial" w:cs="Arial"/>
        <w:b/>
        <w:color w:val="808080"/>
        <w:sz w:val="22"/>
        <w:szCs w:val="22"/>
      </w:rPr>
      <w:t>Reply to Parliamentary</w:t>
    </w:r>
    <w:r w:rsidR="00E65BA1" w:rsidRPr="00E65BA1">
      <w:rPr>
        <w:rFonts w:ascii="Arial" w:hAnsi="Arial" w:cs="Arial"/>
        <w:b/>
        <w:color w:val="808080"/>
        <w:sz w:val="22"/>
        <w:szCs w:val="22"/>
      </w:rPr>
      <w:t xml:space="preserve"> Question </w:t>
    </w:r>
    <w:r w:rsidR="00630C87">
      <w:rPr>
        <w:rFonts w:ascii="Arial" w:hAnsi="Arial" w:cs="Arial"/>
        <w:b/>
        <w:color w:val="808080"/>
        <w:sz w:val="22"/>
        <w:szCs w:val="22"/>
      </w:rPr>
      <w:t>273</w:t>
    </w:r>
    <w:r w:rsidR="00E65BA1" w:rsidRPr="00E65BA1">
      <w:rPr>
        <w:rFonts w:ascii="Arial" w:hAnsi="Arial" w:cs="Arial"/>
        <w:b/>
        <w:color w:val="808080"/>
        <w:sz w:val="22"/>
        <w:szCs w:val="22"/>
      </w:rPr>
      <w:tab/>
      <w:t xml:space="preserve"> </w:t>
    </w:r>
    <w:r w:rsidR="00E65BA1">
      <w:rPr>
        <w:rFonts w:ascii="Arial" w:hAnsi="Arial" w:cs="Arial"/>
        <w:b/>
        <w:color w:val="808080"/>
        <w:sz w:val="22"/>
        <w:szCs w:val="22"/>
      </w:rPr>
      <w:t>[</w:t>
    </w:r>
    <w:r w:rsidR="0054652D" w:rsidRPr="0054652D">
      <w:rPr>
        <w:rFonts w:ascii="Arial" w:hAnsi="Arial" w:cs="Arial"/>
        <w:b/>
        <w:color w:val="808080"/>
        <w:sz w:val="22"/>
        <w:szCs w:val="22"/>
      </w:rPr>
      <w:t>NW</w:t>
    </w:r>
    <w:r w:rsidR="0054652D">
      <w:rPr>
        <w:rFonts w:ascii="Arial" w:hAnsi="Arial" w:cs="Arial"/>
        <w:b/>
        <w:color w:val="808080"/>
        <w:sz w:val="22"/>
        <w:szCs w:val="22"/>
      </w:rPr>
      <w:t xml:space="preserve"> </w:t>
    </w:r>
    <w:r w:rsidR="00630C87">
      <w:rPr>
        <w:rFonts w:ascii="Arial" w:hAnsi="Arial" w:cs="Arial"/>
        <w:b/>
        <w:color w:val="808080"/>
        <w:sz w:val="22"/>
        <w:szCs w:val="22"/>
      </w:rPr>
      <w:t>286</w:t>
    </w:r>
    <w:r w:rsidR="005A1EED" w:rsidRPr="005A1EED">
      <w:rPr>
        <w:rFonts w:ascii="Arial" w:hAnsi="Arial" w:cs="Arial"/>
        <w:b/>
        <w:color w:val="808080"/>
        <w:sz w:val="22"/>
        <w:szCs w:val="22"/>
      </w:rPr>
      <w:t>E</w:t>
    </w:r>
    <w:r w:rsidR="00102110" w:rsidRPr="00102110">
      <w:rPr>
        <w:rFonts w:ascii="Arial" w:hAnsi="Arial" w:cs="Arial"/>
        <w:b/>
        <w:color w:val="808080"/>
        <w:sz w:val="22"/>
        <w:szCs w:val="22"/>
      </w:rPr>
      <w:t>]</w:t>
    </w:r>
    <w:r w:rsidR="00E65BA1" w:rsidRPr="00E65BA1">
      <w:rPr>
        <w:rFonts w:ascii="Arial" w:hAnsi="Arial" w:cs="Arial"/>
        <w:b/>
        <w:color w:val="808080"/>
        <w:sz w:val="22"/>
        <w:szCs w:val="22"/>
      </w:rPr>
      <w:t xml:space="preserve"> ask by</w:t>
    </w:r>
    <w:r w:rsidR="00A22595">
      <w:t xml:space="preserve"> </w:t>
    </w:r>
    <w:r w:rsidR="00A22595">
      <w:rPr>
        <w:rFonts w:ascii="Arial" w:hAnsi="Arial" w:cs="Arial"/>
        <w:b/>
        <w:color w:val="808080"/>
        <w:sz w:val="22"/>
        <w:szCs w:val="22"/>
      </w:rPr>
      <w:t xml:space="preserve">Mr M </w:t>
    </w:r>
    <w:proofErr w:type="spellStart"/>
    <w:r w:rsidR="00A22595">
      <w:rPr>
        <w:rFonts w:ascii="Arial" w:hAnsi="Arial" w:cs="Arial"/>
        <w:b/>
        <w:color w:val="808080"/>
        <w:sz w:val="22"/>
        <w:szCs w:val="22"/>
      </w:rPr>
      <w:t>Hlengwa</w:t>
    </w:r>
    <w:proofErr w:type="spellEnd"/>
    <w:r w:rsidR="00A22595">
      <w:rPr>
        <w:rFonts w:ascii="Arial" w:hAnsi="Arial" w:cs="Arial"/>
        <w:b/>
        <w:color w:val="808080"/>
        <w:sz w:val="22"/>
        <w:szCs w:val="22"/>
      </w:rPr>
      <w:t xml:space="preserve"> (IFP)</w:t>
    </w:r>
    <w:r w:rsidR="00630C87" w:rsidRPr="00630C87">
      <w:rPr>
        <w:rFonts w:ascii="Arial" w:hAnsi="Arial" w:cs="Arial"/>
        <w:b/>
        <w:color w:val="808080"/>
        <w:sz w:val="22"/>
        <w:szCs w:val="22"/>
      </w:rPr>
      <w:t xml:space="preserve"> </w:t>
    </w:r>
    <w:r w:rsidR="00AF170F">
      <w:rPr>
        <w:rFonts w:ascii="Arial" w:hAnsi="Arial" w:cs="Arial"/>
        <w:b/>
        <w:color w:val="808080"/>
        <w:sz w:val="22"/>
        <w:szCs w:val="22"/>
      </w:rPr>
      <w:t>to the</w:t>
    </w:r>
    <w:r w:rsidR="000C5C0A">
      <w:rPr>
        <w:rFonts w:ascii="Arial" w:hAnsi="Arial" w:cs="Arial"/>
        <w:b/>
        <w:color w:val="808080"/>
        <w:sz w:val="22"/>
        <w:szCs w:val="22"/>
      </w:rPr>
      <w:t xml:space="preserve"> Minister for</w:t>
    </w:r>
    <w:r w:rsidR="00E65BA1" w:rsidRPr="00E65BA1">
      <w:rPr>
        <w:rFonts w:ascii="Arial" w:hAnsi="Arial" w:cs="Arial"/>
        <w:b/>
        <w:color w:val="808080"/>
        <w:sz w:val="22"/>
        <w:szCs w:val="22"/>
      </w:rPr>
      <w:t xml:space="preserve"> the Public Service and Administration</w:t>
    </w:r>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31DF0" w14:textId="77777777" w:rsidR="00503E60" w:rsidRDefault="00503E60">
      <w:r>
        <w:separator/>
      </w:r>
    </w:p>
  </w:footnote>
  <w:footnote w:type="continuationSeparator" w:id="0">
    <w:p w14:paraId="14C55742" w14:textId="77777777" w:rsidR="00503E60" w:rsidRDefault="00503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A031C" w14:textId="24B5FD09" w:rsidR="002059EE" w:rsidRPr="002059EE" w:rsidRDefault="002059EE" w:rsidP="005A364D">
    <w:pPr>
      <w:pStyle w:val="Footer"/>
      <w:pBdr>
        <w:bottom w:val="single" w:sz="4" w:space="1" w:color="808080" w:themeColor="background1" w:themeShade="80"/>
      </w:pBdr>
      <w:jc w:val="center"/>
      <w:rPr>
        <w:rFonts w:ascii="Arial" w:hAnsi="Arial" w:cs="Arial"/>
        <w:b/>
        <w:color w:val="BFBFBF" w:themeColor="background1" w:themeShade="BF"/>
        <w:sz w:val="20"/>
        <w:szCs w:val="20"/>
      </w:rPr>
    </w:pPr>
    <w:r w:rsidRPr="002059EE">
      <w:rPr>
        <w:rFonts w:ascii="Arial" w:hAnsi="Arial" w:cs="Arial"/>
        <w:b/>
        <w:color w:val="BFBFBF" w:themeColor="background1" w:themeShade="BF"/>
        <w:sz w:val="20"/>
        <w:szCs w:val="20"/>
      </w:rPr>
      <w:t>National Assembly Internal Question Paper [No 1 – 2019] First Session, Sixth Parliament</w:t>
    </w:r>
  </w:p>
  <w:p w14:paraId="568C8AD4" w14:textId="77777777" w:rsidR="00424CEF" w:rsidRDefault="00424CEF" w:rsidP="00424C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A44AB"/>
    <w:multiLevelType w:val="hybridMultilevel"/>
    <w:tmpl w:val="C9A4513A"/>
    <w:lvl w:ilvl="0" w:tplc="6AD4A7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617D2B"/>
    <w:multiLevelType w:val="hybridMultilevel"/>
    <w:tmpl w:val="9BDAAB9E"/>
    <w:lvl w:ilvl="0" w:tplc="77322C6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657F72"/>
    <w:multiLevelType w:val="hybridMultilevel"/>
    <w:tmpl w:val="D3E0CD90"/>
    <w:lvl w:ilvl="0" w:tplc="623274F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A5009C2"/>
    <w:multiLevelType w:val="hybridMultilevel"/>
    <w:tmpl w:val="21D8D70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3B139A8"/>
    <w:multiLevelType w:val="hybridMultilevel"/>
    <w:tmpl w:val="65C003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4F842F2"/>
    <w:multiLevelType w:val="hybridMultilevel"/>
    <w:tmpl w:val="DBC8019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1A120C"/>
    <w:multiLevelType w:val="hybridMultilevel"/>
    <w:tmpl w:val="076AEF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42EB7BF9"/>
    <w:multiLevelType w:val="hybridMultilevel"/>
    <w:tmpl w:val="C5D28D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CDF309A"/>
    <w:multiLevelType w:val="hybridMultilevel"/>
    <w:tmpl w:val="8A0A120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5E36098A"/>
    <w:multiLevelType w:val="hybridMultilevel"/>
    <w:tmpl w:val="2C1699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B2652A7"/>
    <w:multiLevelType w:val="hybridMultilevel"/>
    <w:tmpl w:val="248A4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5"/>
  </w:num>
  <w:num w:numId="5">
    <w:abstractNumId w:val="2"/>
  </w:num>
  <w:num w:numId="6">
    <w:abstractNumId w:val="4"/>
  </w:num>
  <w:num w:numId="7">
    <w:abstractNumId w:val="12"/>
  </w:num>
  <w:num w:numId="8">
    <w:abstractNumId w:val="14"/>
  </w:num>
  <w:num w:numId="9">
    <w:abstractNumId w:val="3"/>
  </w:num>
  <w:num w:numId="10">
    <w:abstractNumId w:val="9"/>
  </w:num>
  <w:num w:numId="11">
    <w:abstractNumId w:val="13"/>
  </w:num>
  <w:num w:numId="12">
    <w:abstractNumId w:val="11"/>
  </w:num>
  <w:num w:numId="13">
    <w:abstractNumId w:val="6"/>
  </w:num>
  <w:num w:numId="14">
    <w:abstractNumId w:val="10"/>
  </w:num>
  <w:num w:numId="15">
    <w:abstractNumId w:val="0"/>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57345"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47"/>
    <w:rsid w:val="00000B40"/>
    <w:rsid w:val="00007611"/>
    <w:rsid w:val="00020CAF"/>
    <w:rsid w:val="00026762"/>
    <w:rsid w:val="000367D4"/>
    <w:rsid w:val="000800E0"/>
    <w:rsid w:val="00090BB5"/>
    <w:rsid w:val="00091605"/>
    <w:rsid w:val="000A133D"/>
    <w:rsid w:val="000A4CD1"/>
    <w:rsid w:val="000B1352"/>
    <w:rsid w:val="000C5477"/>
    <w:rsid w:val="000C5C0A"/>
    <w:rsid w:val="000E1301"/>
    <w:rsid w:val="000E3229"/>
    <w:rsid w:val="000F02A3"/>
    <w:rsid w:val="000F2F1D"/>
    <w:rsid w:val="000F7628"/>
    <w:rsid w:val="00102110"/>
    <w:rsid w:val="0010476A"/>
    <w:rsid w:val="00105C50"/>
    <w:rsid w:val="00110D4F"/>
    <w:rsid w:val="00111C9D"/>
    <w:rsid w:val="00111E45"/>
    <w:rsid w:val="001147C9"/>
    <w:rsid w:val="001520C6"/>
    <w:rsid w:val="00157020"/>
    <w:rsid w:val="001605C8"/>
    <w:rsid w:val="00160B57"/>
    <w:rsid w:val="00182ABC"/>
    <w:rsid w:val="00186AD6"/>
    <w:rsid w:val="00191C29"/>
    <w:rsid w:val="001951B1"/>
    <w:rsid w:val="001A465C"/>
    <w:rsid w:val="001B7A14"/>
    <w:rsid w:val="001B7FDD"/>
    <w:rsid w:val="001C1511"/>
    <w:rsid w:val="001C16B3"/>
    <w:rsid w:val="001D029B"/>
    <w:rsid w:val="001E0D95"/>
    <w:rsid w:val="001F7080"/>
    <w:rsid w:val="00201AE3"/>
    <w:rsid w:val="00201E06"/>
    <w:rsid w:val="002059EE"/>
    <w:rsid w:val="00243AE3"/>
    <w:rsid w:val="002441DB"/>
    <w:rsid w:val="00255734"/>
    <w:rsid w:val="00273458"/>
    <w:rsid w:val="00273D81"/>
    <w:rsid w:val="00280378"/>
    <w:rsid w:val="0028475F"/>
    <w:rsid w:val="00285C47"/>
    <w:rsid w:val="00290529"/>
    <w:rsid w:val="002A06C8"/>
    <w:rsid w:val="002A1D4D"/>
    <w:rsid w:val="002C432E"/>
    <w:rsid w:val="002D2275"/>
    <w:rsid w:val="002D31E7"/>
    <w:rsid w:val="002D7229"/>
    <w:rsid w:val="002E099B"/>
    <w:rsid w:val="002E0EE8"/>
    <w:rsid w:val="002E7AA8"/>
    <w:rsid w:val="002F75AA"/>
    <w:rsid w:val="003028D3"/>
    <w:rsid w:val="00310FAA"/>
    <w:rsid w:val="003204A3"/>
    <w:rsid w:val="00323F12"/>
    <w:rsid w:val="00333EED"/>
    <w:rsid w:val="003343BC"/>
    <w:rsid w:val="00336FB0"/>
    <w:rsid w:val="00340C82"/>
    <w:rsid w:val="00343724"/>
    <w:rsid w:val="003439B4"/>
    <w:rsid w:val="00345109"/>
    <w:rsid w:val="00347EC3"/>
    <w:rsid w:val="00355A09"/>
    <w:rsid w:val="00362E1C"/>
    <w:rsid w:val="00370AA4"/>
    <w:rsid w:val="0038183B"/>
    <w:rsid w:val="0039218B"/>
    <w:rsid w:val="0039423E"/>
    <w:rsid w:val="003A33F5"/>
    <w:rsid w:val="003B0723"/>
    <w:rsid w:val="003B727B"/>
    <w:rsid w:val="003C35D3"/>
    <w:rsid w:val="003D107F"/>
    <w:rsid w:val="003E2A0B"/>
    <w:rsid w:val="003F414F"/>
    <w:rsid w:val="00402FAC"/>
    <w:rsid w:val="00410A00"/>
    <w:rsid w:val="00417319"/>
    <w:rsid w:val="00422DFC"/>
    <w:rsid w:val="00424CEF"/>
    <w:rsid w:val="0042667A"/>
    <w:rsid w:val="00435FEA"/>
    <w:rsid w:val="0045003C"/>
    <w:rsid w:val="00476121"/>
    <w:rsid w:val="00492D7D"/>
    <w:rsid w:val="004A396E"/>
    <w:rsid w:val="004B1243"/>
    <w:rsid w:val="004B1BEF"/>
    <w:rsid w:val="004B53B3"/>
    <w:rsid w:val="004B61E6"/>
    <w:rsid w:val="004B6FA2"/>
    <w:rsid w:val="004C4757"/>
    <w:rsid w:val="004D2B26"/>
    <w:rsid w:val="004D3813"/>
    <w:rsid w:val="004E606D"/>
    <w:rsid w:val="004F161C"/>
    <w:rsid w:val="004F1A9B"/>
    <w:rsid w:val="004F32B5"/>
    <w:rsid w:val="004F4221"/>
    <w:rsid w:val="004F520F"/>
    <w:rsid w:val="00503E60"/>
    <w:rsid w:val="005107AF"/>
    <w:rsid w:val="00513555"/>
    <w:rsid w:val="00514FC4"/>
    <w:rsid w:val="005207DE"/>
    <w:rsid w:val="00530717"/>
    <w:rsid w:val="00536A20"/>
    <w:rsid w:val="005450F6"/>
    <w:rsid w:val="0054652D"/>
    <w:rsid w:val="00555570"/>
    <w:rsid w:val="00566567"/>
    <w:rsid w:val="005666F9"/>
    <w:rsid w:val="0057767E"/>
    <w:rsid w:val="00577EA4"/>
    <w:rsid w:val="00591B49"/>
    <w:rsid w:val="00593E40"/>
    <w:rsid w:val="005975FE"/>
    <w:rsid w:val="005A1EED"/>
    <w:rsid w:val="005A3090"/>
    <w:rsid w:val="005A364D"/>
    <w:rsid w:val="005B0C33"/>
    <w:rsid w:val="005B2AC3"/>
    <w:rsid w:val="005C30D7"/>
    <w:rsid w:val="005C6BC5"/>
    <w:rsid w:val="005D5448"/>
    <w:rsid w:val="005D5D70"/>
    <w:rsid w:val="005E1ACB"/>
    <w:rsid w:val="005F0736"/>
    <w:rsid w:val="005F1512"/>
    <w:rsid w:val="0060275A"/>
    <w:rsid w:val="006163C2"/>
    <w:rsid w:val="006170C5"/>
    <w:rsid w:val="0061719E"/>
    <w:rsid w:val="00617849"/>
    <w:rsid w:val="00621486"/>
    <w:rsid w:val="006241A5"/>
    <w:rsid w:val="00625B6A"/>
    <w:rsid w:val="00630AE3"/>
    <w:rsid w:val="00630C87"/>
    <w:rsid w:val="0065307E"/>
    <w:rsid w:val="0066183B"/>
    <w:rsid w:val="00685F47"/>
    <w:rsid w:val="00694661"/>
    <w:rsid w:val="006966E1"/>
    <w:rsid w:val="006B2E97"/>
    <w:rsid w:val="006B4F8A"/>
    <w:rsid w:val="006D7E05"/>
    <w:rsid w:val="006E7B1D"/>
    <w:rsid w:val="006F0B6A"/>
    <w:rsid w:val="006F0C19"/>
    <w:rsid w:val="00703A2C"/>
    <w:rsid w:val="0071348D"/>
    <w:rsid w:val="007201AD"/>
    <w:rsid w:val="0072142B"/>
    <w:rsid w:val="0072423C"/>
    <w:rsid w:val="00741C9B"/>
    <w:rsid w:val="007479DD"/>
    <w:rsid w:val="00767885"/>
    <w:rsid w:val="007762A2"/>
    <w:rsid w:val="007777AE"/>
    <w:rsid w:val="007816EA"/>
    <w:rsid w:val="007823CD"/>
    <w:rsid w:val="007853B3"/>
    <w:rsid w:val="00786E18"/>
    <w:rsid w:val="007914A9"/>
    <w:rsid w:val="007939A1"/>
    <w:rsid w:val="00794504"/>
    <w:rsid w:val="007A3CF9"/>
    <w:rsid w:val="007B2B03"/>
    <w:rsid w:val="007B74D6"/>
    <w:rsid w:val="007C2240"/>
    <w:rsid w:val="007C2727"/>
    <w:rsid w:val="007C5F93"/>
    <w:rsid w:val="007C6706"/>
    <w:rsid w:val="007D0B99"/>
    <w:rsid w:val="007F0DC6"/>
    <w:rsid w:val="00811981"/>
    <w:rsid w:val="00811AA5"/>
    <w:rsid w:val="008123E9"/>
    <w:rsid w:val="00817485"/>
    <w:rsid w:val="00825A9B"/>
    <w:rsid w:val="008312F6"/>
    <w:rsid w:val="00833B57"/>
    <w:rsid w:val="0084716C"/>
    <w:rsid w:val="00851106"/>
    <w:rsid w:val="00853808"/>
    <w:rsid w:val="008662B7"/>
    <w:rsid w:val="008754E6"/>
    <w:rsid w:val="00877C40"/>
    <w:rsid w:val="00885EBB"/>
    <w:rsid w:val="00892247"/>
    <w:rsid w:val="008A593D"/>
    <w:rsid w:val="008A60EC"/>
    <w:rsid w:val="008B2453"/>
    <w:rsid w:val="008B39C7"/>
    <w:rsid w:val="008C284A"/>
    <w:rsid w:val="008D12CF"/>
    <w:rsid w:val="008E42C8"/>
    <w:rsid w:val="008E4ECE"/>
    <w:rsid w:val="008E5FF5"/>
    <w:rsid w:val="008F29A1"/>
    <w:rsid w:val="00906716"/>
    <w:rsid w:val="009073FC"/>
    <w:rsid w:val="009148C5"/>
    <w:rsid w:val="00923FF1"/>
    <w:rsid w:val="00924113"/>
    <w:rsid w:val="00936D26"/>
    <w:rsid w:val="009410F4"/>
    <w:rsid w:val="00945680"/>
    <w:rsid w:val="00960CFF"/>
    <w:rsid w:val="00961D75"/>
    <w:rsid w:val="0096273C"/>
    <w:rsid w:val="009724B0"/>
    <w:rsid w:val="00984C68"/>
    <w:rsid w:val="00993FD3"/>
    <w:rsid w:val="009B42E4"/>
    <w:rsid w:val="009C18C8"/>
    <w:rsid w:val="009C1D18"/>
    <w:rsid w:val="009E5840"/>
    <w:rsid w:val="009F1611"/>
    <w:rsid w:val="009F4BB7"/>
    <w:rsid w:val="00A0326A"/>
    <w:rsid w:val="00A11497"/>
    <w:rsid w:val="00A14834"/>
    <w:rsid w:val="00A17EC3"/>
    <w:rsid w:val="00A22595"/>
    <w:rsid w:val="00A250F5"/>
    <w:rsid w:val="00A27D6C"/>
    <w:rsid w:val="00A35A9D"/>
    <w:rsid w:val="00A430B6"/>
    <w:rsid w:val="00A62CD4"/>
    <w:rsid w:val="00A64AA5"/>
    <w:rsid w:val="00A727DC"/>
    <w:rsid w:val="00A90FAF"/>
    <w:rsid w:val="00A91F9A"/>
    <w:rsid w:val="00AA65D6"/>
    <w:rsid w:val="00AA777C"/>
    <w:rsid w:val="00AB0890"/>
    <w:rsid w:val="00AB0CAB"/>
    <w:rsid w:val="00AD09DB"/>
    <w:rsid w:val="00AE1A6B"/>
    <w:rsid w:val="00AF170F"/>
    <w:rsid w:val="00B13267"/>
    <w:rsid w:val="00B3002A"/>
    <w:rsid w:val="00B31933"/>
    <w:rsid w:val="00B366BD"/>
    <w:rsid w:val="00B66676"/>
    <w:rsid w:val="00B66EB3"/>
    <w:rsid w:val="00B66F9B"/>
    <w:rsid w:val="00B81207"/>
    <w:rsid w:val="00B87B04"/>
    <w:rsid w:val="00BA0BA3"/>
    <w:rsid w:val="00BA1F25"/>
    <w:rsid w:val="00BA7B88"/>
    <w:rsid w:val="00BC69E2"/>
    <w:rsid w:val="00BD33FC"/>
    <w:rsid w:val="00BE0770"/>
    <w:rsid w:val="00BE14EA"/>
    <w:rsid w:val="00BE1FCE"/>
    <w:rsid w:val="00C007DD"/>
    <w:rsid w:val="00C04962"/>
    <w:rsid w:val="00C27D2F"/>
    <w:rsid w:val="00C77CBB"/>
    <w:rsid w:val="00C81763"/>
    <w:rsid w:val="00C95D84"/>
    <w:rsid w:val="00CB53A4"/>
    <w:rsid w:val="00CB594D"/>
    <w:rsid w:val="00CB5A7E"/>
    <w:rsid w:val="00CB5ADD"/>
    <w:rsid w:val="00CC0E45"/>
    <w:rsid w:val="00CF40C2"/>
    <w:rsid w:val="00CF4CF3"/>
    <w:rsid w:val="00D17845"/>
    <w:rsid w:val="00D24D11"/>
    <w:rsid w:val="00D27283"/>
    <w:rsid w:val="00D27D47"/>
    <w:rsid w:val="00D30C68"/>
    <w:rsid w:val="00D33331"/>
    <w:rsid w:val="00D356BF"/>
    <w:rsid w:val="00D66467"/>
    <w:rsid w:val="00D91EDA"/>
    <w:rsid w:val="00DB2AD0"/>
    <w:rsid w:val="00DD1BD0"/>
    <w:rsid w:val="00DD515B"/>
    <w:rsid w:val="00DD708B"/>
    <w:rsid w:val="00DE6E86"/>
    <w:rsid w:val="00DF1F78"/>
    <w:rsid w:val="00DF7F34"/>
    <w:rsid w:val="00E05FEB"/>
    <w:rsid w:val="00E16AC9"/>
    <w:rsid w:val="00E25438"/>
    <w:rsid w:val="00E26E52"/>
    <w:rsid w:val="00E44B04"/>
    <w:rsid w:val="00E460A6"/>
    <w:rsid w:val="00E47D4F"/>
    <w:rsid w:val="00E52271"/>
    <w:rsid w:val="00E52F31"/>
    <w:rsid w:val="00E65BA1"/>
    <w:rsid w:val="00EA4FD5"/>
    <w:rsid w:val="00EB073A"/>
    <w:rsid w:val="00EB47E2"/>
    <w:rsid w:val="00ED053F"/>
    <w:rsid w:val="00ED4F6B"/>
    <w:rsid w:val="00EF0A3A"/>
    <w:rsid w:val="00EF6508"/>
    <w:rsid w:val="00EF6692"/>
    <w:rsid w:val="00F011A3"/>
    <w:rsid w:val="00F0191A"/>
    <w:rsid w:val="00F139C0"/>
    <w:rsid w:val="00F21DC6"/>
    <w:rsid w:val="00F24F08"/>
    <w:rsid w:val="00F25394"/>
    <w:rsid w:val="00F328A7"/>
    <w:rsid w:val="00F42909"/>
    <w:rsid w:val="00F43C45"/>
    <w:rsid w:val="00F45438"/>
    <w:rsid w:val="00F610BE"/>
    <w:rsid w:val="00F72359"/>
    <w:rsid w:val="00F752DD"/>
    <w:rsid w:val="00F77A0D"/>
    <w:rsid w:val="00F91D78"/>
    <w:rsid w:val="00F92F09"/>
    <w:rsid w:val="00F979BE"/>
    <w:rsid w:val="00FA02DF"/>
    <w:rsid w:val="00FA1238"/>
    <w:rsid w:val="00FB4973"/>
    <w:rsid w:val="00FE62AF"/>
    <w:rsid w:val="00FF55ED"/>
    <w:rsid w:val="00FF64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style="mso-wrap-style:none">
      <v:stroke weight="0" endcap="round"/>
      <v:textbox style="mso-column-count:0;mso-column-margin:0" inset="0,0,0,0"/>
    </o:shapedefaults>
    <o:shapelayout v:ext="edit">
      <o:idmap v:ext="edit" data="1"/>
    </o:shapelayout>
  </w:shapeDefaults>
  <w:doNotEmbedSmartTags/>
  <w:decimalSymbol w:val="."/>
  <w:listSeparator w:val=","/>
  <w14:docId w14:val="09B59A26"/>
  <w15:docId w15:val="{9E7D17FC-595A-43B6-A62D-80B1110D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170C5"/>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uiPriority w:val="59"/>
    <w:locked/>
    <w:rsid w:val="000C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uiPriority w:val="99"/>
    <w:locked/>
    <w:rsid w:val="00FF55ED"/>
    <w:rPr>
      <w:rFonts w:ascii="Tahoma" w:hAnsi="Tahoma" w:cs="Tahoma"/>
      <w:sz w:val="16"/>
      <w:szCs w:val="16"/>
    </w:rPr>
  </w:style>
  <w:style w:type="character" w:customStyle="1" w:styleId="BalloonTextChar">
    <w:name w:val="Balloon Text Char"/>
    <w:link w:val="BalloonText"/>
    <w:uiPriority w:val="99"/>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paragraph" w:styleId="PlainText">
    <w:name w:val="Plain Text"/>
    <w:basedOn w:val="Normal"/>
    <w:link w:val="PlainTextChar"/>
    <w:uiPriority w:val="99"/>
    <w:unhideWhenUsed/>
    <w:locked/>
    <w:rsid w:val="004F520F"/>
    <w:rPr>
      <w:rFonts w:ascii="Calibri" w:eastAsia="Calibri" w:hAnsi="Calibri"/>
      <w:sz w:val="22"/>
      <w:szCs w:val="21"/>
      <w:lang w:val="en-ZA"/>
    </w:rPr>
  </w:style>
  <w:style w:type="character" w:customStyle="1" w:styleId="PlainTextChar">
    <w:name w:val="Plain Text Char"/>
    <w:basedOn w:val="DefaultParagraphFont"/>
    <w:link w:val="PlainText"/>
    <w:uiPriority w:val="99"/>
    <w:rsid w:val="004F520F"/>
    <w:rPr>
      <w:rFonts w:ascii="Calibri" w:eastAsia="Calibri" w:hAnsi="Calibri"/>
      <w:sz w:val="22"/>
      <w:szCs w:val="21"/>
      <w:lang w:eastAsia="en-US"/>
    </w:rPr>
  </w:style>
  <w:style w:type="character" w:styleId="SubtleEmphasis">
    <w:name w:val="Subtle Emphasis"/>
    <w:basedOn w:val="DefaultParagraphFont"/>
    <w:uiPriority w:val="19"/>
    <w:qFormat/>
    <w:rsid w:val="006E7B1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DBF57-5E12-4560-B7AD-C48C0E4E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944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SwaziT</dc:creator>
  <cp:lastModifiedBy>Emmanuel Masha</cp:lastModifiedBy>
  <cp:revision>3</cp:revision>
  <cp:lastPrinted>2019-07-07T23:52:00Z</cp:lastPrinted>
  <dcterms:created xsi:type="dcterms:W3CDTF">2019-07-07T23:52:00Z</dcterms:created>
  <dcterms:modified xsi:type="dcterms:W3CDTF">2019-07-08T00:40:00Z</dcterms:modified>
</cp:coreProperties>
</file>