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bookmarkStart w:id="0" w:name="_GoBack"/>
      <w:bookmarkEnd w:id="0"/>
      <w:r>
        <w:rPr>
          <w:rFonts w:ascii="Arial" w:hAnsi="Arial" w:cs="Arial"/>
          <w:noProof/>
          <w:lang w:eastAsia="en-ZA"/>
        </w:rPr>
        <w:object w:dxaOrig="108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5.1pt;width:69.65pt;height:96.75pt;z-index:251657216">
            <v:imagedata r:id="rId8" o:title=""/>
            <w10:wrap type="topAndBottom"/>
          </v:shape>
          <o:OLEObject Type="Embed" ProgID="CorelDraw.Graphic.8" ShapeID="_x0000_s1026" DrawAspect="Content" ObjectID="_1653143768" r:id="rId9"/>
        </w:obje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040B2E" w:rsidP="005A7207">
      <w:pPr>
        <w:rPr>
          <w:rFonts w:ascii="Tahoma" w:hAnsi="Tahoma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0" t="0" r="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 w:val="en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  <w:hyperlink r:id="rId11" w:history="1"/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NO.: </w:t>
      </w:r>
      <w:r w:rsidR="00D179BD" w:rsidRPr="00D179BD">
        <w:rPr>
          <w:rFonts w:ascii="Arial" w:hAnsi="Arial" w:cs="Arial"/>
          <w:b/>
          <w:lang w:val="en"/>
        </w:rPr>
        <w:t>934.</w:t>
      </w:r>
    </w:p>
    <w:p w:rsidR="005A7207" w:rsidRPr="004C6929" w:rsidRDefault="005A7207" w:rsidP="00BE554C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</w:p>
    <w:p w:rsidR="00BC0C06" w:rsidRPr="004C6929" w:rsidRDefault="00BC0C06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</w:p>
    <w:p w:rsidR="00BE554C" w:rsidRPr="004C6929" w:rsidRDefault="00D179BD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D179BD">
        <w:rPr>
          <w:rFonts w:ascii="Arial" w:hAnsi="Arial" w:cs="Arial"/>
          <w:b/>
        </w:rPr>
        <w:t>Dr C P Mulder (FF Plus) to ask the Minister of State Security:</w:t>
      </w:r>
      <w:r w:rsidR="004C6929" w:rsidRPr="004C6929">
        <w:rPr>
          <w:rFonts w:ascii="Arial" w:hAnsi="Arial" w:cs="Arial"/>
          <w:b/>
        </w:rPr>
        <w:t xml:space="preserve"> </w:t>
      </w:r>
    </w:p>
    <w:p w:rsidR="005A7207" w:rsidRPr="004C6929" w:rsidRDefault="005A7207" w:rsidP="0021699E">
      <w:pPr>
        <w:ind w:right="-142"/>
        <w:rPr>
          <w:rFonts w:ascii="Arial" w:hAnsi="Arial" w:cs="Arial"/>
          <w:lang w:eastAsia="en-US"/>
        </w:rPr>
      </w:pPr>
    </w:p>
    <w:p w:rsidR="00D179BD" w:rsidRP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D179BD">
        <w:rPr>
          <w:rFonts w:ascii="Arial" w:hAnsi="Arial" w:cs="Arial"/>
          <w:lang w:eastAsia="en-US"/>
        </w:rPr>
        <w:t>(1)</w:t>
      </w:r>
      <w:r w:rsidRPr="00D179BD">
        <w:rPr>
          <w:rFonts w:ascii="Arial" w:hAnsi="Arial" w:cs="Arial"/>
          <w:lang w:eastAsia="en-US"/>
        </w:rPr>
        <w:tab/>
        <w:t>Whether her department awarded any tenders connected to the Covid-19 pandemic; if not, what is the position in this regard; if so, what (a) are the names of the businesses to whom these tenders were awarded, (b) are the amounts of each tender awarded and (c) was the service and/or product to be supplied by each business;</w:t>
      </w:r>
    </w:p>
    <w:p w:rsidR="00D179BD" w:rsidRP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D179BD">
        <w:rPr>
          <w:rFonts w:ascii="Arial" w:hAnsi="Arial" w:cs="Arial"/>
          <w:lang w:eastAsia="en-US"/>
        </w:rPr>
        <w:t>(2)</w:t>
      </w:r>
      <w:r w:rsidRPr="00D179BD">
        <w:rPr>
          <w:rFonts w:ascii="Arial" w:hAnsi="Arial" w:cs="Arial"/>
          <w:lang w:eastAsia="en-US"/>
        </w:rPr>
        <w:tab/>
        <w:t>whether there was any deviation from the standard supply chain management procedures in the awarding of the tenders; if so, (a) why and (b) what are the relevant details in each case;</w:t>
      </w:r>
    </w:p>
    <w:p w:rsidR="00D179BD" w:rsidRP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D179BD">
        <w:rPr>
          <w:rFonts w:ascii="Arial" w:hAnsi="Arial" w:cs="Arial"/>
          <w:lang w:eastAsia="en-US"/>
        </w:rPr>
        <w:t>(3)</w:t>
      </w:r>
      <w:r w:rsidRPr="00D179BD">
        <w:rPr>
          <w:rFonts w:ascii="Arial" w:hAnsi="Arial" w:cs="Arial"/>
          <w:lang w:eastAsia="en-US"/>
        </w:rPr>
        <w:tab/>
        <w:t>what was the reason for which each specified business was awarded the specified tender;</w:t>
      </w:r>
    </w:p>
    <w:p w:rsid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D179BD">
        <w:rPr>
          <w:rFonts w:ascii="Arial" w:hAnsi="Arial" w:cs="Arial"/>
          <w:lang w:eastAsia="en-US"/>
        </w:rPr>
        <w:t>(4)</w:t>
      </w:r>
      <w:r w:rsidRPr="00D179BD">
        <w:rPr>
          <w:rFonts w:ascii="Arial" w:hAnsi="Arial" w:cs="Arial"/>
          <w:lang w:eastAsia="en-US"/>
        </w:rPr>
        <w:tab/>
        <w:t xml:space="preserve">whether she will make a statement on the matter? </w:t>
      </w:r>
    </w:p>
    <w:p w:rsidR="00D179BD" w:rsidRPr="00D179BD" w:rsidRDefault="00D179BD" w:rsidP="00D179BD">
      <w:pPr>
        <w:spacing w:after="240" w:line="360" w:lineRule="auto"/>
        <w:ind w:left="7200" w:right="-142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lang w:eastAsia="en-US"/>
        </w:rPr>
        <w:t xml:space="preserve">         </w:t>
      </w:r>
      <w:r w:rsidRPr="00D179BD">
        <w:rPr>
          <w:rFonts w:ascii="Arial" w:hAnsi="Arial" w:cs="Arial"/>
          <w:sz w:val="22"/>
          <w:szCs w:val="22"/>
          <w:lang w:eastAsia="en-US"/>
        </w:rPr>
        <w:t>NW1223E</w:t>
      </w:r>
    </w:p>
    <w:p w:rsidR="00BE554C" w:rsidRPr="004C6929" w:rsidRDefault="00BE554C" w:rsidP="004C4339">
      <w:pPr>
        <w:spacing w:after="240"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D179BD" w:rsidRP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(1)</w:t>
      </w:r>
      <w:r>
        <w:rPr>
          <w:rFonts w:ascii="Arial" w:hAnsi="Arial" w:cs="Arial"/>
          <w:lang w:eastAsia="en-US"/>
        </w:rPr>
        <w:tab/>
        <w:t>The department</w:t>
      </w:r>
      <w:r w:rsidR="001B3A97">
        <w:rPr>
          <w:rFonts w:ascii="Arial" w:hAnsi="Arial" w:cs="Arial"/>
          <w:lang w:eastAsia="en-US"/>
        </w:rPr>
        <w:t xml:space="preserve"> has</w:t>
      </w:r>
      <w:r w:rsidRPr="00D179BD">
        <w:rPr>
          <w:rFonts w:ascii="Arial" w:hAnsi="Arial" w:cs="Arial"/>
          <w:lang w:eastAsia="en-US"/>
        </w:rPr>
        <w:t xml:space="preserve"> not award</w:t>
      </w:r>
      <w:r w:rsidR="001B3A97">
        <w:rPr>
          <w:rFonts w:ascii="Arial" w:hAnsi="Arial" w:cs="Arial"/>
          <w:lang w:eastAsia="en-US"/>
        </w:rPr>
        <w:t>ed</w:t>
      </w:r>
      <w:r w:rsidRPr="00D179BD">
        <w:rPr>
          <w:rFonts w:ascii="Arial" w:hAnsi="Arial" w:cs="Arial"/>
          <w:lang w:eastAsia="en-US"/>
        </w:rPr>
        <w:t xml:space="preserve"> any open tender related to Covid-19</w:t>
      </w:r>
      <w:r w:rsidR="001B3A97">
        <w:rPr>
          <w:rFonts w:ascii="Arial" w:hAnsi="Arial" w:cs="Arial"/>
          <w:lang w:eastAsia="en-US"/>
        </w:rPr>
        <w:t xml:space="preserve"> pandemic, however,</w:t>
      </w:r>
      <w:r w:rsidRPr="00D179BD">
        <w:rPr>
          <w:rFonts w:ascii="Arial" w:hAnsi="Arial" w:cs="Arial"/>
          <w:lang w:eastAsia="en-US"/>
        </w:rPr>
        <w:t xml:space="preserve"> awarded 3 Purchase Orders to date for Covid-19 related personal protective equipment (PPE) and 1 Purchase Order for antivirus software for the Secure Video Conferencing Solution through quotation proce</w:t>
      </w:r>
      <w:r>
        <w:rPr>
          <w:rFonts w:ascii="Arial" w:hAnsi="Arial" w:cs="Arial"/>
          <w:lang w:eastAsia="en-US"/>
        </w:rPr>
        <w:t xml:space="preserve">sses to the following companies (i) </w:t>
      </w:r>
      <w:r w:rsidRPr="00D179BD">
        <w:rPr>
          <w:rFonts w:ascii="Arial" w:hAnsi="Arial" w:cs="Arial"/>
          <w:lang w:eastAsia="en-US"/>
        </w:rPr>
        <w:t xml:space="preserve">Bidvest Steiner, </w:t>
      </w:r>
      <w:r>
        <w:rPr>
          <w:rFonts w:ascii="Arial" w:hAnsi="Arial" w:cs="Arial"/>
          <w:lang w:eastAsia="en-US"/>
        </w:rPr>
        <w:t xml:space="preserve">(ii) </w:t>
      </w:r>
      <w:r w:rsidRPr="00D179BD">
        <w:rPr>
          <w:rFonts w:ascii="Arial" w:hAnsi="Arial" w:cs="Arial"/>
          <w:lang w:eastAsia="en-US"/>
        </w:rPr>
        <w:t>Inhlanhla Ga Tshwarelo,</w:t>
      </w:r>
      <w:r>
        <w:rPr>
          <w:rFonts w:ascii="Arial" w:hAnsi="Arial" w:cs="Arial"/>
          <w:lang w:eastAsia="en-US"/>
        </w:rPr>
        <w:t xml:space="preserve"> (iii) </w:t>
      </w:r>
      <w:r w:rsidRPr="00D179BD">
        <w:rPr>
          <w:rFonts w:ascii="Arial" w:hAnsi="Arial" w:cs="Arial"/>
          <w:lang w:eastAsia="en-US"/>
        </w:rPr>
        <w:t xml:space="preserve">Lechoba Medical Supplies and Ubuntu Technologies. </w:t>
      </w:r>
    </w:p>
    <w:p w:rsidR="00D179BD" w:rsidRPr="00D179BD" w:rsidRDefault="00D179BD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(2)</w:t>
      </w:r>
      <w:r>
        <w:rPr>
          <w:rFonts w:ascii="Arial" w:hAnsi="Arial" w:cs="Arial"/>
          <w:lang w:eastAsia="en-US"/>
        </w:rPr>
        <w:tab/>
        <w:t>D</w:t>
      </w:r>
      <w:r w:rsidRPr="00D179BD">
        <w:rPr>
          <w:rFonts w:ascii="Arial" w:hAnsi="Arial" w:cs="Arial"/>
          <w:lang w:eastAsia="en-US"/>
        </w:rPr>
        <w:t xml:space="preserve">eviation process </w:t>
      </w:r>
      <w:r>
        <w:rPr>
          <w:rFonts w:ascii="Arial" w:hAnsi="Arial" w:cs="Arial"/>
          <w:lang w:eastAsia="en-US"/>
        </w:rPr>
        <w:t>was followed to provide</w:t>
      </w:r>
      <w:r w:rsidRPr="00D179BD">
        <w:rPr>
          <w:rFonts w:ascii="Arial" w:hAnsi="Arial" w:cs="Arial"/>
          <w:lang w:eastAsia="en-US"/>
        </w:rPr>
        <w:t xml:space="preserve"> Secure Video Conferencing Solution for Government on an urgent basis to allow work to continue while minimising the health ris</w:t>
      </w:r>
      <w:r w:rsidR="001B3A97">
        <w:rPr>
          <w:rFonts w:ascii="Arial" w:hAnsi="Arial" w:cs="Arial"/>
          <w:lang w:eastAsia="en-US"/>
        </w:rPr>
        <w:t>ks posed by infectious Covid-19 pandemic.</w:t>
      </w:r>
      <w:r w:rsidRPr="00D179BD">
        <w:rPr>
          <w:rFonts w:ascii="Arial" w:hAnsi="Arial" w:cs="Arial"/>
          <w:lang w:eastAsia="en-US"/>
        </w:rPr>
        <w:t xml:space="preserve"> </w:t>
      </w:r>
    </w:p>
    <w:p w:rsidR="00683AF2" w:rsidRDefault="00683AF2" w:rsidP="00683AF2">
      <w:pPr>
        <w:spacing w:before="240"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683AF2">
        <w:rPr>
          <w:rFonts w:ascii="Arial" w:hAnsi="Arial" w:cs="Arial"/>
          <w:lang w:eastAsia="en-US"/>
        </w:rPr>
        <w:t>(3)</w:t>
      </w:r>
      <w:r w:rsidRPr="00683AF2">
        <w:rPr>
          <w:rFonts w:ascii="Arial" w:hAnsi="Arial" w:cs="Arial"/>
          <w:lang w:eastAsia="en-US"/>
        </w:rPr>
        <w:tab/>
        <w:t>The reason for choosing the said Information Techno</w:t>
      </w:r>
      <w:r>
        <w:rPr>
          <w:rFonts w:ascii="Arial" w:hAnsi="Arial" w:cs="Arial"/>
          <w:lang w:eastAsia="en-US"/>
        </w:rPr>
        <w:t>logy supplier is that the department</w:t>
      </w:r>
      <w:r w:rsidRPr="00683AF2">
        <w:rPr>
          <w:rFonts w:ascii="Arial" w:hAnsi="Arial" w:cs="Arial"/>
          <w:lang w:eastAsia="en-US"/>
        </w:rPr>
        <w:t xml:space="preserve"> already had contracts with the two companies</w:t>
      </w:r>
      <w:r>
        <w:rPr>
          <w:rFonts w:ascii="Arial" w:hAnsi="Arial" w:cs="Arial"/>
          <w:lang w:eastAsia="en-US"/>
        </w:rPr>
        <w:t xml:space="preserve"> (i)</w:t>
      </w:r>
      <w:r w:rsidRPr="00683AF2">
        <w:rPr>
          <w:rFonts w:ascii="Arial" w:hAnsi="Arial" w:cs="Arial"/>
          <w:lang w:eastAsia="en-US"/>
        </w:rPr>
        <w:t xml:space="preserve"> Nanoteq and </w:t>
      </w:r>
      <w:r>
        <w:rPr>
          <w:rFonts w:ascii="Arial" w:hAnsi="Arial" w:cs="Arial"/>
          <w:lang w:eastAsia="en-US"/>
        </w:rPr>
        <w:t xml:space="preserve">(ii) </w:t>
      </w:r>
      <w:r w:rsidRPr="00683AF2">
        <w:rPr>
          <w:rFonts w:ascii="Arial" w:hAnsi="Arial" w:cs="Arial"/>
          <w:lang w:eastAsia="en-US"/>
        </w:rPr>
        <w:t>TrueConf that pr</w:t>
      </w:r>
      <w:r>
        <w:rPr>
          <w:rFonts w:ascii="Arial" w:hAnsi="Arial" w:cs="Arial"/>
          <w:lang w:eastAsia="en-US"/>
        </w:rPr>
        <w:t>ovided infrastructure to the department</w:t>
      </w:r>
      <w:r w:rsidRPr="00683AF2">
        <w:rPr>
          <w:rFonts w:ascii="Arial" w:hAnsi="Arial" w:cs="Arial"/>
          <w:lang w:eastAsia="en-US"/>
        </w:rPr>
        <w:t xml:space="preserve"> on secure communications and video conferencing solutions res</w:t>
      </w:r>
      <w:r>
        <w:rPr>
          <w:rFonts w:ascii="Arial" w:hAnsi="Arial" w:cs="Arial"/>
          <w:lang w:eastAsia="en-US"/>
        </w:rPr>
        <w:t>pectively. Consequently, the department</w:t>
      </w:r>
      <w:r w:rsidRPr="00683AF2">
        <w:rPr>
          <w:rFonts w:ascii="Arial" w:hAnsi="Arial" w:cs="Arial"/>
          <w:lang w:eastAsia="en-US"/>
        </w:rPr>
        <w:t xml:space="preserve"> approached the two companies to increase the number of licences they w</w:t>
      </w:r>
      <w:r>
        <w:rPr>
          <w:rFonts w:ascii="Arial" w:hAnsi="Arial" w:cs="Arial"/>
          <w:lang w:eastAsia="en-US"/>
        </w:rPr>
        <w:t>ere already providing to the department</w:t>
      </w:r>
      <w:r w:rsidR="001B3A97">
        <w:rPr>
          <w:rFonts w:ascii="Arial" w:hAnsi="Arial" w:cs="Arial"/>
          <w:lang w:eastAsia="en-US"/>
        </w:rPr>
        <w:t xml:space="preserve"> with a view</w:t>
      </w:r>
      <w:r w:rsidRPr="00683AF2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to </w:t>
      </w:r>
      <w:r w:rsidR="001B3A97">
        <w:rPr>
          <w:rFonts w:ascii="Arial" w:hAnsi="Arial" w:cs="Arial"/>
          <w:lang w:eastAsia="en-US"/>
        </w:rPr>
        <w:t xml:space="preserve">minimize </w:t>
      </w:r>
      <w:r w:rsidR="00895D38">
        <w:rPr>
          <w:rFonts w:ascii="Arial" w:hAnsi="Arial" w:cs="Arial"/>
          <w:lang w:eastAsia="en-US"/>
        </w:rPr>
        <w:t xml:space="preserve">the </w:t>
      </w:r>
      <w:r w:rsidR="001B3A97">
        <w:rPr>
          <w:rFonts w:ascii="Arial" w:hAnsi="Arial" w:cs="Arial"/>
          <w:lang w:eastAsia="en-US"/>
        </w:rPr>
        <w:t>risk of the Covid -19 pandemic.</w:t>
      </w:r>
    </w:p>
    <w:p w:rsidR="00683AF2" w:rsidRDefault="00683AF2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(4)</w:t>
      </w:r>
      <w:r>
        <w:rPr>
          <w:rFonts w:ascii="Arial" w:hAnsi="Arial" w:cs="Arial"/>
          <w:lang w:eastAsia="en-US"/>
        </w:rPr>
        <w:tab/>
        <w:t xml:space="preserve">Not at this stage </w:t>
      </w:r>
      <w:r w:rsidRPr="00683AF2">
        <w:rPr>
          <w:rFonts w:ascii="Arial" w:hAnsi="Arial" w:cs="Arial"/>
          <w:lang w:eastAsia="en-US"/>
        </w:rPr>
        <w:t xml:space="preserve"> </w:t>
      </w:r>
    </w:p>
    <w:p w:rsidR="00683AF2" w:rsidRDefault="00683AF2" w:rsidP="00D179BD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</w:p>
    <w:p w:rsidR="004C4339" w:rsidRDefault="004C4339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</w:p>
    <w:p w:rsidR="004C4339" w:rsidRPr="004C6929" w:rsidRDefault="004C4339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</w:p>
    <w:sectPr w:rsidR="004C4339" w:rsidRPr="004C6929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60" w:rsidRDefault="00FD0E60" w:rsidP="006827E9">
      <w:r>
        <w:separator/>
      </w:r>
    </w:p>
  </w:endnote>
  <w:endnote w:type="continuationSeparator" w:id="0">
    <w:p w:rsidR="00FD0E60" w:rsidRDefault="00FD0E60" w:rsidP="006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4C6929" w:rsidRDefault="006827E9" w:rsidP="004C692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60" w:rsidRDefault="00FD0E60" w:rsidP="006827E9">
      <w:r>
        <w:separator/>
      </w:r>
    </w:p>
  </w:footnote>
  <w:footnote w:type="continuationSeparator" w:id="0">
    <w:p w:rsidR="00FD0E60" w:rsidRDefault="00FD0E60" w:rsidP="0068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6"/>
  </w:num>
  <w:num w:numId="5">
    <w:abstractNumId w:val="26"/>
  </w:num>
  <w:num w:numId="6">
    <w:abstractNumId w:val="1"/>
  </w:num>
  <w:num w:numId="7">
    <w:abstractNumId w:val="17"/>
  </w:num>
  <w:num w:numId="8">
    <w:abstractNumId w:val="27"/>
  </w:num>
  <w:num w:numId="9">
    <w:abstractNumId w:val="8"/>
  </w:num>
  <w:num w:numId="10">
    <w:abstractNumId w:val="10"/>
  </w:num>
  <w:num w:numId="11">
    <w:abstractNumId w:val="16"/>
  </w:num>
  <w:num w:numId="12">
    <w:abstractNumId w:val="28"/>
  </w:num>
  <w:num w:numId="13">
    <w:abstractNumId w:val="39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37"/>
  </w:num>
  <w:num w:numId="19">
    <w:abstractNumId w:val="6"/>
  </w:num>
  <w:num w:numId="20">
    <w:abstractNumId w:val="32"/>
  </w:num>
  <w:num w:numId="21">
    <w:abstractNumId w:val="41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15"/>
  </w:num>
  <w:num w:numId="27">
    <w:abstractNumId w:val="40"/>
  </w:num>
  <w:num w:numId="28">
    <w:abstractNumId w:val="25"/>
  </w:num>
  <w:num w:numId="29">
    <w:abstractNumId w:val="33"/>
  </w:num>
  <w:num w:numId="30">
    <w:abstractNumId w:val="3"/>
  </w:num>
  <w:num w:numId="31">
    <w:abstractNumId w:val="20"/>
  </w:num>
  <w:num w:numId="32">
    <w:abstractNumId w:val="18"/>
  </w:num>
  <w:num w:numId="33">
    <w:abstractNumId w:val="35"/>
  </w:num>
  <w:num w:numId="34">
    <w:abstractNumId w:val="12"/>
  </w:num>
  <w:num w:numId="35">
    <w:abstractNumId w:val="38"/>
  </w:num>
  <w:num w:numId="36">
    <w:abstractNumId w:val="24"/>
  </w:num>
  <w:num w:numId="37">
    <w:abstractNumId w:val="42"/>
  </w:num>
  <w:num w:numId="38">
    <w:abstractNumId w:val="31"/>
  </w:num>
  <w:num w:numId="39">
    <w:abstractNumId w:val="2"/>
  </w:num>
  <w:num w:numId="40">
    <w:abstractNumId w:val="0"/>
  </w:num>
  <w:num w:numId="41">
    <w:abstractNumId w:val="19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30038"/>
    <w:rsid w:val="000371F1"/>
    <w:rsid w:val="00040B2E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1FF1"/>
    <w:rsid w:val="00083838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6B86"/>
    <w:rsid w:val="000E1B79"/>
    <w:rsid w:val="000E50C4"/>
    <w:rsid w:val="00110BEA"/>
    <w:rsid w:val="00112CD6"/>
    <w:rsid w:val="001159A9"/>
    <w:rsid w:val="001341F0"/>
    <w:rsid w:val="00134486"/>
    <w:rsid w:val="0014565C"/>
    <w:rsid w:val="00147737"/>
    <w:rsid w:val="0015420A"/>
    <w:rsid w:val="00156045"/>
    <w:rsid w:val="00164CBB"/>
    <w:rsid w:val="00172AD4"/>
    <w:rsid w:val="00173FD8"/>
    <w:rsid w:val="001764C0"/>
    <w:rsid w:val="00176D2A"/>
    <w:rsid w:val="00183FF0"/>
    <w:rsid w:val="00185FA6"/>
    <w:rsid w:val="001A5E4A"/>
    <w:rsid w:val="001B3A97"/>
    <w:rsid w:val="001B40FC"/>
    <w:rsid w:val="001C14B1"/>
    <w:rsid w:val="001D1419"/>
    <w:rsid w:val="001E1AA1"/>
    <w:rsid w:val="0020789A"/>
    <w:rsid w:val="0021186D"/>
    <w:rsid w:val="0021380B"/>
    <w:rsid w:val="00215AEE"/>
    <w:rsid w:val="0021699E"/>
    <w:rsid w:val="00225A11"/>
    <w:rsid w:val="0022701D"/>
    <w:rsid w:val="00233CA4"/>
    <w:rsid w:val="00233FC0"/>
    <w:rsid w:val="002513CD"/>
    <w:rsid w:val="00251415"/>
    <w:rsid w:val="0025468B"/>
    <w:rsid w:val="00265EC9"/>
    <w:rsid w:val="0026769E"/>
    <w:rsid w:val="002823C4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5686F"/>
    <w:rsid w:val="003610FE"/>
    <w:rsid w:val="00364091"/>
    <w:rsid w:val="00364A9D"/>
    <w:rsid w:val="00366846"/>
    <w:rsid w:val="00374074"/>
    <w:rsid w:val="0037511A"/>
    <w:rsid w:val="0038139D"/>
    <w:rsid w:val="00390B6D"/>
    <w:rsid w:val="00393EFD"/>
    <w:rsid w:val="00397DAE"/>
    <w:rsid w:val="003B284B"/>
    <w:rsid w:val="003B4484"/>
    <w:rsid w:val="003B72F7"/>
    <w:rsid w:val="003C37EB"/>
    <w:rsid w:val="003C67E9"/>
    <w:rsid w:val="003C6C07"/>
    <w:rsid w:val="003D59DB"/>
    <w:rsid w:val="003E3622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2DF8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7579D"/>
    <w:rsid w:val="00486298"/>
    <w:rsid w:val="00491A3C"/>
    <w:rsid w:val="004936E5"/>
    <w:rsid w:val="00494963"/>
    <w:rsid w:val="004C4339"/>
    <w:rsid w:val="004C6929"/>
    <w:rsid w:val="004D35A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34F7F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A7207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1A46"/>
    <w:rsid w:val="0061608D"/>
    <w:rsid w:val="006242B1"/>
    <w:rsid w:val="00626025"/>
    <w:rsid w:val="006300B8"/>
    <w:rsid w:val="00634E67"/>
    <w:rsid w:val="00642E15"/>
    <w:rsid w:val="00647676"/>
    <w:rsid w:val="00650236"/>
    <w:rsid w:val="0065162B"/>
    <w:rsid w:val="0065231A"/>
    <w:rsid w:val="00653B1D"/>
    <w:rsid w:val="00662764"/>
    <w:rsid w:val="006660A4"/>
    <w:rsid w:val="006727C0"/>
    <w:rsid w:val="00672C3B"/>
    <w:rsid w:val="006827E9"/>
    <w:rsid w:val="00683AF2"/>
    <w:rsid w:val="00684AE7"/>
    <w:rsid w:val="006852EE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44030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A4388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569F"/>
    <w:rsid w:val="008261CA"/>
    <w:rsid w:val="00826625"/>
    <w:rsid w:val="0083265F"/>
    <w:rsid w:val="00835CFB"/>
    <w:rsid w:val="00847947"/>
    <w:rsid w:val="00847C7C"/>
    <w:rsid w:val="008526B9"/>
    <w:rsid w:val="00852950"/>
    <w:rsid w:val="00862141"/>
    <w:rsid w:val="0086331B"/>
    <w:rsid w:val="00865306"/>
    <w:rsid w:val="00865548"/>
    <w:rsid w:val="00881641"/>
    <w:rsid w:val="00881697"/>
    <w:rsid w:val="0089545A"/>
    <w:rsid w:val="00895D38"/>
    <w:rsid w:val="00897CDC"/>
    <w:rsid w:val="008A1093"/>
    <w:rsid w:val="008A3B4A"/>
    <w:rsid w:val="008B5EF1"/>
    <w:rsid w:val="008B7C97"/>
    <w:rsid w:val="008C11C9"/>
    <w:rsid w:val="008C6DEB"/>
    <w:rsid w:val="008E3B21"/>
    <w:rsid w:val="008E3D6A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6489"/>
    <w:rsid w:val="00A1585C"/>
    <w:rsid w:val="00A3246C"/>
    <w:rsid w:val="00A361ED"/>
    <w:rsid w:val="00A42FC9"/>
    <w:rsid w:val="00A5760C"/>
    <w:rsid w:val="00A5762C"/>
    <w:rsid w:val="00A626BB"/>
    <w:rsid w:val="00A7798E"/>
    <w:rsid w:val="00A90FAE"/>
    <w:rsid w:val="00A961AE"/>
    <w:rsid w:val="00A97777"/>
    <w:rsid w:val="00AA03CC"/>
    <w:rsid w:val="00AA4E71"/>
    <w:rsid w:val="00AB1B70"/>
    <w:rsid w:val="00AB3FC6"/>
    <w:rsid w:val="00AC2681"/>
    <w:rsid w:val="00AC2995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1A07"/>
    <w:rsid w:val="00B06C98"/>
    <w:rsid w:val="00B0757C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2DB9"/>
    <w:rsid w:val="00B8403A"/>
    <w:rsid w:val="00B94794"/>
    <w:rsid w:val="00BA2A54"/>
    <w:rsid w:val="00BA45F7"/>
    <w:rsid w:val="00BA50EB"/>
    <w:rsid w:val="00BB069B"/>
    <w:rsid w:val="00BB47A7"/>
    <w:rsid w:val="00BC0C06"/>
    <w:rsid w:val="00BC57B2"/>
    <w:rsid w:val="00BC745D"/>
    <w:rsid w:val="00BE0D42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CF7B08"/>
    <w:rsid w:val="00D13E85"/>
    <w:rsid w:val="00D1433E"/>
    <w:rsid w:val="00D14F1B"/>
    <w:rsid w:val="00D179BD"/>
    <w:rsid w:val="00D3751A"/>
    <w:rsid w:val="00D40000"/>
    <w:rsid w:val="00D432F1"/>
    <w:rsid w:val="00D45529"/>
    <w:rsid w:val="00D611C6"/>
    <w:rsid w:val="00D6213E"/>
    <w:rsid w:val="00D67AE2"/>
    <w:rsid w:val="00D72985"/>
    <w:rsid w:val="00D72CDA"/>
    <w:rsid w:val="00D82E74"/>
    <w:rsid w:val="00D85BB6"/>
    <w:rsid w:val="00D87465"/>
    <w:rsid w:val="00D95270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E057D9"/>
    <w:rsid w:val="00E07294"/>
    <w:rsid w:val="00E07C42"/>
    <w:rsid w:val="00E10B53"/>
    <w:rsid w:val="00E1232C"/>
    <w:rsid w:val="00E26E8B"/>
    <w:rsid w:val="00E300E7"/>
    <w:rsid w:val="00E31071"/>
    <w:rsid w:val="00E3153E"/>
    <w:rsid w:val="00E34F62"/>
    <w:rsid w:val="00E37138"/>
    <w:rsid w:val="00E41A79"/>
    <w:rsid w:val="00E553C1"/>
    <w:rsid w:val="00E604FC"/>
    <w:rsid w:val="00E75690"/>
    <w:rsid w:val="00E76ADE"/>
    <w:rsid w:val="00E842C9"/>
    <w:rsid w:val="00E84FD6"/>
    <w:rsid w:val="00E9616F"/>
    <w:rsid w:val="00E97560"/>
    <w:rsid w:val="00EA07E5"/>
    <w:rsid w:val="00EA2522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594A"/>
    <w:rsid w:val="00EF715C"/>
    <w:rsid w:val="00F0230B"/>
    <w:rsid w:val="00F0310A"/>
    <w:rsid w:val="00F04EF7"/>
    <w:rsid w:val="00F06C86"/>
    <w:rsid w:val="00F251A4"/>
    <w:rsid w:val="00F355CE"/>
    <w:rsid w:val="00F3702A"/>
    <w:rsid w:val="00F47A7D"/>
    <w:rsid w:val="00F52935"/>
    <w:rsid w:val="00F5358A"/>
    <w:rsid w:val="00F6219A"/>
    <w:rsid w:val="00F63FAB"/>
    <w:rsid w:val="00F64D75"/>
    <w:rsid w:val="00F75450"/>
    <w:rsid w:val="00F84C66"/>
    <w:rsid w:val="00F91BF6"/>
    <w:rsid w:val="00F95037"/>
    <w:rsid w:val="00FA140B"/>
    <w:rsid w:val="00FB244E"/>
    <w:rsid w:val="00FB3999"/>
    <w:rsid w:val="00FB62BA"/>
    <w:rsid w:val="00FC3ED8"/>
    <w:rsid w:val="00FD0E60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99B65-0780-48F7-96F0-AF882893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38D4-A657-4E6A-9C52-6ECFB126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cp:lastModifiedBy>Nikiwe Ncetezo</cp:lastModifiedBy>
  <cp:revision>2</cp:revision>
  <cp:lastPrinted>2020-06-07T12:21:00Z</cp:lastPrinted>
  <dcterms:created xsi:type="dcterms:W3CDTF">2020-06-08T15:50:00Z</dcterms:created>
  <dcterms:modified xsi:type="dcterms:W3CDTF">2020-06-08T15:50:00Z</dcterms:modified>
</cp:coreProperties>
</file>