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EA" w:rsidRDefault="00EF35EA">
      <w:pPr>
        <w:rPr>
          <w:sz w:val="20"/>
          <w:szCs w:val="20"/>
        </w:rPr>
      </w:pPr>
      <w:bookmarkStart w:id="0" w:name="_GoBack"/>
      <w:bookmarkEnd w:id="0"/>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Default="008960B2" w:rsidP="008960B2">
      <w:pPr>
        <w:jc w:val="center"/>
        <w:rPr>
          <w:rFonts w:ascii="Tahoma" w:hAnsi="Tahoma" w:cs="Tahoma"/>
          <w:b/>
          <w:bCs/>
          <w:sz w:val="16"/>
          <w:szCs w:val="16"/>
        </w:rPr>
      </w:pPr>
    </w:p>
    <w:p w:rsidR="008960B2" w:rsidRPr="00987C9F" w:rsidRDefault="008960B2" w:rsidP="00102D91">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5135B">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8960B2" w:rsidRPr="00987C9F" w:rsidRDefault="008960B2" w:rsidP="00102D91">
      <w:pPr>
        <w:ind w:left="284"/>
        <w:jc w:val="center"/>
        <w:rPr>
          <w:rFonts w:ascii="Tahoma" w:hAnsi="Tahoma" w:cs="Tahoma"/>
          <w:b/>
          <w:bCs/>
          <w:sz w:val="22"/>
          <w:szCs w:val="22"/>
          <w:lang w:val="en-ZA"/>
        </w:rPr>
      </w:pPr>
    </w:p>
    <w:p w:rsidR="006512FA" w:rsidRDefault="008960B2" w:rsidP="00102D91">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9D5F45">
        <w:rPr>
          <w:rFonts w:ascii="Tahoma" w:hAnsi="Tahoma" w:cs="Tahoma"/>
          <w:b/>
          <w:bCs/>
          <w:sz w:val="22"/>
          <w:szCs w:val="22"/>
          <w:lang w:val="en-ZA"/>
        </w:rPr>
        <w:t>993</w:t>
      </w:r>
    </w:p>
    <w:p w:rsidR="008960B2" w:rsidRPr="00987C9F" w:rsidRDefault="008960B2" w:rsidP="008F1057">
      <w:pPr>
        <w:ind w:left="284"/>
        <w:rPr>
          <w:rFonts w:ascii="Tahoma" w:hAnsi="Tahoma" w:cs="Tahoma"/>
          <w:b/>
          <w:bCs/>
          <w:sz w:val="22"/>
          <w:szCs w:val="22"/>
          <w:lang w:val="en-ZA"/>
        </w:rPr>
      </w:pPr>
    </w:p>
    <w:p w:rsidR="00483145" w:rsidRPr="00483145" w:rsidRDefault="00075B5E" w:rsidP="00483145">
      <w:pPr>
        <w:autoSpaceDE w:val="0"/>
        <w:autoSpaceDN w:val="0"/>
        <w:adjustRightInd w:val="0"/>
        <w:spacing w:before="240" w:after="240" w:line="276" w:lineRule="auto"/>
        <w:ind w:left="284"/>
        <w:rPr>
          <w:rFonts w:ascii="Arial" w:hAnsi="Arial" w:cs="Arial"/>
          <w:bCs/>
          <w:sz w:val="22"/>
          <w:szCs w:val="22"/>
          <w:lang w:val="en-ZA"/>
        </w:rPr>
      </w:pPr>
      <w:r w:rsidRPr="00075B5E">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995FEC" w:rsidRPr="00995FEC">
        <w:rPr>
          <w:rFonts w:ascii="Arial" w:hAnsi="Arial" w:cs="Arial"/>
          <w:b/>
          <w:sz w:val="22"/>
          <w:szCs w:val="22"/>
          <w:u w:val="single"/>
          <w:lang w:val="en-ZA"/>
        </w:rPr>
        <w:t>QUESTION</w:t>
      </w:r>
      <w:r w:rsidR="00995FEC" w:rsidRPr="00995FEC">
        <w:rPr>
          <w:rFonts w:ascii="Arial" w:hAnsi="Arial" w:cs="Arial"/>
          <w:bCs/>
          <w:sz w:val="22"/>
          <w:szCs w:val="22"/>
          <w:lang w:val="en-ZA"/>
        </w:rPr>
        <w:t>:</w:t>
      </w:r>
      <w:r w:rsidRPr="00075B5E">
        <w:rPr>
          <w:noProof/>
        </w:rPr>
        <w:pict>
          <v:shape id="Ink 1" o:spid="_x0000_s1027" type="#_x0000_t75" style="position:absolute;left:0;text-align:left;margin-left:615.7pt;margin-top:-41.6pt;width:8.1pt;height:110.15pt;z-index:25166387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">
            <v:imagedata r:id="rId10" o:title=""/>
            <o:lock v:ext="edit" rotation="t" verticies="t" shapetype="t"/>
          </v:shape>
        </w:pict>
      </w:r>
    </w:p>
    <w:p w:rsidR="00483145" w:rsidRDefault="009D5F45" w:rsidP="00483145">
      <w:pPr>
        <w:spacing w:line="276" w:lineRule="auto"/>
        <w:ind w:left="284"/>
        <w:jc w:val="both"/>
        <w:rPr>
          <w:rFonts w:ascii="Arial" w:hAnsi="Arial" w:cs="Arial"/>
          <w:bCs/>
          <w:sz w:val="22"/>
          <w:szCs w:val="22"/>
          <w:lang w:val="en-GB"/>
        </w:rPr>
      </w:pPr>
      <w:r>
        <w:rPr>
          <w:rFonts w:ascii="Arial" w:hAnsi="Arial" w:cs="Arial"/>
          <w:b/>
          <w:sz w:val="22"/>
          <w:szCs w:val="22"/>
          <w:lang w:val="en-GB"/>
        </w:rPr>
        <w:t>933. The Leader of the Opposition (DA)</w:t>
      </w:r>
      <w:r w:rsidR="00483145" w:rsidRPr="00B46DEF">
        <w:rPr>
          <w:rFonts w:ascii="Arial" w:hAnsi="Arial" w:cs="Arial"/>
          <w:b/>
          <w:sz w:val="22"/>
          <w:szCs w:val="22"/>
          <w:lang w:val="en-GB"/>
        </w:rPr>
        <w:t xml:space="preserve"> to ask the Minister of Public Enterprises:</w:t>
      </w:r>
      <w:r w:rsidR="00483145">
        <w:rPr>
          <w:rFonts w:ascii="Arial" w:hAnsi="Arial" w:cs="Arial"/>
          <w:bCs/>
          <w:sz w:val="22"/>
          <w:szCs w:val="22"/>
          <w:lang w:val="en-GB"/>
        </w:rPr>
        <w:t xml:space="preserve"> </w:t>
      </w:r>
    </w:p>
    <w:p w:rsidR="00483145" w:rsidRDefault="00483145" w:rsidP="00483145">
      <w:pPr>
        <w:spacing w:line="276" w:lineRule="auto"/>
        <w:ind w:left="284"/>
        <w:jc w:val="both"/>
        <w:rPr>
          <w:rFonts w:ascii="Arial" w:hAnsi="Arial" w:cs="Arial"/>
          <w:bCs/>
          <w:sz w:val="22"/>
          <w:szCs w:val="22"/>
          <w:lang w:val="en-GB"/>
        </w:rPr>
      </w:pPr>
    </w:p>
    <w:p w:rsidR="00EB6841" w:rsidRDefault="009D5F45" w:rsidP="009D5F45">
      <w:pPr>
        <w:spacing w:line="360" w:lineRule="auto"/>
        <w:ind w:left="284"/>
        <w:jc w:val="both"/>
        <w:rPr>
          <w:rFonts w:ascii="Arial" w:hAnsi="Arial" w:cs="Arial"/>
          <w:bCs/>
          <w:sz w:val="22"/>
          <w:szCs w:val="22"/>
          <w:lang w:val="en-GB"/>
        </w:rPr>
      </w:pPr>
      <w:r w:rsidRPr="009D5F45">
        <w:rPr>
          <w:rFonts w:ascii="Arial" w:hAnsi="Arial" w:cs="Arial"/>
          <w:bCs/>
          <w:sz w:val="22"/>
          <w:szCs w:val="22"/>
          <w:lang w:val="en-GB"/>
        </w:rPr>
        <w:t xml:space="preserve">With reference to the commitment made in 2019 to unbundle Eskom and the urgent imperative of inadequate transmission capacity that must be resolved, what (a) progress has he made with the unbundling process and (b) are the reasons for his delay?    </w:t>
      </w:r>
      <w:r w:rsidRPr="009D5F45">
        <w:rPr>
          <w:rFonts w:ascii="Arial" w:hAnsi="Arial" w:cs="Arial"/>
          <w:b/>
          <w:sz w:val="22"/>
          <w:szCs w:val="22"/>
          <w:lang w:val="en-GB"/>
        </w:rPr>
        <w:t>NW1039E</w:t>
      </w:r>
    </w:p>
    <w:p w:rsidR="009D5F45" w:rsidRDefault="009D5F45" w:rsidP="00483145">
      <w:pPr>
        <w:spacing w:line="276" w:lineRule="auto"/>
        <w:ind w:left="284"/>
        <w:jc w:val="both"/>
        <w:rPr>
          <w:rFonts w:ascii="Arial" w:hAnsi="Arial" w:cs="Arial"/>
          <w:bCs/>
          <w:sz w:val="22"/>
          <w:szCs w:val="22"/>
          <w:lang w:val="en-GB"/>
        </w:rPr>
      </w:pPr>
    </w:p>
    <w:p w:rsidR="00483145" w:rsidRPr="00102D91" w:rsidRDefault="00483145" w:rsidP="00483145">
      <w:pPr>
        <w:widowControl w:val="0"/>
        <w:suppressAutoHyphens/>
        <w:spacing w:line="276" w:lineRule="auto"/>
        <w:ind w:left="284"/>
        <w:jc w:val="both"/>
        <w:rPr>
          <w:rFonts w:ascii="Arial" w:hAnsi="Arial" w:cs="Arial"/>
          <w:b/>
          <w:sz w:val="22"/>
          <w:szCs w:val="22"/>
          <w:u w:val="single"/>
          <w:lang w:val="en-GB"/>
        </w:rPr>
      </w:pPr>
      <w:r w:rsidRPr="00102D91">
        <w:rPr>
          <w:rFonts w:ascii="Arial" w:hAnsi="Arial" w:cs="Arial"/>
          <w:b/>
          <w:sz w:val="22"/>
          <w:szCs w:val="22"/>
          <w:u w:val="single"/>
          <w:lang w:val="en-GB"/>
        </w:rPr>
        <w:t>REPLY</w:t>
      </w:r>
      <w:r w:rsidR="00745B96" w:rsidRPr="00102D91">
        <w:rPr>
          <w:rFonts w:ascii="Arial" w:hAnsi="Arial" w:cs="Arial"/>
          <w:b/>
          <w:sz w:val="22"/>
          <w:szCs w:val="22"/>
          <w:u w:val="single"/>
          <w:lang w:val="en-GB"/>
        </w:rPr>
        <w:t>:</w:t>
      </w:r>
    </w:p>
    <w:p w:rsidR="00483145" w:rsidRDefault="00483145" w:rsidP="00483145">
      <w:pPr>
        <w:widowControl w:val="0"/>
        <w:suppressAutoHyphens/>
        <w:spacing w:line="276" w:lineRule="auto"/>
        <w:ind w:left="284"/>
        <w:jc w:val="both"/>
        <w:rPr>
          <w:rFonts w:ascii="Arial" w:hAnsi="Arial" w:cs="Arial"/>
          <w:b/>
          <w:sz w:val="22"/>
          <w:szCs w:val="22"/>
          <w:u w:val="single"/>
          <w:lang w:val="en-GB"/>
        </w:rPr>
      </w:pPr>
    </w:p>
    <w:p w:rsidR="00483145" w:rsidRPr="00102D91" w:rsidRDefault="00483145" w:rsidP="00483145">
      <w:pPr>
        <w:widowControl w:val="0"/>
        <w:suppressAutoHyphens/>
        <w:spacing w:line="276" w:lineRule="auto"/>
        <w:ind w:left="284"/>
        <w:jc w:val="both"/>
        <w:rPr>
          <w:rFonts w:ascii="Arial" w:hAnsi="Arial" w:cs="Arial"/>
          <w:b/>
          <w:sz w:val="22"/>
          <w:szCs w:val="22"/>
          <w:lang w:val="en-GB"/>
        </w:rPr>
      </w:pPr>
      <w:r w:rsidRPr="00102D91">
        <w:rPr>
          <w:rFonts w:ascii="Arial" w:hAnsi="Arial" w:cs="Arial"/>
          <w:b/>
          <w:sz w:val="22"/>
          <w:szCs w:val="22"/>
          <w:lang w:val="en-GB"/>
        </w:rPr>
        <w:t xml:space="preserve">According to the </w:t>
      </w:r>
      <w:r w:rsidR="00102D91" w:rsidRPr="00102D91">
        <w:rPr>
          <w:rFonts w:ascii="Arial" w:hAnsi="Arial" w:cs="Arial"/>
          <w:b/>
          <w:sz w:val="22"/>
          <w:szCs w:val="22"/>
          <w:lang w:val="en-GB"/>
        </w:rPr>
        <w:t>i</w:t>
      </w:r>
      <w:r w:rsidRPr="00102D91">
        <w:rPr>
          <w:rFonts w:ascii="Arial" w:hAnsi="Arial" w:cs="Arial"/>
          <w:b/>
          <w:sz w:val="22"/>
          <w:szCs w:val="22"/>
          <w:lang w:val="en-GB"/>
        </w:rPr>
        <w:t>nformation received from Eskom</w:t>
      </w:r>
    </w:p>
    <w:p w:rsidR="00483145" w:rsidRPr="00483145" w:rsidRDefault="00483145" w:rsidP="00483145">
      <w:pPr>
        <w:widowControl w:val="0"/>
        <w:suppressAutoHyphens/>
        <w:spacing w:line="276" w:lineRule="auto"/>
        <w:ind w:left="284"/>
        <w:jc w:val="both"/>
        <w:rPr>
          <w:rFonts w:ascii="Arial" w:hAnsi="Arial" w:cs="Arial"/>
          <w:b/>
          <w:sz w:val="22"/>
          <w:szCs w:val="22"/>
          <w:lang w:val="en-GB"/>
        </w:rPr>
      </w:pPr>
    </w:p>
    <w:p w:rsidR="009D5F45" w:rsidRPr="00F51DB4" w:rsidRDefault="009D5F45" w:rsidP="009D5F45">
      <w:pPr>
        <w:autoSpaceDE w:val="0"/>
        <w:autoSpaceDN w:val="0"/>
        <w:adjustRightInd w:val="0"/>
        <w:spacing w:before="120" w:after="120" w:line="360" w:lineRule="auto"/>
        <w:ind w:left="284"/>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Eskom is continuing to work on implementing the legal separation</w:t>
      </w:r>
      <w:r w:rsidR="00102D91">
        <w:rPr>
          <w:rFonts w:ascii="Arial" w:eastAsia="Arial Unicode MS" w:hAnsi="Arial" w:cs="Arial"/>
          <w:bCs/>
          <w:sz w:val="22"/>
          <w:szCs w:val="22"/>
          <w:lang w:val="en-GB" w:eastAsia="en-PH"/>
        </w:rPr>
        <w:t xml:space="preserve"> of the transmission entity</w:t>
      </w:r>
      <w:r w:rsidRPr="00F51DB4">
        <w:rPr>
          <w:rFonts w:ascii="Arial" w:eastAsia="Arial Unicode MS" w:hAnsi="Arial" w:cs="Arial"/>
          <w:bCs/>
          <w:sz w:val="22"/>
          <w:szCs w:val="22"/>
          <w:lang w:val="en-GB" w:eastAsia="en-PH"/>
        </w:rPr>
        <w:t xml:space="preserve"> (or unbundling), which remains a key strategic priority and aspect of Eskom’s Turnaround Plan envisaged under the Department of Public Enterprises (DPE) Roadmap. </w:t>
      </w:r>
    </w:p>
    <w:p w:rsidR="009D5F45" w:rsidRPr="00F51DB4" w:rsidRDefault="009D5F45" w:rsidP="009D5F45">
      <w:pPr>
        <w:autoSpaceDE w:val="0"/>
        <w:autoSpaceDN w:val="0"/>
        <w:adjustRightInd w:val="0"/>
        <w:spacing w:before="120" w:after="120" w:line="276" w:lineRule="auto"/>
        <w:ind w:firstLine="284"/>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 xml:space="preserve">According to the roadmap: </w:t>
      </w:r>
    </w:p>
    <w:p w:rsidR="009D5F45" w:rsidRPr="009D5F45" w:rsidRDefault="009D5F45" w:rsidP="009D5F45">
      <w:pPr>
        <w:pStyle w:val="ListParagraph"/>
        <w:numPr>
          <w:ilvl w:val="0"/>
          <w:numId w:val="22"/>
        </w:numPr>
        <w:autoSpaceDE w:val="0"/>
        <w:autoSpaceDN w:val="0"/>
        <w:adjustRightInd w:val="0"/>
        <w:spacing w:before="120" w:after="120" w:line="276" w:lineRule="auto"/>
        <w:ind w:left="709" w:hanging="283"/>
        <w:jc w:val="both"/>
        <w:rPr>
          <w:rFonts w:ascii="Arial" w:eastAsia="Arial Unicode MS" w:hAnsi="Arial" w:cs="Arial"/>
          <w:bCs/>
          <w:sz w:val="22"/>
          <w:szCs w:val="22"/>
          <w:lang w:val="en-GB" w:eastAsia="en-PH"/>
        </w:rPr>
      </w:pPr>
      <w:r w:rsidRPr="009D5F45">
        <w:rPr>
          <w:rFonts w:ascii="Arial" w:eastAsia="Arial Unicode MS" w:hAnsi="Arial" w:cs="Arial"/>
          <w:bCs/>
          <w:sz w:val="22"/>
          <w:szCs w:val="22"/>
          <w:lang w:val="en-GB" w:eastAsia="en-PH"/>
        </w:rPr>
        <w:t>The corporatisation of Transmission was completed in December 2021. A legally binding merger agreement was entered into between Eskom and its wholly-owned subsidiary, the National Transmission Company South Africa SOC Limited (NTCSA).</w:t>
      </w:r>
    </w:p>
    <w:p w:rsidR="009D5F45" w:rsidRPr="00F51DB4" w:rsidRDefault="009D5F45" w:rsidP="009D5F45">
      <w:pPr>
        <w:numPr>
          <w:ilvl w:val="0"/>
          <w:numId w:val="22"/>
        </w:numPr>
        <w:autoSpaceDE w:val="0"/>
        <w:autoSpaceDN w:val="0"/>
        <w:adjustRightInd w:val="0"/>
        <w:spacing w:before="120" w:after="120" w:line="276" w:lineRule="auto"/>
        <w:ind w:left="709" w:hanging="283"/>
        <w:contextualSpacing/>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 xml:space="preserve">Reasons for the delays in unbundling Transmission </w:t>
      </w:r>
      <w:r w:rsidRPr="00F51DB4">
        <w:rPr>
          <w:rFonts w:ascii="Arial" w:eastAsia="Arial Unicode MS" w:hAnsi="Arial" w:cs="Arial"/>
          <w:bCs/>
          <w:sz w:val="22"/>
          <w:szCs w:val="22"/>
          <w:lang w:val="af-ZA" w:eastAsia="en-PH"/>
        </w:rPr>
        <w:t xml:space="preserve">substantively </w:t>
      </w:r>
      <w:r w:rsidRPr="00F51DB4">
        <w:rPr>
          <w:rFonts w:ascii="Arial" w:eastAsia="Arial Unicode MS" w:hAnsi="Arial" w:cs="Arial"/>
          <w:bCs/>
          <w:sz w:val="22"/>
          <w:szCs w:val="22"/>
          <w:lang w:val="en-GB" w:eastAsia="en-PH"/>
        </w:rPr>
        <w:t xml:space="preserve">relate to external dependencies such as obtaining lenders’ consent, acquiring electricity licences, and designation of the Transmission Entity as a Buyer. </w:t>
      </w:r>
    </w:p>
    <w:p w:rsidR="009D5F45" w:rsidRDefault="009D5F45" w:rsidP="009D5F45">
      <w:pPr>
        <w:numPr>
          <w:ilvl w:val="0"/>
          <w:numId w:val="22"/>
        </w:numPr>
        <w:autoSpaceDE w:val="0"/>
        <w:autoSpaceDN w:val="0"/>
        <w:adjustRightInd w:val="0"/>
        <w:spacing w:before="120" w:after="120" w:line="276" w:lineRule="auto"/>
        <w:ind w:left="709" w:hanging="283"/>
        <w:contextualSpacing/>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 xml:space="preserve">The next step is to </w:t>
      </w:r>
      <w:proofErr w:type="spellStart"/>
      <w:r w:rsidRPr="00F51DB4">
        <w:rPr>
          <w:rFonts w:ascii="Arial" w:eastAsia="Arial Unicode MS" w:hAnsi="Arial" w:cs="Arial"/>
          <w:bCs/>
          <w:sz w:val="22"/>
          <w:szCs w:val="22"/>
          <w:lang w:val="en-GB" w:eastAsia="en-PH"/>
        </w:rPr>
        <w:t>operationalise</w:t>
      </w:r>
      <w:proofErr w:type="spellEnd"/>
      <w:r w:rsidRPr="00F51DB4">
        <w:rPr>
          <w:rFonts w:ascii="Arial" w:eastAsia="Arial Unicode MS" w:hAnsi="Arial" w:cs="Arial"/>
          <w:bCs/>
          <w:sz w:val="22"/>
          <w:szCs w:val="22"/>
          <w:lang w:val="en-GB" w:eastAsia="en-PH"/>
        </w:rPr>
        <w:t xml:space="preserve"> the NTCSA, and this is subject to the satisfaction of certain </w:t>
      </w:r>
      <w:proofErr w:type="spellStart"/>
      <w:r w:rsidRPr="00F51DB4">
        <w:rPr>
          <w:rFonts w:ascii="Arial" w:eastAsia="Arial Unicode MS" w:hAnsi="Arial" w:cs="Arial"/>
          <w:bCs/>
          <w:sz w:val="22"/>
          <w:szCs w:val="22"/>
          <w:lang w:val="en-GB" w:eastAsia="en-PH"/>
        </w:rPr>
        <w:t>suspensive</w:t>
      </w:r>
      <w:proofErr w:type="spellEnd"/>
      <w:r w:rsidRPr="00F51DB4">
        <w:rPr>
          <w:rFonts w:ascii="Arial" w:eastAsia="Arial Unicode MS" w:hAnsi="Arial" w:cs="Arial"/>
          <w:bCs/>
          <w:sz w:val="22"/>
          <w:szCs w:val="22"/>
          <w:lang w:val="en-GB" w:eastAsia="en-PH"/>
        </w:rPr>
        <w:t xml:space="preserve"> conditions, which include, but are not limited to: </w:t>
      </w:r>
    </w:p>
    <w:p w:rsidR="009D5F45" w:rsidRPr="00F51DB4" w:rsidRDefault="009D5F45" w:rsidP="009D5F45">
      <w:pPr>
        <w:autoSpaceDE w:val="0"/>
        <w:autoSpaceDN w:val="0"/>
        <w:adjustRightInd w:val="0"/>
        <w:spacing w:before="120" w:after="120" w:line="276" w:lineRule="auto"/>
        <w:contextualSpacing/>
        <w:jc w:val="both"/>
        <w:rPr>
          <w:rFonts w:ascii="Arial" w:eastAsia="Arial Unicode MS" w:hAnsi="Arial" w:cs="Arial"/>
          <w:bCs/>
          <w:sz w:val="22"/>
          <w:szCs w:val="22"/>
          <w:lang w:val="en-GB" w:eastAsia="en-PH"/>
        </w:rPr>
      </w:pPr>
    </w:p>
    <w:p w:rsidR="009D5F45" w:rsidRPr="00F51DB4" w:rsidRDefault="009D5F45" w:rsidP="009D5F45">
      <w:pPr>
        <w:numPr>
          <w:ilvl w:val="0"/>
          <w:numId w:val="23"/>
        </w:numPr>
        <w:autoSpaceDE w:val="0"/>
        <w:autoSpaceDN w:val="0"/>
        <w:adjustRightInd w:val="0"/>
        <w:spacing w:before="120" w:after="120" w:line="276" w:lineRule="auto"/>
        <w:ind w:hanging="229"/>
        <w:contextualSpacing/>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 xml:space="preserve">the National Energy Regulator of South Africa (NERSA) granting all applicable licences required for NTCSA to operate the Transmission business; and </w:t>
      </w:r>
    </w:p>
    <w:p w:rsidR="009D5F45" w:rsidRDefault="009D5F45" w:rsidP="009D5F45">
      <w:pPr>
        <w:numPr>
          <w:ilvl w:val="0"/>
          <w:numId w:val="23"/>
        </w:numPr>
        <w:autoSpaceDE w:val="0"/>
        <w:autoSpaceDN w:val="0"/>
        <w:adjustRightInd w:val="0"/>
        <w:spacing w:before="120" w:after="120" w:line="276" w:lineRule="auto"/>
        <w:ind w:hanging="229"/>
        <w:contextualSpacing/>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 xml:space="preserve">Eskom obtaining all applicable creditor consents to the transaction. </w:t>
      </w:r>
    </w:p>
    <w:p w:rsidR="009D5F45" w:rsidRDefault="009D5F45" w:rsidP="009D5F45">
      <w:pPr>
        <w:autoSpaceDE w:val="0"/>
        <w:autoSpaceDN w:val="0"/>
        <w:adjustRightInd w:val="0"/>
        <w:spacing w:before="120" w:after="120" w:line="276" w:lineRule="auto"/>
        <w:contextualSpacing/>
        <w:jc w:val="both"/>
        <w:rPr>
          <w:rFonts w:ascii="Arial" w:eastAsia="Arial Unicode MS" w:hAnsi="Arial" w:cs="Arial"/>
          <w:bCs/>
          <w:sz w:val="22"/>
          <w:szCs w:val="22"/>
          <w:lang w:val="en-GB" w:eastAsia="en-PH"/>
        </w:rPr>
      </w:pPr>
    </w:p>
    <w:p w:rsidR="009D5F45" w:rsidRDefault="009D5F45" w:rsidP="009D5F45">
      <w:pPr>
        <w:autoSpaceDE w:val="0"/>
        <w:autoSpaceDN w:val="0"/>
        <w:adjustRightInd w:val="0"/>
        <w:spacing w:before="120" w:after="120" w:line="276" w:lineRule="auto"/>
        <w:contextualSpacing/>
        <w:jc w:val="both"/>
        <w:rPr>
          <w:rFonts w:ascii="Arial" w:eastAsia="Arial Unicode MS" w:hAnsi="Arial" w:cs="Arial"/>
          <w:bCs/>
          <w:sz w:val="22"/>
          <w:szCs w:val="22"/>
          <w:lang w:val="en-GB" w:eastAsia="en-PH"/>
        </w:rPr>
      </w:pPr>
    </w:p>
    <w:p w:rsidR="009D5F45" w:rsidRDefault="009D5F45" w:rsidP="009D5F45">
      <w:pPr>
        <w:autoSpaceDE w:val="0"/>
        <w:autoSpaceDN w:val="0"/>
        <w:adjustRightInd w:val="0"/>
        <w:spacing w:before="120" w:after="120" w:line="276" w:lineRule="auto"/>
        <w:contextualSpacing/>
        <w:jc w:val="both"/>
        <w:rPr>
          <w:rFonts w:ascii="Arial" w:eastAsia="Arial Unicode MS" w:hAnsi="Arial" w:cs="Arial"/>
          <w:bCs/>
          <w:sz w:val="22"/>
          <w:szCs w:val="22"/>
          <w:lang w:val="en-GB" w:eastAsia="en-PH"/>
        </w:rPr>
      </w:pPr>
    </w:p>
    <w:p w:rsidR="009D5F45" w:rsidRDefault="009D5F45" w:rsidP="009D5F45">
      <w:pPr>
        <w:autoSpaceDE w:val="0"/>
        <w:autoSpaceDN w:val="0"/>
        <w:adjustRightInd w:val="0"/>
        <w:spacing w:before="120" w:after="120" w:line="276" w:lineRule="auto"/>
        <w:contextualSpacing/>
        <w:jc w:val="both"/>
        <w:rPr>
          <w:rFonts w:ascii="Arial" w:eastAsia="Arial Unicode MS" w:hAnsi="Arial" w:cs="Arial"/>
          <w:bCs/>
          <w:sz w:val="22"/>
          <w:szCs w:val="22"/>
          <w:lang w:val="en-GB" w:eastAsia="en-PH"/>
        </w:rPr>
      </w:pPr>
    </w:p>
    <w:p w:rsidR="009D5F45" w:rsidRDefault="009D5F45" w:rsidP="009D5F45">
      <w:pPr>
        <w:autoSpaceDE w:val="0"/>
        <w:autoSpaceDN w:val="0"/>
        <w:adjustRightInd w:val="0"/>
        <w:spacing w:before="120" w:after="120" w:line="276" w:lineRule="auto"/>
        <w:contextualSpacing/>
        <w:jc w:val="both"/>
        <w:rPr>
          <w:rFonts w:ascii="Arial" w:eastAsia="Arial Unicode MS" w:hAnsi="Arial" w:cs="Arial"/>
          <w:bCs/>
          <w:sz w:val="22"/>
          <w:szCs w:val="22"/>
          <w:lang w:val="en-GB" w:eastAsia="en-PH"/>
        </w:rPr>
      </w:pPr>
    </w:p>
    <w:p w:rsidR="009D5F45" w:rsidRPr="00F51DB4" w:rsidRDefault="009D5F45" w:rsidP="009D5F45">
      <w:pPr>
        <w:autoSpaceDE w:val="0"/>
        <w:autoSpaceDN w:val="0"/>
        <w:adjustRightInd w:val="0"/>
        <w:spacing w:before="120" w:after="120" w:line="276" w:lineRule="auto"/>
        <w:contextualSpacing/>
        <w:jc w:val="both"/>
        <w:rPr>
          <w:rFonts w:ascii="Arial" w:eastAsia="Arial Unicode MS" w:hAnsi="Arial" w:cs="Arial"/>
          <w:bCs/>
          <w:sz w:val="22"/>
          <w:szCs w:val="22"/>
          <w:lang w:val="en-GB" w:eastAsia="en-PH"/>
        </w:rPr>
      </w:pPr>
    </w:p>
    <w:p w:rsidR="009D5F45" w:rsidRPr="00F51DB4" w:rsidRDefault="009D5F45" w:rsidP="009D5F45">
      <w:pPr>
        <w:autoSpaceDE w:val="0"/>
        <w:autoSpaceDN w:val="0"/>
        <w:adjustRightInd w:val="0"/>
        <w:spacing w:before="120" w:after="120" w:line="276" w:lineRule="auto"/>
        <w:contextualSpacing/>
        <w:jc w:val="both"/>
        <w:rPr>
          <w:rFonts w:ascii="Arial" w:eastAsia="Arial Unicode MS" w:hAnsi="Arial" w:cs="Arial"/>
          <w:bCs/>
          <w:sz w:val="22"/>
          <w:szCs w:val="22"/>
          <w:lang w:val="en-GB" w:eastAsia="en-PH"/>
        </w:rPr>
      </w:pPr>
    </w:p>
    <w:p w:rsidR="009D5F45" w:rsidRPr="00F51DB4" w:rsidRDefault="009D5F45" w:rsidP="009D5F45">
      <w:pPr>
        <w:autoSpaceDE w:val="0"/>
        <w:autoSpaceDN w:val="0"/>
        <w:adjustRightInd w:val="0"/>
        <w:spacing w:before="120" w:after="120" w:line="360" w:lineRule="auto"/>
        <w:ind w:left="284"/>
        <w:contextualSpacing/>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Future phases of the legal separation will be dependent on legislative changes, which are currently being driven by the Department of Mineral Resources and Energy (DMRE) and the DPE. These changes include the amendment of the Electricity Regulation Act (ERA) regarding licensing and the Electricity Pricing Policy (EPP) of the South African Electricity Supply Industry. The amended Electricity Regulation Act (ERA) is expected to be in place during 2023.</w:t>
      </w:r>
    </w:p>
    <w:p w:rsidR="009D5F45" w:rsidRPr="00F51DB4" w:rsidRDefault="009D5F45" w:rsidP="009D5F45">
      <w:pPr>
        <w:autoSpaceDE w:val="0"/>
        <w:autoSpaceDN w:val="0"/>
        <w:adjustRightInd w:val="0"/>
        <w:spacing w:before="120" w:after="120" w:line="276" w:lineRule="auto"/>
        <w:contextualSpacing/>
        <w:jc w:val="both"/>
        <w:rPr>
          <w:rFonts w:ascii="Arial" w:eastAsia="Arial Unicode MS" w:hAnsi="Arial" w:cs="Arial"/>
          <w:bCs/>
          <w:sz w:val="22"/>
          <w:szCs w:val="22"/>
          <w:lang w:val="en-GB" w:eastAsia="en-PH"/>
        </w:rPr>
      </w:pPr>
    </w:p>
    <w:p w:rsidR="009D5F45" w:rsidRPr="00F51DB4" w:rsidRDefault="009D5F45" w:rsidP="009D5F45">
      <w:pPr>
        <w:autoSpaceDE w:val="0"/>
        <w:autoSpaceDN w:val="0"/>
        <w:adjustRightInd w:val="0"/>
        <w:spacing w:before="120" w:after="120" w:line="360" w:lineRule="auto"/>
        <w:ind w:left="284"/>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 xml:space="preserve">Efforts to accelerate the addition of new Transmission capacity through expansion of the grid are being addressed through the implementation of the Transmission Development Plan (TDP) with the support of the government through, among others, the NECOM structures. </w:t>
      </w:r>
    </w:p>
    <w:p w:rsidR="009D5F45" w:rsidRPr="00F51DB4" w:rsidRDefault="009D5F45" w:rsidP="009D5F45">
      <w:pPr>
        <w:autoSpaceDE w:val="0"/>
        <w:autoSpaceDN w:val="0"/>
        <w:adjustRightInd w:val="0"/>
        <w:spacing w:before="120" w:after="120" w:line="360" w:lineRule="auto"/>
        <w:ind w:left="284"/>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Since the launch of the DMRE Independent Power Producer (IPP) programmes (Bid Windows 1 – 4), close to 6.1 GW of new generation capacity has already been integrated into the power system. Following the announcement of the preferred bidders for B</w:t>
      </w:r>
      <w:r>
        <w:rPr>
          <w:rFonts w:ascii="Arial" w:eastAsia="Arial Unicode MS" w:hAnsi="Arial" w:cs="Arial"/>
          <w:bCs/>
          <w:sz w:val="22"/>
          <w:szCs w:val="22"/>
          <w:lang w:val="en-GB" w:eastAsia="en-PH"/>
        </w:rPr>
        <w:t xml:space="preserve">id </w:t>
      </w:r>
      <w:r w:rsidRPr="00F51DB4">
        <w:rPr>
          <w:rFonts w:ascii="Arial" w:eastAsia="Arial Unicode MS" w:hAnsi="Arial" w:cs="Arial"/>
          <w:bCs/>
          <w:sz w:val="22"/>
          <w:szCs w:val="22"/>
          <w:lang w:val="en-GB" w:eastAsia="en-PH"/>
        </w:rPr>
        <w:t>W</w:t>
      </w:r>
      <w:r>
        <w:rPr>
          <w:rFonts w:ascii="Arial" w:eastAsia="Arial Unicode MS" w:hAnsi="Arial" w:cs="Arial"/>
          <w:bCs/>
          <w:sz w:val="22"/>
          <w:szCs w:val="22"/>
          <w:lang w:val="en-GB" w:eastAsia="en-PH"/>
        </w:rPr>
        <w:t>indow (BW)</w:t>
      </w:r>
      <w:r w:rsidRPr="00F51DB4">
        <w:rPr>
          <w:rFonts w:ascii="Arial" w:eastAsia="Arial Unicode MS" w:hAnsi="Arial" w:cs="Arial"/>
          <w:bCs/>
          <w:sz w:val="22"/>
          <w:szCs w:val="22"/>
          <w:lang w:val="en-GB" w:eastAsia="en-PH"/>
        </w:rPr>
        <w:t xml:space="preserve"> 5 / 6, there have been IPPs that participated in the private procurement process, who quickly secured grid capacity, mainly in the Western</w:t>
      </w:r>
      <w:r>
        <w:rPr>
          <w:rFonts w:ascii="Arial" w:eastAsia="Arial Unicode MS" w:hAnsi="Arial" w:cs="Arial"/>
          <w:bCs/>
          <w:sz w:val="22"/>
          <w:szCs w:val="22"/>
          <w:lang w:val="en-GB" w:eastAsia="en-PH"/>
        </w:rPr>
        <w:t>,</w:t>
      </w:r>
      <w:r w:rsidRPr="00F51DB4">
        <w:rPr>
          <w:rFonts w:ascii="Arial" w:eastAsia="Arial Unicode MS" w:hAnsi="Arial" w:cs="Arial"/>
          <w:bCs/>
          <w:sz w:val="22"/>
          <w:szCs w:val="22"/>
          <w:lang w:val="en-GB" w:eastAsia="en-PH"/>
        </w:rPr>
        <w:t xml:space="preserve"> Eastern and Northern Cape areas. The Transmission network capacity in these areas has been taken up, as per grid code requirements, which require Eskom to provide non-discriminatory open access to the grid. This has resulted in network constraints, and this will require substantial augmentations before new generation capacity can be connected to the system.  </w:t>
      </w:r>
    </w:p>
    <w:p w:rsidR="009D5F45" w:rsidRPr="00F51DB4" w:rsidRDefault="009D5F45" w:rsidP="009D5F45">
      <w:pPr>
        <w:autoSpaceDE w:val="0"/>
        <w:autoSpaceDN w:val="0"/>
        <w:adjustRightInd w:val="0"/>
        <w:spacing w:before="120" w:after="120" w:line="360" w:lineRule="auto"/>
        <w:ind w:left="284"/>
        <w:jc w:val="both"/>
        <w:rPr>
          <w:rFonts w:ascii="Arial" w:eastAsia="Arial Unicode MS" w:hAnsi="Arial" w:cs="Arial"/>
          <w:bCs/>
          <w:sz w:val="22"/>
          <w:szCs w:val="22"/>
          <w:lang w:val="en-GB" w:eastAsia="en-PH"/>
        </w:rPr>
      </w:pPr>
      <w:r w:rsidRPr="00F51DB4">
        <w:rPr>
          <w:rFonts w:ascii="Arial" w:eastAsia="Arial Unicode MS" w:hAnsi="Arial" w:cs="Arial"/>
          <w:bCs/>
          <w:sz w:val="22"/>
          <w:szCs w:val="22"/>
          <w:lang w:val="en-GB" w:eastAsia="en-PH"/>
        </w:rPr>
        <w:t xml:space="preserve">To address this, the 10-year TDP 2022, identified the new infrastructure that would be required to implement the IRP 2019 and Eskom’s 2035 Corporate Strategy. However, it takes time to establish new transmission infrastructure (especially the building of long lines and substations) mainly due to servitude acquisitions and constructability challenges. Eskom is aware of these challenges and is making every effort to expedite the build programme by engaging key stakeholders in government, as well as the private sector.   </w:t>
      </w:r>
    </w:p>
    <w:p w:rsidR="00D9068F" w:rsidRPr="00EC7EF8" w:rsidRDefault="00D9068F" w:rsidP="009D5F45">
      <w:pPr>
        <w:widowControl w:val="0"/>
        <w:suppressAutoHyphens/>
        <w:spacing w:line="276" w:lineRule="auto"/>
        <w:ind w:left="851" w:hanging="611"/>
        <w:jc w:val="both"/>
        <w:rPr>
          <w:rFonts w:ascii="Arial" w:hAnsi="Arial" w:cs="Arial"/>
          <w:bCs/>
          <w:sz w:val="22"/>
          <w:szCs w:val="22"/>
          <w:lang w:eastAsia="en-ZA"/>
        </w:rPr>
      </w:pPr>
    </w:p>
    <w:p w:rsidR="00E31E2E" w:rsidRDefault="00E31E2E" w:rsidP="00491D38">
      <w:pPr>
        <w:autoSpaceDE w:val="0"/>
        <w:autoSpaceDN w:val="0"/>
        <w:adjustRightInd w:val="0"/>
        <w:spacing w:line="276" w:lineRule="auto"/>
        <w:ind w:left="284"/>
        <w:jc w:val="both"/>
        <w:rPr>
          <w:rFonts w:ascii="Arial" w:hAnsi="Arial" w:cs="Arial"/>
          <w:bCs/>
          <w:sz w:val="22"/>
          <w:szCs w:val="22"/>
          <w:lang w:eastAsia="en-ZA"/>
        </w:rPr>
      </w:pPr>
    </w:p>
    <w:p w:rsidR="00995FEC" w:rsidRDefault="00995FEC" w:rsidP="0025135B">
      <w:pPr>
        <w:widowControl w:val="0"/>
        <w:suppressAutoHyphens/>
        <w:spacing w:line="276" w:lineRule="auto"/>
        <w:ind w:left="284"/>
        <w:jc w:val="both"/>
        <w:rPr>
          <w:rFonts w:ascii="Arial" w:eastAsia="Arial Unicode MS" w:hAnsi="Arial" w:cs="Arial"/>
          <w:bCs/>
          <w:sz w:val="22"/>
          <w:szCs w:val="22"/>
          <w:lang w:eastAsia="en-PH"/>
        </w:rPr>
      </w:pPr>
    </w:p>
    <w:p w:rsidR="00E575C0" w:rsidRPr="00522234" w:rsidRDefault="00E575C0" w:rsidP="0025135B">
      <w:pPr>
        <w:ind w:left="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Pr="00102D91">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C154E7" w:rsidRDefault="00C154E7" w:rsidP="008F1057">
      <w:pPr>
        <w:ind w:left="284"/>
        <w:rPr>
          <w:rFonts w:ascii="Arial" w:hAnsi="Arial" w:cs="Arial"/>
          <w:b/>
          <w:bCs/>
          <w:lang w:val="en-ZA"/>
        </w:rPr>
      </w:pPr>
    </w:p>
    <w:p w:rsidR="009D5F45" w:rsidRDefault="009D5F45"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Pr="00522234" w:rsidRDefault="00E575C0" w:rsidP="008F1057">
      <w:pPr>
        <w:ind w:left="284"/>
        <w:rPr>
          <w:rFonts w:ascii="Arial" w:hAnsi="Arial" w:cs="Arial"/>
          <w:b/>
          <w:bCs/>
          <w:lang w:val="en-ZA"/>
        </w:rPr>
      </w:pPr>
    </w:p>
    <w:p w:rsidR="00E575C0" w:rsidRPr="00522234" w:rsidRDefault="000C4309" w:rsidP="0025135B">
      <w:pPr>
        <w:ind w:left="284"/>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ab/>
      </w:r>
      <w:r>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Pr>
          <w:rFonts w:ascii="Arial" w:hAnsi="Arial" w:cs="Arial"/>
          <w:b/>
          <w:bCs/>
          <w:lang w:val="en-ZA"/>
        </w:rPr>
        <w:tab/>
      </w:r>
      <w:r w:rsidR="00E575C0">
        <w:rPr>
          <w:rFonts w:ascii="Arial" w:hAnsi="Arial" w:cs="Arial"/>
          <w:b/>
          <w:bCs/>
          <w:lang w:val="en-ZA"/>
        </w:rPr>
        <w:t>P</w:t>
      </w:r>
      <w:r w:rsidR="001968A8">
        <w:rPr>
          <w:rFonts w:ascii="Arial" w:hAnsi="Arial" w:cs="Arial"/>
          <w:b/>
          <w:bCs/>
          <w:lang w:val="en-ZA"/>
        </w:rPr>
        <w:t xml:space="preserve">J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25135B">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Pr>
          <w:rFonts w:ascii="Arial" w:hAnsi="Arial" w:cs="Arial"/>
          <w:b/>
          <w:bCs/>
          <w:lang w:val="en-ZA"/>
        </w:rPr>
        <w:tab/>
      </w:r>
      <w:r w:rsidR="00E575C0" w:rsidRPr="00522234">
        <w:rPr>
          <w:rFonts w:ascii="Arial" w:hAnsi="Arial" w:cs="Arial"/>
          <w:b/>
          <w:bCs/>
          <w:lang w:val="en-ZA"/>
        </w:rPr>
        <w:t xml:space="preserve">Minister </w:t>
      </w:r>
    </w:p>
    <w:p w:rsidR="009F4B23" w:rsidRDefault="00E575C0" w:rsidP="0025135B">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p w:rsidR="00995FEC" w:rsidRPr="009F4B23" w:rsidRDefault="00995FEC" w:rsidP="005F5BDB">
      <w:pPr>
        <w:contextualSpacing/>
        <w:rPr>
          <w:rFonts w:ascii="Arial" w:hAnsi="Arial" w:cs="Arial"/>
          <w:b/>
          <w:bCs/>
          <w:lang w:val="en-ZA"/>
        </w:rPr>
      </w:pPr>
    </w:p>
    <w:sectPr w:rsidR="00995FEC"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A9D" w:rsidRDefault="00C67A9D" w:rsidP="006A43DE">
      <w:r>
        <w:separator/>
      </w:r>
    </w:p>
  </w:endnote>
  <w:endnote w:type="continuationSeparator" w:id="0">
    <w:p w:rsidR="00C67A9D" w:rsidRDefault="00C67A9D"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A9D" w:rsidRDefault="00C67A9D" w:rsidP="006A43DE">
      <w:r>
        <w:separator/>
      </w:r>
    </w:p>
  </w:footnote>
  <w:footnote w:type="continuationSeparator" w:id="0">
    <w:p w:rsidR="00C67A9D" w:rsidRDefault="00C67A9D"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AF4"/>
    <w:multiLevelType w:val="hybridMultilevel"/>
    <w:tmpl w:val="2E26D602"/>
    <w:lvl w:ilvl="0" w:tplc="FCDE6B14">
      <w:start w:val="1"/>
      <w:numFmt w:val="lowerLetter"/>
      <w:lvlText w:val="%1."/>
      <w:lvlJc w:val="center"/>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0D0662B4"/>
    <w:multiLevelType w:val="hybridMultilevel"/>
    <w:tmpl w:val="76C01FAE"/>
    <w:lvl w:ilvl="0" w:tplc="841CCC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DB97A3F"/>
    <w:multiLevelType w:val="hybridMultilevel"/>
    <w:tmpl w:val="1A78DD20"/>
    <w:lvl w:ilvl="0" w:tplc="1C090001">
      <w:start w:val="1"/>
      <w:numFmt w:val="bullet"/>
      <w:lvlText w:val=""/>
      <w:lvlJc w:val="left"/>
      <w:pPr>
        <w:ind w:left="1580" w:hanging="360"/>
      </w:pPr>
      <w:rPr>
        <w:rFonts w:ascii="Symbol" w:hAnsi="Symbol" w:hint="default"/>
      </w:rPr>
    </w:lvl>
    <w:lvl w:ilvl="1" w:tplc="1C090003" w:tentative="1">
      <w:start w:val="1"/>
      <w:numFmt w:val="bullet"/>
      <w:lvlText w:val="o"/>
      <w:lvlJc w:val="left"/>
      <w:pPr>
        <w:ind w:left="2300" w:hanging="360"/>
      </w:pPr>
      <w:rPr>
        <w:rFonts w:ascii="Courier New" w:hAnsi="Courier New" w:cs="Courier New" w:hint="default"/>
      </w:rPr>
    </w:lvl>
    <w:lvl w:ilvl="2" w:tplc="1C090005" w:tentative="1">
      <w:start w:val="1"/>
      <w:numFmt w:val="bullet"/>
      <w:lvlText w:val=""/>
      <w:lvlJc w:val="left"/>
      <w:pPr>
        <w:ind w:left="3020" w:hanging="360"/>
      </w:pPr>
      <w:rPr>
        <w:rFonts w:ascii="Wingdings" w:hAnsi="Wingdings" w:hint="default"/>
      </w:rPr>
    </w:lvl>
    <w:lvl w:ilvl="3" w:tplc="1C090001" w:tentative="1">
      <w:start w:val="1"/>
      <w:numFmt w:val="bullet"/>
      <w:lvlText w:val=""/>
      <w:lvlJc w:val="left"/>
      <w:pPr>
        <w:ind w:left="3740" w:hanging="360"/>
      </w:pPr>
      <w:rPr>
        <w:rFonts w:ascii="Symbol" w:hAnsi="Symbol" w:hint="default"/>
      </w:rPr>
    </w:lvl>
    <w:lvl w:ilvl="4" w:tplc="1C090003" w:tentative="1">
      <w:start w:val="1"/>
      <w:numFmt w:val="bullet"/>
      <w:lvlText w:val="o"/>
      <w:lvlJc w:val="left"/>
      <w:pPr>
        <w:ind w:left="4460" w:hanging="360"/>
      </w:pPr>
      <w:rPr>
        <w:rFonts w:ascii="Courier New" w:hAnsi="Courier New" w:cs="Courier New" w:hint="default"/>
      </w:rPr>
    </w:lvl>
    <w:lvl w:ilvl="5" w:tplc="1C090005" w:tentative="1">
      <w:start w:val="1"/>
      <w:numFmt w:val="bullet"/>
      <w:lvlText w:val=""/>
      <w:lvlJc w:val="left"/>
      <w:pPr>
        <w:ind w:left="5180" w:hanging="360"/>
      </w:pPr>
      <w:rPr>
        <w:rFonts w:ascii="Wingdings" w:hAnsi="Wingdings" w:hint="default"/>
      </w:rPr>
    </w:lvl>
    <w:lvl w:ilvl="6" w:tplc="1C090001" w:tentative="1">
      <w:start w:val="1"/>
      <w:numFmt w:val="bullet"/>
      <w:lvlText w:val=""/>
      <w:lvlJc w:val="left"/>
      <w:pPr>
        <w:ind w:left="5900" w:hanging="360"/>
      </w:pPr>
      <w:rPr>
        <w:rFonts w:ascii="Symbol" w:hAnsi="Symbol" w:hint="default"/>
      </w:rPr>
    </w:lvl>
    <w:lvl w:ilvl="7" w:tplc="1C090003" w:tentative="1">
      <w:start w:val="1"/>
      <w:numFmt w:val="bullet"/>
      <w:lvlText w:val="o"/>
      <w:lvlJc w:val="left"/>
      <w:pPr>
        <w:ind w:left="6620" w:hanging="360"/>
      </w:pPr>
      <w:rPr>
        <w:rFonts w:ascii="Courier New" w:hAnsi="Courier New" w:cs="Courier New" w:hint="default"/>
      </w:rPr>
    </w:lvl>
    <w:lvl w:ilvl="8" w:tplc="1C090005" w:tentative="1">
      <w:start w:val="1"/>
      <w:numFmt w:val="bullet"/>
      <w:lvlText w:val=""/>
      <w:lvlJc w:val="left"/>
      <w:pPr>
        <w:ind w:left="7340" w:hanging="360"/>
      </w:pPr>
      <w:rPr>
        <w:rFonts w:ascii="Wingdings" w:hAnsi="Wingdings" w:hint="default"/>
      </w:rPr>
    </w:lvl>
  </w:abstractNum>
  <w:abstractNum w:abstractNumId="4">
    <w:nsid w:val="238152CB"/>
    <w:multiLevelType w:val="hybridMultilevel"/>
    <w:tmpl w:val="0C5A2BD0"/>
    <w:lvl w:ilvl="0" w:tplc="80C2F99A">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6">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8">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1">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4">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6">
    <w:nsid w:val="57AC2D4E"/>
    <w:multiLevelType w:val="hybridMultilevel"/>
    <w:tmpl w:val="9BCC765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E8A0F44"/>
    <w:multiLevelType w:val="hybridMultilevel"/>
    <w:tmpl w:val="488C8908"/>
    <w:lvl w:ilvl="0" w:tplc="A9A6C00C">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0">
    <w:nsid w:val="5FF57707"/>
    <w:multiLevelType w:val="hybridMultilevel"/>
    <w:tmpl w:val="AD66B846"/>
    <w:lvl w:ilvl="0" w:tplc="52ACFC32">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04C06A6"/>
    <w:multiLevelType w:val="hybridMultilevel"/>
    <w:tmpl w:val="F3E400B4"/>
    <w:lvl w:ilvl="0" w:tplc="80049F8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22">
    <w:nsid w:val="7D241B55"/>
    <w:multiLevelType w:val="hybridMultilevel"/>
    <w:tmpl w:val="93CECC5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9"/>
  </w:num>
  <w:num w:numId="2">
    <w:abstractNumId w:val="18"/>
  </w:num>
  <w:num w:numId="3">
    <w:abstractNumId w:val="8"/>
  </w:num>
  <w:num w:numId="4">
    <w:abstractNumId w:val="14"/>
  </w:num>
  <w:num w:numId="5">
    <w:abstractNumId w:val="15"/>
  </w:num>
  <w:num w:numId="6">
    <w:abstractNumId w:val="1"/>
  </w:num>
  <w:num w:numId="7">
    <w:abstractNumId w:val="11"/>
  </w:num>
  <w:num w:numId="8">
    <w:abstractNumId w:val="13"/>
  </w:num>
  <w:num w:numId="9">
    <w:abstractNumId w:val="5"/>
  </w:num>
  <w:num w:numId="10">
    <w:abstractNumId w:val="6"/>
  </w:num>
  <w:num w:numId="11">
    <w:abstractNumId w:val="7"/>
  </w:num>
  <w:num w:numId="12">
    <w:abstractNumId w:val="10"/>
  </w:num>
  <w:num w:numId="13">
    <w:abstractNumId w:val="17"/>
  </w:num>
  <w:num w:numId="14">
    <w:abstractNumId w:val="12"/>
  </w:num>
  <w:num w:numId="15">
    <w:abstractNumId w:val="2"/>
  </w:num>
  <w:num w:numId="16">
    <w:abstractNumId w:val="21"/>
  </w:num>
  <w:num w:numId="17">
    <w:abstractNumId w:val="22"/>
  </w:num>
  <w:num w:numId="18">
    <w:abstractNumId w:val="3"/>
  </w:num>
  <w:num w:numId="19">
    <w:abstractNumId w:val="19"/>
  </w:num>
  <w:num w:numId="20">
    <w:abstractNumId w:val="4"/>
  </w:num>
  <w:num w:numId="21">
    <w:abstractNumId w:val="20"/>
  </w:num>
  <w:num w:numId="22">
    <w:abstractNumId w:val="16"/>
  </w:num>
  <w:num w:numId="2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31D1F"/>
    <w:rsid w:val="00045EBD"/>
    <w:rsid w:val="000568B9"/>
    <w:rsid w:val="000602C8"/>
    <w:rsid w:val="000629C6"/>
    <w:rsid w:val="000637C0"/>
    <w:rsid w:val="00071BD8"/>
    <w:rsid w:val="00074EBD"/>
    <w:rsid w:val="00074F0B"/>
    <w:rsid w:val="00075B5E"/>
    <w:rsid w:val="0008029D"/>
    <w:rsid w:val="00083713"/>
    <w:rsid w:val="00087A40"/>
    <w:rsid w:val="00090AD5"/>
    <w:rsid w:val="000A4EC7"/>
    <w:rsid w:val="000B6791"/>
    <w:rsid w:val="000B75A2"/>
    <w:rsid w:val="000C4309"/>
    <w:rsid w:val="000C4756"/>
    <w:rsid w:val="000C48EB"/>
    <w:rsid w:val="000F6FB5"/>
    <w:rsid w:val="000F7318"/>
    <w:rsid w:val="00102D91"/>
    <w:rsid w:val="00107E40"/>
    <w:rsid w:val="001204BE"/>
    <w:rsid w:val="00125D8E"/>
    <w:rsid w:val="00141EAA"/>
    <w:rsid w:val="00152E8D"/>
    <w:rsid w:val="00153270"/>
    <w:rsid w:val="00153347"/>
    <w:rsid w:val="00162952"/>
    <w:rsid w:val="001633F2"/>
    <w:rsid w:val="00164073"/>
    <w:rsid w:val="00170AB9"/>
    <w:rsid w:val="001713F9"/>
    <w:rsid w:val="00190B29"/>
    <w:rsid w:val="001961F0"/>
    <w:rsid w:val="001968A8"/>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135B"/>
    <w:rsid w:val="00252DE2"/>
    <w:rsid w:val="00254818"/>
    <w:rsid w:val="0026770C"/>
    <w:rsid w:val="00270D85"/>
    <w:rsid w:val="00271AFC"/>
    <w:rsid w:val="00282EB8"/>
    <w:rsid w:val="002A6763"/>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4678"/>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83145"/>
    <w:rsid w:val="00491D38"/>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072F1"/>
    <w:rsid w:val="00512022"/>
    <w:rsid w:val="005206AC"/>
    <w:rsid w:val="00521620"/>
    <w:rsid w:val="00533F1A"/>
    <w:rsid w:val="00534DDF"/>
    <w:rsid w:val="0054518F"/>
    <w:rsid w:val="00553B33"/>
    <w:rsid w:val="005703CE"/>
    <w:rsid w:val="00575F22"/>
    <w:rsid w:val="005B2A1A"/>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E3B8D"/>
    <w:rsid w:val="006F5FEE"/>
    <w:rsid w:val="00711E1F"/>
    <w:rsid w:val="00716A5F"/>
    <w:rsid w:val="00735AB2"/>
    <w:rsid w:val="007410D8"/>
    <w:rsid w:val="00741768"/>
    <w:rsid w:val="00745B96"/>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00A27"/>
    <w:rsid w:val="00807916"/>
    <w:rsid w:val="00815368"/>
    <w:rsid w:val="00817F1E"/>
    <w:rsid w:val="00824E8E"/>
    <w:rsid w:val="00844954"/>
    <w:rsid w:val="00887188"/>
    <w:rsid w:val="0089120C"/>
    <w:rsid w:val="00892DE3"/>
    <w:rsid w:val="00892DFB"/>
    <w:rsid w:val="008960B2"/>
    <w:rsid w:val="008968F5"/>
    <w:rsid w:val="008A5641"/>
    <w:rsid w:val="008B5545"/>
    <w:rsid w:val="008C3840"/>
    <w:rsid w:val="008C4B6D"/>
    <w:rsid w:val="008D31B9"/>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024"/>
    <w:rsid w:val="0095077D"/>
    <w:rsid w:val="00952742"/>
    <w:rsid w:val="009561E6"/>
    <w:rsid w:val="00956AE9"/>
    <w:rsid w:val="00957EA0"/>
    <w:rsid w:val="00961B9E"/>
    <w:rsid w:val="009632E6"/>
    <w:rsid w:val="00972069"/>
    <w:rsid w:val="00995FEC"/>
    <w:rsid w:val="009A53BF"/>
    <w:rsid w:val="009B4F7B"/>
    <w:rsid w:val="009B5AB4"/>
    <w:rsid w:val="009B6439"/>
    <w:rsid w:val="009C440F"/>
    <w:rsid w:val="009C4542"/>
    <w:rsid w:val="009D531B"/>
    <w:rsid w:val="009D5F45"/>
    <w:rsid w:val="009E6C64"/>
    <w:rsid w:val="009F4B23"/>
    <w:rsid w:val="009F5ABD"/>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5E01"/>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65732"/>
    <w:rsid w:val="00C67A9D"/>
    <w:rsid w:val="00C71A4E"/>
    <w:rsid w:val="00C7276E"/>
    <w:rsid w:val="00C73A1D"/>
    <w:rsid w:val="00C76C58"/>
    <w:rsid w:val="00C943CB"/>
    <w:rsid w:val="00CA1C75"/>
    <w:rsid w:val="00CA2555"/>
    <w:rsid w:val="00CA7C80"/>
    <w:rsid w:val="00CB5194"/>
    <w:rsid w:val="00CB7B00"/>
    <w:rsid w:val="00CC2B32"/>
    <w:rsid w:val="00CC6424"/>
    <w:rsid w:val="00CD0C75"/>
    <w:rsid w:val="00CE2F8A"/>
    <w:rsid w:val="00CE72A9"/>
    <w:rsid w:val="00CF1AE8"/>
    <w:rsid w:val="00CF2CE3"/>
    <w:rsid w:val="00D00EA2"/>
    <w:rsid w:val="00D25359"/>
    <w:rsid w:val="00D31EBA"/>
    <w:rsid w:val="00D35463"/>
    <w:rsid w:val="00D433D3"/>
    <w:rsid w:val="00D45A7B"/>
    <w:rsid w:val="00D50332"/>
    <w:rsid w:val="00D53A9C"/>
    <w:rsid w:val="00D543BA"/>
    <w:rsid w:val="00D6168F"/>
    <w:rsid w:val="00D7252A"/>
    <w:rsid w:val="00D7334D"/>
    <w:rsid w:val="00D80F16"/>
    <w:rsid w:val="00D9068F"/>
    <w:rsid w:val="00DA251F"/>
    <w:rsid w:val="00DB1776"/>
    <w:rsid w:val="00DB6521"/>
    <w:rsid w:val="00DD3D30"/>
    <w:rsid w:val="00DD5878"/>
    <w:rsid w:val="00DE52C7"/>
    <w:rsid w:val="00DF2645"/>
    <w:rsid w:val="00DF6415"/>
    <w:rsid w:val="00E06376"/>
    <w:rsid w:val="00E06501"/>
    <w:rsid w:val="00E15BDA"/>
    <w:rsid w:val="00E25C2E"/>
    <w:rsid w:val="00E270DE"/>
    <w:rsid w:val="00E31E2E"/>
    <w:rsid w:val="00E36A15"/>
    <w:rsid w:val="00E4134B"/>
    <w:rsid w:val="00E45886"/>
    <w:rsid w:val="00E46280"/>
    <w:rsid w:val="00E46F4E"/>
    <w:rsid w:val="00E51A0C"/>
    <w:rsid w:val="00E575C0"/>
    <w:rsid w:val="00E71093"/>
    <w:rsid w:val="00E73ABB"/>
    <w:rsid w:val="00E8240D"/>
    <w:rsid w:val="00E82E1D"/>
    <w:rsid w:val="00E83FF9"/>
    <w:rsid w:val="00E949E0"/>
    <w:rsid w:val="00EA2229"/>
    <w:rsid w:val="00EA489C"/>
    <w:rsid w:val="00EB2717"/>
    <w:rsid w:val="00EB6669"/>
    <w:rsid w:val="00EB6841"/>
    <w:rsid w:val="00EC7A1C"/>
    <w:rsid w:val="00EC7B69"/>
    <w:rsid w:val="00EC7EF8"/>
    <w:rsid w:val="00ED0FA4"/>
    <w:rsid w:val="00ED385C"/>
    <w:rsid w:val="00EE5757"/>
    <w:rsid w:val="00EF35EA"/>
    <w:rsid w:val="00F31673"/>
    <w:rsid w:val="00F31D7B"/>
    <w:rsid w:val="00F34711"/>
    <w:rsid w:val="00F40076"/>
    <w:rsid w:val="00F45181"/>
    <w:rsid w:val="00F56104"/>
    <w:rsid w:val="00F62BDA"/>
    <w:rsid w:val="00F63886"/>
    <w:rsid w:val="00F651DA"/>
    <w:rsid w:val="00F7162E"/>
    <w:rsid w:val="00F77706"/>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5E"/>
    <w:rPr>
      <w:sz w:val="24"/>
      <w:szCs w:val="24"/>
    </w:rPr>
  </w:style>
  <w:style w:type="paragraph" w:styleId="Heading1">
    <w:name w:val="heading 1"/>
    <w:basedOn w:val="Normal"/>
    <w:next w:val="Normal"/>
    <w:qFormat/>
    <w:rsid w:val="00075B5E"/>
    <w:pPr>
      <w:keepNext/>
      <w:spacing w:line="312" w:lineRule="auto"/>
      <w:ind w:left="540"/>
      <w:outlineLvl w:val="0"/>
    </w:pPr>
    <w:rPr>
      <w:rFonts w:ascii="Arial" w:hAnsi="Arial" w:cs="Arial"/>
      <w:b/>
      <w:bCs/>
    </w:rPr>
  </w:style>
  <w:style w:type="paragraph" w:styleId="Heading2">
    <w:name w:val="heading 2"/>
    <w:basedOn w:val="Normal"/>
    <w:next w:val="Normal"/>
    <w:qFormat/>
    <w:rsid w:val="00075B5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075B5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075B5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075B5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D514-981F-4C30-A279-BBB60B71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3823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2023-03-17T08:21:00Z</cp:lastPrinted>
  <dcterms:created xsi:type="dcterms:W3CDTF">2023-03-31T11:29:00Z</dcterms:created>
  <dcterms:modified xsi:type="dcterms:W3CDTF">2023-03-31T11:29:00Z</dcterms:modified>
</cp:coreProperties>
</file>