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F" w:rsidRDefault="00F57A0B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F57A0B" w:rsidRDefault="00F57A0B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Question No: 93</w:t>
      </w:r>
    </w:p>
    <w:p w:rsidR="0076469C" w:rsidRPr="0076469C" w:rsidRDefault="0076469C" w:rsidP="0076469C">
      <w:pPr>
        <w:spacing w:before="100" w:beforeAutospacing="1" w:after="100" w:afterAutospacing="1"/>
        <w:ind w:left="709" w:hanging="706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76469C">
        <w:rPr>
          <w:rFonts w:ascii="Arial" w:hAnsi="Arial" w:cs="Arial"/>
          <w:b/>
          <w:sz w:val="22"/>
          <w:szCs w:val="22"/>
          <w:lang w:val="en-US"/>
        </w:rPr>
        <w:t xml:space="preserve">Mr T B Mabhena (DA) to ask the Minister of </w:t>
      </w:r>
      <w:r w:rsidRPr="0076469C">
        <w:rPr>
          <w:rFonts w:ascii="Arial" w:eastAsia="Calibri" w:hAnsi="Arial" w:cs="Arial"/>
          <w:b/>
          <w:sz w:val="22"/>
          <w:szCs w:val="22"/>
        </w:rPr>
        <w:t>Transport</w:t>
      </w:r>
      <w:r w:rsidRPr="0076469C">
        <w:rPr>
          <w:rFonts w:ascii="Arial" w:eastAsia="Calibri" w:hAnsi="Arial" w:cs="Arial"/>
          <w:b/>
          <w:sz w:val="22"/>
          <w:szCs w:val="22"/>
        </w:rPr>
        <w:fldChar w:fldCharType="begin"/>
      </w:r>
      <w:r w:rsidRPr="0076469C">
        <w:rPr>
          <w:rFonts w:ascii="Arial" w:hAnsi="Arial" w:cs="Arial"/>
          <w:sz w:val="22"/>
          <w:szCs w:val="22"/>
        </w:rPr>
        <w:instrText xml:space="preserve"> XE "</w:instrText>
      </w:r>
      <w:r w:rsidRPr="0076469C">
        <w:rPr>
          <w:rFonts w:ascii="Arial" w:hAnsi="Arial" w:cs="Arial"/>
          <w:b/>
          <w:sz w:val="22"/>
          <w:szCs w:val="22"/>
        </w:rPr>
        <w:instrText>Transport</w:instrText>
      </w:r>
      <w:r w:rsidRPr="0076469C">
        <w:rPr>
          <w:rFonts w:ascii="Arial" w:hAnsi="Arial" w:cs="Arial"/>
          <w:sz w:val="22"/>
          <w:szCs w:val="22"/>
        </w:rPr>
        <w:instrText xml:space="preserve">" </w:instrText>
      </w:r>
      <w:r w:rsidRPr="0076469C">
        <w:rPr>
          <w:rFonts w:ascii="Arial" w:eastAsia="Calibri" w:hAnsi="Arial" w:cs="Arial"/>
          <w:b/>
          <w:sz w:val="22"/>
          <w:szCs w:val="22"/>
        </w:rPr>
        <w:fldChar w:fldCharType="end"/>
      </w:r>
      <w:r w:rsidRPr="0076469C">
        <w:rPr>
          <w:rFonts w:ascii="Arial" w:eastAsia="Calibri" w:hAnsi="Arial" w:cs="Arial"/>
          <w:b/>
          <w:sz w:val="22"/>
          <w:szCs w:val="22"/>
        </w:rPr>
        <w:t>:</w:t>
      </w:r>
    </w:p>
    <w:p w:rsidR="0076469C" w:rsidRPr="0076469C" w:rsidRDefault="0076469C" w:rsidP="0076469C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76469C">
        <w:rPr>
          <w:rFonts w:ascii="Arial" w:hAnsi="Arial" w:cs="Arial"/>
          <w:sz w:val="22"/>
          <w:szCs w:val="22"/>
        </w:rPr>
        <w:t>(1)</w:t>
      </w:r>
      <w:r w:rsidRPr="0076469C">
        <w:rPr>
          <w:rFonts w:ascii="Arial" w:hAnsi="Arial" w:cs="Arial"/>
          <w:sz w:val="22"/>
          <w:szCs w:val="22"/>
        </w:rPr>
        <w:tab/>
        <w:t>(a) What are the full names of each official in the Driving Licence Card Account (DLCA) who received a combined salary increase of 88% in the past three years, (b) what process was followed when the increases were effected and (c) who approved the increases;</w:t>
      </w:r>
    </w:p>
    <w:p w:rsidR="0076469C" w:rsidRPr="0076469C" w:rsidRDefault="0076469C" w:rsidP="0076469C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76469C">
        <w:rPr>
          <w:rFonts w:ascii="Arial" w:hAnsi="Arial" w:cs="Arial"/>
          <w:sz w:val="22"/>
          <w:szCs w:val="22"/>
        </w:rPr>
        <w:t>(2)</w:t>
      </w:r>
      <w:r w:rsidRPr="0076469C">
        <w:rPr>
          <w:rFonts w:ascii="Arial" w:hAnsi="Arial" w:cs="Arial"/>
          <w:sz w:val="22"/>
          <w:szCs w:val="22"/>
        </w:rPr>
        <w:tab/>
        <w:t>whether he will furnish Mr T B Mabhena with the (a) breakdown of the salary increases according to each employee and (b) motivation and/or justification of the salary increases; if not, why not; if so, what are the relevant details;</w:t>
      </w:r>
    </w:p>
    <w:p w:rsidR="0076469C" w:rsidRPr="0076469C" w:rsidRDefault="0076469C" w:rsidP="0076469C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76469C">
        <w:rPr>
          <w:rFonts w:ascii="Arial" w:hAnsi="Arial" w:cs="Arial"/>
          <w:sz w:val="22"/>
          <w:szCs w:val="22"/>
        </w:rPr>
        <w:t>(3)</w:t>
      </w:r>
      <w:r w:rsidRPr="0076469C">
        <w:rPr>
          <w:rFonts w:ascii="Arial" w:hAnsi="Arial" w:cs="Arial"/>
          <w:sz w:val="22"/>
          <w:szCs w:val="22"/>
        </w:rPr>
        <w:tab/>
        <w:t>whether the increases were effected as a result of performance; if not, what is the position in this regard; if so, will he furnish Mr T B Mabhena with the records of performance appraisal; if not, why not; if so, on what date;</w:t>
      </w:r>
    </w:p>
    <w:p w:rsidR="0076469C" w:rsidRPr="0076469C" w:rsidRDefault="0076469C" w:rsidP="0076469C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76469C">
        <w:rPr>
          <w:rFonts w:ascii="Arial" w:hAnsi="Arial" w:cs="Arial"/>
          <w:sz w:val="22"/>
          <w:szCs w:val="22"/>
        </w:rPr>
        <w:t>(4)</w:t>
      </w:r>
      <w:r w:rsidRPr="0076469C">
        <w:rPr>
          <w:rFonts w:ascii="Arial" w:hAnsi="Arial" w:cs="Arial"/>
          <w:sz w:val="22"/>
          <w:szCs w:val="22"/>
        </w:rPr>
        <w:tab/>
        <w:t>in what way has he found were the increases justifiable in relation to the poor performance of the entity, given the fact that the DLCA revenue decreased by 34% in the 2020-21 financial year;</w:t>
      </w:r>
    </w:p>
    <w:p w:rsidR="0076469C" w:rsidRPr="0076469C" w:rsidRDefault="0076469C" w:rsidP="0076469C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6469C">
        <w:rPr>
          <w:rFonts w:ascii="Arial" w:hAnsi="Arial" w:cs="Arial"/>
          <w:sz w:val="22"/>
          <w:szCs w:val="22"/>
        </w:rPr>
        <w:t>(5)</w:t>
      </w:r>
      <w:r w:rsidRPr="0076469C">
        <w:rPr>
          <w:rFonts w:ascii="Arial" w:hAnsi="Arial" w:cs="Arial"/>
          <w:sz w:val="22"/>
          <w:szCs w:val="22"/>
        </w:rPr>
        <w:tab/>
        <w:t>whether he has found that a salary increase of 7,3% would have been adequate for senior management in the 2020-21 financial year; if not, why not; if so, what are the relevant details?</w:t>
      </w:r>
      <w:r w:rsidRPr="0076469C">
        <w:rPr>
          <w:rFonts w:ascii="Arial" w:hAnsi="Arial" w:cs="Arial"/>
          <w:sz w:val="22"/>
          <w:szCs w:val="22"/>
        </w:rPr>
        <w:tab/>
      </w:r>
      <w:r w:rsidRPr="0076469C">
        <w:rPr>
          <w:rFonts w:ascii="Arial" w:hAnsi="Arial" w:cs="Arial"/>
          <w:sz w:val="22"/>
          <w:szCs w:val="22"/>
        </w:rPr>
        <w:tab/>
      </w:r>
      <w:r w:rsidRPr="0076469C">
        <w:rPr>
          <w:rFonts w:ascii="Arial" w:hAnsi="Arial" w:cs="Arial"/>
          <w:sz w:val="22"/>
          <w:szCs w:val="22"/>
        </w:rPr>
        <w:tab/>
      </w:r>
      <w:r w:rsidRPr="0076469C">
        <w:rPr>
          <w:rFonts w:ascii="Arial" w:hAnsi="Arial" w:cs="Arial"/>
          <w:sz w:val="22"/>
          <w:szCs w:val="22"/>
        </w:rPr>
        <w:tab/>
      </w:r>
      <w:r w:rsidRPr="0076469C">
        <w:rPr>
          <w:rFonts w:ascii="Arial" w:hAnsi="Arial" w:cs="Arial"/>
          <w:sz w:val="22"/>
          <w:szCs w:val="22"/>
        </w:rPr>
        <w:tab/>
      </w:r>
      <w:r w:rsidRPr="0076469C">
        <w:rPr>
          <w:rFonts w:ascii="Arial" w:hAnsi="Arial" w:cs="Arial"/>
          <w:sz w:val="22"/>
          <w:szCs w:val="22"/>
        </w:rPr>
        <w:tab/>
      </w:r>
      <w:r w:rsidRPr="0076469C">
        <w:rPr>
          <w:rFonts w:ascii="Arial" w:hAnsi="Arial" w:cs="Arial"/>
          <w:color w:val="000000"/>
          <w:sz w:val="22"/>
          <w:szCs w:val="22"/>
          <w:lang w:eastAsia="en-GB"/>
        </w:rPr>
        <w:t>NW97E</w:t>
      </w:r>
    </w:p>
    <w:p w:rsidR="003C2BBA" w:rsidRDefault="003C2BBA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2465F" w:rsidRPr="00CB2AB7" w:rsidRDefault="00431FFB" w:rsidP="00806B9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89063D" w:rsidRPr="00AA233D" w:rsidRDefault="0089063D" w:rsidP="004902F5">
      <w:pPr>
        <w:pStyle w:val="ListParagraph"/>
        <w:numPr>
          <w:ilvl w:val="0"/>
          <w:numId w:val="29"/>
        </w:numPr>
        <w:suppressAutoHyphens w:val="0"/>
        <w:spacing w:before="120" w:after="0" w:line="24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71548594"/>
      <w:r w:rsidRPr="00AA233D">
        <w:rPr>
          <w:rFonts w:ascii="Arial" w:hAnsi="Arial" w:cs="Arial"/>
          <w:sz w:val="22"/>
          <w:szCs w:val="22"/>
        </w:rPr>
        <w:t>The</w:t>
      </w:r>
      <w:r w:rsidR="007421A3">
        <w:rPr>
          <w:rFonts w:ascii="Arial" w:hAnsi="Arial" w:cs="Arial"/>
          <w:sz w:val="22"/>
          <w:szCs w:val="22"/>
        </w:rPr>
        <w:t xml:space="preserve">re are no </w:t>
      </w:r>
      <w:r w:rsidR="00910306">
        <w:rPr>
          <w:rFonts w:ascii="Arial" w:hAnsi="Arial" w:cs="Arial"/>
          <w:sz w:val="22"/>
          <w:szCs w:val="22"/>
        </w:rPr>
        <w:t xml:space="preserve">officials that received </w:t>
      </w:r>
      <w:r w:rsidR="00174147" w:rsidRPr="0076469C">
        <w:rPr>
          <w:rFonts w:ascii="Arial" w:hAnsi="Arial" w:cs="Arial"/>
          <w:sz w:val="22"/>
          <w:szCs w:val="22"/>
        </w:rPr>
        <w:t>a combined salary increase</w:t>
      </w:r>
      <w:r w:rsidR="00174147">
        <w:rPr>
          <w:rFonts w:ascii="Arial" w:hAnsi="Arial" w:cs="Arial"/>
          <w:sz w:val="22"/>
          <w:szCs w:val="22"/>
        </w:rPr>
        <w:t xml:space="preserve"> of 88% in the past three years</w:t>
      </w:r>
      <w:r w:rsidR="007421A3">
        <w:rPr>
          <w:rFonts w:ascii="Arial" w:hAnsi="Arial" w:cs="Arial"/>
          <w:sz w:val="22"/>
          <w:szCs w:val="22"/>
        </w:rPr>
        <w:t xml:space="preserve"> at the DLCA</w:t>
      </w:r>
      <w:r w:rsidRPr="00AA233D">
        <w:rPr>
          <w:rFonts w:ascii="Arial" w:hAnsi="Arial" w:cs="Arial"/>
          <w:sz w:val="22"/>
          <w:szCs w:val="22"/>
        </w:rPr>
        <w:t xml:space="preserve">. The </w:t>
      </w:r>
      <w:r w:rsidR="000A6AE8">
        <w:rPr>
          <w:rFonts w:ascii="Arial" w:hAnsi="Arial" w:cs="Arial"/>
          <w:sz w:val="22"/>
          <w:szCs w:val="22"/>
        </w:rPr>
        <w:t xml:space="preserve">salary </w:t>
      </w:r>
      <w:r w:rsidRPr="00AA233D">
        <w:rPr>
          <w:rFonts w:ascii="Arial" w:hAnsi="Arial" w:cs="Arial"/>
          <w:sz w:val="22"/>
          <w:szCs w:val="22"/>
        </w:rPr>
        <w:t xml:space="preserve">payments </w:t>
      </w:r>
      <w:r w:rsidR="000A6AE8">
        <w:rPr>
          <w:rFonts w:ascii="Arial" w:hAnsi="Arial" w:cs="Arial"/>
          <w:sz w:val="22"/>
          <w:szCs w:val="22"/>
        </w:rPr>
        <w:t xml:space="preserve">to the executives at the DLCA </w:t>
      </w:r>
      <w:r w:rsidRPr="00AA233D">
        <w:rPr>
          <w:rFonts w:ascii="Arial" w:hAnsi="Arial" w:cs="Arial"/>
          <w:sz w:val="22"/>
          <w:szCs w:val="22"/>
        </w:rPr>
        <w:t xml:space="preserve">are provided below in line with the figures </w:t>
      </w:r>
      <w:r w:rsidR="007421A3" w:rsidRPr="00AA233D">
        <w:rPr>
          <w:rFonts w:ascii="Arial" w:hAnsi="Arial" w:cs="Arial"/>
          <w:sz w:val="22"/>
          <w:szCs w:val="22"/>
        </w:rPr>
        <w:t xml:space="preserve">audited </w:t>
      </w:r>
      <w:r w:rsidR="007421A3">
        <w:rPr>
          <w:rFonts w:ascii="Arial" w:hAnsi="Arial" w:cs="Arial"/>
          <w:sz w:val="22"/>
          <w:szCs w:val="22"/>
        </w:rPr>
        <w:t xml:space="preserve">by AGSA and </w:t>
      </w:r>
      <w:r w:rsidRPr="00AA233D">
        <w:rPr>
          <w:rFonts w:ascii="Arial" w:hAnsi="Arial" w:cs="Arial"/>
          <w:sz w:val="22"/>
          <w:szCs w:val="22"/>
        </w:rPr>
        <w:t xml:space="preserve">published in the </w:t>
      </w:r>
      <w:r w:rsidR="007421A3">
        <w:rPr>
          <w:rFonts w:ascii="Arial" w:hAnsi="Arial" w:cs="Arial"/>
          <w:sz w:val="22"/>
          <w:szCs w:val="22"/>
        </w:rPr>
        <w:t xml:space="preserve">audited </w:t>
      </w:r>
      <w:r w:rsidRPr="00AA233D">
        <w:rPr>
          <w:rFonts w:ascii="Arial" w:hAnsi="Arial" w:cs="Arial"/>
          <w:sz w:val="22"/>
          <w:szCs w:val="22"/>
        </w:rPr>
        <w:t xml:space="preserve">Annual Performance </w:t>
      </w:r>
      <w:r w:rsidR="00174147">
        <w:rPr>
          <w:rFonts w:ascii="Arial" w:hAnsi="Arial" w:cs="Arial"/>
          <w:sz w:val="22"/>
          <w:szCs w:val="22"/>
        </w:rPr>
        <w:t>Report</w:t>
      </w:r>
      <w:r w:rsidRPr="00AA233D">
        <w:rPr>
          <w:rFonts w:ascii="Arial" w:hAnsi="Arial" w:cs="Arial"/>
          <w:sz w:val="22"/>
          <w:szCs w:val="22"/>
        </w:rPr>
        <w:t xml:space="preserve"> of the Entity.</w:t>
      </w:r>
      <w:r w:rsidR="005B19BF">
        <w:rPr>
          <w:rFonts w:ascii="Arial" w:hAnsi="Arial" w:cs="Arial"/>
          <w:sz w:val="22"/>
          <w:szCs w:val="22"/>
        </w:rPr>
        <w:t xml:space="preserve"> All payments to staff at the DLCA are regulated by the D</w:t>
      </w:r>
      <w:r w:rsidR="00AA5FAA">
        <w:rPr>
          <w:rFonts w:ascii="Arial" w:hAnsi="Arial" w:cs="Arial"/>
          <w:sz w:val="22"/>
          <w:szCs w:val="22"/>
        </w:rPr>
        <w:t>epartment of Public Service and Administration.</w:t>
      </w:r>
    </w:p>
    <w:p w:rsidR="0089063D" w:rsidRPr="00AA233D" w:rsidRDefault="0089063D" w:rsidP="00E42D6A">
      <w:pPr>
        <w:pStyle w:val="ListParagraph"/>
        <w:numPr>
          <w:ilvl w:val="0"/>
          <w:numId w:val="27"/>
        </w:numPr>
        <w:suppressAutoHyphens w:val="0"/>
        <w:spacing w:before="120" w:after="0" w:line="24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A233D">
        <w:rPr>
          <w:rFonts w:ascii="Arial" w:hAnsi="Arial" w:cs="Arial"/>
          <w:sz w:val="22"/>
          <w:szCs w:val="22"/>
        </w:rPr>
        <w:t xml:space="preserve">In </w:t>
      </w:r>
      <w:r w:rsidRPr="00CA2F4E">
        <w:rPr>
          <w:rFonts w:ascii="Arial" w:hAnsi="Arial" w:cs="Arial"/>
          <w:b/>
          <w:sz w:val="22"/>
          <w:szCs w:val="22"/>
        </w:rPr>
        <w:t>2018/2019</w:t>
      </w:r>
      <w:r w:rsidRPr="00AA233D">
        <w:rPr>
          <w:rFonts w:ascii="Arial" w:hAnsi="Arial" w:cs="Arial"/>
          <w:sz w:val="22"/>
          <w:szCs w:val="22"/>
        </w:rPr>
        <w:t xml:space="preserve"> financial year, the top four executives earned a total of R</w:t>
      </w:r>
      <w:r w:rsidR="0018443A">
        <w:rPr>
          <w:rFonts w:ascii="Arial" w:hAnsi="Arial" w:cs="Arial"/>
          <w:sz w:val="22"/>
          <w:szCs w:val="22"/>
        </w:rPr>
        <w:t>3,404,</w:t>
      </w:r>
      <w:r w:rsidRPr="00AA233D">
        <w:rPr>
          <w:rFonts w:ascii="Arial" w:hAnsi="Arial" w:cs="Arial"/>
          <w:sz w:val="22"/>
          <w:szCs w:val="22"/>
        </w:rPr>
        <w:t>000. The average was R 851,000</w:t>
      </w:r>
      <w:r w:rsidR="00512FF6">
        <w:rPr>
          <w:rFonts w:ascii="Arial" w:hAnsi="Arial" w:cs="Arial"/>
          <w:sz w:val="22"/>
          <w:szCs w:val="22"/>
        </w:rPr>
        <w:t xml:space="preserve"> </w:t>
      </w:r>
      <w:r w:rsidR="00CA2F4E">
        <w:rPr>
          <w:rFonts w:ascii="Arial" w:hAnsi="Arial" w:cs="Arial"/>
          <w:sz w:val="22"/>
          <w:szCs w:val="22"/>
        </w:rPr>
        <w:t>each</w:t>
      </w:r>
      <w:r w:rsidRPr="00AA233D">
        <w:rPr>
          <w:rFonts w:ascii="Arial" w:hAnsi="Arial" w:cs="Arial"/>
          <w:sz w:val="22"/>
          <w:szCs w:val="22"/>
        </w:rPr>
        <w:t>. This average is distorted by the executive who worked only two months in the year and resigned. The average for the three executives excluding the resigned manager is 1,098,000.</w:t>
      </w:r>
    </w:p>
    <w:p w:rsidR="0089063D" w:rsidRPr="00AA233D" w:rsidRDefault="0089063D" w:rsidP="00E42D6A">
      <w:pPr>
        <w:pStyle w:val="ListParagraph"/>
        <w:numPr>
          <w:ilvl w:val="0"/>
          <w:numId w:val="27"/>
        </w:numPr>
        <w:suppressAutoHyphens w:val="0"/>
        <w:spacing w:before="120" w:after="0" w:line="24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A233D">
        <w:rPr>
          <w:rFonts w:ascii="Arial" w:hAnsi="Arial" w:cs="Arial"/>
          <w:sz w:val="22"/>
          <w:szCs w:val="22"/>
        </w:rPr>
        <w:t xml:space="preserve">In </w:t>
      </w:r>
      <w:r w:rsidRPr="00CA2F4E">
        <w:rPr>
          <w:rFonts w:ascii="Arial" w:hAnsi="Arial" w:cs="Arial"/>
          <w:b/>
          <w:sz w:val="22"/>
          <w:szCs w:val="22"/>
        </w:rPr>
        <w:t>2019/20</w:t>
      </w:r>
      <w:r w:rsidRPr="00AA233D">
        <w:rPr>
          <w:rFonts w:ascii="Arial" w:hAnsi="Arial" w:cs="Arial"/>
          <w:sz w:val="22"/>
          <w:szCs w:val="22"/>
        </w:rPr>
        <w:t xml:space="preserve"> financial year, there were three (3) executives, who earned a total of </w:t>
      </w:r>
      <w:r w:rsidR="00CA2F4E">
        <w:rPr>
          <w:rFonts w:ascii="Arial" w:hAnsi="Arial" w:cs="Arial"/>
          <w:sz w:val="22"/>
          <w:szCs w:val="22"/>
        </w:rPr>
        <w:br/>
        <w:t>R3,104,000. This resulted to an</w:t>
      </w:r>
      <w:r w:rsidRPr="00AA233D">
        <w:rPr>
          <w:rFonts w:ascii="Arial" w:hAnsi="Arial" w:cs="Arial"/>
          <w:sz w:val="22"/>
          <w:szCs w:val="22"/>
        </w:rPr>
        <w:t xml:space="preserve"> average </w:t>
      </w:r>
      <w:r w:rsidR="00CA2F4E">
        <w:rPr>
          <w:rFonts w:ascii="Arial" w:hAnsi="Arial" w:cs="Arial"/>
          <w:sz w:val="22"/>
          <w:szCs w:val="22"/>
        </w:rPr>
        <w:t xml:space="preserve">of </w:t>
      </w:r>
      <w:r w:rsidRPr="00AA233D">
        <w:rPr>
          <w:rFonts w:ascii="Arial" w:hAnsi="Arial" w:cs="Arial"/>
          <w:sz w:val="22"/>
          <w:szCs w:val="22"/>
        </w:rPr>
        <w:t>R 1,035,000</w:t>
      </w:r>
      <w:r w:rsidR="00CA2F4E">
        <w:rPr>
          <w:rFonts w:ascii="Arial" w:hAnsi="Arial" w:cs="Arial"/>
          <w:sz w:val="22"/>
          <w:szCs w:val="22"/>
        </w:rPr>
        <w:t xml:space="preserve"> each</w:t>
      </w:r>
      <w:r w:rsidRPr="00AA233D">
        <w:rPr>
          <w:rFonts w:ascii="Arial" w:hAnsi="Arial" w:cs="Arial"/>
          <w:sz w:val="22"/>
          <w:szCs w:val="22"/>
        </w:rPr>
        <w:t>.</w:t>
      </w:r>
    </w:p>
    <w:p w:rsidR="0089063D" w:rsidRPr="00AA233D" w:rsidRDefault="0089063D" w:rsidP="00E42D6A">
      <w:pPr>
        <w:pStyle w:val="ListParagraph"/>
        <w:numPr>
          <w:ilvl w:val="0"/>
          <w:numId w:val="27"/>
        </w:numPr>
        <w:suppressAutoHyphens w:val="0"/>
        <w:spacing w:before="120" w:after="0" w:line="24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A233D">
        <w:rPr>
          <w:rFonts w:ascii="Arial" w:hAnsi="Arial" w:cs="Arial"/>
          <w:sz w:val="22"/>
          <w:szCs w:val="22"/>
        </w:rPr>
        <w:t xml:space="preserve">In </w:t>
      </w:r>
      <w:r w:rsidRPr="00CA2F4E">
        <w:rPr>
          <w:rFonts w:ascii="Arial" w:hAnsi="Arial" w:cs="Arial"/>
          <w:b/>
          <w:sz w:val="22"/>
          <w:szCs w:val="22"/>
        </w:rPr>
        <w:t>2020/21</w:t>
      </w:r>
      <w:r w:rsidRPr="00AA233D">
        <w:rPr>
          <w:rFonts w:ascii="Arial" w:hAnsi="Arial" w:cs="Arial"/>
          <w:sz w:val="22"/>
          <w:szCs w:val="22"/>
        </w:rPr>
        <w:t xml:space="preserve"> financial year, there were three (3) executives, who earned a total of </w:t>
      </w:r>
      <w:r w:rsidR="00CA2F4E">
        <w:rPr>
          <w:rFonts w:ascii="Arial" w:hAnsi="Arial" w:cs="Arial"/>
          <w:sz w:val="22"/>
          <w:szCs w:val="22"/>
        </w:rPr>
        <w:br/>
      </w:r>
      <w:r w:rsidRPr="00AA233D">
        <w:rPr>
          <w:rFonts w:ascii="Arial" w:hAnsi="Arial" w:cs="Arial"/>
          <w:sz w:val="22"/>
          <w:szCs w:val="22"/>
        </w:rPr>
        <w:t>R3,196,000. The average was R 1,065,000. The difference is due to the fact that the CFO did not act for 12 months.</w:t>
      </w:r>
    </w:p>
    <w:p w:rsidR="000A6AE8" w:rsidRDefault="000A6AE8" w:rsidP="00C85650">
      <w:pPr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9118" w:type="dxa"/>
        <w:tblLook w:val="04A0"/>
      </w:tblPr>
      <w:tblGrid>
        <w:gridCol w:w="5418"/>
        <w:gridCol w:w="1195"/>
        <w:gridCol w:w="1310"/>
        <w:gridCol w:w="1195"/>
      </w:tblGrid>
      <w:tr w:rsidR="00501751" w:rsidRPr="00ED63F5" w:rsidTr="00501751">
        <w:trPr>
          <w:trHeight w:val="29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501751" w:rsidRDefault="003544EC" w:rsidP="0050175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="00501751" w:rsidRPr="0050175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Executives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2018/'19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2019/'20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2020/'21</w:t>
            </w:r>
          </w:p>
        </w:tc>
      </w:tr>
      <w:tr w:rsidR="00501751" w:rsidRPr="00ED63F5" w:rsidTr="00501751">
        <w:trPr>
          <w:trHeight w:val="29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Former CFO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178,000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Resigned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Resigned </w:t>
            </w:r>
          </w:p>
        </w:tc>
      </w:tr>
      <w:tr w:rsidR="00501751" w:rsidRPr="00ED63F5" w:rsidTr="00501751">
        <w:trPr>
          <w:trHeight w:val="29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Acting CFO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ED63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1,038,000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927,000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ED63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1,016,000 </w:t>
            </w:r>
          </w:p>
        </w:tc>
      </w:tr>
      <w:tr w:rsidR="00501751" w:rsidRPr="00ED63F5" w:rsidTr="00501751">
        <w:trPr>
          <w:trHeight w:val="29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Senior Manager: Information Technology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ED63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109,000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Resigned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Resigned </w:t>
            </w:r>
          </w:p>
        </w:tc>
      </w:tr>
      <w:tr w:rsidR="00501751" w:rsidRPr="00ED63F5" w:rsidTr="00501751">
        <w:trPr>
          <w:trHeight w:val="29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Senior Manager: Production &amp; Infrastructure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1,061,000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1,107,000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ED63F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1,111,000 </w:t>
            </w:r>
          </w:p>
        </w:tc>
      </w:tr>
      <w:tr w:rsidR="00501751" w:rsidRPr="00ED63F5" w:rsidTr="00501751">
        <w:trPr>
          <w:trHeight w:val="29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Senior Manager: Risk, Governance &amp; Compliance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1,018,000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ED63F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1,070,000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ED63F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1,069,000 </w:t>
            </w:r>
          </w:p>
        </w:tc>
      </w:tr>
      <w:tr w:rsidR="00501751" w:rsidRPr="00ED63F5" w:rsidTr="00501751">
        <w:trPr>
          <w:trHeight w:val="29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="00ED63F5" w:rsidRPr="00ED63F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Total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ED63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3,404,000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3,104,000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3,196,000 </w:t>
            </w:r>
          </w:p>
        </w:tc>
      </w:tr>
      <w:tr w:rsidR="00501751" w:rsidRPr="00ED63F5" w:rsidTr="00501751">
        <w:trPr>
          <w:trHeight w:val="29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ED63F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   851,000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1,034,667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EC" w:rsidRPr="00ED63F5" w:rsidRDefault="003544EC" w:rsidP="00A9118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ED63F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1,065,333 </w:t>
            </w:r>
          </w:p>
        </w:tc>
      </w:tr>
    </w:tbl>
    <w:p w:rsidR="003544EC" w:rsidRDefault="003544EC" w:rsidP="00C85650">
      <w:pPr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B30FC" w:rsidRDefault="00D34751" w:rsidP="00D34751">
      <w:pPr>
        <w:pStyle w:val="ListParagraph"/>
        <w:numPr>
          <w:ilvl w:val="0"/>
          <w:numId w:val="29"/>
        </w:numPr>
        <w:suppressAutoHyphens w:val="0"/>
        <w:spacing w:before="120" w:after="0" w:line="240" w:lineRule="auto"/>
        <w:ind w:left="36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D23CC">
        <w:rPr>
          <w:rFonts w:ascii="Arial" w:hAnsi="Arial" w:cs="Arial"/>
          <w:color w:val="000000"/>
          <w:sz w:val="22"/>
          <w:szCs w:val="22"/>
        </w:rPr>
        <w:t>Refer to (1) above</w:t>
      </w:r>
    </w:p>
    <w:p w:rsidR="00AD23CC" w:rsidRDefault="00D34751" w:rsidP="00AD23CC">
      <w:pPr>
        <w:pStyle w:val="ListParagraph"/>
        <w:numPr>
          <w:ilvl w:val="0"/>
          <w:numId w:val="29"/>
        </w:numPr>
        <w:suppressAutoHyphens w:val="0"/>
        <w:spacing w:before="120" w:after="0" w:line="240" w:lineRule="auto"/>
        <w:ind w:left="36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D23CC">
        <w:rPr>
          <w:rFonts w:ascii="Arial" w:hAnsi="Arial" w:cs="Arial"/>
          <w:color w:val="000000"/>
          <w:sz w:val="22"/>
          <w:szCs w:val="22"/>
        </w:rPr>
        <w:t>Refer to (1) above</w:t>
      </w:r>
    </w:p>
    <w:p w:rsidR="00AD23CC" w:rsidRDefault="00AD23CC" w:rsidP="00AD23CC">
      <w:pPr>
        <w:pStyle w:val="ListParagraph"/>
        <w:numPr>
          <w:ilvl w:val="0"/>
          <w:numId w:val="29"/>
        </w:numPr>
        <w:suppressAutoHyphens w:val="0"/>
        <w:spacing w:before="120" w:after="0" w:line="240" w:lineRule="auto"/>
        <w:ind w:left="36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Refer to (1) above</w:t>
      </w:r>
    </w:p>
    <w:p w:rsidR="00AD23CC" w:rsidRDefault="00AD23CC" w:rsidP="00AD23CC">
      <w:pPr>
        <w:pStyle w:val="ListParagraph"/>
        <w:numPr>
          <w:ilvl w:val="0"/>
          <w:numId w:val="29"/>
        </w:numPr>
        <w:suppressAutoHyphens w:val="0"/>
        <w:spacing w:before="120" w:after="0" w:line="240" w:lineRule="auto"/>
        <w:ind w:left="36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Although the DLCA executives would appreciate the salary increase </w:t>
      </w:r>
      <w:r w:rsidR="00055F6C">
        <w:rPr>
          <w:rFonts w:ascii="Arial" w:hAnsi="Arial" w:cs="Arial"/>
          <w:color w:val="000000"/>
          <w:sz w:val="22"/>
          <w:szCs w:val="22"/>
        </w:rPr>
        <w:t>of 7.3%, all salaries</w:t>
      </w:r>
      <w:r>
        <w:rPr>
          <w:rFonts w:ascii="Arial" w:hAnsi="Arial" w:cs="Arial"/>
          <w:color w:val="000000"/>
          <w:sz w:val="22"/>
          <w:szCs w:val="22"/>
        </w:rPr>
        <w:t xml:space="preserve"> paid to the DLCA executives are aligned to the DPSA directive</w:t>
      </w:r>
      <w:r w:rsidR="00917FC6">
        <w:rPr>
          <w:rFonts w:ascii="Arial" w:hAnsi="Arial" w:cs="Arial"/>
          <w:color w:val="000000"/>
          <w:sz w:val="22"/>
          <w:szCs w:val="22"/>
        </w:rPr>
        <w:t xml:space="preserve"> of which in 2020-21 financial year no increases were paid to the executives</w:t>
      </w:r>
      <w:r w:rsidR="0030169C">
        <w:rPr>
          <w:rFonts w:ascii="Arial" w:hAnsi="Arial" w:cs="Arial"/>
          <w:color w:val="000000"/>
          <w:sz w:val="22"/>
          <w:szCs w:val="22"/>
        </w:rPr>
        <w:t>/ senior managers</w:t>
      </w:r>
      <w:r w:rsidR="00917FC6">
        <w:rPr>
          <w:rFonts w:ascii="Arial" w:hAnsi="Arial" w:cs="Arial"/>
          <w:color w:val="000000"/>
          <w:sz w:val="22"/>
          <w:szCs w:val="22"/>
        </w:rPr>
        <w:t>.</w:t>
      </w:r>
    </w:p>
    <w:bookmarkEnd w:id="0"/>
    <w:p w:rsidR="00D34751" w:rsidRDefault="00D34751" w:rsidP="00107B84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D34751" w:rsidSect="005A7D3A">
      <w:pgSz w:w="12240" w:h="15840"/>
      <w:pgMar w:top="1418" w:right="1440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56" w:rsidRDefault="00385D56">
      <w:r>
        <w:separator/>
      </w:r>
    </w:p>
  </w:endnote>
  <w:endnote w:type="continuationSeparator" w:id="0">
    <w:p w:rsidR="00385D56" w:rsidRDefault="00385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56" w:rsidRDefault="00385D56">
      <w:r>
        <w:separator/>
      </w:r>
    </w:p>
  </w:footnote>
  <w:footnote w:type="continuationSeparator" w:id="0">
    <w:p w:rsidR="00385D56" w:rsidRDefault="00385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69C"/>
    <w:multiLevelType w:val="hybridMultilevel"/>
    <w:tmpl w:val="722E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685"/>
    <w:multiLevelType w:val="hybridMultilevel"/>
    <w:tmpl w:val="CBF2AFA8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08205FB3"/>
    <w:multiLevelType w:val="hybridMultilevel"/>
    <w:tmpl w:val="50A06F6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9954634"/>
    <w:multiLevelType w:val="hybridMultilevel"/>
    <w:tmpl w:val="AA0A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1F1606"/>
    <w:multiLevelType w:val="hybridMultilevel"/>
    <w:tmpl w:val="2222FDC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BE7CEC"/>
    <w:multiLevelType w:val="hybridMultilevel"/>
    <w:tmpl w:val="5644F7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E72D3"/>
    <w:multiLevelType w:val="hybridMultilevel"/>
    <w:tmpl w:val="22FA4DD0"/>
    <w:lvl w:ilvl="0" w:tplc="A82E78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2C022F5"/>
    <w:multiLevelType w:val="hybridMultilevel"/>
    <w:tmpl w:val="88A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3E7346C"/>
    <w:multiLevelType w:val="hybridMultilevel"/>
    <w:tmpl w:val="8FBC9D14"/>
    <w:lvl w:ilvl="0" w:tplc="B5E241E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1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56F2395"/>
    <w:multiLevelType w:val="hybridMultilevel"/>
    <w:tmpl w:val="F5B4B25E"/>
    <w:lvl w:ilvl="0" w:tplc="77D4962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5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2C2EDB"/>
    <w:multiLevelType w:val="hybridMultilevel"/>
    <w:tmpl w:val="8DCAE1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27"/>
  </w:num>
  <w:num w:numId="5">
    <w:abstractNumId w:val="21"/>
  </w:num>
  <w:num w:numId="6">
    <w:abstractNumId w:val="18"/>
  </w:num>
  <w:num w:numId="7">
    <w:abstractNumId w:val="14"/>
  </w:num>
  <w:num w:numId="8">
    <w:abstractNumId w:val="7"/>
  </w:num>
  <w:num w:numId="9">
    <w:abstractNumId w:val="22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26"/>
  </w:num>
  <w:num w:numId="15">
    <w:abstractNumId w:val="20"/>
  </w:num>
  <w:num w:numId="16">
    <w:abstractNumId w:val="24"/>
  </w:num>
  <w:num w:numId="17">
    <w:abstractNumId w:val="0"/>
  </w:num>
  <w:num w:numId="18">
    <w:abstractNumId w:val="19"/>
  </w:num>
  <w:num w:numId="19">
    <w:abstractNumId w:val="17"/>
  </w:num>
  <w:num w:numId="20">
    <w:abstractNumId w:val="13"/>
  </w:num>
  <w:num w:numId="21">
    <w:abstractNumId w:val="1"/>
  </w:num>
  <w:num w:numId="22">
    <w:abstractNumId w:val="2"/>
  </w:num>
  <w:num w:numId="23">
    <w:abstractNumId w:val="8"/>
  </w:num>
  <w:num w:numId="24">
    <w:abstractNumId w:val="3"/>
  </w:num>
  <w:num w:numId="25">
    <w:abstractNumId w:val="28"/>
  </w:num>
  <w:num w:numId="26">
    <w:abstractNumId w:val="6"/>
  </w:num>
  <w:num w:numId="27">
    <w:abstractNumId w:val="23"/>
  </w:num>
  <w:num w:numId="28">
    <w:abstractNumId w:val="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14DCA"/>
    <w:rsid w:val="00016BA0"/>
    <w:rsid w:val="00020051"/>
    <w:rsid w:val="0002309F"/>
    <w:rsid w:val="00024C9D"/>
    <w:rsid w:val="000337B8"/>
    <w:rsid w:val="00034087"/>
    <w:rsid w:val="0003638E"/>
    <w:rsid w:val="0004110B"/>
    <w:rsid w:val="00041CC1"/>
    <w:rsid w:val="000424EB"/>
    <w:rsid w:val="00052E60"/>
    <w:rsid w:val="00055F6C"/>
    <w:rsid w:val="00064000"/>
    <w:rsid w:val="00082ADE"/>
    <w:rsid w:val="000A6AE8"/>
    <w:rsid w:val="000D2FCC"/>
    <w:rsid w:val="000E46E0"/>
    <w:rsid w:val="00107B84"/>
    <w:rsid w:val="00124B06"/>
    <w:rsid w:val="00130913"/>
    <w:rsid w:val="00136739"/>
    <w:rsid w:val="001465BA"/>
    <w:rsid w:val="00152742"/>
    <w:rsid w:val="00174147"/>
    <w:rsid w:val="001829E2"/>
    <w:rsid w:val="0018443A"/>
    <w:rsid w:val="001A6EB5"/>
    <w:rsid w:val="001B30FC"/>
    <w:rsid w:val="001B3A9C"/>
    <w:rsid w:val="001B5F04"/>
    <w:rsid w:val="001C0016"/>
    <w:rsid w:val="001D7FF3"/>
    <w:rsid w:val="001E56FC"/>
    <w:rsid w:val="001F04AB"/>
    <w:rsid w:val="00225A2A"/>
    <w:rsid w:val="00226862"/>
    <w:rsid w:val="00235D7B"/>
    <w:rsid w:val="00237995"/>
    <w:rsid w:val="00237C59"/>
    <w:rsid w:val="002425A4"/>
    <w:rsid w:val="00242966"/>
    <w:rsid w:val="002456E4"/>
    <w:rsid w:val="00251CE1"/>
    <w:rsid w:val="00252FE4"/>
    <w:rsid w:val="0026496F"/>
    <w:rsid w:val="002765E6"/>
    <w:rsid w:val="00287706"/>
    <w:rsid w:val="002A5A36"/>
    <w:rsid w:val="002A6B98"/>
    <w:rsid w:val="002B33E9"/>
    <w:rsid w:val="002B3521"/>
    <w:rsid w:val="002B4CC3"/>
    <w:rsid w:val="002D4ABF"/>
    <w:rsid w:val="002F3330"/>
    <w:rsid w:val="0030169C"/>
    <w:rsid w:val="003148C1"/>
    <w:rsid w:val="00326688"/>
    <w:rsid w:val="00337C35"/>
    <w:rsid w:val="00345018"/>
    <w:rsid w:val="003544EC"/>
    <w:rsid w:val="0037735D"/>
    <w:rsid w:val="0038074E"/>
    <w:rsid w:val="0038097C"/>
    <w:rsid w:val="00381F6D"/>
    <w:rsid w:val="00385180"/>
    <w:rsid w:val="00385D56"/>
    <w:rsid w:val="00387FEF"/>
    <w:rsid w:val="00392721"/>
    <w:rsid w:val="0039544E"/>
    <w:rsid w:val="00395FAB"/>
    <w:rsid w:val="003A7D7C"/>
    <w:rsid w:val="003C2BBA"/>
    <w:rsid w:val="003D2356"/>
    <w:rsid w:val="003E6EEB"/>
    <w:rsid w:val="003E7A1C"/>
    <w:rsid w:val="0040324C"/>
    <w:rsid w:val="00405959"/>
    <w:rsid w:val="00411BD1"/>
    <w:rsid w:val="00411F12"/>
    <w:rsid w:val="0042443D"/>
    <w:rsid w:val="00431FFB"/>
    <w:rsid w:val="0043348C"/>
    <w:rsid w:val="00437E91"/>
    <w:rsid w:val="004413E4"/>
    <w:rsid w:val="00441BD7"/>
    <w:rsid w:val="00457030"/>
    <w:rsid w:val="00471AD3"/>
    <w:rsid w:val="00485272"/>
    <w:rsid w:val="004902F5"/>
    <w:rsid w:val="004C1EEB"/>
    <w:rsid w:val="004E7C50"/>
    <w:rsid w:val="004F1197"/>
    <w:rsid w:val="00501751"/>
    <w:rsid w:val="00510ACC"/>
    <w:rsid w:val="00510B97"/>
    <w:rsid w:val="00512FF6"/>
    <w:rsid w:val="0051301F"/>
    <w:rsid w:val="00517714"/>
    <w:rsid w:val="0053543F"/>
    <w:rsid w:val="00585C6D"/>
    <w:rsid w:val="005A7D3A"/>
    <w:rsid w:val="005B19BF"/>
    <w:rsid w:val="005B41E4"/>
    <w:rsid w:val="005B5BA3"/>
    <w:rsid w:val="005C31F0"/>
    <w:rsid w:val="005C59C6"/>
    <w:rsid w:val="005D38A5"/>
    <w:rsid w:val="006053FE"/>
    <w:rsid w:val="00607381"/>
    <w:rsid w:val="00611598"/>
    <w:rsid w:val="00612A92"/>
    <w:rsid w:val="006348E3"/>
    <w:rsid w:val="00636266"/>
    <w:rsid w:val="006504F0"/>
    <w:rsid w:val="006532B9"/>
    <w:rsid w:val="00653B72"/>
    <w:rsid w:val="00661147"/>
    <w:rsid w:val="00664844"/>
    <w:rsid w:val="00666D4D"/>
    <w:rsid w:val="006723D4"/>
    <w:rsid w:val="00673B92"/>
    <w:rsid w:val="00675536"/>
    <w:rsid w:val="00677616"/>
    <w:rsid w:val="006A7311"/>
    <w:rsid w:val="006B2B5E"/>
    <w:rsid w:val="006C0D88"/>
    <w:rsid w:val="006E2005"/>
    <w:rsid w:val="006F71AF"/>
    <w:rsid w:val="00700C01"/>
    <w:rsid w:val="007027F7"/>
    <w:rsid w:val="00704C1A"/>
    <w:rsid w:val="007058EE"/>
    <w:rsid w:val="00713973"/>
    <w:rsid w:val="00721E32"/>
    <w:rsid w:val="007269C6"/>
    <w:rsid w:val="007277EA"/>
    <w:rsid w:val="007341C8"/>
    <w:rsid w:val="007421A3"/>
    <w:rsid w:val="00743EB1"/>
    <w:rsid w:val="00760318"/>
    <w:rsid w:val="0076469C"/>
    <w:rsid w:val="00765CB9"/>
    <w:rsid w:val="00774F52"/>
    <w:rsid w:val="00787B82"/>
    <w:rsid w:val="00793DB2"/>
    <w:rsid w:val="007A1E4C"/>
    <w:rsid w:val="007B5587"/>
    <w:rsid w:val="007C3628"/>
    <w:rsid w:val="007C49D3"/>
    <w:rsid w:val="007D1DB5"/>
    <w:rsid w:val="007E5609"/>
    <w:rsid w:val="007F4FB6"/>
    <w:rsid w:val="00806B90"/>
    <w:rsid w:val="0082465F"/>
    <w:rsid w:val="008415E3"/>
    <w:rsid w:val="00854EEA"/>
    <w:rsid w:val="00857E66"/>
    <w:rsid w:val="0088592E"/>
    <w:rsid w:val="0089063D"/>
    <w:rsid w:val="00890C38"/>
    <w:rsid w:val="00891BA4"/>
    <w:rsid w:val="008920CB"/>
    <w:rsid w:val="008C423C"/>
    <w:rsid w:val="008D1184"/>
    <w:rsid w:val="008D2789"/>
    <w:rsid w:val="009007BA"/>
    <w:rsid w:val="00910306"/>
    <w:rsid w:val="00917FC6"/>
    <w:rsid w:val="00920373"/>
    <w:rsid w:val="00920516"/>
    <w:rsid w:val="00925679"/>
    <w:rsid w:val="00932BE1"/>
    <w:rsid w:val="00970C1F"/>
    <w:rsid w:val="0097109E"/>
    <w:rsid w:val="00974C3B"/>
    <w:rsid w:val="00977C0A"/>
    <w:rsid w:val="00980549"/>
    <w:rsid w:val="009837A4"/>
    <w:rsid w:val="009A00BC"/>
    <w:rsid w:val="009A75BD"/>
    <w:rsid w:val="009B23A9"/>
    <w:rsid w:val="009B47B9"/>
    <w:rsid w:val="009B59CD"/>
    <w:rsid w:val="009C2DDB"/>
    <w:rsid w:val="009F40C5"/>
    <w:rsid w:val="00A0518F"/>
    <w:rsid w:val="00A054A7"/>
    <w:rsid w:val="00A0566C"/>
    <w:rsid w:val="00A14605"/>
    <w:rsid w:val="00A24093"/>
    <w:rsid w:val="00A52B6B"/>
    <w:rsid w:val="00A54A49"/>
    <w:rsid w:val="00A568DE"/>
    <w:rsid w:val="00A72D34"/>
    <w:rsid w:val="00A74B01"/>
    <w:rsid w:val="00A80870"/>
    <w:rsid w:val="00A91181"/>
    <w:rsid w:val="00A92055"/>
    <w:rsid w:val="00A96DA6"/>
    <w:rsid w:val="00AA233D"/>
    <w:rsid w:val="00AA5FAA"/>
    <w:rsid w:val="00AB0485"/>
    <w:rsid w:val="00AB6D56"/>
    <w:rsid w:val="00AD23CC"/>
    <w:rsid w:val="00AD7A5B"/>
    <w:rsid w:val="00AF1395"/>
    <w:rsid w:val="00AF418A"/>
    <w:rsid w:val="00B3414C"/>
    <w:rsid w:val="00B70328"/>
    <w:rsid w:val="00B83217"/>
    <w:rsid w:val="00B860FF"/>
    <w:rsid w:val="00B8678D"/>
    <w:rsid w:val="00B9558D"/>
    <w:rsid w:val="00BA0A9C"/>
    <w:rsid w:val="00BC22EA"/>
    <w:rsid w:val="00BC3BED"/>
    <w:rsid w:val="00BC73D2"/>
    <w:rsid w:val="00C006D6"/>
    <w:rsid w:val="00C104AA"/>
    <w:rsid w:val="00C250FE"/>
    <w:rsid w:val="00C26DCC"/>
    <w:rsid w:val="00C466AE"/>
    <w:rsid w:val="00C56433"/>
    <w:rsid w:val="00C7054F"/>
    <w:rsid w:val="00C73282"/>
    <w:rsid w:val="00C815E6"/>
    <w:rsid w:val="00C843A6"/>
    <w:rsid w:val="00C85650"/>
    <w:rsid w:val="00C9190C"/>
    <w:rsid w:val="00CA2F4E"/>
    <w:rsid w:val="00CA30B4"/>
    <w:rsid w:val="00CB0BF4"/>
    <w:rsid w:val="00CB2AB7"/>
    <w:rsid w:val="00CB2B14"/>
    <w:rsid w:val="00CB2DF3"/>
    <w:rsid w:val="00CB6795"/>
    <w:rsid w:val="00CC12C9"/>
    <w:rsid w:val="00CC3DBF"/>
    <w:rsid w:val="00CD56BE"/>
    <w:rsid w:val="00CE11EF"/>
    <w:rsid w:val="00CE4231"/>
    <w:rsid w:val="00CF46F2"/>
    <w:rsid w:val="00CF4B33"/>
    <w:rsid w:val="00D11D88"/>
    <w:rsid w:val="00D15831"/>
    <w:rsid w:val="00D253F8"/>
    <w:rsid w:val="00D34751"/>
    <w:rsid w:val="00D34CBF"/>
    <w:rsid w:val="00D5334D"/>
    <w:rsid w:val="00D76D32"/>
    <w:rsid w:val="00D91DFB"/>
    <w:rsid w:val="00D956F8"/>
    <w:rsid w:val="00D95727"/>
    <w:rsid w:val="00DA3181"/>
    <w:rsid w:val="00DA3F5F"/>
    <w:rsid w:val="00DB5ED9"/>
    <w:rsid w:val="00DB7340"/>
    <w:rsid w:val="00DC24FF"/>
    <w:rsid w:val="00DD1C18"/>
    <w:rsid w:val="00DE22D8"/>
    <w:rsid w:val="00DF3929"/>
    <w:rsid w:val="00E22B78"/>
    <w:rsid w:val="00E30026"/>
    <w:rsid w:val="00E31A36"/>
    <w:rsid w:val="00E3479A"/>
    <w:rsid w:val="00E42C01"/>
    <w:rsid w:val="00E42D6A"/>
    <w:rsid w:val="00E51CF2"/>
    <w:rsid w:val="00E5486F"/>
    <w:rsid w:val="00E70DB4"/>
    <w:rsid w:val="00E9309F"/>
    <w:rsid w:val="00E977F7"/>
    <w:rsid w:val="00EB4F6D"/>
    <w:rsid w:val="00EC3A80"/>
    <w:rsid w:val="00ED63F5"/>
    <w:rsid w:val="00EF4F84"/>
    <w:rsid w:val="00EF64CA"/>
    <w:rsid w:val="00F10440"/>
    <w:rsid w:val="00F13895"/>
    <w:rsid w:val="00F2002D"/>
    <w:rsid w:val="00F208C8"/>
    <w:rsid w:val="00F274D2"/>
    <w:rsid w:val="00F27ED8"/>
    <w:rsid w:val="00F34081"/>
    <w:rsid w:val="00F44732"/>
    <w:rsid w:val="00F44866"/>
    <w:rsid w:val="00F47916"/>
    <w:rsid w:val="00F57A0B"/>
    <w:rsid w:val="00F64BE4"/>
    <w:rsid w:val="00F71816"/>
    <w:rsid w:val="00F72FDD"/>
    <w:rsid w:val="00F76E39"/>
    <w:rsid w:val="00F81A73"/>
    <w:rsid w:val="00F924CF"/>
    <w:rsid w:val="00F95566"/>
    <w:rsid w:val="00FA54F7"/>
    <w:rsid w:val="00FC49AD"/>
    <w:rsid w:val="00FC63AA"/>
    <w:rsid w:val="00FD4470"/>
    <w:rsid w:val="00FD7763"/>
    <w:rsid w:val="00FD7DC2"/>
    <w:rsid w:val="00FD7E25"/>
    <w:rsid w:val="00FE7490"/>
    <w:rsid w:val="00FF3A38"/>
    <w:rsid w:val="00FF45CE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eastAsia="Calibri"/>
      <w:sz w:val="20"/>
      <w:lang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A2BD21D8BF45AEA6B9D48DC1102C" ma:contentTypeVersion="14" ma:contentTypeDescription="Create a new document." ma:contentTypeScope="" ma:versionID="d5d308b2132ab4fd8a5b80446ef9f15b">
  <xsd:schema xmlns:xsd="http://www.w3.org/2001/XMLSchema" xmlns:xs="http://www.w3.org/2001/XMLSchema" xmlns:p="http://schemas.microsoft.com/office/2006/metadata/properties" xmlns:ns3="e6de00b8-cbc4-440b-b0ff-7ff7353ed99f" xmlns:ns4="59311da5-8d3b-49ec-89bb-30f785fb363d" targetNamespace="http://schemas.microsoft.com/office/2006/metadata/properties" ma:root="true" ma:fieldsID="014e13e66a9ad9875e0ec7c87d3b66d1" ns3:_="" ns4:_="">
    <xsd:import namespace="e6de00b8-cbc4-440b-b0ff-7ff7353ed99f"/>
    <xsd:import namespace="59311da5-8d3b-49ec-89bb-30f785fb3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00b8-cbc4-440b-b0ff-7ff7353ed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11da5-8d3b-49ec-89bb-30f785fb3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B8AE62-1E0F-48EF-9F7D-7279791F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00b8-cbc4-440b-b0ff-7ff7353ed99f"/>
    <ds:schemaRef ds:uri="59311da5-8d3b-49ec-89bb-30f785fb3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ABDD0-ED57-44A6-9D51-58560100629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2021-06-23T11:25:00Z</cp:lastPrinted>
  <dcterms:created xsi:type="dcterms:W3CDTF">2022-03-03T11:09:00Z</dcterms:created>
  <dcterms:modified xsi:type="dcterms:W3CDTF">2022-03-03T11:09:00Z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0x0101007817A2BD21D8BF45AEA6B9D48DC1102C</vt:lpwstr>
  </property>
</Properties>
</file>