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E2" w:rsidRPr="00733AE2" w:rsidRDefault="00733AE2" w:rsidP="00733AE2">
      <w:pPr>
        <w:spacing w:after="0" w:line="240" w:lineRule="auto"/>
        <w:outlineLvl w:val="0"/>
        <w:rPr>
          <w:rFonts w:ascii="Arial" w:eastAsia="Arial Unicode MS" w:hAnsi="Arial" w:cs="Times New Roman"/>
          <w:color w:val="000000"/>
          <w:sz w:val="24"/>
          <w:szCs w:val="20"/>
          <w:lang w:eastAsia="en-ZA"/>
        </w:rPr>
      </w:pPr>
      <w:r w:rsidRPr="00733AE2">
        <w:rPr>
          <w:noProof/>
          <w:lang w:eastAsia="en-ZA"/>
        </w:rPr>
        <w:drawing>
          <wp:anchor distT="57150" distB="57150" distL="57150" distR="57150" simplePos="0" relativeHeight="251659264" behindDoc="0" locked="0" layoutInCell="1" allowOverlap="1">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733AE2" w:rsidRPr="00733AE2" w:rsidRDefault="00733AE2" w:rsidP="00733AE2">
      <w:pPr>
        <w:spacing w:after="0" w:line="240" w:lineRule="auto"/>
        <w:outlineLvl w:val="0"/>
        <w:rPr>
          <w:rFonts w:ascii="Arial" w:eastAsia="Arial Unicode MS" w:hAnsi="Arial" w:cs="Times New Roman"/>
          <w:color w:val="000000"/>
          <w:sz w:val="24"/>
          <w:szCs w:val="20"/>
          <w:lang w:eastAsia="en-ZA"/>
        </w:rPr>
      </w:pPr>
    </w:p>
    <w:p w:rsidR="00733AE2" w:rsidRPr="00733AE2" w:rsidRDefault="00733AE2" w:rsidP="00733AE2">
      <w:pPr>
        <w:spacing w:after="0" w:line="240" w:lineRule="auto"/>
        <w:outlineLvl w:val="0"/>
        <w:rPr>
          <w:rFonts w:ascii="Arial" w:eastAsia="Arial Unicode MS" w:hAnsi="Arial" w:cs="Times New Roman"/>
          <w:color w:val="000000"/>
          <w:sz w:val="24"/>
          <w:szCs w:val="20"/>
          <w:lang w:eastAsia="en-ZA"/>
        </w:rPr>
      </w:pPr>
    </w:p>
    <w:p w:rsidR="00733AE2" w:rsidRPr="00733AE2" w:rsidRDefault="00733AE2" w:rsidP="00733AE2">
      <w:pPr>
        <w:spacing w:after="0" w:line="240" w:lineRule="auto"/>
        <w:jc w:val="center"/>
        <w:outlineLvl w:val="0"/>
        <w:rPr>
          <w:rFonts w:ascii="Arial" w:eastAsia="Arial Unicode MS" w:hAnsi="Arial" w:cs="Times New Roman"/>
          <w:b/>
          <w:color w:val="000000"/>
          <w:sz w:val="24"/>
          <w:szCs w:val="20"/>
          <w:lang w:eastAsia="en-ZA"/>
        </w:rPr>
      </w:pPr>
    </w:p>
    <w:p w:rsidR="00733AE2" w:rsidRPr="00733AE2" w:rsidRDefault="00733AE2" w:rsidP="00733AE2">
      <w:pPr>
        <w:spacing w:after="0" w:line="240" w:lineRule="auto"/>
        <w:jc w:val="center"/>
        <w:outlineLvl w:val="0"/>
        <w:rPr>
          <w:rFonts w:ascii="Arial" w:eastAsia="Arial Unicode MS" w:hAnsi="Arial" w:cs="Times New Roman"/>
          <w:b/>
          <w:color w:val="000000"/>
          <w:sz w:val="24"/>
          <w:szCs w:val="20"/>
          <w:lang w:eastAsia="en-ZA"/>
        </w:rPr>
      </w:pPr>
    </w:p>
    <w:p w:rsidR="00733AE2" w:rsidRPr="00733AE2" w:rsidRDefault="00733AE2" w:rsidP="00733AE2">
      <w:pPr>
        <w:spacing w:after="0" w:line="276" w:lineRule="auto"/>
        <w:jc w:val="center"/>
        <w:outlineLvl w:val="0"/>
        <w:rPr>
          <w:rFonts w:ascii="Arial" w:eastAsia="Arial Unicode MS" w:hAnsi="Arial" w:cs="Times New Roman"/>
          <w:b/>
          <w:color w:val="000000"/>
          <w:sz w:val="24"/>
          <w:szCs w:val="20"/>
          <w:lang w:eastAsia="en-ZA"/>
        </w:rPr>
      </w:pPr>
      <w:r w:rsidRPr="00733AE2">
        <w:rPr>
          <w:rFonts w:ascii="Arial" w:eastAsia="Arial Unicode MS" w:hAnsi="Arial Unicode MS" w:cs="Times New Roman"/>
          <w:b/>
          <w:color w:val="000000"/>
          <w:sz w:val="24"/>
          <w:szCs w:val="20"/>
          <w:lang w:eastAsia="en-ZA"/>
        </w:rPr>
        <w:t>MINISTRY: PUBLIC SERVICE AND ADMINISTRATION</w:t>
      </w:r>
    </w:p>
    <w:p w:rsidR="00733AE2" w:rsidRPr="00733AE2" w:rsidRDefault="00733AE2" w:rsidP="00733AE2">
      <w:pPr>
        <w:spacing w:after="0" w:line="276" w:lineRule="auto"/>
        <w:jc w:val="center"/>
        <w:outlineLvl w:val="0"/>
        <w:rPr>
          <w:rFonts w:ascii="Arial" w:eastAsia="Arial Unicode MS" w:hAnsi="Arial" w:cs="Times New Roman"/>
          <w:b/>
          <w:color w:val="000000"/>
          <w:sz w:val="24"/>
          <w:szCs w:val="20"/>
          <w:lang w:eastAsia="en-ZA"/>
        </w:rPr>
      </w:pPr>
      <w:r w:rsidRPr="00733AE2">
        <w:rPr>
          <w:rFonts w:ascii="Arial" w:eastAsia="Arial Unicode MS" w:hAnsi="Arial Unicode MS" w:cs="Times New Roman"/>
          <w:b/>
          <w:color w:val="000000"/>
          <w:sz w:val="24"/>
          <w:szCs w:val="20"/>
          <w:lang w:eastAsia="en-ZA"/>
        </w:rPr>
        <w:t>REPUBLIC OF SOUTH AFRICA</w:t>
      </w:r>
    </w:p>
    <w:p w:rsidR="00733AE2" w:rsidRPr="00733AE2" w:rsidRDefault="00733AE2" w:rsidP="00733AE2">
      <w:pPr>
        <w:spacing w:after="0" w:line="276" w:lineRule="auto"/>
        <w:outlineLvl w:val="0"/>
        <w:rPr>
          <w:rFonts w:ascii="Arial" w:eastAsia="Arial Unicode MS" w:hAnsi="Arial" w:cs="Times New Roman"/>
          <w:b/>
          <w:color w:val="000000"/>
          <w:sz w:val="24"/>
          <w:szCs w:val="20"/>
          <w:lang w:eastAsia="en-ZA"/>
        </w:rPr>
      </w:pPr>
    </w:p>
    <w:p w:rsidR="00733AE2" w:rsidRPr="00733AE2" w:rsidRDefault="00733AE2" w:rsidP="00733AE2">
      <w:pPr>
        <w:spacing w:after="0" w:line="276" w:lineRule="auto"/>
        <w:outlineLvl w:val="0"/>
        <w:rPr>
          <w:rFonts w:ascii="Arial" w:eastAsia="Arial Unicode MS" w:hAnsi="Arial" w:cs="Arial"/>
          <w:b/>
          <w:color w:val="000000"/>
          <w:sz w:val="24"/>
          <w:szCs w:val="24"/>
          <w:lang w:eastAsia="en-ZA"/>
        </w:rPr>
      </w:pPr>
      <w:r w:rsidRPr="00733AE2">
        <w:rPr>
          <w:rFonts w:ascii="Arial" w:eastAsia="Arial Unicode MS" w:hAnsi="Arial" w:cs="Arial"/>
          <w:b/>
          <w:color w:val="000000"/>
          <w:sz w:val="24"/>
          <w:szCs w:val="24"/>
          <w:lang w:eastAsia="en-ZA"/>
        </w:rPr>
        <w:t>NATIONAL ASSEMBLY</w:t>
      </w:r>
    </w:p>
    <w:p w:rsidR="00733AE2" w:rsidRPr="00733AE2" w:rsidRDefault="00733AE2" w:rsidP="00733AE2">
      <w:pPr>
        <w:spacing w:after="0" w:line="276" w:lineRule="auto"/>
        <w:outlineLvl w:val="0"/>
        <w:rPr>
          <w:rFonts w:ascii="Arial" w:eastAsia="Arial Unicode MS" w:hAnsi="Arial" w:cs="Arial"/>
          <w:b/>
          <w:color w:val="000000"/>
          <w:sz w:val="24"/>
          <w:szCs w:val="24"/>
          <w:lang w:eastAsia="en-ZA"/>
        </w:rPr>
      </w:pPr>
    </w:p>
    <w:p w:rsidR="00733AE2" w:rsidRPr="00733AE2" w:rsidRDefault="00733AE2" w:rsidP="00733AE2">
      <w:pPr>
        <w:spacing w:after="0" w:line="276" w:lineRule="auto"/>
        <w:outlineLvl w:val="0"/>
        <w:rPr>
          <w:rFonts w:ascii="Arial" w:eastAsia="Arial Unicode MS" w:hAnsi="Arial" w:cs="Arial"/>
          <w:b/>
          <w:color w:val="000000"/>
          <w:sz w:val="24"/>
          <w:szCs w:val="24"/>
          <w:lang w:eastAsia="en-ZA"/>
        </w:rPr>
      </w:pPr>
      <w:r w:rsidRPr="00733AE2">
        <w:rPr>
          <w:rFonts w:ascii="Arial" w:eastAsia="Arial Unicode MS" w:hAnsi="Arial" w:cs="Arial"/>
          <w:b/>
          <w:color w:val="000000"/>
          <w:sz w:val="24"/>
          <w:szCs w:val="24"/>
          <w:lang w:eastAsia="en-ZA"/>
        </w:rPr>
        <w:t xml:space="preserve">QUESTION FOR WRITTEN REPLY </w:t>
      </w:r>
    </w:p>
    <w:p w:rsidR="00733AE2" w:rsidRPr="00733AE2" w:rsidRDefault="00733AE2" w:rsidP="00733AE2">
      <w:pPr>
        <w:spacing w:after="0" w:line="276" w:lineRule="auto"/>
        <w:outlineLvl w:val="0"/>
        <w:rPr>
          <w:rFonts w:ascii="Arial" w:eastAsia="Arial Unicode MS" w:hAnsi="Arial" w:cs="Arial"/>
          <w:b/>
          <w:color w:val="000000"/>
          <w:sz w:val="24"/>
          <w:szCs w:val="24"/>
          <w:lang w:eastAsia="en-ZA"/>
        </w:rPr>
      </w:pPr>
    </w:p>
    <w:p w:rsidR="00733AE2" w:rsidRPr="00733AE2" w:rsidRDefault="00733AE2" w:rsidP="00733AE2">
      <w:pPr>
        <w:spacing w:after="0" w:line="276" w:lineRule="auto"/>
        <w:outlineLvl w:val="0"/>
        <w:rPr>
          <w:rFonts w:ascii="Arial" w:eastAsia="Arial Unicode MS" w:hAnsi="Arial" w:cs="Arial"/>
          <w:b/>
          <w:color w:val="000000"/>
          <w:sz w:val="24"/>
          <w:szCs w:val="24"/>
          <w:lang w:eastAsia="en-ZA"/>
        </w:rPr>
      </w:pPr>
      <w:r w:rsidRPr="00733AE2">
        <w:rPr>
          <w:rFonts w:ascii="Arial" w:eastAsia="Arial Unicode MS" w:hAnsi="Arial" w:cs="Arial"/>
          <w:b/>
          <w:color w:val="000000"/>
          <w:sz w:val="24"/>
          <w:szCs w:val="24"/>
          <w:lang w:eastAsia="en-ZA"/>
        </w:rPr>
        <w:t>DATE:</w:t>
      </w:r>
      <w:r w:rsidRPr="00733AE2">
        <w:rPr>
          <w:rFonts w:ascii="Arial" w:eastAsia="Arial Unicode MS" w:hAnsi="Arial" w:cs="Arial"/>
          <w:b/>
          <w:color w:val="000000"/>
          <w:sz w:val="24"/>
          <w:szCs w:val="24"/>
          <w:lang w:eastAsia="en-ZA"/>
        </w:rPr>
        <w:tab/>
        <w:t>13 FEBRUARY 2020</w:t>
      </w:r>
    </w:p>
    <w:p w:rsidR="00733AE2" w:rsidRPr="00733AE2" w:rsidRDefault="00733AE2" w:rsidP="00733AE2">
      <w:pPr>
        <w:spacing w:after="0" w:line="276" w:lineRule="auto"/>
        <w:outlineLvl w:val="0"/>
        <w:rPr>
          <w:rFonts w:ascii="Arial" w:eastAsia="Arial Unicode MS" w:hAnsi="Arial" w:cs="Arial"/>
          <w:b/>
          <w:color w:val="000000"/>
          <w:sz w:val="24"/>
          <w:szCs w:val="24"/>
          <w:lang w:eastAsia="en-ZA"/>
        </w:rPr>
      </w:pPr>
    </w:p>
    <w:p w:rsidR="00733AE2" w:rsidRPr="00733AE2" w:rsidRDefault="00733AE2" w:rsidP="00733AE2">
      <w:pPr>
        <w:spacing w:after="0" w:line="276" w:lineRule="auto"/>
        <w:outlineLvl w:val="0"/>
        <w:rPr>
          <w:rFonts w:ascii="Arial" w:eastAsia="Arial Unicode MS" w:hAnsi="Arial" w:cs="Arial"/>
          <w:b/>
          <w:color w:val="000000"/>
          <w:sz w:val="24"/>
          <w:szCs w:val="24"/>
          <w:lang w:eastAsia="en-ZA"/>
        </w:rPr>
      </w:pPr>
      <w:r w:rsidRPr="00733AE2">
        <w:rPr>
          <w:rFonts w:ascii="Arial" w:eastAsia="Arial Unicode MS" w:hAnsi="Arial" w:cs="Arial"/>
          <w:b/>
          <w:color w:val="000000"/>
          <w:sz w:val="24"/>
          <w:szCs w:val="24"/>
          <w:lang w:eastAsia="en-ZA"/>
        </w:rPr>
        <w:t xml:space="preserve">QUESTION NO.: </w:t>
      </w:r>
      <w:r w:rsidRPr="00733AE2">
        <w:rPr>
          <w:rFonts w:ascii="Arial" w:eastAsia="Arial Unicode MS" w:hAnsi="Arial" w:cs="Arial"/>
          <w:b/>
          <w:color w:val="000000"/>
          <w:sz w:val="24"/>
          <w:szCs w:val="24"/>
          <w:lang w:eastAsia="en-ZA"/>
        </w:rPr>
        <w:tab/>
        <w:t>93</w:t>
      </w:r>
    </w:p>
    <w:p w:rsidR="00733AE2" w:rsidRPr="00733AE2" w:rsidRDefault="00733AE2" w:rsidP="00733AE2">
      <w:pPr>
        <w:spacing w:before="100" w:beforeAutospacing="1" w:after="100" w:afterAutospacing="1" w:line="360" w:lineRule="auto"/>
        <w:ind w:left="720" w:hanging="720"/>
        <w:jc w:val="both"/>
        <w:outlineLvl w:val="0"/>
        <w:rPr>
          <w:rFonts w:ascii="Arial" w:eastAsia="Calibri" w:hAnsi="Arial" w:cs="Arial"/>
          <w:b/>
          <w:sz w:val="24"/>
          <w:szCs w:val="24"/>
        </w:rPr>
      </w:pPr>
      <w:r w:rsidRPr="00733AE2">
        <w:rPr>
          <w:rFonts w:ascii="Arial" w:eastAsia="Calibri" w:hAnsi="Arial" w:cs="Arial"/>
          <w:b/>
          <w:sz w:val="24"/>
          <w:szCs w:val="24"/>
        </w:rPr>
        <w:t xml:space="preserve">Mrs M Clarke (DA) to ask the Minister of Public Service and Administration </w:t>
      </w:r>
    </w:p>
    <w:p w:rsidR="00733AE2" w:rsidRPr="00733AE2" w:rsidRDefault="00733AE2" w:rsidP="00733AE2">
      <w:pPr>
        <w:numPr>
          <w:ilvl w:val="0"/>
          <w:numId w:val="1"/>
        </w:numPr>
        <w:tabs>
          <w:tab w:val="left" w:pos="432"/>
          <w:tab w:val="left" w:pos="864"/>
        </w:tabs>
        <w:spacing w:before="100" w:beforeAutospacing="1" w:after="100" w:afterAutospacing="1" w:line="360" w:lineRule="auto"/>
        <w:jc w:val="both"/>
        <w:rPr>
          <w:rFonts w:ascii="Arial" w:eastAsia="Calibri" w:hAnsi="Arial" w:cs="Arial"/>
          <w:sz w:val="24"/>
          <w:szCs w:val="24"/>
        </w:rPr>
      </w:pPr>
      <w:r w:rsidRPr="00733AE2">
        <w:rPr>
          <w:rFonts w:ascii="Arial" w:eastAsia="Calibri" w:hAnsi="Arial" w:cs="Arial"/>
          <w:sz w:val="24"/>
          <w:szCs w:val="24"/>
        </w:rPr>
        <w:t>(a) What are the details of (</w:t>
      </w:r>
      <w:proofErr w:type="spellStart"/>
      <w:r w:rsidRPr="00733AE2">
        <w:rPr>
          <w:rFonts w:ascii="Arial" w:eastAsia="Calibri" w:hAnsi="Arial" w:cs="Arial"/>
          <w:sz w:val="24"/>
          <w:szCs w:val="24"/>
        </w:rPr>
        <w:t>i</w:t>
      </w:r>
      <w:proofErr w:type="spellEnd"/>
      <w:r w:rsidRPr="00733AE2">
        <w:rPr>
          <w:rFonts w:ascii="Arial" w:eastAsia="Calibri" w:hAnsi="Arial" w:cs="Arial"/>
          <w:sz w:val="24"/>
          <w:szCs w:val="24"/>
        </w:rPr>
        <w:t xml:space="preserve">) each department that has contracted workers, (ii) the permanent organogram in terms of staff structures of each specified department, (iii) the budget for the relevant permanent </w:t>
      </w:r>
      <w:proofErr w:type="spellStart"/>
      <w:r w:rsidRPr="00733AE2">
        <w:rPr>
          <w:rFonts w:ascii="Arial" w:eastAsia="Calibri" w:hAnsi="Arial" w:cs="Arial"/>
          <w:sz w:val="24"/>
          <w:szCs w:val="24"/>
        </w:rPr>
        <w:t>positons</w:t>
      </w:r>
      <w:proofErr w:type="spellEnd"/>
      <w:r w:rsidRPr="00733AE2">
        <w:rPr>
          <w:rFonts w:ascii="Arial" w:eastAsia="Calibri" w:hAnsi="Arial" w:cs="Arial"/>
          <w:sz w:val="24"/>
          <w:szCs w:val="24"/>
        </w:rPr>
        <w:t xml:space="preserve"> and (iv) the expenditure for the relevant contracted positions within each department and (b) why are contracted positions established within each department when the staff organogram have vacant funded positions available;</w:t>
      </w:r>
    </w:p>
    <w:p w:rsidR="00733AE2" w:rsidRPr="00733AE2" w:rsidRDefault="00733AE2" w:rsidP="00733AE2">
      <w:pPr>
        <w:numPr>
          <w:ilvl w:val="0"/>
          <w:numId w:val="1"/>
        </w:numPr>
        <w:tabs>
          <w:tab w:val="left" w:pos="432"/>
          <w:tab w:val="left" w:pos="864"/>
        </w:tabs>
        <w:spacing w:before="100" w:beforeAutospacing="1" w:after="100" w:afterAutospacing="1" w:line="360" w:lineRule="auto"/>
        <w:jc w:val="both"/>
        <w:rPr>
          <w:rFonts w:ascii="Arial" w:eastAsia="Calibri" w:hAnsi="Arial" w:cs="Arial"/>
          <w:sz w:val="24"/>
          <w:szCs w:val="24"/>
        </w:rPr>
      </w:pPr>
      <w:r w:rsidRPr="00733AE2">
        <w:rPr>
          <w:rFonts w:ascii="Arial" w:eastAsia="Calibri" w:hAnsi="Arial" w:cs="Arial"/>
          <w:sz w:val="24"/>
          <w:szCs w:val="24"/>
        </w:rPr>
        <w:t>What total number of government departments have merged?</w:t>
      </w:r>
    </w:p>
    <w:p w:rsidR="00733AE2" w:rsidRPr="00733AE2" w:rsidRDefault="00733AE2" w:rsidP="00733AE2">
      <w:pPr>
        <w:numPr>
          <w:ilvl w:val="0"/>
          <w:numId w:val="1"/>
        </w:numPr>
        <w:tabs>
          <w:tab w:val="left" w:pos="432"/>
          <w:tab w:val="left" w:pos="864"/>
        </w:tabs>
        <w:spacing w:before="100" w:beforeAutospacing="1" w:after="100" w:afterAutospacing="1" w:line="360" w:lineRule="auto"/>
        <w:jc w:val="both"/>
        <w:rPr>
          <w:rFonts w:ascii="Arial" w:eastAsia="Calibri" w:hAnsi="Arial" w:cs="Arial"/>
          <w:sz w:val="24"/>
          <w:szCs w:val="24"/>
        </w:rPr>
      </w:pPr>
      <w:r w:rsidRPr="00733AE2">
        <w:rPr>
          <w:rFonts w:ascii="Arial" w:eastAsia="Calibri" w:hAnsi="Arial" w:cs="Arial"/>
          <w:sz w:val="24"/>
          <w:szCs w:val="24"/>
        </w:rPr>
        <w:t>Whether the staff of the merged departments have been placed; if not, why not; if so, what (a) total number of staff members have not been placed within positions and (b) what does the department intend doing with staff that has not been placed?</w:t>
      </w:r>
      <w:r w:rsidRPr="00733AE2">
        <w:rPr>
          <w:rFonts w:ascii="Arial" w:eastAsia="Times New Roman" w:hAnsi="Arial" w:cs="Arial"/>
          <w:b/>
          <w:sz w:val="24"/>
          <w:szCs w:val="24"/>
          <w:lang w:val="en-US"/>
        </w:rPr>
        <w:t>NW105E</w:t>
      </w:r>
    </w:p>
    <w:p w:rsidR="00733AE2" w:rsidRPr="00733AE2" w:rsidRDefault="006010BF" w:rsidP="00733AE2">
      <w:pPr>
        <w:spacing w:after="0" w:line="360" w:lineRule="auto"/>
        <w:jc w:val="both"/>
        <w:rPr>
          <w:rFonts w:ascii="Arial" w:eastAsia="Calibri" w:hAnsi="Arial" w:cs="Arial"/>
          <w:b/>
          <w:sz w:val="24"/>
          <w:szCs w:val="24"/>
        </w:rPr>
      </w:pPr>
      <w:r w:rsidRPr="00733AE2">
        <w:rPr>
          <w:rFonts w:ascii="Arial" w:hAnsi="Arial" w:cs="Arial"/>
          <w:b/>
          <w:sz w:val="24"/>
          <w:szCs w:val="24"/>
        </w:rPr>
        <w:fldChar w:fldCharType="begin"/>
      </w:r>
      <w:r w:rsidR="00733AE2" w:rsidRPr="00733AE2">
        <w:rPr>
          <w:rFonts w:ascii="Arial" w:hAnsi="Arial" w:cs="Arial"/>
          <w:sz w:val="24"/>
          <w:szCs w:val="24"/>
        </w:rPr>
        <w:instrText xml:space="preserve"> XE "</w:instrText>
      </w:r>
      <w:r w:rsidR="00733AE2" w:rsidRPr="00733AE2">
        <w:rPr>
          <w:rFonts w:ascii="Arial" w:hAnsi="Arial" w:cs="Arial"/>
          <w:b/>
          <w:sz w:val="24"/>
          <w:szCs w:val="24"/>
        </w:rPr>
        <w:instrText>Public Service and Administration</w:instrText>
      </w:r>
      <w:r w:rsidR="00733AE2" w:rsidRPr="00733AE2">
        <w:rPr>
          <w:rFonts w:ascii="Arial" w:hAnsi="Arial" w:cs="Arial"/>
          <w:sz w:val="24"/>
          <w:szCs w:val="24"/>
        </w:rPr>
        <w:instrText xml:space="preserve">" </w:instrText>
      </w:r>
      <w:r w:rsidRPr="00733AE2">
        <w:rPr>
          <w:rFonts w:ascii="Arial" w:hAnsi="Arial" w:cs="Arial"/>
          <w:b/>
          <w:sz w:val="24"/>
          <w:szCs w:val="24"/>
        </w:rPr>
        <w:fldChar w:fldCharType="end"/>
      </w:r>
      <w:r w:rsidR="00733AE2" w:rsidRPr="00733AE2">
        <w:rPr>
          <w:rFonts w:ascii="Arial" w:eastAsia="Calibri" w:hAnsi="Arial" w:cs="Arial"/>
          <w:b/>
          <w:sz w:val="24"/>
          <w:szCs w:val="24"/>
        </w:rPr>
        <w:t xml:space="preserve">REPLY: </w:t>
      </w:r>
    </w:p>
    <w:p w:rsidR="00733AE2" w:rsidRPr="00733AE2" w:rsidRDefault="00733AE2" w:rsidP="00733AE2">
      <w:pPr>
        <w:spacing w:after="0" w:line="360" w:lineRule="auto"/>
        <w:jc w:val="both"/>
        <w:rPr>
          <w:rFonts w:ascii="Arial" w:eastAsia="Calibri" w:hAnsi="Arial" w:cs="Arial"/>
          <w:sz w:val="24"/>
          <w:szCs w:val="24"/>
          <w:lang w:val="en-GB"/>
        </w:rPr>
      </w:pPr>
      <w:r w:rsidRPr="00733AE2">
        <w:rPr>
          <w:rFonts w:ascii="Arial" w:eastAsia="Calibri" w:hAnsi="Arial" w:cs="Arial"/>
          <w:sz w:val="24"/>
          <w:szCs w:val="24"/>
          <w:lang w:val="en-GB"/>
        </w:rPr>
        <w:t xml:space="preserve"> (a) (</w:t>
      </w:r>
      <w:proofErr w:type="spellStart"/>
      <w:proofErr w:type="gramStart"/>
      <w:r w:rsidRPr="00733AE2">
        <w:rPr>
          <w:rFonts w:ascii="Arial" w:eastAsia="Calibri" w:hAnsi="Arial" w:cs="Arial"/>
          <w:sz w:val="24"/>
          <w:szCs w:val="24"/>
          <w:lang w:val="en-GB"/>
        </w:rPr>
        <w:t>i</w:t>
      </w:r>
      <w:proofErr w:type="spellEnd"/>
      <w:proofErr w:type="gramEnd"/>
      <w:r w:rsidRPr="00733AE2">
        <w:rPr>
          <w:rFonts w:ascii="Arial" w:eastAsia="Calibri" w:hAnsi="Arial" w:cs="Arial"/>
          <w:sz w:val="24"/>
          <w:szCs w:val="24"/>
          <w:lang w:val="en-GB"/>
        </w:rPr>
        <w:t xml:space="preserve">)  In terms of information on PERSAL as at 31 May 2020, 62 581    employees have been appointed on temporary basis.  Attached is a breakdown of temporary appointments per department </w:t>
      </w:r>
      <w:r w:rsidRPr="00733AE2">
        <w:rPr>
          <w:rFonts w:ascii="Arial" w:eastAsia="Calibri" w:hAnsi="Arial" w:cs="Arial"/>
          <w:b/>
          <w:sz w:val="24"/>
          <w:szCs w:val="24"/>
          <w:lang w:val="en-GB"/>
        </w:rPr>
        <w:t>(Annexure A</w:t>
      </w:r>
      <w:r w:rsidRPr="00733AE2">
        <w:rPr>
          <w:rFonts w:ascii="Arial" w:eastAsia="Calibri" w:hAnsi="Arial" w:cs="Arial"/>
          <w:sz w:val="24"/>
          <w:szCs w:val="24"/>
          <w:lang w:val="en-GB"/>
        </w:rPr>
        <w:t>).</w:t>
      </w:r>
    </w:p>
    <w:p w:rsidR="00733AE2" w:rsidRPr="00733AE2" w:rsidRDefault="00733AE2" w:rsidP="00733AE2">
      <w:pPr>
        <w:numPr>
          <w:ilvl w:val="0"/>
          <w:numId w:val="2"/>
        </w:numPr>
        <w:spacing w:after="0" w:line="360" w:lineRule="auto"/>
        <w:contextualSpacing/>
        <w:jc w:val="both"/>
        <w:rPr>
          <w:rFonts w:ascii="Arial" w:eastAsia="Calibri" w:hAnsi="Arial" w:cs="Arial"/>
          <w:sz w:val="24"/>
          <w:szCs w:val="24"/>
          <w:lang w:val="en-GB"/>
        </w:rPr>
      </w:pPr>
      <w:r w:rsidRPr="00733AE2">
        <w:rPr>
          <w:rFonts w:ascii="Arial" w:eastAsia="Calibri" w:hAnsi="Arial" w:cs="Arial"/>
          <w:sz w:val="24"/>
          <w:szCs w:val="24"/>
          <w:lang w:val="en-GB"/>
        </w:rPr>
        <w:t xml:space="preserve">The breakdown from PERSAL as at 31 May 2020 on the permanent organogram in terms of staff structures of each specified department is attached at </w:t>
      </w:r>
      <w:r w:rsidRPr="00733AE2">
        <w:rPr>
          <w:rFonts w:ascii="Arial" w:eastAsia="Calibri" w:hAnsi="Arial" w:cs="Arial"/>
          <w:b/>
          <w:sz w:val="24"/>
          <w:szCs w:val="24"/>
          <w:lang w:val="en-GB"/>
        </w:rPr>
        <w:t>(Annexure B).</w:t>
      </w:r>
    </w:p>
    <w:p w:rsidR="00733AE2" w:rsidRPr="00733AE2" w:rsidRDefault="00733AE2" w:rsidP="00733AE2">
      <w:pPr>
        <w:numPr>
          <w:ilvl w:val="0"/>
          <w:numId w:val="2"/>
        </w:numPr>
        <w:spacing w:after="0" w:line="360" w:lineRule="auto"/>
        <w:contextualSpacing/>
        <w:jc w:val="both"/>
        <w:rPr>
          <w:rFonts w:ascii="Arial" w:eastAsia="Calibri" w:hAnsi="Arial" w:cs="Arial"/>
          <w:sz w:val="24"/>
          <w:szCs w:val="24"/>
          <w:lang w:val="en-GB"/>
        </w:rPr>
      </w:pPr>
      <w:proofErr w:type="gramStart"/>
      <w:r w:rsidRPr="00733AE2">
        <w:rPr>
          <w:rFonts w:ascii="Arial" w:eastAsia="Calibri" w:hAnsi="Arial" w:cs="Arial"/>
          <w:sz w:val="24"/>
          <w:szCs w:val="24"/>
          <w:lang w:val="en-GB"/>
        </w:rPr>
        <w:t>and</w:t>
      </w:r>
      <w:proofErr w:type="gramEnd"/>
      <w:r w:rsidRPr="00733AE2">
        <w:rPr>
          <w:rFonts w:ascii="Arial" w:eastAsia="Calibri" w:hAnsi="Arial" w:cs="Arial"/>
          <w:sz w:val="24"/>
          <w:szCs w:val="24"/>
          <w:lang w:val="en-GB"/>
        </w:rPr>
        <w:t xml:space="preserve"> (iv) Budget and expenditure details for the relevant contracted positions can be obtained from the National Treasury. </w:t>
      </w:r>
    </w:p>
    <w:p w:rsidR="00733AE2" w:rsidRPr="00733AE2" w:rsidRDefault="00733AE2" w:rsidP="00733AE2">
      <w:pPr>
        <w:spacing w:after="0" w:line="360" w:lineRule="auto"/>
        <w:ind w:left="66"/>
        <w:jc w:val="both"/>
        <w:rPr>
          <w:rFonts w:ascii="Arial" w:eastAsia="Calibri" w:hAnsi="Arial" w:cs="Arial"/>
          <w:sz w:val="24"/>
          <w:szCs w:val="24"/>
          <w:lang w:val="en-GB"/>
        </w:rPr>
      </w:pPr>
      <w:r w:rsidRPr="00733AE2">
        <w:rPr>
          <w:rFonts w:ascii="Arial" w:eastAsia="Calibri" w:hAnsi="Arial" w:cs="Arial"/>
          <w:sz w:val="24"/>
          <w:szCs w:val="24"/>
          <w:lang w:val="en-GB"/>
        </w:rPr>
        <w:lastRenderedPageBreak/>
        <w:t>(b)    Persons may be employed to contracted positions additional to the establishment of a department based on a temporary need and such appointments are in terms of Regulation 57 (2) where;</w:t>
      </w:r>
    </w:p>
    <w:p w:rsidR="00733AE2" w:rsidRPr="00733AE2" w:rsidRDefault="00733AE2" w:rsidP="00733AE2">
      <w:pPr>
        <w:numPr>
          <w:ilvl w:val="0"/>
          <w:numId w:val="3"/>
        </w:numPr>
        <w:spacing w:after="0" w:line="360" w:lineRule="auto"/>
        <w:contextualSpacing/>
        <w:jc w:val="both"/>
        <w:rPr>
          <w:rFonts w:ascii="Arial" w:eastAsia="Calibri" w:hAnsi="Arial" w:cs="Arial"/>
          <w:sz w:val="24"/>
          <w:szCs w:val="24"/>
          <w:lang w:val="en-GB"/>
        </w:rPr>
      </w:pPr>
      <w:r w:rsidRPr="00733AE2">
        <w:rPr>
          <w:rFonts w:ascii="Arial" w:eastAsia="Calibri" w:hAnsi="Arial" w:cs="Arial"/>
          <w:sz w:val="24"/>
          <w:szCs w:val="24"/>
          <w:lang w:val="en-GB"/>
        </w:rPr>
        <w:t>The incumbent of a post is expected to be absent for such a period that his/her duties cannot be performed by other employees;</w:t>
      </w:r>
    </w:p>
    <w:p w:rsidR="00733AE2" w:rsidRPr="00733AE2" w:rsidRDefault="00733AE2" w:rsidP="00733AE2">
      <w:pPr>
        <w:numPr>
          <w:ilvl w:val="0"/>
          <w:numId w:val="3"/>
        </w:numPr>
        <w:spacing w:after="0" w:line="360" w:lineRule="auto"/>
        <w:contextualSpacing/>
        <w:jc w:val="both"/>
        <w:rPr>
          <w:rFonts w:ascii="Arial" w:eastAsia="Calibri" w:hAnsi="Arial" w:cs="Arial"/>
          <w:sz w:val="24"/>
          <w:szCs w:val="24"/>
          <w:lang w:val="en-GB"/>
        </w:rPr>
      </w:pPr>
      <w:r w:rsidRPr="00733AE2">
        <w:rPr>
          <w:rFonts w:ascii="Arial" w:eastAsia="Calibri" w:hAnsi="Arial" w:cs="Arial"/>
          <w:sz w:val="24"/>
          <w:szCs w:val="24"/>
          <w:lang w:val="en-GB"/>
        </w:rPr>
        <w:t>A temporary increase in work occurs or it is necessary for any other reason to temporarily increase the staff of the department;</w:t>
      </w:r>
    </w:p>
    <w:p w:rsidR="00733AE2" w:rsidRPr="00733AE2" w:rsidRDefault="00733AE2" w:rsidP="00733AE2">
      <w:pPr>
        <w:numPr>
          <w:ilvl w:val="0"/>
          <w:numId w:val="3"/>
        </w:numPr>
        <w:spacing w:after="0" w:line="360" w:lineRule="auto"/>
        <w:contextualSpacing/>
        <w:jc w:val="both"/>
        <w:rPr>
          <w:rFonts w:ascii="Arial" w:eastAsia="Calibri" w:hAnsi="Arial" w:cs="Arial"/>
          <w:sz w:val="24"/>
          <w:szCs w:val="24"/>
          <w:lang w:val="en-GB"/>
        </w:rPr>
      </w:pPr>
      <w:r w:rsidRPr="00733AE2">
        <w:rPr>
          <w:rFonts w:ascii="Arial" w:eastAsia="Calibri" w:hAnsi="Arial" w:cs="Arial"/>
          <w:sz w:val="24"/>
          <w:szCs w:val="24"/>
          <w:lang w:val="en-GB"/>
        </w:rPr>
        <w:t>An employee’s post has been abolished and he or she cannot be transferred into another post; and</w:t>
      </w:r>
    </w:p>
    <w:p w:rsidR="00733AE2" w:rsidRPr="00733AE2" w:rsidRDefault="00733AE2" w:rsidP="00733AE2">
      <w:pPr>
        <w:numPr>
          <w:ilvl w:val="0"/>
          <w:numId w:val="3"/>
        </w:numPr>
        <w:spacing w:after="0" w:line="360" w:lineRule="auto"/>
        <w:contextualSpacing/>
        <w:jc w:val="both"/>
        <w:rPr>
          <w:rFonts w:ascii="Arial" w:eastAsia="Calibri" w:hAnsi="Arial" w:cs="Arial"/>
          <w:sz w:val="24"/>
          <w:szCs w:val="24"/>
          <w:lang w:val="en-GB"/>
        </w:rPr>
      </w:pPr>
      <w:r w:rsidRPr="00733AE2">
        <w:rPr>
          <w:rFonts w:ascii="Arial" w:eastAsia="Calibri" w:hAnsi="Arial" w:cs="Arial"/>
          <w:sz w:val="24"/>
          <w:szCs w:val="24"/>
          <w:lang w:val="en-GB"/>
        </w:rPr>
        <w:t>An employee is part of a development programme as contemplated in regulation 58 (Development Programmes: Internship)</w:t>
      </w:r>
    </w:p>
    <w:p w:rsidR="00733AE2" w:rsidRPr="00733AE2" w:rsidRDefault="00733AE2" w:rsidP="00733AE2">
      <w:pPr>
        <w:spacing w:after="0" w:line="360" w:lineRule="auto"/>
        <w:jc w:val="both"/>
        <w:rPr>
          <w:rFonts w:ascii="Arial" w:eastAsia="Calibri" w:hAnsi="Arial" w:cs="Arial"/>
          <w:sz w:val="24"/>
          <w:szCs w:val="24"/>
          <w:lang w:val="en-GB"/>
        </w:rPr>
      </w:pPr>
    </w:p>
    <w:p w:rsidR="00733AE2" w:rsidRPr="00733AE2" w:rsidRDefault="00733AE2" w:rsidP="00733AE2">
      <w:pPr>
        <w:spacing w:after="0" w:line="360" w:lineRule="auto"/>
        <w:jc w:val="both"/>
        <w:rPr>
          <w:rFonts w:ascii="Arial" w:eastAsia="Calibri" w:hAnsi="Arial" w:cs="Arial"/>
          <w:sz w:val="24"/>
          <w:szCs w:val="24"/>
          <w:lang w:val="en-GB"/>
        </w:rPr>
      </w:pPr>
      <w:r w:rsidRPr="00733AE2">
        <w:rPr>
          <w:rFonts w:ascii="Arial" w:eastAsia="Calibri" w:hAnsi="Arial" w:cs="Arial"/>
          <w:sz w:val="24"/>
          <w:szCs w:val="24"/>
          <w:lang w:val="en-GB"/>
        </w:rPr>
        <w:t>Appointments of this nature are for a period that must not exceed 12 consecutive calendar months.</w:t>
      </w:r>
    </w:p>
    <w:p w:rsidR="00733AE2" w:rsidRPr="00733AE2" w:rsidRDefault="00733AE2" w:rsidP="00733AE2">
      <w:pPr>
        <w:spacing w:after="0" w:line="360" w:lineRule="auto"/>
        <w:jc w:val="both"/>
        <w:rPr>
          <w:rFonts w:ascii="Arial" w:eastAsia="Calibri" w:hAnsi="Arial" w:cs="Arial"/>
          <w:sz w:val="24"/>
          <w:szCs w:val="24"/>
          <w:lang w:val="en-GB"/>
        </w:rPr>
      </w:pPr>
    </w:p>
    <w:p w:rsidR="00733AE2" w:rsidRPr="00733AE2" w:rsidRDefault="00733AE2" w:rsidP="00733AE2">
      <w:pPr>
        <w:spacing w:after="0" w:line="360" w:lineRule="auto"/>
        <w:jc w:val="both"/>
        <w:rPr>
          <w:rFonts w:ascii="Arial" w:eastAsia="Calibri" w:hAnsi="Arial" w:cs="Arial"/>
          <w:sz w:val="24"/>
          <w:szCs w:val="24"/>
          <w:lang w:val="en-GB"/>
        </w:rPr>
      </w:pPr>
      <w:r w:rsidRPr="00733AE2">
        <w:rPr>
          <w:rFonts w:ascii="Arial" w:eastAsia="Calibri" w:hAnsi="Arial" w:cs="Arial"/>
          <w:sz w:val="24"/>
          <w:szCs w:val="24"/>
          <w:lang w:val="en-GB"/>
        </w:rPr>
        <w:t>2. The following 10 departments were merged on 01 April 2020 to coincide with budget appropriations for the 2020/21 financial year:</w:t>
      </w:r>
    </w:p>
    <w:tbl>
      <w:tblPr>
        <w:tblStyle w:val="TableGrid"/>
        <w:tblW w:w="10774" w:type="dxa"/>
        <w:tblInd w:w="-714" w:type="dxa"/>
        <w:tblLook w:val="04A0"/>
      </w:tblPr>
      <w:tblGrid>
        <w:gridCol w:w="1305"/>
        <w:gridCol w:w="2665"/>
        <w:gridCol w:w="3118"/>
        <w:gridCol w:w="3686"/>
      </w:tblGrid>
      <w:tr w:rsidR="00733AE2" w:rsidRPr="00733AE2" w:rsidTr="00F769DC">
        <w:tc>
          <w:tcPr>
            <w:tcW w:w="1305" w:type="dxa"/>
          </w:tcPr>
          <w:p w:rsidR="00733AE2" w:rsidRPr="00733AE2" w:rsidRDefault="00733AE2" w:rsidP="00733AE2">
            <w:pPr>
              <w:spacing w:line="360" w:lineRule="auto"/>
              <w:jc w:val="both"/>
              <w:rPr>
                <w:rFonts w:ascii="Arial" w:eastAsia="Calibri" w:hAnsi="Arial" w:cs="Arial"/>
                <w:b/>
                <w:sz w:val="24"/>
                <w:szCs w:val="24"/>
                <w:lang w:val="en-GB"/>
              </w:rPr>
            </w:pPr>
            <w:r w:rsidRPr="00733AE2">
              <w:rPr>
                <w:rFonts w:ascii="Arial" w:eastAsia="Calibri" w:hAnsi="Arial" w:cs="Arial"/>
                <w:b/>
                <w:sz w:val="24"/>
                <w:szCs w:val="24"/>
                <w:lang w:val="en-GB"/>
              </w:rPr>
              <w:t>No.</w:t>
            </w:r>
          </w:p>
        </w:tc>
        <w:tc>
          <w:tcPr>
            <w:tcW w:w="5783" w:type="dxa"/>
            <w:gridSpan w:val="2"/>
          </w:tcPr>
          <w:p w:rsidR="00733AE2" w:rsidRPr="00733AE2" w:rsidRDefault="00733AE2" w:rsidP="00733AE2">
            <w:pPr>
              <w:spacing w:line="360" w:lineRule="auto"/>
              <w:jc w:val="both"/>
              <w:rPr>
                <w:rFonts w:ascii="Arial" w:eastAsia="Calibri" w:hAnsi="Arial" w:cs="Arial"/>
                <w:b/>
                <w:sz w:val="24"/>
                <w:szCs w:val="24"/>
                <w:lang w:val="en-GB"/>
              </w:rPr>
            </w:pPr>
            <w:r w:rsidRPr="00733AE2">
              <w:rPr>
                <w:rFonts w:ascii="Arial" w:eastAsia="Calibri" w:hAnsi="Arial" w:cs="Arial"/>
                <w:b/>
                <w:sz w:val="24"/>
                <w:szCs w:val="24"/>
                <w:lang w:val="en-GB"/>
              </w:rPr>
              <w:t>Departments that Merged</w:t>
            </w:r>
          </w:p>
        </w:tc>
        <w:tc>
          <w:tcPr>
            <w:tcW w:w="3686" w:type="dxa"/>
          </w:tcPr>
          <w:p w:rsidR="00733AE2" w:rsidRPr="00733AE2" w:rsidRDefault="00733AE2" w:rsidP="00733AE2">
            <w:pPr>
              <w:spacing w:line="360" w:lineRule="auto"/>
              <w:jc w:val="both"/>
              <w:rPr>
                <w:rFonts w:ascii="Arial" w:eastAsia="Calibri" w:hAnsi="Arial" w:cs="Arial"/>
                <w:b/>
                <w:sz w:val="24"/>
                <w:szCs w:val="24"/>
                <w:lang w:val="en-GB"/>
              </w:rPr>
            </w:pPr>
            <w:r w:rsidRPr="00733AE2">
              <w:rPr>
                <w:rFonts w:ascii="Arial" w:eastAsia="Calibri" w:hAnsi="Arial" w:cs="Arial"/>
                <w:b/>
                <w:sz w:val="24"/>
                <w:szCs w:val="24"/>
                <w:lang w:val="en-GB"/>
              </w:rPr>
              <w:t>New Merged Departments</w:t>
            </w:r>
          </w:p>
        </w:tc>
      </w:tr>
      <w:tr w:rsidR="00733AE2" w:rsidRPr="00733AE2" w:rsidTr="00F769DC">
        <w:tc>
          <w:tcPr>
            <w:tcW w:w="1305" w:type="dxa"/>
          </w:tcPr>
          <w:p w:rsidR="00733AE2" w:rsidRPr="00733AE2" w:rsidRDefault="00733AE2" w:rsidP="00733AE2">
            <w:pPr>
              <w:spacing w:line="360" w:lineRule="auto"/>
              <w:jc w:val="both"/>
              <w:rPr>
                <w:rFonts w:ascii="Arial" w:eastAsia="Calibri" w:hAnsi="Arial" w:cs="Arial"/>
                <w:sz w:val="24"/>
                <w:szCs w:val="24"/>
                <w:lang w:val="en-GB"/>
              </w:rPr>
            </w:pPr>
            <w:r w:rsidRPr="00733AE2">
              <w:rPr>
                <w:rFonts w:ascii="Arial" w:eastAsia="Calibri" w:hAnsi="Arial" w:cs="Arial"/>
                <w:sz w:val="24"/>
                <w:szCs w:val="24"/>
                <w:lang w:val="en-GB"/>
              </w:rPr>
              <w:t>1.</w:t>
            </w:r>
          </w:p>
        </w:tc>
        <w:tc>
          <w:tcPr>
            <w:tcW w:w="2665" w:type="dxa"/>
          </w:tcPr>
          <w:p w:rsidR="00733AE2" w:rsidRPr="00733AE2" w:rsidRDefault="00733AE2" w:rsidP="00733AE2">
            <w:pPr>
              <w:spacing w:line="360" w:lineRule="auto"/>
              <w:jc w:val="both"/>
              <w:rPr>
                <w:rFonts w:ascii="Arial" w:eastAsia="Calibri" w:hAnsi="Arial" w:cs="Arial"/>
                <w:sz w:val="24"/>
                <w:szCs w:val="24"/>
                <w:lang w:val="en-GB"/>
              </w:rPr>
            </w:pPr>
            <w:r w:rsidRPr="00733AE2">
              <w:rPr>
                <w:rFonts w:ascii="Arial" w:eastAsia="Calibri" w:hAnsi="Arial" w:cs="Arial"/>
                <w:sz w:val="24"/>
                <w:szCs w:val="24"/>
                <w:lang w:val="en-GB"/>
              </w:rPr>
              <w:t>Agriculture</w:t>
            </w:r>
          </w:p>
        </w:tc>
        <w:tc>
          <w:tcPr>
            <w:tcW w:w="3118" w:type="dxa"/>
          </w:tcPr>
          <w:p w:rsidR="00733AE2" w:rsidRPr="00733AE2" w:rsidRDefault="00733AE2" w:rsidP="00733AE2">
            <w:pPr>
              <w:spacing w:line="360" w:lineRule="auto"/>
              <w:jc w:val="both"/>
              <w:rPr>
                <w:rFonts w:ascii="Arial" w:eastAsia="Calibri" w:hAnsi="Arial" w:cs="Arial"/>
                <w:sz w:val="24"/>
                <w:szCs w:val="24"/>
                <w:lang w:val="en-GB"/>
              </w:rPr>
            </w:pPr>
            <w:r w:rsidRPr="00733AE2">
              <w:rPr>
                <w:rFonts w:ascii="Arial" w:eastAsia="Calibri" w:hAnsi="Arial" w:cs="Arial"/>
                <w:sz w:val="24"/>
                <w:szCs w:val="24"/>
                <w:lang w:val="en-GB"/>
              </w:rPr>
              <w:t>Rural Development and Land Reform</w:t>
            </w:r>
          </w:p>
        </w:tc>
        <w:tc>
          <w:tcPr>
            <w:tcW w:w="3686" w:type="dxa"/>
          </w:tcPr>
          <w:p w:rsidR="00733AE2" w:rsidRPr="00733AE2" w:rsidRDefault="00733AE2" w:rsidP="00733AE2">
            <w:pPr>
              <w:spacing w:line="360" w:lineRule="auto"/>
              <w:jc w:val="both"/>
              <w:rPr>
                <w:rFonts w:ascii="Arial" w:eastAsia="Calibri" w:hAnsi="Arial" w:cs="Arial"/>
                <w:sz w:val="24"/>
                <w:szCs w:val="24"/>
                <w:lang w:val="en-GB"/>
              </w:rPr>
            </w:pPr>
            <w:r w:rsidRPr="00733AE2">
              <w:rPr>
                <w:rFonts w:ascii="Arial" w:eastAsia="Calibri" w:hAnsi="Arial" w:cs="Arial"/>
                <w:sz w:val="24"/>
                <w:szCs w:val="24"/>
                <w:lang w:val="en-GB"/>
              </w:rPr>
              <w:t>Agriculture, Land Reform and Rural Development</w:t>
            </w:r>
          </w:p>
        </w:tc>
      </w:tr>
      <w:tr w:rsidR="00733AE2" w:rsidRPr="00733AE2" w:rsidTr="00F769DC">
        <w:tc>
          <w:tcPr>
            <w:tcW w:w="1305" w:type="dxa"/>
          </w:tcPr>
          <w:p w:rsidR="00733AE2" w:rsidRPr="00733AE2" w:rsidRDefault="00733AE2" w:rsidP="00733AE2">
            <w:pPr>
              <w:spacing w:line="360" w:lineRule="auto"/>
              <w:jc w:val="both"/>
              <w:rPr>
                <w:rFonts w:ascii="Arial" w:eastAsia="Calibri" w:hAnsi="Arial" w:cs="Arial"/>
                <w:sz w:val="24"/>
                <w:szCs w:val="24"/>
                <w:lang w:val="en-GB"/>
              </w:rPr>
            </w:pPr>
            <w:r w:rsidRPr="00733AE2">
              <w:rPr>
                <w:rFonts w:ascii="Arial" w:eastAsia="Calibri" w:hAnsi="Arial" w:cs="Arial"/>
                <w:sz w:val="24"/>
                <w:szCs w:val="24"/>
                <w:lang w:val="en-GB"/>
              </w:rPr>
              <w:t>2.</w:t>
            </w:r>
          </w:p>
        </w:tc>
        <w:tc>
          <w:tcPr>
            <w:tcW w:w="2665" w:type="dxa"/>
          </w:tcPr>
          <w:p w:rsidR="00733AE2" w:rsidRPr="00733AE2" w:rsidRDefault="00733AE2" w:rsidP="00733AE2">
            <w:pPr>
              <w:spacing w:line="360" w:lineRule="auto"/>
              <w:jc w:val="both"/>
              <w:rPr>
                <w:rFonts w:ascii="Arial" w:eastAsia="Calibri" w:hAnsi="Arial" w:cs="Arial"/>
                <w:sz w:val="24"/>
                <w:szCs w:val="24"/>
                <w:lang w:val="en-GB"/>
              </w:rPr>
            </w:pPr>
            <w:r w:rsidRPr="00733AE2">
              <w:rPr>
                <w:rFonts w:ascii="Arial" w:eastAsia="Calibri" w:hAnsi="Arial" w:cs="Arial"/>
                <w:sz w:val="24"/>
                <w:szCs w:val="24"/>
                <w:lang w:val="en-GB"/>
              </w:rPr>
              <w:t>Communications</w:t>
            </w:r>
          </w:p>
        </w:tc>
        <w:tc>
          <w:tcPr>
            <w:tcW w:w="3118" w:type="dxa"/>
          </w:tcPr>
          <w:p w:rsidR="00733AE2" w:rsidRPr="00733AE2" w:rsidRDefault="00733AE2" w:rsidP="00733AE2">
            <w:pPr>
              <w:spacing w:line="360" w:lineRule="auto"/>
              <w:jc w:val="both"/>
              <w:rPr>
                <w:rFonts w:ascii="Arial" w:eastAsia="Calibri" w:hAnsi="Arial" w:cs="Arial"/>
                <w:sz w:val="24"/>
                <w:szCs w:val="24"/>
                <w:lang w:val="en-GB"/>
              </w:rPr>
            </w:pPr>
            <w:r w:rsidRPr="00733AE2">
              <w:rPr>
                <w:rFonts w:ascii="Arial" w:eastAsia="Calibri" w:hAnsi="Arial" w:cs="Arial"/>
                <w:sz w:val="24"/>
                <w:szCs w:val="24"/>
                <w:lang w:val="en-GB"/>
              </w:rPr>
              <w:t>Telecommunications and Postal Services</w:t>
            </w:r>
          </w:p>
        </w:tc>
        <w:tc>
          <w:tcPr>
            <w:tcW w:w="3686" w:type="dxa"/>
          </w:tcPr>
          <w:p w:rsidR="00733AE2" w:rsidRPr="00733AE2" w:rsidRDefault="00733AE2" w:rsidP="00733AE2">
            <w:pPr>
              <w:spacing w:line="360" w:lineRule="auto"/>
              <w:jc w:val="both"/>
              <w:rPr>
                <w:rFonts w:ascii="Arial" w:eastAsia="Calibri" w:hAnsi="Arial" w:cs="Arial"/>
                <w:sz w:val="24"/>
                <w:szCs w:val="24"/>
                <w:lang w:val="en-GB"/>
              </w:rPr>
            </w:pPr>
            <w:r w:rsidRPr="00733AE2">
              <w:rPr>
                <w:rFonts w:ascii="Arial" w:eastAsia="Calibri" w:hAnsi="Arial" w:cs="Arial"/>
                <w:sz w:val="24"/>
                <w:szCs w:val="24"/>
                <w:lang w:val="en-GB"/>
              </w:rPr>
              <w:t>Communications and Digital Technologies</w:t>
            </w:r>
          </w:p>
        </w:tc>
      </w:tr>
      <w:tr w:rsidR="00733AE2" w:rsidRPr="00733AE2" w:rsidTr="00F769DC">
        <w:tc>
          <w:tcPr>
            <w:tcW w:w="1305" w:type="dxa"/>
          </w:tcPr>
          <w:p w:rsidR="00733AE2" w:rsidRPr="00733AE2" w:rsidRDefault="00733AE2" w:rsidP="00733AE2">
            <w:pPr>
              <w:spacing w:line="360" w:lineRule="auto"/>
              <w:jc w:val="both"/>
              <w:rPr>
                <w:rFonts w:ascii="Arial" w:eastAsia="Calibri" w:hAnsi="Arial" w:cs="Arial"/>
                <w:sz w:val="24"/>
                <w:szCs w:val="24"/>
                <w:lang w:val="en-GB"/>
              </w:rPr>
            </w:pPr>
            <w:r w:rsidRPr="00733AE2">
              <w:rPr>
                <w:rFonts w:ascii="Arial" w:eastAsia="Calibri" w:hAnsi="Arial" w:cs="Arial"/>
                <w:sz w:val="24"/>
                <w:szCs w:val="24"/>
                <w:lang w:val="en-GB"/>
              </w:rPr>
              <w:t>3.</w:t>
            </w:r>
          </w:p>
        </w:tc>
        <w:tc>
          <w:tcPr>
            <w:tcW w:w="2665" w:type="dxa"/>
          </w:tcPr>
          <w:p w:rsidR="00733AE2" w:rsidRPr="00733AE2" w:rsidRDefault="00733AE2" w:rsidP="00733AE2">
            <w:pPr>
              <w:spacing w:line="360" w:lineRule="auto"/>
              <w:jc w:val="both"/>
              <w:rPr>
                <w:rFonts w:ascii="Arial" w:eastAsia="Calibri" w:hAnsi="Arial" w:cs="Arial"/>
                <w:sz w:val="24"/>
                <w:szCs w:val="24"/>
                <w:lang w:val="en-GB"/>
              </w:rPr>
            </w:pPr>
            <w:r w:rsidRPr="00733AE2">
              <w:rPr>
                <w:rFonts w:ascii="Arial" w:eastAsia="Calibri" w:hAnsi="Arial" w:cs="Arial"/>
                <w:sz w:val="24"/>
                <w:szCs w:val="24"/>
                <w:lang w:val="en-GB"/>
              </w:rPr>
              <w:t>Mineral Resources</w:t>
            </w:r>
          </w:p>
        </w:tc>
        <w:tc>
          <w:tcPr>
            <w:tcW w:w="3118" w:type="dxa"/>
          </w:tcPr>
          <w:p w:rsidR="00733AE2" w:rsidRPr="00733AE2" w:rsidRDefault="00733AE2" w:rsidP="00733AE2">
            <w:pPr>
              <w:spacing w:line="360" w:lineRule="auto"/>
              <w:jc w:val="both"/>
              <w:rPr>
                <w:rFonts w:ascii="Arial" w:eastAsia="Calibri" w:hAnsi="Arial" w:cs="Arial"/>
                <w:sz w:val="24"/>
                <w:szCs w:val="24"/>
                <w:lang w:val="en-GB"/>
              </w:rPr>
            </w:pPr>
            <w:r w:rsidRPr="00733AE2">
              <w:rPr>
                <w:rFonts w:ascii="Arial" w:eastAsia="Calibri" w:hAnsi="Arial" w:cs="Arial"/>
                <w:sz w:val="24"/>
                <w:szCs w:val="24"/>
                <w:lang w:val="en-GB"/>
              </w:rPr>
              <w:t>Energy</w:t>
            </w:r>
          </w:p>
        </w:tc>
        <w:tc>
          <w:tcPr>
            <w:tcW w:w="3686" w:type="dxa"/>
          </w:tcPr>
          <w:p w:rsidR="00733AE2" w:rsidRPr="00733AE2" w:rsidRDefault="00733AE2" w:rsidP="00733AE2">
            <w:pPr>
              <w:spacing w:line="360" w:lineRule="auto"/>
              <w:jc w:val="both"/>
              <w:rPr>
                <w:rFonts w:ascii="Arial" w:eastAsia="Calibri" w:hAnsi="Arial" w:cs="Arial"/>
                <w:sz w:val="24"/>
                <w:szCs w:val="24"/>
                <w:lang w:val="en-GB"/>
              </w:rPr>
            </w:pPr>
            <w:r w:rsidRPr="00733AE2">
              <w:rPr>
                <w:rFonts w:ascii="Arial" w:eastAsia="Calibri" w:hAnsi="Arial" w:cs="Arial"/>
                <w:sz w:val="24"/>
                <w:szCs w:val="24"/>
                <w:lang w:val="en-GB"/>
              </w:rPr>
              <w:t>Mineral Resources and Energy</w:t>
            </w:r>
          </w:p>
        </w:tc>
      </w:tr>
      <w:tr w:rsidR="00733AE2" w:rsidRPr="00733AE2" w:rsidTr="00F769DC">
        <w:tc>
          <w:tcPr>
            <w:tcW w:w="1305" w:type="dxa"/>
          </w:tcPr>
          <w:p w:rsidR="00733AE2" w:rsidRPr="00733AE2" w:rsidRDefault="00733AE2" w:rsidP="00733AE2">
            <w:pPr>
              <w:spacing w:line="360" w:lineRule="auto"/>
              <w:jc w:val="both"/>
              <w:rPr>
                <w:rFonts w:ascii="Arial" w:eastAsia="Calibri" w:hAnsi="Arial" w:cs="Arial"/>
                <w:sz w:val="24"/>
                <w:szCs w:val="24"/>
                <w:lang w:val="en-GB"/>
              </w:rPr>
            </w:pPr>
            <w:r w:rsidRPr="00733AE2">
              <w:rPr>
                <w:rFonts w:ascii="Arial" w:eastAsia="Calibri" w:hAnsi="Arial" w:cs="Arial"/>
                <w:sz w:val="24"/>
                <w:szCs w:val="24"/>
                <w:lang w:val="en-GB"/>
              </w:rPr>
              <w:t>4.</w:t>
            </w:r>
          </w:p>
        </w:tc>
        <w:tc>
          <w:tcPr>
            <w:tcW w:w="2665" w:type="dxa"/>
          </w:tcPr>
          <w:p w:rsidR="00733AE2" w:rsidRPr="00733AE2" w:rsidRDefault="00733AE2" w:rsidP="00733AE2">
            <w:pPr>
              <w:spacing w:line="360" w:lineRule="auto"/>
              <w:jc w:val="both"/>
              <w:rPr>
                <w:rFonts w:ascii="Arial" w:eastAsia="Calibri" w:hAnsi="Arial" w:cs="Arial"/>
                <w:sz w:val="24"/>
                <w:szCs w:val="24"/>
                <w:lang w:val="en-GB"/>
              </w:rPr>
            </w:pPr>
            <w:r w:rsidRPr="00733AE2">
              <w:rPr>
                <w:rFonts w:ascii="Arial" w:eastAsia="Calibri" w:hAnsi="Arial" w:cs="Arial"/>
                <w:sz w:val="24"/>
                <w:szCs w:val="24"/>
                <w:lang w:val="en-GB"/>
              </w:rPr>
              <w:t>Sport and Recreation South Africa</w:t>
            </w:r>
          </w:p>
        </w:tc>
        <w:tc>
          <w:tcPr>
            <w:tcW w:w="3118" w:type="dxa"/>
          </w:tcPr>
          <w:p w:rsidR="00733AE2" w:rsidRPr="00733AE2" w:rsidRDefault="00733AE2" w:rsidP="00733AE2">
            <w:pPr>
              <w:spacing w:line="360" w:lineRule="auto"/>
              <w:jc w:val="both"/>
              <w:rPr>
                <w:rFonts w:ascii="Arial" w:eastAsia="Calibri" w:hAnsi="Arial" w:cs="Arial"/>
                <w:sz w:val="24"/>
                <w:szCs w:val="24"/>
                <w:lang w:val="en-GB"/>
              </w:rPr>
            </w:pPr>
            <w:r w:rsidRPr="00733AE2">
              <w:rPr>
                <w:rFonts w:ascii="Arial" w:eastAsia="Calibri" w:hAnsi="Arial" w:cs="Arial"/>
                <w:sz w:val="24"/>
                <w:szCs w:val="24"/>
                <w:lang w:val="en-GB"/>
              </w:rPr>
              <w:t>Arts and Culture</w:t>
            </w:r>
          </w:p>
        </w:tc>
        <w:tc>
          <w:tcPr>
            <w:tcW w:w="3686" w:type="dxa"/>
          </w:tcPr>
          <w:p w:rsidR="00733AE2" w:rsidRPr="00733AE2" w:rsidRDefault="00733AE2" w:rsidP="00733AE2">
            <w:pPr>
              <w:spacing w:line="360" w:lineRule="auto"/>
              <w:jc w:val="both"/>
              <w:rPr>
                <w:rFonts w:ascii="Arial" w:eastAsia="Calibri" w:hAnsi="Arial" w:cs="Arial"/>
                <w:sz w:val="24"/>
                <w:szCs w:val="24"/>
                <w:lang w:val="en-GB"/>
              </w:rPr>
            </w:pPr>
            <w:r w:rsidRPr="00733AE2">
              <w:rPr>
                <w:rFonts w:ascii="Arial" w:eastAsia="Calibri" w:hAnsi="Arial" w:cs="Arial"/>
                <w:sz w:val="24"/>
                <w:szCs w:val="24"/>
                <w:lang w:val="en-GB"/>
              </w:rPr>
              <w:t>Sports, Arts and Culture</w:t>
            </w:r>
          </w:p>
        </w:tc>
      </w:tr>
      <w:tr w:rsidR="00733AE2" w:rsidRPr="00733AE2" w:rsidTr="00F769DC">
        <w:tc>
          <w:tcPr>
            <w:tcW w:w="1305" w:type="dxa"/>
          </w:tcPr>
          <w:p w:rsidR="00733AE2" w:rsidRPr="00733AE2" w:rsidRDefault="00733AE2" w:rsidP="00733AE2">
            <w:pPr>
              <w:spacing w:line="360" w:lineRule="auto"/>
              <w:jc w:val="both"/>
              <w:rPr>
                <w:rFonts w:ascii="Arial" w:eastAsia="Calibri" w:hAnsi="Arial" w:cs="Arial"/>
                <w:sz w:val="24"/>
                <w:szCs w:val="24"/>
                <w:lang w:val="en-GB"/>
              </w:rPr>
            </w:pPr>
            <w:r w:rsidRPr="00733AE2">
              <w:rPr>
                <w:rFonts w:ascii="Arial" w:eastAsia="Calibri" w:hAnsi="Arial" w:cs="Arial"/>
                <w:sz w:val="24"/>
                <w:szCs w:val="24"/>
                <w:lang w:val="en-GB"/>
              </w:rPr>
              <w:t>5.</w:t>
            </w:r>
          </w:p>
        </w:tc>
        <w:tc>
          <w:tcPr>
            <w:tcW w:w="2665" w:type="dxa"/>
          </w:tcPr>
          <w:p w:rsidR="00733AE2" w:rsidRPr="00733AE2" w:rsidRDefault="00733AE2" w:rsidP="00733AE2">
            <w:pPr>
              <w:spacing w:line="360" w:lineRule="auto"/>
              <w:jc w:val="both"/>
              <w:rPr>
                <w:rFonts w:ascii="Arial" w:eastAsia="Calibri" w:hAnsi="Arial" w:cs="Arial"/>
                <w:sz w:val="24"/>
                <w:szCs w:val="24"/>
                <w:lang w:val="en-GB"/>
              </w:rPr>
            </w:pPr>
            <w:r w:rsidRPr="00733AE2">
              <w:rPr>
                <w:rFonts w:ascii="Arial" w:eastAsia="Calibri" w:hAnsi="Arial" w:cs="Arial"/>
                <w:sz w:val="24"/>
                <w:szCs w:val="24"/>
                <w:lang w:val="en-GB"/>
              </w:rPr>
              <w:t>Trade and Industry</w:t>
            </w:r>
          </w:p>
        </w:tc>
        <w:tc>
          <w:tcPr>
            <w:tcW w:w="3118" w:type="dxa"/>
          </w:tcPr>
          <w:p w:rsidR="00733AE2" w:rsidRPr="00733AE2" w:rsidRDefault="00733AE2" w:rsidP="00733AE2">
            <w:pPr>
              <w:spacing w:line="360" w:lineRule="auto"/>
              <w:jc w:val="both"/>
              <w:rPr>
                <w:rFonts w:ascii="Arial" w:eastAsia="Calibri" w:hAnsi="Arial" w:cs="Arial"/>
                <w:sz w:val="24"/>
                <w:szCs w:val="24"/>
                <w:lang w:val="en-GB"/>
              </w:rPr>
            </w:pPr>
            <w:r w:rsidRPr="00733AE2">
              <w:rPr>
                <w:rFonts w:ascii="Arial" w:eastAsia="Calibri" w:hAnsi="Arial" w:cs="Arial"/>
                <w:sz w:val="24"/>
                <w:szCs w:val="24"/>
                <w:lang w:val="en-GB"/>
              </w:rPr>
              <w:t>Economic Developments</w:t>
            </w:r>
          </w:p>
        </w:tc>
        <w:tc>
          <w:tcPr>
            <w:tcW w:w="3686" w:type="dxa"/>
          </w:tcPr>
          <w:p w:rsidR="00733AE2" w:rsidRPr="00733AE2" w:rsidRDefault="00733AE2" w:rsidP="00733AE2">
            <w:pPr>
              <w:spacing w:line="360" w:lineRule="auto"/>
              <w:jc w:val="both"/>
              <w:rPr>
                <w:rFonts w:ascii="Arial" w:eastAsia="Calibri" w:hAnsi="Arial" w:cs="Arial"/>
                <w:sz w:val="24"/>
                <w:szCs w:val="24"/>
                <w:lang w:val="en-GB"/>
              </w:rPr>
            </w:pPr>
            <w:r w:rsidRPr="00733AE2">
              <w:rPr>
                <w:rFonts w:ascii="Arial" w:eastAsia="Calibri" w:hAnsi="Arial" w:cs="Arial"/>
                <w:sz w:val="24"/>
                <w:szCs w:val="24"/>
                <w:lang w:val="en-GB"/>
              </w:rPr>
              <w:t>Trade, Industry and Competition</w:t>
            </w:r>
          </w:p>
        </w:tc>
      </w:tr>
    </w:tbl>
    <w:p w:rsidR="00733AE2" w:rsidRPr="00733AE2" w:rsidRDefault="00733AE2" w:rsidP="00733AE2">
      <w:pPr>
        <w:spacing w:after="0" w:line="360" w:lineRule="auto"/>
        <w:jc w:val="both"/>
        <w:rPr>
          <w:rFonts w:ascii="Arial" w:eastAsia="Calibri" w:hAnsi="Arial" w:cs="Arial"/>
          <w:sz w:val="24"/>
          <w:szCs w:val="24"/>
          <w:lang w:val="en-GB"/>
        </w:rPr>
      </w:pPr>
    </w:p>
    <w:p w:rsidR="00733AE2" w:rsidRPr="00733AE2" w:rsidRDefault="00733AE2" w:rsidP="00733AE2">
      <w:pPr>
        <w:spacing w:after="0" w:line="240" w:lineRule="auto"/>
        <w:jc w:val="both"/>
        <w:rPr>
          <w:rFonts w:ascii="Arial" w:eastAsia="Calibri" w:hAnsi="Arial" w:cs="Arial"/>
          <w:sz w:val="24"/>
          <w:szCs w:val="24"/>
        </w:rPr>
      </w:pPr>
      <w:r w:rsidRPr="00733AE2">
        <w:rPr>
          <w:rFonts w:ascii="Arial" w:eastAsia="Calibri" w:hAnsi="Arial" w:cs="Arial"/>
          <w:sz w:val="24"/>
          <w:szCs w:val="24"/>
        </w:rPr>
        <w:t xml:space="preserve">3 (a) </w:t>
      </w:r>
      <w:proofErr w:type="gramStart"/>
      <w:r w:rsidRPr="00733AE2">
        <w:rPr>
          <w:rFonts w:ascii="Arial" w:eastAsia="Calibri" w:hAnsi="Arial" w:cs="Arial"/>
          <w:sz w:val="24"/>
          <w:szCs w:val="24"/>
        </w:rPr>
        <w:t>The</w:t>
      </w:r>
      <w:proofErr w:type="gramEnd"/>
      <w:r w:rsidRPr="00733AE2">
        <w:rPr>
          <w:rFonts w:ascii="Arial" w:eastAsia="Calibri" w:hAnsi="Arial" w:cs="Arial"/>
          <w:sz w:val="24"/>
          <w:szCs w:val="24"/>
        </w:rPr>
        <w:t xml:space="preserve"> process of placement has not yet been concluded. Consultations with organized labour are underway in the affected departments on the matching and placing of the staff of the merged departments.  Public Service Coordinating Bargaining Council (PSCBC) Resolution 1 of 2019 provides guidelines on the identification, transfer and placement of staff in a transparent, fair and inclusive process.</w:t>
      </w:r>
    </w:p>
    <w:p w:rsidR="00733AE2" w:rsidRPr="00733AE2" w:rsidRDefault="00733AE2" w:rsidP="00733AE2">
      <w:pPr>
        <w:spacing w:after="0" w:line="240" w:lineRule="auto"/>
        <w:jc w:val="both"/>
        <w:rPr>
          <w:rFonts w:ascii="Arial" w:eastAsia="Calibri" w:hAnsi="Arial" w:cs="Arial"/>
          <w:sz w:val="24"/>
          <w:szCs w:val="24"/>
        </w:rPr>
      </w:pPr>
    </w:p>
    <w:p w:rsidR="00733AE2" w:rsidRPr="00733AE2" w:rsidRDefault="00733AE2" w:rsidP="00733AE2">
      <w:pPr>
        <w:numPr>
          <w:ilvl w:val="0"/>
          <w:numId w:val="4"/>
        </w:numPr>
        <w:spacing w:after="0" w:line="240" w:lineRule="auto"/>
        <w:contextualSpacing/>
        <w:jc w:val="both"/>
        <w:rPr>
          <w:rFonts w:ascii="Arial" w:eastAsia="Calibri" w:hAnsi="Arial" w:cs="Arial"/>
          <w:sz w:val="24"/>
          <w:szCs w:val="24"/>
        </w:rPr>
      </w:pPr>
      <w:r w:rsidRPr="00733AE2">
        <w:rPr>
          <w:rFonts w:ascii="Arial" w:eastAsia="Calibri" w:hAnsi="Arial" w:cs="Arial"/>
          <w:sz w:val="24"/>
          <w:szCs w:val="24"/>
        </w:rPr>
        <w:t xml:space="preserve">The agreement provides that excess employees not matched and placed, be held additional to the post establishment.  The employer must apply measures to </w:t>
      </w:r>
      <w:r w:rsidRPr="00733AE2">
        <w:rPr>
          <w:rFonts w:ascii="Arial" w:eastAsia="Calibri" w:hAnsi="Arial" w:cs="Arial"/>
          <w:sz w:val="24"/>
          <w:szCs w:val="24"/>
        </w:rPr>
        <w:lastRenderedPageBreak/>
        <w:t>enhance redeployment including training of employees additional to the establishment to meet the requirements of vacant posts.</w:t>
      </w:r>
    </w:p>
    <w:p w:rsidR="00733AE2" w:rsidRPr="00733AE2" w:rsidRDefault="00733AE2" w:rsidP="00733AE2">
      <w:pPr>
        <w:spacing w:after="0" w:line="240" w:lineRule="auto"/>
        <w:ind w:left="360"/>
        <w:contextualSpacing/>
        <w:jc w:val="both"/>
        <w:rPr>
          <w:rFonts w:ascii="Arial" w:eastAsia="Calibri" w:hAnsi="Arial" w:cs="Arial"/>
          <w:sz w:val="24"/>
          <w:szCs w:val="24"/>
        </w:rPr>
      </w:pPr>
    </w:p>
    <w:p w:rsidR="00733AE2" w:rsidRDefault="00733AE2" w:rsidP="00733AE2">
      <w:pPr>
        <w:spacing w:after="0" w:line="240" w:lineRule="auto"/>
        <w:ind w:left="360"/>
        <w:contextualSpacing/>
        <w:jc w:val="both"/>
        <w:rPr>
          <w:rFonts w:ascii="Arial" w:eastAsia="Calibri" w:hAnsi="Arial" w:cs="Arial"/>
          <w:sz w:val="24"/>
          <w:szCs w:val="24"/>
        </w:rPr>
      </w:pPr>
      <w:r w:rsidRPr="00733AE2">
        <w:rPr>
          <w:rFonts w:ascii="Arial" w:eastAsia="Calibri" w:hAnsi="Arial" w:cs="Arial"/>
          <w:sz w:val="24"/>
          <w:szCs w:val="24"/>
        </w:rPr>
        <w:t xml:space="preserve">A National Implementation Task Team comprising of the employer and organised labour under the auspices of the PSCBC will monitor implementation.  Departmental Task Teams are established to facilitate the process of matching and placing. </w:t>
      </w:r>
    </w:p>
    <w:p w:rsidR="00733AE2" w:rsidRDefault="00733AE2" w:rsidP="00733AE2">
      <w:pPr>
        <w:spacing w:after="0" w:line="240" w:lineRule="auto"/>
        <w:ind w:left="360"/>
        <w:contextualSpacing/>
        <w:jc w:val="both"/>
        <w:rPr>
          <w:rFonts w:ascii="Arial" w:eastAsia="Calibri" w:hAnsi="Arial" w:cs="Arial"/>
          <w:sz w:val="24"/>
          <w:szCs w:val="24"/>
        </w:rPr>
      </w:pPr>
    </w:p>
    <w:p w:rsidR="00733AE2" w:rsidRPr="00733AE2" w:rsidRDefault="00733AE2" w:rsidP="00733AE2">
      <w:pPr>
        <w:spacing w:after="0" w:line="240" w:lineRule="auto"/>
        <w:ind w:left="360"/>
        <w:contextualSpacing/>
        <w:jc w:val="both"/>
        <w:rPr>
          <w:rFonts w:ascii="Arial" w:eastAsia="Calibri" w:hAnsi="Arial" w:cs="Arial"/>
          <w:b/>
          <w:sz w:val="24"/>
          <w:szCs w:val="24"/>
        </w:rPr>
      </w:pPr>
      <w:r w:rsidRPr="00733AE2">
        <w:rPr>
          <w:rFonts w:ascii="Arial" w:eastAsia="Calibri" w:hAnsi="Arial" w:cs="Arial"/>
          <w:b/>
          <w:sz w:val="24"/>
          <w:szCs w:val="24"/>
        </w:rPr>
        <w:t xml:space="preserve">End </w:t>
      </w:r>
    </w:p>
    <w:p w:rsidR="00171970" w:rsidRPr="00733AE2" w:rsidRDefault="00A83CD3">
      <w:pPr>
        <w:rPr>
          <w:rFonts w:ascii="Arial Black" w:hAnsi="Arial Black"/>
          <w:sz w:val="24"/>
          <w:szCs w:val="24"/>
        </w:rPr>
      </w:pPr>
    </w:p>
    <w:sectPr w:rsidR="00171970" w:rsidRPr="00733AE2" w:rsidSect="006010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3105"/>
    <w:multiLevelType w:val="hybridMultilevel"/>
    <w:tmpl w:val="C972AB12"/>
    <w:lvl w:ilvl="0" w:tplc="12E8A2CA">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4975B22"/>
    <w:multiLevelType w:val="hybridMultilevel"/>
    <w:tmpl w:val="B58C44DA"/>
    <w:lvl w:ilvl="0" w:tplc="F3883976">
      <w:start w:val="1"/>
      <w:numFmt w:val="decimal"/>
      <w:lvlText w:val="(%1)"/>
      <w:lvlJc w:val="left"/>
      <w:pPr>
        <w:ind w:left="360" w:hanging="360"/>
      </w:pPr>
      <w:rPr>
        <w:rFonts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43DE6DDF"/>
    <w:multiLevelType w:val="hybridMultilevel"/>
    <w:tmpl w:val="43D0D082"/>
    <w:lvl w:ilvl="0" w:tplc="C804FF36">
      <w:start w:val="2"/>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769D3AD9"/>
    <w:multiLevelType w:val="hybridMultilevel"/>
    <w:tmpl w:val="A70E3998"/>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3AE2"/>
    <w:rsid w:val="001D0BAA"/>
    <w:rsid w:val="006010BF"/>
    <w:rsid w:val="00733AE2"/>
    <w:rsid w:val="00A83CD3"/>
    <w:rsid w:val="00EB753B"/>
    <w:rsid w:val="00F7665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0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2020-11-09T16:50:00Z</dcterms:created>
  <dcterms:modified xsi:type="dcterms:W3CDTF">2020-11-09T16:50:00Z</dcterms:modified>
</cp:coreProperties>
</file>