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22" w:rsidRPr="0009679C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28"/>
          <w:szCs w:val="28"/>
        </w:rPr>
      </w:pPr>
      <w:r w:rsidRPr="0009679C">
        <w:rPr>
          <w:rFonts w:cs="Arial"/>
          <w:b/>
          <w:sz w:val="28"/>
          <w:szCs w:val="28"/>
        </w:rPr>
        <w:t>NATIONAL ASSEMBLY</w:t>
      </w:r>
    </w:p>
    <w:p w:rsidR="009A6622" w:rsidRPr="0009679C" w:rsidRDefault="009A6622" w:rsidP="009A6622">
      <w:pPr>
        <w:pStyle w:val="DACBODYTEXT"/>
        <w:ind w:left="0"/>
        <w:rPr>
          <w:rFonts w:cs="Arial"/>
          <w:b/>
          <w:sz w:val="28"/>
          <w:szCs w:val="28"/>
          <w:u w:val="single"/>
        </w:rPr>
      </w:pPr>
      <w:r w:rsidRPr="0009679C">
        <w:rPr>
          <w:rFonts w:cs="Arial"/>
          <w:b/>
          <w:sz w:val="28"/>
          <w:szCs w:val="28"/>
          <w:u w:val="single"/>
        </w:rPr>
        <w:t>QUESTION No. 926-2021</w:t>
      </w:r>
    </w:p>
    <w:p w:rsidR="009A6622" w:rsidRPr="0009679C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both"/>
        <w:rPr>
          <w:rFonts w:cs="Arial"/>
          <w:b/>
          <w:sz w:val="28"/>
          <w:szCs w:val="28"/>
        </w:rPr>
      </w:pPr>
      <w:r w:rsidRPr="0009679C">
        <w:rPr>
          <w:rFonts w:cs="Arial"/>
          <w:b/>
          <w:sz w:val="28"/>
          <w:szCs w:val="28"/>
          <w:u w:val="single"/>
        </w:rPr>
        <w:t>FOR WRITTEN REPLY</w:t>
      </w:r>
    </w:p>
    <w:p w:rsidR="009A6622" w:rsidRPr="0009679C" w:rsidRDefault="009A6622" w:rsidP="009A6622">
      <w:pPr>
        <w:pStyle w:val="DACBODYTEXT"/>
        <w:ind w:left="90"/>
        <w:rPr>
          <w:rFonts w:cs="Arial"/>
          <w:b/>
          <w:sz w:val="28"/>
          <w:szCs w:val="28"/>
        </w:rPr>
      </w:pPr>
      <w:r w:rsidRPr="0009679C">
        <w:rPr>
          <w:rFonts w:cs="Arial"/>
          <w:b/>
          <w:sz w:val="28"/>
          <w:szCs w:val="28"/>
        </w:rPr>
        <w:t>INTERNAL QUESTION PAPER NO 09-2021 dated 19 March 2021:</w:t>
      </w:r>
    </w:p>
    <w:p w:rsidR="009A6622" w:rsidRPr="0009679C" w:rsidRDefault="009A6622" w:rsidP="009A6622">
      <w:pPr>
        <w:pStyle w:val="DACBODYTEXT"/>
        <w:ind w:left="90"/>
        <w:rPr>
          <w:rFonts w:cs="Arial"/>
          <w:b/>
          <w:sz w:val="28"/>
          <w:szCs w:val="28"/>
        </w:rPr>
      </w:pPr>
      <w:r w:rsidRPr="0009679C">
        <w:rPr>
          <w:rFonts w:cs="Arial"/>
          <w:b/>
          <w:sz w:val="28"/>
          <w:szCs w:val="28"/>
        </w:rPr>
        <w:t xml:space="preserve">“Mrs V van Dyk (DA) to ask </w:t>
      </w:r>
      <w:r w:rsidRPr="0009679C">
        <w:rPr>
          <w:rFonts w:cs="Arial"/>
          <w:b/>
          <w:bCs/>
          <w:sz w:val="28"/>
          <w:szCs w:val="28"/>
        </w:rPr>
        <w:t>the</w:t>
      </w:r>
      <w:r w:rsidRPr="0009679C">
        <w:rPr>
          <w:rFonts w:cs="Arial"/>
          <w:b/>
          <w:sz w:val="28"/>
          <w:szCs w:val="28"/>
        </w:rPr>
        <w:t xml:space="preserve"> Mini</w:t>
      </w:r>
      <w:r>
        <w:rPr>
          <w:rFonts w:cs="Arial"/>
          <w:b/>
          <w:sz w:val="28"/>
          <w:szCs w:val="28"/>
        </w:rPr>
        <w:t>ster of Sport, Arts and Culture</w:t>
      </w:r>
      <w:r w:rsidR="001144FA" w:rsidRPr="0009679C">
        <w:rPr>
          <w:rFonts w:cs="Arial"/>
          <w:b/>
          <w:sz w:val="28"/>
          <w:szCs w:val="28"/>
        </w:rPr>
        <w:fldChar w:fldCharType="begin"/>
      </w:r>
      <w:r w:rsidRPr="0009679C">
        <w:rPr>
          <w:rFonts w:cs="Arial"/>
          <w:sz w:val="28"/>
          <w:szCs w:val="28"/>
        </w:rPr>
        <w:instrText xml:space="preserve"> XE "</w:instrText>
      </w:r>
      <w:r w:rsidRPr="0009679C">
        <w:rPr>
          <w:rFonts w:cs="Arial"/>
          <w:b/>
          <w:sz w:val="28"/>
          <w:szCs w:val="28"/>
        </w:rPr>
        <w:instrText>Sport, Arts and Culture</w:instrText>
      </w:r>
      <w:r w:rsidRPr="0009679C">
        <w:rPr>
          <w:rFonts w:cs="Arial"/>
          <w:sz w:val="28"/>
          <w:szCs w:val="28"/>
        </w:rPr>
        <w:instrText xml:space="preserve">" </w:instrText>
      </w:r>
      <w:r w:rsidR="001144FA" w:rsidRPr="0009679C">
        <w:rPr>
          <w:rFonts w:cs="Arial"/>
          <w:b/>
          <w:sz w:val="28"/>
          <w:szCs w:val="28"/>
        </w:rPr>
        <w:fldChar w:fldCharType="end"/>
      </w:r>
      <w:r w:rsidRPr="0009679C">
        <w:rPr>
          <w:rFonts w:cs="Arial"/>
          <w:b/>
          <w:sz w:val="28"/>
          <w:szCs w:val="28"/>
        </w:rPr>
        <w:t>:</w:t>
      </w:r>
    </w:p>
    <w:p w:rsidR="009A6622" w:rsidRPr="0009679C" w:rsidRDefault="009A6622" w:rsidP="009A6622">
      <w:pPr>
        <w:spacing w:before="100" w:beforeAutospacing="1" w:after="100" w:afterAutospacing="1"/>
        <w:jc w:val="both"/>
        <w:outlineLvl w:val="0"/>
        <w:rPr>
          <w:rFonts w:cs="Arial"/>
          <w:sz w:val="28"/>
          <w:szCs w:val="28"/>
        </w:rPr>
      </w:pPr>
      <w:r w:rsidRPr="0009679C">
        <w:rPr>
          <w:rFonts w:cs="Arial"/>
          <w:sz w:val="28"/>
          <w:szCs w:val="28"/>
        </w:rPr>
        <w:t>(1)(a)(</w:t>
      </w:r>
      <w:proofErr w:type="spellStart"/>
      <w:r w:rsidRPr="0009679C">
        <w:rPr>
          <w:rFonts w:cs="Arial"/>
          <w:sz w:val="28"/>
          <w:szCs w:val="28"/>
        </w:rPr>
        <w:t>i</w:t>
      </w:r>
      <w:proofErr w:type="spellEnd"/>
      <w:r w:rsidRPr="0009679C">
        <w:rPr>
          <w:rFonts w:cs="Arial"/>
          <w:sz w:val="28"/>
          <w:szCs w:val="28"/>
        </w:rPr>
        <w:t>).  How does mentorship at the National Arts Coun</w:t>
      </w:r>
      <w:r>
        <w:rPr>
          <w:rFonts w:cs="Arial"/>
          <w:sz w:val="28"/>
          <w:szCs w:val="28"/>
        </w:rPr>
        <w:t xml:space="preserve">cil work and (ii) on what bases </w:t>
      </w:r>
      <w:r w:rsidRPr="0009679C">
        <w:rPr>
          <w:rFonts w:cs="Arial"/>
          <w:sz w:val="28"/>
          <w:szCs w:val="28"/>
        </w:rPr>
        <w:t>are they linked to funded projects and/or application</w:t>
      </w:r>
      <w:r>
        <w:rPr>
          <w:rFonts w:cs="Arial"/>
          <w:sz w:val="28"/>
          <w:szCs w:val="28"/>
        </w:rPr>
        <w:t>s for funding, (b)(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) what </w:t>
      </w:r>
      <w:r w:rsidRPr="0009679C">
        <w:rPr>
          <w:rFonts w:cs="Arial"/>
          <w:sz w:val="28"/>
          <w:szCs w:val="28"/>
        </w:rPr>
        <w:t>procurement process was followed to appoint mento</w:t>
      </w:r>
      <w:r>
        <w:rPr>
          <w:rFonts w:cs="Arial"/>
          <w:sz w:val="28"/>
          <w:szCs w:val="28"/>
        </w:rPr>
        <w:t xml:space="preserve">rs and (ii) in cases where </w:t>
      </w:r>
      <w:r w:rsidRPr="0009679C">
        <w:rPr>
          <w:rFonts w:cs="Arial"/>
          <w:sz w:val="28"/>
          <w:szCs w:val="28"/>
        </w:rPr>
        <w:t>mentors were nominated, what does the process entail and how does it correlate with the Public Finance</w:t>
      </w:r>
      <w:r w:rsidR="001144FA" w:rsidRPr="0009679C">
        <w:rPr>
          <w:rFonts w:cs="Arial"/>
          <w:sz w:val="28"/>
          <w:szCs w:val="28"/>
        </w:rPr>
        <w:fldChar w:fldCharType="begin"/>
      </w:r>
      <w:r w:rsidRPr="0009679C">
        <w:rPr>
          <w:rFonts w:cs="Arial"/>
          <w:sz w:val="28"/>
          <w:szCs w:val="28"/>
        </w:rPr>
        <w:instrText xml:space="preserve"> XE "</w:instrText>
      </w:r>
      <w:r w:rsidRPr="0009679C">
        <w:rPr>
          <w:rFonts w:cs="Arial"/>
          <w:b/>
          <w:sz w:val="28"/>
          <w:szCs w:val="28"/>
        </w:rPr>
        <w:instrText>Finance</w:instrText>
      </w:r>
      <w:r w:rsidRPr="0009679C">
        <w:rPr>
          <w:rFonts w:cs="Arial"/>
          <w:sz w:val="28"/>
          <w:szCs w:val="28"/>
        </w:rPr>
        <w:instrText xml:space="preserve">" </w:instrText>
      </w:r>
      <w:r w:rsidR="001144FA" w:rsidRPr="0009679C">
        <w:rPr>
          <w:rFonts w:cs="Arial"/>
          <w:sz w:val="28"/>
          <w:szCs w:val="28"/>
        </w:rPr>
        <w:fldChar w:fldCharType="end"/>
      </w:r>
      <w:r w:rsidRPr="0009679C">
        <w:rPr>
          <w:rFonts w:cs="Arial"/>
          <w:sz w:val="28"/>
          <w:szCs w:val="28"/>
        </w:rPr>
        <w:t xml:space="preserve"> Management </w:t>
      </w:r>
      <w:r>
        <w:rPr>
          <w:rFonts w:cs="Arial"/>
          <w:sz w:val="28"/>
          <w:szCs w:val="28"/>
        </w:rPr>
        <w:t>Act, Act 1 of 1999, (c)(</w:t>
      </w:r>
      <w:proofErr w:type="spellStart"/>
      <w:r>
        <w:rPr>
          <w:rFonts w:cs="Arial"/>
          <w:sz w:val="28"/>
          <w:szCs w:val="28"/>
        </w:rPr>
        <w:t>i</w:t>
      </w:r>
      <w:proofErr w:type="spellEnd"/>
      <w:r>
        <w:rPr>
          <w:rFonts w:cs="Arial"/>
          <w:sz w:val="28"/>
          <w:szCs w:val="28"/>
        </w:rPr>
        <w:t xml:space="preserve">) what </w:t>
      </w:r>
      <w:r w:rsidRPr="0009679C">
        <w:rPr>
          <w:rFonts w:cs="Arial"/>
          <w:sz w:val="28"/>
          <w:szCs w:val="28"/>
        </w:rPr>
        <w:t>amount of the allocated funding that is appl</w:t>
      </w:r>
      <w:r>
        <w:rPr>
          <w:rFonts w:cs="Arial"/>
          <w:sz w:val="28"/>
          <w:szCs w:val="28"/>
        </w:rPr>
        <w:t xml:space="preserve">ied for, do mentors receive and </w:t>
      </w:r>
      <w:r w:rsidRPr="0009679C">
        <w:rPr>
          <w:rFonts w:cs="Arial"/>
          <w:sz w:val="28"/>
          <w:szCs w:val="28"/>
        </w:rPr>
        <w:t>(ii)</w:t>
      </w:r>
      <w:r>
        <w:rPr>
          <w:rFonts w:cs="Arial"/>
          <w:sz w:val="28"/>
          <w:szCs w:val="28"/>
        </w:rPr>
        <w:t xml:space="preserve"> </w:t>
      </w:r>
      <w:r w:rsidRPr="0009679C">
        <w:rPr>
          <w:rFonts w:cs="Arial"/>
          <w:sz w:val="28"/>
          <w:szCs w:val="28"/>
        </w:rPr>
        <w:t>where does this reflect on the record and (d) what (</w:t>
      </w:r>
      <w:proofErr w:type="spellStart"/>
      <w:r w:rsidRPr="0009679C">
        <w:rPr>
          <w:rFonts w:cs="Arial"/>
          <w:sz w:val="28"/>
          <w:szCs w:val="28"/>
        </w:rPr>
        <w:t>i</w:t>
      </w:r>
      <w:proofErr w:type="spellEnd"/>
      <w:r w:rsidRPr="0009679C">
        <w:rPr>
          <w:rFonts w:cs="Arial"/>
          <w:sz w:val="28"/>
          <w:szCs w:val="28"/>
        </w:rPr>
        <w:t>) total number of applicants completed their projects withou</w:t>
      </w:r>
      <w:r>
        <w:rPr>
          <w:rFonts w:cs="Arial"/>
          <w:sz w:val="28"/>
          <w:szCs w:val="28"/>
        </w:rPr>
        <w:t>t assistance from their mentors</w:t>
      </w:r>
      <w:r w:rsidRPr="0009679C">
        <w:rPr>
          <w:rFonts w:cs="Arial"/>
          <w:sz w:val="28"/>
          <w:szCs w:val="28"/>
        </w:rPr>
        <w:t xml:space="preserve"> and (ii) what happens to the money deducted and allocated towards mentors where they are not assisting the applicants;</w:t>
      </w:r>
    </w:p>
    <w:p w:rsidR="009A6622" w:rsidRPr="0009679C" w:rsidRDefault="009A6622" w:rsidP="009A6622">
      <w:pPr>
        <w:spacing w:before="100" w:beforeAutospacing="1" w:after="100" w:afterAutospacing="1"/>
        <w:jc w:val="both"/>
        <w:outlineLvl w:val="0"/>
        <w:rPr>
          <w:rFonts w:cs="Arial"/>
          <w:b/>
          <w:sz w:val="28"/>
          <w:szCs w:val="28"/>
        </w:rPr>
      </w:pPr>
      <w:r w:rsidRPr="0009679C">
        <w:rPr>
          <w:rFonts w:cs="Arial"/>
          <w:sz w:val="28"/>
          <w:szCs w:val="28"/>
        </w:rPr>
        <w:t>(2)</w:t>
      </w:r>
      <w:r>
        <w:rPr>
          <w:rFonts w:cs="Arial"/>
          <w:sz w:val="28"/>
          <w:szCs w:val="28"/>
        </w:rPr>
        <w:t xml:space="preserve">. </w:t>
      </w:r>
      <w:r w:rsidRPr="0009679C">
        <w:rPr>
          <w:rFonts w:cs="Arial"/>
          <w:sz w:val="28"/>
          <w:szCs w:val="28"/>
        </w:rPr>
        <w:t>whether the money goes to the applicant and/</w:t>
      </w:r>
      <w:r>
        <w:rPr>
          <w:rFonts w:cs="Arial"/>
          <w:sz w:val="28"/>
          <w:szCs w:val="28"/>
        </w:rPr>
        <w:t>or to the Surplus Fund and then</w:t>
      </w:r>
      <w:r w:rsidRPr="0009679C">
        <w:rPr>
          <w:rFonts w:cs="Arial"/>
          <w:sz w:val="28"/>
          <w:szCs w:val="28"/>
        </w:rPr>
        <w:t xml:space="preserve"> distributed via the Surplus Policy; if not, what is the position in this regard; if so, what are </w:t>
      </w:r>
      <w:r>
        <w:rPr>
          <w:rFonts w:cs="Arial"/>
          <w:sz w:val="28"/>
          <w:szCs w:val="28"/>
        </w:rPr>
        <w:t xml:space="preserve">the further relevant details? </w:t>
      </w:r>
      <w:r w:rsidRPr="0009679C">
        <w:rPr>
          <w:rFonts w:cs="Arial"/>
          <w:b/>
          <w:sz w:val="28"/>
          <w:szCs w:val="28"/>
        </w:rPr>
        <w:t>NW1093E</w:t>
      </w:r>
    </w:p>
    <w:p w:rsidR="009A6622" w:rsidRDefault="009A6622" w:rsidP="009A6622">
      <w:pPr>
        <w:pStyle w:val="DACBODYTEXT"/>
        <w:ind w:left="0"/>
        <w:rPr>
          <w:rFonts w:cs="Arial"/>
          <w:b/>
          <w:sz w:val="28"/>
          <w:szCs w:val="28"/>
        </w:rPr>
      </w:pPr>
      <w:r w:rsidRPr="0009679C">
        <w:rPr>
          <w:rFonts w:cs="Arial"/>
          <w:b/>
          <w:sz w:val="28"/>
          <w:szCs w:val="28"/>
        </w:rPr>
        <w:t>REPLY</w:t>
      </w:r>
      <w:r>
        <w:rPr>
          <w:rFonts w:cs="Arial"/>
          <w:b/>
          <w:sz w:val="28"/>
          <w:szCs w:val="28"/>
        </w:rPr>
        <w:t>:</w:t>
      </w:r>
    </w:p>
    <w:p w:rsidR="009A6622" w:rsidRPr="00644ACC" w:rsidRDefault="009A6622" w:rsidP="009A6622">
      <w:pPr>
        <w:pStyle w:val="DACBODYTEXT"/>
        <w:ind w:left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According to NAC: 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(1)(a)(</w:t>
      </w:r>
      <w:proofErr w:type="spellStart"/>
      <w:r w:rsidRPr="0009679C">
        <w:rPr>
          <w:rFonts w:cs="Arial"/>
          <w:bCs/>
          <w:sz w:val="28"/>
          <w:szCs w:val="28"/>
          <w:shd w:val="clear" w:color="auto" w:fill="FFFFFF"/>
        </w:rPr>
        <w:t>i</w:t>
      </w:r>
      <w:proofErr w:type="spellEnd"/>
      <w:r w:rsidRPr="0009679C">
        <w:rPr>
          <w:rFonts w:cs="Arial"/>
          <w:bCs/>
          <w:sz w:val="28"/>
          <w:szCs w:val="28"/>
          <w:shd w:val="clear" w:color="auto" w:fill="FFFFFF"/>
        </w:rPr>
        <w:t>). In 2019, the National Arts Council initiated a mentorship programme for specific approved beneficiaries. However, the programme did not proceed as there was no policy developed for it.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(ii) The mentorship was proposed for projects in marginalised and rural areas that needed support in implementing projects. The amount was meant to be</w:t>
      </w:r>
      <w:r>
        <w:rPr>
          <w:rFonts w:cs="Arial"/>
          <w:bCs/>
          <w:sz w:val="28"/>
          <w:szCs w:val="28"/>
          <w:shd w:val="clear" w:color="auto" w:fill="FFFFFF"/>
        </w:rPr>
        <w:t xml:space="preserve"> 25% of identified projects’</w:t>
      </w:r>
      <w:r w:rsidRPr="0009679C">
        <w:rPr>
          <w:rFonts w:cs="Arial"/>
          <w:bCs/>
          <w:sz w:val="28"/>
          <w:szCs w:val="28"/>
          <w:shd w:val="clear" w:color="auto" w:fill="FFFFFF"/>
        </w:rPr>
        <w:t xml:space="preserve"> allocation. 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(b)(</w:t>
      </w:r>
      <w:proofErr w:type="spellStart"/>
      <w:r w:rsidRPr="0009679C">
        <w:rPr>
          <w:rFonts w:cs="Arial"/>
          <w:bCs/>
          <w:sz w:val="28"/>
          <w:szCs w:val="28"/>
          <w:shd w:val="clear" w:color="auto" w:fill="FFFFFF"/>
        </w:rPr>
        <w:t>i</w:t>
      </w:r>
      <w:proofErr w:type="spellEnd"/>
      <w:r w:rsidRPr="0009679C">
        <w:rPr>
          <w:rFonts w:cs="Arial"/>
          <w:bCs/>
          <w:sz w:val="28"/>
          <w:szCs w:val="28"/>
          <w:shd w:val="clear" w:color="auto" w:fill="FFFFFF"/>
        </w:rPr>
        <w:t>) There was no procurement process followed as the programme did not continue.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(ii) There were no mentors nominated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lastRenderedPageBreak/>
        <w:t>(c)(</w:t>
      </w:r>
      <w:proofErr w:type="spellStart"/>
      <w:r w:rsidRPr="0009679C">
        <w:rPr>
          <w:rFonts w:cs="Arial"/>
          <w:bCs/>
          <w:sz w:val="28"/>
          <w:szCs w:val="28"/>
          <w:shd w:val="clear" w:color="auto" w:fill="FFFFFF"/>
        </w:rPr>
        <w:t>i</w:t>
      </w:r>
      <w:proofErr w:type="spellEnd"/>
      <w:r w:rsidRPr="0009679C">
        <w:rPr>
          <w:rFonts w:cs="Arial"/>
          <w:bCs/>
          <w:sz w:val="28"/>
          <w:szCs w:val="28"/>
          <w:shd w:val="clear" w:color="auto" w:fill="FFFFFF"/>
        </w:rPr>
        <w:t>) None as the programme did not proceed, mentorship fees were not allocated.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(ii) Nothing is reflected as there were no payments done to mentors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(d) Ten (10)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(ii) The money is still in the NAC’s account</w:t>
      </w:r>
    </w:p>
    <w:p w:rsidR="009A6622" w:rsidRPr="0009679C" w:rsidRDefault="009A6622" w:rsidP="009A6622">
      <w:pPr>
        <w:jc w:val="both"/>
        <w:rPr>
          <w:rFonts w:cs="Arial"/>
          <w:bCs/>
          <w:sz w:val="28"/>
          <w:szCs w:val="28"/>
          <w:shd w:val="clear" w:color="auto" w:fill="FFFFFF"/>
        </w:rPr>
      </w:pPr>
      <w:r w:rsidRPr="0009679C">
        <w:rPr>
          <w:rFonts w:cs="Arial"/>
          <w:bCs/>
          <w:sz w:val="28"/>
          <w:szCs w:val="28"/>
          <w:shd w:val="clear" w:color="auto" w:fill="FFFFFF"/>
        </w:rPr>
        <w:t>(2). The money remaining will be allocated to funding of bursaries and projects through an open call for funding.</w:t>
      </w: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Default="009A6622" w:rsidP="009A6622">
      <w:pPr>
        <w:pStyle w:val="DACBODYTEXT"/>
      </w:pPr>
    </w:p>
    <w:p w:rsidR="009A6622" w:rsidRDefault="009A6622" w:rsidP="009A6622">
      <w:pPr>
        <w:pStyle w:val="DACBODYTEXT"/>
      </w:pPr>
    </w:p>
    <w:p w:rsidR="009A6622" w:rsidRPr="00F754BF" w:rsidRDefault="009A6622" w:rsidP="009A6622">
      <w:pPr>
        <w:pStyle w:val="Body"/>
        <w:spacing w:line="276" w:lineRule="auto"/>
        <w:ind w:left="1440"/>
        <w:jc w:val="both"/>
        <w:rPr>
          <w:rFonts w:ascii="Arial" w:hAnsi="Arial" w:cs="Arial"/>
          <w:bCs/>
          <w:sz w:val="32"/>
          <w:szCs w:val="32"/>
        </w:rPr>
      </w:pPr>
    </w:p>
    <w:p w:rsidR="009A6622" w:rsidRDefault="009A6622" w:rsidP="009A6622">
      <w:pPr>
        <w:tabs>
          <w:tab w:val="left" w:pos="576"/>
          <w:tab w:val="left" w:pos="1296"/>
          <w:tab w:val="left" w:pos="6336"/>
        </w:tabs>
        <w:spacing w:after="0"/>
        <w:ind w:left="70"/>
        <w:jc w:val="center"/>
        <w:rPr>
          <w:rFonts w:cs="Arial"/>
          <w:b/>
          <w:sz w:val="32"/>
          <w:szCs w:val="32"/>
        </w:rPr>
      </w:pPr>
    </w:p>
    <w:p w:rsidR="009A6622" w:rsidRPr="00B57D81" w:rsidRDefault="009A6622" w:rsidP="009A6622">
      <w:pPr>
        <w:pStyle w:val="DACBODYTEXT"/>
        <w:rPr>
          <w:rFonts w:cs="Arial"/>
          <w:sz w:val="32"/>
          <w:szCs w:val="32"/>
        </w:rPr>
      </w:pPr>
    </w:p>
    <w:p w:rsidR="006A33F5" w:rsidRDefault="00482A0C">
      <w:bookmarkStart w:id="0" w:name="_GoBack"/>
      <w:bookmarkEnd w:id="0"/>
    </w:p>
    <w:sectPr w:rsidR="006A33F5" w:rsidSect="0011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A6622"/>
    <w:rsid w:val="001144FA"/>
    <w:rsid w:val="00482A0C"/>
    <w:rsid w:val="009A6622"/>
    <w:rsid w:val="00BE5DFB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9A6622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9A6622"/>
    <w:pPr>
      <w:ind w:left="993"/>
    </w:pPr>
    <w:rPr>
      <w:szCs w:val="18"/>
    </w:rPr>
  </w:style>
  <w:style w:type="paragraph" w:customStyle="1" w:styleId="Body">
    <w:name w:val="Body"/>
    <w:rsid w:val="009A66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(1)(a)(i).  How does mentorship at the National Arts Council work and (ii) on wh</vt:lpstr>
      <vt:lpstr>(2). whether the money goes to the applicant and/or to the Surplus Fund and then</vt:lpstr>
    </vt:vector>
  </TitlesOfParts>
  <Company>Toshiba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2021-04-19T17:47:00Z</dcterms:created>
  <dcterms:modified xsi:type="dcterms:W3CDTF">2021-04-19T17:47:00Z</dcterms:modified>
</cp:coreProperties>
</file>