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D8298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D8298E" w:rsidP="00D8298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D8298E" w:rsidP="00D8298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C15D71">
        <w:rPr>
          <w:rFonts w:ascii="Arial" w:eastAsia="Calibri" w:hAnsi="Arial" w:cs="Arial"/>
          <w:b/>
          <w:bCs/>
          <w:lang w:val="en-GB"/>
        </w:rPr>
        <w:t>9</w:t>
      </w:r>
      <w:r w:rsidR="00DA29F5">
        <w:rPr>
          <w:rFonts w:ascii="Arial" w:eastAsia="Calibri" w:hAnsi="Arial" w:cs="Arial"/>
          <w:b/>
          <w:bCs/>
          <w:lang w:val="en-GB"/>
        </w:rPr>
        <w:t>24</w:t>
      </w:r>
    </w:p>
    <w:p w:rsidR="00130BDB" w:rsidRPr="00D8298E" w:rsidRDefault="00130BDB" w:rsidP="00D8298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8298E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BF1930" w:rsidRPr="00D8298E">
        <w:rPr>
          <w:rFonts w:ascii="Arial" w:eastAsia="Calibri" w:hAnsi="Arial" w:cs="Arial"/>
          <w:b/>
          <w:bCs/>
          <w:lang w:val="en-GB"/>
        </w:rPr>
        <w:t>1</w:t>
      </w:r>
      <w:r w:rsidR="00C15D71" w:rsidRPr="00D8298E">
        <w:rPr>
          <w:rFonts w:ascii="Arial" w:eastAsia="Calibri" w:hAnsi="Arial" w:cs="Arial"/>
          <w:b/>
          <w:bCs/>
          <w:lang w:val="en-GB"/>
        </w:rPr>
        <w:t>8</w:t>
      </w:r>
      <w:r w:rsidR="00D8298E" w:rsidRPr="00D8298E">
        <w:rPr>
          <w:rFonts w:ascii="Arial" w:eastAsia="Calibri" w:hAnsi="Arial" w:cs="Arial"/>
          <w:b/>
          <w:bCs/>
          <w:lang w:val="en-GB"/>
        </w:rPr>
        <w:t xml:space="preserve"> MARCH </w:t>
      </w:r>
      <w:r w:rsidRPr="00D8298E">
        <w:rPr>
          <w:rFonts w:ascii="Arial" w:eastAsia="Calibri" w:hAnsi="Arial" w:cs="Arial"/>
          <w:b/>
          <w:bCs/>
          <w:lang w:val="en-GB"/>
        </w:rPr>
        <w:t>20</w:t>
      </w:r>
      <w:r w:rsidR="003F2E8D" w:rsidRPr="00D8298E">
        <w:rPr>
          <w:rFonts w:ascii="Arial" w:eastAsia="Calibri" w:hAnsi="Arial" w:cs="Arial"/>
          <w:b/>
          <w:bCs/>
          <w:lang w:val="en-GB"/>
        </w:rPr>
        <w:t>2</w:t>
      </w:r>
      <w:r w:rsidR="00CC7543" w:rsidRPr="00D8298E">
        <w:rPr>
          <w:rFonts w:ascii="Arial" w:eastAsia="Calibri" w:hAnsi="Arial" w:cs="Arial"/>
          <w:b/>
          <w:bCs/>
          <w:lang w:val="en-GB"/>
        </w:rPr>
        <w:t>2</w:t>
      </w:r>
    </w:p>
    <w:p w:rsidR="00D8298E" w:rsidRPr="00D8298E" w:rsidRDefault="00D8298E" w:rsidP="00D8298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8298E">
        <w:rPr>
          <w:rFonts w:ascii="Arial" w:eastAsia="Calibri" w:hAnsi="Arial" w:cs="Arial"/>
          <w:b/>
          <w:bCs/>
          <w:lang w:val="en-GB"/>
        </w:rPr>
        <w:t>DATE OF SUBMISSION: 01 MARCH 2022</w:t>
      </w:r>
    </w:p>
    <w:p w:rsidR="00DA29F5" w:rsidRPr="00DA29F5" w:rsidRDefault="00DA29F5" w:rsidP="00DA29F5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DA29F5">
        <w:rPr>
          <w:rFonts w:ascii="Arial" w:hAnsi="Arial" w:cs="Arial"/>
          <w:b/>
          <w:bCs/>
          <w:lang w:val="en-ZA"/>
        </w:rPr>
        <w:t>Mrs H Denner (FF Plus) to ask the Minister of Justice and Correctional Services</w:t>
      </w:r>
      <w:r w:rsidRPr="00DA29F5">
        <w:rPr>
          <w:rFonts w:ascii="Arial" w:hAnsi="Arial" w:cs="Arial"/>
          <w:b/>
          <w:bCs/>
          <w:lang w:val="en-ZA"/>
        </w:rPr>
        <w:fldChar w:fldCharType="begin"/>
      </w:r>
      <w:r w:rsidRPr="00DA29F5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DA29F5">
        <w:rPr>
          <w:rFonts w:ascii="Arial" w:hAnsi="Arial" w:cs="Arial"/>
          <w:b/>
          <w:bCs/>
          <w:lang w:val="en-ZA"/>
        </w:rPr>
        <w:fldChar w:fldCharType="end"/>
      </w:r>
      <w:r w:rsidRPr="00DA29F5">
        <w:rPr>
          <w:rFonts w:ascii="Arial" w:hAnsi="Arial" w:cs="Arial"/>
          <w:b/>
          <w:bCs/>
          <w:lang w:val="en-ZA"/>
        </w:rPr>
        <w:t>:</w:t>
      </w:r>
    </w:p>
    <w:p w:rsidR="00DA29F5" w:rsidRPr="00DA29F5" w:rsidRDefault="00DA29F5" w:rsidP="00DA29F5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A29F5">
        <w:rPr>
          <w:rFonts w:ascii="Arial" w:hAnsi="Arial" w:cs="Arial"/>
          <w:lang w:val="en-ZA"/>
        </w:rPr>
        <w:t>With regard to the Government’s efforts to curb and eradicate gender-based violence in our society, what total number of (a) sexual offences courts have been fully established and are functioning throughout the Republic</w:t>
      </w:r>
      <w:r w:rsidR="002D70BA">
        <w:rPr>
          <w:rFonts w:ascii="Arial" w:hAnsi="Arial" w:cs="Arial"/>
          <w:lang w:val="en-ZA"/>
        </w:rPr>
        <w:t xml:space="preserve"> </w:t>
      </w:r>
      <w:r w:rsidRPr="00DA29F5">
        <w:rPr>
          <w:rFonts w:ascii="Arial" w:hAnsi="Arial" w:cs="Arial"/>
          <w:lang w:val="en-ZA"/>
        </w:rPr>
        <w:t>and (b) magistrates have been dedicated to such courts</w:t>
      </w:r>
      <w:r w:rsidR="00104DAD">
        <w:rPr>
          <w:rFonts w:ascii="Arial" w:hAnsi="Arial" w:cs="Arial"/>
          <w:lang w:val="en-ZA"/>
        </w:rPr>
        <w:t>;</w:t>
      </w:r>
    </w:p>
    <w:p w:rsidR="00DA29F5" w:rsidRPr="00DA29F5" w:rsidRDefault="00DA29F5" w:rsidP="00DA29F5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A29F5">
        <w:rPr>
          <w:rFonts w:ascii="Arial" w:hAnsi="Arial" w:cs="Arial"/>
          <w:lang w:val="en-ZA"/>
        </w:rPr>
        <w:t>what total number of (a) cases have been brought before the dedicated courts and (b) the specified cases (i) have resulted in successful convictions and/or (ii) are still pending;</w:t>
      </w:r>
      <w:r w:rsidR="002D70BA">
        <w:rPr>
          <w:rFonts w:ascii="Arial" w:hAnsi="Arial" w:cs="Arial"/>
          <w:color w:val="FF0000"/>
          <w:lang w:val="en-ZA"/>
        </w:rPr>
        <w:t xml:space="preserve"> </w:t>
      </w:r>
    </w:p>
    <w:p w:rsidR="00DA29F5" w:rsidRDefault="00DA29F5" w:rsidP="00DA29F5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A29F5">
        <w:rPr>
          <w:rFonts w:ascii="Arial" w:hAnsi="Arial" w:cs="Arial"/>
          <w:lang w:val="en-ZA"/>
        </w:rPr>
        <w:t xml:space="preserve">what (a) total number of offenders who have been found guilty were sentenced to imprisonment and (b) were the (i) minimum and (ii) maximum sentences handed down by the dedicated </w:t>
      </w:r>
      <w:r>
        <w:rPr>
          <w:rFonts w:ascii="Arial" w:hAnsi="Arial" w:cs="Arial"/>
          <w:lang w:val="en-ZA"/>
        </w:rPr>
        <w:t>courts?</w:t>
      </w:r>
      <w:r w:rsidR="002D70BA">
        <w:rPr>
          <w:rFonts w:ascii="Arial" w:hAnsi="Arial" w:cs="Arial"/>
          <w:lang w:val="en-ZA"/>
        </w:rPr>
        <w:t xml:space="preserve"> </w:t>
      </w:r>
    </w:p>
    <w:p w:rsidR="00DA29F5" w:rsidRPr="00DA29F5" w:rsidRDefault="00DA29F5" w:rsidP="00DA29F5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DA29F5">
        <w:rPr>
          <w:rFonts w:ascii="Arial" w:hAnsi="Arial" w:cs="Arial"/>
          <w:b/>
          <w:lang w:val="en-ZA"/>
        </w:rPr>
        <w:t>NW1158E</w:t>
      </w:r>
    </w:p>
    <w:p w:rsidR="005C4580" w:rsidRDefault="005C4580" w:rsidP="005C4580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5C4580" w:rsidRDefault="005C4580" w:rsidP="00590888">
      <w:pPr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983C6B" w:rsidRDefault="00F80E79" w:rsidP="00E72BF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ZA"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E72BFA" w:rsidRPr="0089703D" w:rsidRDefault="00E72BFA" w:rsidP="00E72BFA">
      <w:pPr>
        <w:spacing w:line="360" w:lineRule="auto"/>
        <w:rPr>
          <w:rFonts w:ascii="Arial" w:hAnsi="Arial" w:cs="Arial"/>
          <w:lang w:val="en-ZA"/>
        </w:rPr>
      </w:pPr>
    </w:p>
    <w:p w:rsidR="00E64482" w:rsidRDefault="00596ACD" w:rsidP="00E72BFA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(1)(a)</w:t>
      </w:r>
      <w:r>
        <w:rPr>
          <w:rFonts w:ascii="Arial" w:hAnsi="Arial" w:cs="Arial"/>
          <w:lang w:val="en-ZA"/>
        </w:rPr>
        <w:tab/>
        <w:t>From August 2013 up to 7 February 2020, the Department upgraded 106 courts into sexual offences courts in line with the MATTSO</w:t>
      </w:r>
      <w:r>
        <w:rPr>
          <w:rStyle w:val="FootnoteReference"/>
          <w:rFonts w:ascii="Arial" w:hAnsi="Arial" w:cs="Arial"/>
          <w:lang w:val="en-ZA"/>
        </w:rPr>
        <w:footnoteReference w:id="1"/>
      </w:r>
      <w:r>
        <w:rPr>
          <w:rFonts w:ascii="Arial" w:hAnsi="Arial" w:cs="Arial"/>
          <w:lang w:val="en-ZA"/>
        </w:rPr>
        <w:t xml:space="preserve"> Sexual Offences Courts</w:t>
      </w:r>
      <w:r w:rsidR="002A6E76">
        <w:rPr>
          <w:rFonts w:ascii="Arial" w:hAnsi="Arial" w:cs="Arial"/>
          <w:lang w:val="en-ZA"/>
        </w:rPr>
        <w:t xml:space="preserve"> (SOC)</w:t>
      </w:r>
      <w:r>
        <w:rPr>
          <w:rFonts w:ascii="Arial" w:hAnsi="Arial" w:cs="Arial"/>
          <w:lang w:val="en-ZA"/>
        </w:rPr>
        <w:t xml:space="preserve"> Model</w:t>
      </w:r>
      <w:r w:rsidR="002A6E76">
        <w:rPr>
          <w:rFonts w:ascii="Arial" w:hAnsi="Arial" w:cs="Arial"/>
          <w:lang w:val="en-ZA"/>
        </w:rPr>
        <w:t xml:space="preserve">. </w:t>
      </w:r>
      <w:r w:rsidR="00104DAD">
        <w:rPr>
          <w:rFonts w:ascii="Arial" w:hAnsi="Arial" w:cs="Arial"/>
          <w:lang w:val="en-ZA"/>
        </w:rPr>
        <w:t>Pursuant to the promulgation of section 55A of the Criminal Law (Sexual Offences and Related Matters) Amendment Act, 2007 (Act No 32 of 2007) (the Act), t</w:t>
      </w:r>
      <w:r w:rsidR="00E64482">
        <w:rPr>
          <w:rFonts w:ascii="Arial" w:hAnsi="Arial" w:cs="Arial"/>
          <w:lang w:val="en-ZA"/>
        </w:rPr>
        <w:t>hese courts are</w:t>
      </w:r>
      <w:r w:rsidR="00104DAD">
        <w:rPr>
          <w:rFonts w:ascii="Arial" w:hAnsi="Arial" w:cs="Arial"/>
          <w:lang w:val="en-ZA"/>
        </w:rPr>
        <w:t xml:space="preserve"> now </w:t>
      </w:r>
      <w:r w:rsidR="00E64482">
        <w:rPr>
          <w:rFonts w:ascii="Arial" w:hAnsi="Arial" w:cs="Arial"/>
          <w:lang w:val="en-ZA"/>
        </w:rPr>
        <w:t xml:space="preserve">referred to as the MATTSO courts. </w:t>
      </w:r>
    </w:p>
    <w:p w:rsidR="00E72BFA" w:rsidRDefault="00E72BFA" w:rsidP="00E72BFA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</w:p>
    <w:p w:rsidR="00596ACD" w:rsidRDefault="002A6E76" w:rsidP="00E72BFA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On 7 February 2020</w:t>
      </w:r>
      <w:r w:rsidR="00E72BFA">
        <w:rPr>
          <w:rFonts w:ascii="Arial" w:hAnsi="Arial" w:cs="Arial"/>
          <w:lang w:val="en-ZA"/>
        </w:rPr>
        <w:t>,</w:t>
      </w:r>
      <w:r>
        <w:rPr>
          <w:rFonts w:ascii="Arial" w:hAnsi="Arial" w:cs="Arial"/>
          <w:lang w:val="en-ZA"/>
        </w:rPr>
        <w:t xml:space="preserve"> section 55A of the </w:t>
      </w:r>
      <w:r w:rsidR="00104DAD">
        <w:rPr>
          <w:rFonts w:ascii="Arial" w:hAnsi="Arial" w:cs="Arial"/>
          <w:lang w:val="en-ZA"/>
        </w:rPr>
        <w:t>Act</w:t>
      </w:r>
      <w:r w:rsidR="0057409C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was promulgated into law </w:t>
      </w:r>
      <w:r w:rsidR="00E64482">
        <w:rPr>
          <w:rFonts w:ascii="Arial" w:hAnsi="Arial" w:cs="Arial"/>
          <w:lang w:val="en-ZA"/>
        </w:rPr>
        <w:t xml:space="preserve">to introduce the statutory sexual offences courts that must be established and resourced in line with the </w:t>
      </w:r>
      <w:r w:rsidRPr="00E64482">
        <w:rPr>
          <w:rFonts w:ascii="Arial" w:hAnsi="Arial" w:cs="Arial"/>
          <w:i/>
          <w:lang w:val="en-ZA"/>
        </w:rPr>
        <w:t>Regulations re</w:t>
      </w:r>
      <w:r w:rsidR="00113044">
        <w:rPr>
          <w:rFonts w:ascii="Arial" w:hAnsi="Arial" w:cs="Arial"/>
          <w:i/>
          <w:lang w:val="en-ZA"/>
        </w:rPr>
        <w:t xml:space="preserve">lating to Sexual Offences Courts. </w:t>
      </w:r>
      <w:r w:rsidR="00113044">
        <w:rPr>
          <w:rFonts w:ascii="Arial" w:hAnsi="Arial" w:cs="Arial"/>
          <w:lang w:val="en-ZA"/>
        </w:rPr>
        <w:t xml:space="preserve">The Department is in the process of converting the MATTSO courts into the section 55A sexual offences courts. However, this does mean that the </w:t>
      </w:r>
      <w:r w:rsidR="00BF7B20">
        <w:rPr>
          <w:rFonts w:ascii="Arial" w:hAnsi="Arial" w:cs="Arial"/>
          <w:lang w:val="en-ZA"/>
        </w:rPr>
        <w:t>MATTSO courts ceased to function, as s</w:t>
      </w:r>
      <w:r w:rsidR="00E64482">
        <w:rPr>
          <w:rFonts w:ascii="Arial" w:hAnsi="Arial" w:cs="Arial"/>
          <w:lang w:val="en-ZA"/>
        </w:rPr>
        <w:t>ection 55A</w:t>
      </w:r>
      <w:r w:rsidR="00113044">
        <w:rPr>
          <w:rFonts w:ascii="Arial" w:hAnsi="Arial" w:cs="Arial"/>
          <w:lang w:val="en-ZA"/>
        </w:rPr>
        <w:t xml:space="preserve"> </w:t>
      </w:r>
      <w:r w:rsidR="00E64482">
        <w:rPr>
          <w:rFonts w:ascii="Arial" w:hAnsi="Arial" w:cs="Arial"/>
          <w:lang w:val="en-ZA"/>
        </w:rPr>
        <w:t>(5) of the Act empowers the MATT</w:t>
      </w:r>
      <w:r w:rsidR="00113044">
        <w:rPr>
          <w:rFonts w:ascii="Arial" w:hAnsi="Arial" w:cs="Arial"/>
          <w:lang w:val="en-ZA"/>
        </w:rPr>
        <w:t>SO courts and the rest of the courts for the regional divisions to deal with sexual offences matters</w:t>
      </w:r>
      <w:r w:rsidR="00BF7B20">
        <w:rPr>
          <w:rFonts w:ascii="Arial" w:hAnsi="Arial" w:cs="Arial"/>
          <w:lang w:val="en-ZA"/>
        </w:rPr>
        <w:t xml:space="preserve">, even though they are not established as the sexual offences courts yet.  </w:t>
      </w:r>
    </w:p>
    <w:p w:rsidR="002A6E76" w:rsidRDefault="00E64482" w:rsidP="00E72BFA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 w:rsidR="00145236">
        <w:rPr>
          <w:rFonts w:ascii="Arial" w:hAnsi="Arial" w:cs="Arial"/>
          <w:lang w:val="en-ZA"/>
        </w:rPr>
        <w:t>On 30 March 2022</w:t>
      </w:r>
      <w:r w:rsidR="00E72BFA">
        <w:rPr>
          <w:rFonts w:ascii="Arial" w:hAnsi="Arial" w:cs="Arial"/>
          <w:lang w:val="en-ZA"/>
        </w:rPr>
        <w:t>,</w:t>
      </w:r>
      <w:r w:rsidR="00145236">
        <w:rPr>
          <w:rFonts w:ascii="Arial" w:hAnsi="Arial" w:cs="Arial"/>
          <w:lang w:val="en-ZA"/>
        </w:rPr>
        <w:t xml:space="preserve"> t</w:t>
      </w:r>
      <w:r w:rsidR="00BF7B20">
        <w:rPr>
          <w:rFonts w:ascii="Arial" w:hAnsi="Arial" w:cs="Arial"/>
          <w:lang w:val="en-ZA"/>
        </w:rPr>
        <w:t xml:space="preserve">he Minister </w:t>
      </w:r>
      <w:r w:rsidR="00145236">
        <w:rPr>
          <w:rFonts w:ascii="Arial" w:hAnsi="Arial" w:cs="Arial"/>
          <w:lang w:val="en-ZA"/>
        </w:rPr>
        <w:t>received a letter of concurrence from the</w:t>
      </w:r>
      <w:r w:rsidR="00BF7B20">
        <w:rPr>
          <w:rFonts w:ascii="Arial" w:hAnsi="Arial" w:cs="Arial"/>
          <w:lang w:val="en-ZA"/>
        </w:rPr>
        <w:t xml:space="preserve"> Acting Chief Justice </w:t>
      </w:r>
      <w:r w:rsidR="0065202D">
        <w:rPr>
          <w:rFonts w:ascii="Arial" w:hAnsi="Arial" w:cs="Arial"/>
          <w:lang w:val="en-ZA"/>
        </w:rPr>
        <w:t>to designate courts where the section 55A sexual offences courts must be established</w:t>
      </w:r>
      <w:r w:rsidR="00145236">
        <w:rPr>
          <w:rFonts w:ascii="Arial" w:hAnsi="Arial" w:cs="Arial"/>
          <w:lang w:val="en-ZA"/>
        </w:rPr>
        <w:t>. With this</w:t>
      </w:r>
      <w:r w:rsidR="00F8119F">
        <w:rPr>
          <w:rFonts w:ascii="Arial" w:hAnsi="Arial" w:cs="Arial"/>
          <w:lang w:val="en-ZA"/>
        </w:rPr>
        <w:t xml:space="preserve"> progress a</w:t>
      </w:r>
      <w:r w:rsidR="00145236">
        <w:rPr>
          <w:rFonts w:ascii="Arial" w:hAnsi="Arial" w:cs="Arial"/>
          <w:lang w:val="en-ZA"/>
        </w:rPr>
        <w:t xml:space="preserve">t hand, </w:t>
      </w:r>
      <w:r w:rsidR="0065202D">
        <w:rPr>
          <w:rFonts w:ascii="Arial" w:hAnsi="Arial" w:cs="Arial"/>
          <w:lang w:val="en-ZA"/>
        </w:rPr>
        <w:t xml:space="preserve">it is </w:t>
      </w:r>
      <w:r w:rsidR="00145236">
        <w:rPr>
          <w:rFonts w:ascii="Arial" w:hAnsi="Arial" w:cs="Arial"/>
          <w:lang w:val="en-ZA"/>
        </w:rPr>
        <w:t xml:space="preserve">therefore </w:t>
      </w:r>
      <w:r w:rsidR="0065202D">
        <w:rPr>
          <w:rFonts w:ascii="Arial" w:hAnsi="Arial" w:cs="Arial"/>
          <w:lang w:val="en-ZA"/>
        </w:rPr>
        <w:t xml:space="preserve">anticipated that the first batch of these courts will be released in </w:t>
      </w:r>
      <w:r w:rsidR="00145236">
        <w:rPr>
          <w:rFonts w:ascii="Arial" w:hAnsi="Arial" w:cs="Arial"/>
          <w:lang w:val="en-ZA"/>
        </w:rPr>
        <w:t>the next financial year (2022/</w:t>
      </w:r>
      <w:r w:rsidR="0065202D">
        <w:rPr>
          <w:rFonts w:ascii="Arial" w:hAnsi="Arial" w:cs="Arial"/>
          <w:lang w:val="en-ZA"/>
        </w:rPr>
        <w:t xml:space="preserve">23). </w:t>
      </w:r>
      <w:r w:rsidR="002A6E76">
        <w:rPr>
          <w:rFonts w:ascii="Arial" w:hAnsi="Arial" w:cs="Arial"/>
          <w:lang w:val="en-ZA"/>
        </w:rPr>
        <w:tab/>
        <w:t xml:space="preserve"> </w:t>
      </w:r>
    </w:p>
    <w:p w:rsidR="00017E77" w:rsidRDefault="00E72BFA" w:rsidP="00E72BFA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</w:t>
      </w:r>
      <w:r w:rsidR="0065202D">
        <w:rPr>
          <w:rFonts w:ascii="Arial" w:hAnsi="Arial" w:cs="Arial"/>
          <w:lang w:val="en-ZA"/>
        </w:rPr>
        <w:t xml:space="preserve">(b) </w:t>
      </w:r>
      <w:r w:rsidR="00A75138">
        <w:rPr>
          <w:rFonts w:ascii="Arial" w:hAnsi="Arial" w:cs="Arial"/>
          <w:lang w:val="en-ZA"/>
        </w:rPr>
        <w:t>As indicated in paragraph (1)(a) above, at present only the MATTSO courts are prioritising the adjudication sexual offences matters until the establishment of the section 55A sexual offences courts. T</w:t>
      </w:r>
      <w:r w:rsidR="0085174C">
        <w:rPr>
          <w:rFonts w:ascii="Arial" w:hAnsi="Arial" w:cs="Arial"/>
          <w:lang w:val="en-ZA"/>
        </w:rPr>
        <w:t xml:space="preserve">he Department is unable to provide the exact number of magistrates dedicated to the MATTSO courts, as the allocation of </w:t>
      </w:r>
      <w:r w:rsidR="00A75138">
        <w:rPr>
          <w:rFonts w:ascii="Arial" w:hAnsi="Arial" w:cs="Arial"/>
          <w:lang w:val="en-ZA"/>
        </w:rPr>
        <w:t xml:space="preserve">such </w:t>
      </w:r>
      <w:r w:rsidR="0085174C">
        <w:rPr>
          <w:rFonts w:ascii="Arial" w:hAnsi="Arial" w:cs="Arial"/>
          <w:lang w:val="en-ZA"/>
        </w:rPr>
        <w:t xml:space="preserve">presiding magistrates falls under the purview of the administrative functions of </w:t>
      </w:r>
      <w:r w:rsidR="00017E77">
        <w:rPr>
          <w:rFonts w:ascii="Arial" w:hAnsi="Arial" w:cs="Arial"/>
          <w:lang w:val="en-ZA"/>
        </w:rPr>
        <w:t xml:space="preserve">the head of each regional division (referred to as the </w:t>
      </w:r>
      <w:r w:rsidR="00145236">
        <w:rPr>
          <w:rFonts w:ascii="Arial" w:hAnsi="Arial" w:cs="Arial"/>
          <w:lang w:val="en-ZA"/>
        </w:rPr>
        <w:t>Regional Court President</w:t>
      </w:r>
      <w:r w:rsidR="00017E77">
        <w:rPr>
          <w:rFonts w:ascii="Arial" w:hAnsi="Arial" w:cs="Arial"/>
          <w:lang w:val="en-ZA"/>
        </w:rPr>
        <w:t>)</w:t>
      </w:r>
      <w:r w:rsidR="0085174C">
        <w:rPr>
          <w:rFonts w:ascii="Arial" w:hAnsi="Arial" w:cs="Arial"/>
          <w:lang w:val="en-ZA"/>
        </w:rPr>
        <w:t xml:space="preserve">. </w:t>
      </w:r>
      <w:r w:rsidR="00017E77">
        <w:rPr>
          <w:rFonts w:ascii="Arial" w:hAnsi="Arial" w:cs="Arial"/>
          <w:lang w:val="en-ZA"/>
        </w:rPr>
        <w:t xml:space="preserve">In seeking to formalise the execution of this judicial function per regional division, </w:t>
      </w:r>
      <w:r w:rsidR="0057409C">
        <w:rPr>
          <w:rFonts w:ascii="Arial" w:hAnsi="Arial" w:cs="Arial"/>
          <w:lang w:val="en-ZA"/>
        </w:rPr>
        <w:t xml:space="preserve">section 55A (7) of the Act </w:t>
      </w:r>
      <w:r w:rsidR="00017E77">
        <w:rPr>
          <w:rFonts w:ascii="Arial" w:hAnsi="Arial" w:cs="Arial"/>
          <w:lang w:val="en-ZA"/>
        </w:rPr>
        <w:t>requires</w:t>
      </w:r>
      <w:r w:rsidR="0057409C">
        <w:rPr>
          <w:rFonts w:ascii="Arial" w:hAnsi="Arial" w:cs="Arial"/>
          <w:lang w:val="en-ZA"/>
        </w:rPr>
        <w:t xml:space="preserve"> the head of each regional division to issue directives </w:t>
      </w:r>
      <w:r w:rsidR="00017E77">
        <w:rPr>
          <w:rFonts w:ascii="Arial" w:hAnsi="Arial" w:cs="Arial"/>
          <w:lang w:val="en-ZA"/>
        </w:rPr>
        <w:t xml:space="preserve">with the purpose of ensuring that sexual offences matters receive priority at each sexual offences court. It is therefore expected that the Regional Court Presidents </w:t>
      </w:r>
      <w:r w:rsidR="00A75138">
        <w:rPr>
          <w:rFonts w:ascii="Arial" w:hAnsi="Arial" w:cs="Arial"/>
          <w:lang w:val="en-ZA"/>
        </w:rPr>
        <w:t xml:space="preserve">will issue these directives upon the establishment of the section 55A sexual offences courts </w:t>
      </w:r>
      <w:r w:rsidR="0027076A">
        <w:rPr>
          <w:rFonts w:ascii="Arial" w:hAnsi="Arial" w:cs="Arial"/>
          <w:lang w:val="en-ZA"/>
        </w:rPr>
        <w:t xml:space="preserve">planned for the </w:t>
      </w:r>
      <w:r w:rsidR="00145236">
        <w:rPr>
          <w:rFonts w:ascii="Arial" w:hAnsi="Arial" w:cs="Arial"/>
          <w:lang w:val="en-ZA"/>
        </w:rPr>
        <w:t>2022/</w:t>
      </w:r>
      <w:r w:rsidR="00A75138">
        <w:rPr>
          <w:rFonts w:ascii="Arial" w:hAnsi="Arial" w:cs="Arial"/>
          <w:lang w:val="en-ZA"/>
        </w:rPr>
        <w:t xml:space="preserve">23 financial year. </w:t>
      </w:r>
    </w:p>
    <w:p w:rsidR="00983C6B" w:rsidRDefault="00C570E1" w:rsidP="00E72BFA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</w:t>
      </w:r>
      <w:r w:rsidR="00532F12">
        <w:rPr>
          <w:rFonts w:ascii="Arial" w:hAnsi="Arial" w:cs="Arial"/>
          <w:lang w:val="en-ZA"/>
        </w:rPr>
        <w:tab/>
      </w:r>
      <w:r w:rsidR="00A8093A">
        <w:rPr>
          <w:rFonts w:ascii="Arial" w:hAnsi="Arial" w:cs="Arial"/>
          <w:lang w:val="en-ZA"/>
        </w:rPr>
        <w:t xml:space="preserve">During the period 1 April 2021 to 28 February 2022, the </w:t>
      </w:r>
      <w:r>
        <w:rPr>
          <w:rFonts w:ascii="Arial" w:hAnsi="Arial" w:cs="Arial"/>
          <w:lang w:val="en-ZA"/>
        </w:rPr>
        <w:t xml:space="preserve">106 MATTSO courts registered the following cases according to the following metrics: </w:t>
      </w:r>
      <w:r w:rsidR="00A8093A">
        <w:rPr>
          <w:rFonts w:ascii="Arial" w:hAnsi="Arial" w:cs="Arial"/>
          <w:lang w:val="en-ZA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1800"/>
        <w:gridCol w:w="2160"/>
        <w:gridCol w:w="2538"/>
      </w:tblGrid>
      <w:tr w:rsidR="00C570E1" w:rsidRPr="007B7F0D" w:rsidTr="00E72BFA">
        <w:trPr>
          <w:tblHeader/>
        </w:trPr>
        <w:tc>
          <w:tcPr>
            <w:tcW w:w="6318" w:type="dxa"/>
            <w:gridSpan w:val="3"/>
            <w:shd w:val="clear" w:color="auto" w:fill="E7E6E6"/>
            <w:vAlign w:val="center"/>
          </w:tcPr>
          <w:p w:rsidR="00C570E1" w:rsidRPr="00E72BFA" w:rsidRDefault="00C570E1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ab/>
            </w:r>
            <w:r w:rsidRPr="00E72BFA">
              <w:rPr>
                <w:rFonts w:ascii="Arial" w:hAnsi="Arial" w:cs="Arial"/>
                <w:b/>
                <w:lang w:val="en-ZA"/>
              </w:rPr>
              <w:t>Reply to Question (2)(a)</w:t>
            </w:r>
          </w:p>
        </w:tc>
        <w:tc>
          <w:tcPr>
            <w:tcW w:w="2538" w:type="dxa"/>
            <w:shd w:val="clear" w:color="auto" w:fill="E7E6E6"/>
            <w:vAlign w:val="center"/>
          </w:tcPr>
          <w:p w:rsidR="00C570E1" w:rsidRPr="00E72BFA" w:rsidRDefault="00C570E1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72BFA">
              <w:rPr>
                <w:rFonts w:ascii="Arial" w:hAnsi="Arial" w:cs="Arial"/>
                <w:b/>
                <w:lang w:val="en-ZA"/>
              </w:rPr>
              <w:t>Re</w:t>
            </w:r>
            <w:r w:rsidR="004871DB" w:rsidRPr="00E72BFA">
              <w:rPr>
                <w:rFonts w:ascii="Arial" w:hAnsi="Arial" w:cs="Arial"/>
                <w:b/>
                <w:lang w:val="en-ZA"/>
              </w:rPr>
              <w:t>ply to Question (2)(b)</w:t>
            </w:r>
            <w:r w:rsidRPr="00E72BFA">
              <w:rPr>
                <w:rFonts w:ascii="Arial" w:hAnsi="Arial" w:cs="Arial"/>
                <w:b/>
                <w:lang w:val="en-ZA"/>
              </w:rPr>
              <w:t>(ii)</w:t>
            </w:r>
          </w:p>
        </w:tc>
      </w:tr>
      <w:tr w:rsidR="004871DB" w:rsidRPr="007B7F0D" w:rsidTr="00E72BFA">
        <w:trPr>
          <w:tblHeader/>
        </w:trPr>
        <w:tc>
          <w:tcPr>
            <w:tcW w:w="2358" w:type="dxa"/>
            <w:shd w:val="clear" w:color="auto" w:fill="E7E6E6"/>
            <w:vAlign w:val="center"/>
          </w:tcPr>
          <w:p w:rsidR="004871DB" w:rsidRPr="00E72BFA" w:rsidRDefault="004871DB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72BFA">
              <w:rPr>
                <w:rFonts w:ascii="Arial" w:hAnsi="Arial" w:cs="Arial"/>
                <w:b/>
                <w:lang w:val="en-ZA"/>
              </w:rPr>
              <w:t>Province</w:t>
            </w:r>
          </w:p>
        </w:tc>
        <w:tc>
          <w:tcPr>
            <w:tcW w:w="1800" w:type="dxa"/>
            <w:shd w:val="clear" w:color="auto" w:fill="E7E6E6"/>
            <w:vAlign w:val="center"/>
          </w:tcPr>
          <w:p w:rsidR="004871DB" w:rsidRPr="00E72BFA" w:rsidRDefault="004871DB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72BFA">
              <w:rPr>
                <w:rFonts w:ascii="Arial" w:hAnsi="Arial" w:cs="Arial"/>
                <w:b/>
                <w:lang w:val="en-ZA"/>
              </w:rPr>
              <w:t>No</w:t>
            </w:r>
            <w:r w:rsidR="00E72BFA" w:rsidRPr="00E72BFA">
              <w:rPr>
                <w:rFonts w:ascii="Arial" w:hAnsi="Arial" w:cs="Arial"/>
                <w:b/>
                <w:lang w:val="en-ZA"/>
              </w:rPr>
              <w:t>.</w:t>
            </w:r>
            <w:r w:rsidRPr="00E72BFA">
              <w:rPr>
                <w:rFonts w:ascii="Arial" w:hAnsi="Arial" w:cs="Arial"/>
                <w:b/>
                <w:lang w:val="en-ZA"/>
              </w:rPr>
              <w:t xml:space="preserve"> of MATTSO Courts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4871DB" w:rsidRPr="00E72BFA" w:rsidRDefault="004871DB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72BFA">
              <w:rPr>
                <w:rFonts w:ascii="Arial" w:hAnsi="Arial" w:cs="Arial"/>
                <w:b/>
                <w:lang w:val="en-ZA"/>
              </w:rPr>
              <w:t>Total No</w:t>
            </w:r>
            <w:r w:rsidR="00E72BFA" w:rsidRPr="00E72BFA">
              <w:rPr>
                <w:rFonts w:ascii="Arial" w:hAnsi="Arial" w:cs="Arial"/>
                <w:b/>
                <w:lang w:val="en-ZA"/>
              </w:rPr>
              <w:t>.</w:t>
            </w:r>
            <w:r w:rsidRPr="00E72BFA">
              <w:rPr>
                <w:rFonts w:ascii="Arial" w:hAnsi="Arial" w:cs="Arial"/>
                <w:b/>
                <w:lang w:val="en-ZA"/>
              </w:rPr>
              <w:t xml:space="preserve"> of new cases registered</w:t>
            </w:r>
          </w:p>
        </w:tc>
        <w:tc>
          <w:tcPr>
            <w:tcW w:w="2538" w:type="dxa"/>
            <w:shd w:val="clear" w:color="auto" w:fill="E7E6E6"/>
            <w:vAlign w:val="center"/>
          </w:tcPr>
          <w:p w:rsidR="004871DB" w:rsidRPr="00E72BFA" w:rsidRDefault="004871DB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72BFA">
              <w:rPr>
                <w:rFonts w:ascii="Arial" w:hAnsi="Arial" w:cs="Arial"/>
                <w:b/>
                <w:lang w:val="en-ZA"/>
              </w:rPr>
              <w:t>Total No</w:t>
            </w:r>
            <w:r w:rsidR="00E72BFA" w:rsidRPr="00E72BFA">
              <w:rPr>
                <w:rFonts w:ascii="Arial" w:hAnsi="Arial" w:cs="Arial"/>
                <w:b/>
                <w:lang w:val="en-ZA"/>
              </w:rPr>
              <w:t>.</w:t>
            </w:r>
            <w:r w:rsidRPr="00E72BFA">
              <w:rPr>
                <w:rFonts w:ascii="Arial" w:hAnsi="Arial" w:cs="Arial"/>
                <w:b/>
                <w:lang w:val="en-ZA"/>
              </w:rPr>
              <w:t xml:space="preserve"> Pending cases</w:t>
            </w:r>
          </w:p>
        </w:tc>
      </w:tr>
      <w:tr w:rsidR="004871DB" w:rsidRPr="007B7F0D" w:rsidTr="007B7F0D">
        <w:tc>
          <w:tcPr>
            <w:tcW w:w="2358" w:type="dxa"/>
            <w:shd w:val="clear" w:color="auto" w:fill="E7E6E6"/>
          </w:tcPr>
          <w:p w:rsidR="004871DB" w:rsidRPr="007B7F0D" w:rsidRDefault="004871DB" w:rsidP="00E72BF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Eastern Cape</w:t>
            </w:r>
          </w:p>
        </w:tc>
        <w:tc>
          <w:tcPr>
            <w:tcW w:w="180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151</w:t>
            </w:r>
          </w:p>
        </w:tc>
        <w:tc>
          <w:tcPr>
            <w:tcW w:w="2538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327</w:t>
            </w:r>
          </w:p>
        </w:tc>
      </w:tr>
      <w:tr w:rsidR="004871DB" w:rsidRPr="007B7F0D" w:rsidTr="007B7F0D">
        <w:tc>
          <w:tcPr>
            <w:tcW w:w="2358" w:type="dxa"/>
            <w:shd w:val="clear" w:color="auto" w:fill="E7E6E6"/>
          </w:tcPr>
          <w:p w:rsidR="004871DB" w:rsidRPr="007B7F0D" w:rsidRDefault="004871DB" w:rsidP="00E72BF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Free State</w:t>
            </w:r>
          </w:p>
        </w:tc>
        <w:tc>
          <w:tcPr>
            <w:tcW w:w="180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403</w:t>
            </w:r>
          </w:p>
        </w:tc>
        <w:tc>
          <w:tcPr>
            <w:tcW w:w="2538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593</w:t>
            </w:r>
          </w:p>
        </w:tc>
      </w:tr>
      <w:tr w:rsidR="004871DB" w:rsidRPr="007B7F0D" w:rsidTr="007B7F0D">
        <w:tc>
          <w:tcPr>
            <w:tcW w:w="2358" w:type="dxa"/>
            <w:shd w:val="clear" w:color="auto" w:fill="E7E6E6"/>
          </w:tcPr>
          <w:p w:rsidR="004871DB" w:rsidRPr="007B7F0D" w:rsidRDefault="004871DB" w:rsidP="00E72BF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Gauteng</w:t>
            </w:r>
          </w:p>
        </w:tc>
        <w:tc>
          <w:tcPr>
            <w:tcW w:w="180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695</w:t>
            </w:r>
          </w:p>
        </w:tc>
        <w:tc>
          <w:tcPr>
            <w:tcW w:w="2538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810</w:t>
            </w:r>
          </w:p>
        </w:tc>
      </w:tr>
      <w:tr w:rsidR="004871DB" w:rsidRPr="007B7F0D" w:rsidTr="007B7F0D">
        <w:tc>
          <w:tcPr>
            <w:tcW w:w="2358" w:type="dxa"/>
            <w:shd w:val="clear" w:color="auto" w:fill="E7E6E6"/>
          </w:tcPr>
          <w:p w:rsidR="004871DB" w:rsidRPr="007B7F0D" w:rsidRDefault="004871DB" w:rsidP="00E72BF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KwaZulu-Natal</w:t>
            </w:r>
          </w:p>
        </w:tc>
        <w:tc>
          <w:tcPr>
            <w:tcW w:w="180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425</w:t>
            </w:r>
          </w:p>
        </w:tc>
        <w:tc>
          <w:tcPr>
            <w:tcW w:w="2538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700</w:t>
            </w:r>
          </w:p>
        </w:tc>
      </w:tr>
      <w:tr w:rsidR="004871DB" w:rsidRPr="007B7F0D" w:rsidTr="007B7F0D">
        <w:tc>
          <w:tcPr>
            <w:tcW w:w="2358" w:type="dxa"/>
            <w:shd w:val="clear" w:color="auto" w:fill="E7E6E6"/>
          </w:tcPr>
          <w:p w:rsidR="004871DB" w:rsidRPr="007B7F0D" w:rsidRDefault="004871DB" w:rsidP="00E72BF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Limpopo</w:t>
            </w:r>
          </w:p>
        </w:tc>
        <w:tc>
          <w:tcPr>
            <w:tcW w:w="180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142</w:t>
            </w:r>
          </w:p>
        </w:tc>
        <w:tc>
          <w:tcPr>
            <w:tcW w:w="2538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333</w:t>
            </w:r>
          </w:p>
        </w:tc>
      </w:tr>
      <w:tr w:rsidR="004871DB" w:rsidRPr="007B7F0D" w:rsidTr="007B7F0D">
        <w:tc>
          <w:tcPr>
            <w:tcW w:w="2358" w:type="dxa"/>
            <w:shd w:val="clear" w:color="auto" w:fill="E7E6E6"/>
          </w:tcPr>
          <w:p w:rsidR="004871DB" w:rsidRPr="007B7F0D" w:rsidRDefault="004871DB" w:rsidP="00E72BF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Mpumalanga</w:t>
            </w:r>
          </w:p>
        </w:tc>
        <w:tc>
          <w:tcPr>
            <w:tcW w:w="180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246</w:t>
            </w:r>
          </w:p>
        </w:tc>
        <w:tc>
          <w:tcPr>
            <w:tcW w:w="2538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507</w:t>
            </w:r>
          </w:p>
        </w:tc>
      </w:tr>
      <w:tr w:rsidR="004871DB" w:rsidRPr="007B7F0D" w:rsidTr="007B7F0D">
        <w:tc>
          <w:tcPr>
            <w:tcW w:w="2358" w:type="dxa"/>
            <w:shd w:val="clear" w:color="auto" w:fill="E7E6E6"/>
          </w:tcPr>
          <w:p w:rsidR="004871DB" w:rsidRPr="007B7F0D" w:rsidRDefault="004871DB" w:rsidP="00E72BF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Northern Cape</w:t>
            </w:r>
          </w:p>
        </w:tc>
        <w:tc>
          <w:tcPr>
            <w:tcW w:w="180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150</w:t>
            </w:r>
          </w:p>
        </w:tc>
        <w:tc>
          <w:tcPr>
            <w:tcW w:w="2538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274</w:t>
            </w:r>
          </w:p>
        </w:tc>
      </w:tr>
      <w:tr w:rsidR="004871DB" w:rsidRPr="007B7F0D" w:rsidTr="007B7F0D">
        <w:tc>
          <w:tcPr>
            <w:tcW w:w="2358" w:type="dxa"/>
            <w:shd w:val="clear" w:color="auto" w:fill="E7E6E6"/>
          </w:tcPr>
          <w:p w:rsidR="004871DB" w:rsidRPr="007B7F0D" w:rsidRDefault="004871DB" w:rsidP="00E72BF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North West</w:t>
            </w:r>
          </w:p>
        </w:tc>
        <w:tc>
          <w:tcPr>
            <w:tcW w:w="180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161</w:t>
            </w:r>
          </w:p>
        </w:tc>
        <w:tc>
          <w:tcPr>
            <w:tcW w:w="2538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 xml:space="preserve"> 506</w:t>
            </w:r>
          </w:p>
        </w:tc>
      </w:tr>
      <w:tr w:rsidR="004871DB" w:rsidRPr="007B7F0D" w:rsidTr="007B7F0D">
        <w:tc>
          <w:tcPr>
            <w:tcW w:w="2358" w:type="dxa"/>
            <w:shd w:val="clear" w:color="auto" w:fill="E7E6E6"/>
          </w:tcPr>
          <w:p w:rsidR="004871DB" w:rsidRPr="007B7F0D" w:rsidRDefault="004871DB" w:rsidP="00E72BF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Western Cape</w:t>
            </w:r>
          </w:p>
        </w:tc>
        <w:tc>
          <w:tcPr>
            <w:tcW w:w="180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349</w:t>
            </w:r>
          </w:p>
        </w:tc>
        <w:tc>
          <w:tcPr>
            <w:tcW w:w="2538" w:type="dxa"/>
            <w:shd w:val="clear" w:color="auto" w:fill="auto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936</w:t>
            </w:r>
          </w:p>
        </w:tc>
      </w:tr>
      <w:tr w:rsidR="004871DB" w:rsidRPr="007B7F0D" w:rsidTr="007B7F0D">
        <w:tc>
          <w:tcPr>
            <w:tcW w:w="2358" w:type="dxa"/>
            <w:shd w:val="clear" w:color="auto" w:fill="D0CECE"/>
          </w:tcPr>
          <w:p w:rsidR="004871DB" w:rsidRPr="007B7F0D" w:rsidRDefault="004871DB" w:rsidP="00E72BFA">
            <w:pPr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7B7F0D">
              <w:rPr>
                <w:rFonts w:ascii="Arial" w:hAnsi="Arial" w:cs="Arial"/>
                <w:b/>
                <w:lang w:val="en-ZA"/>
              </w:rPr>
              <w:t>TOTAL</w:t>
            </w:r>
          </w:p>
        </w:tc>
        <w:tc>
          <w:tcPr>
            <w:tcW w:w="1800" w:type="dxa"/>
            <w:shd w:val="clear" w:color="auto" w:fill="D0CECE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b/>
                <w:lang w:val="en-ZA"/>
              </w:rPr>
            </w:pPr>
            <w:r w:rsidRPr="007B7F0D">
              <w:rPr>
                <w:rFonts w:ascii="Arial" w:hAnsi="Arial" w:cs="Arial"/>
                <w:b/>
                <w:lang w:val="en-ZA"/>
              </w:rPr>
              <w:t>106</w:t>
            </w:r>
          </w:p>
        </w:tc>
        <w:tc>
          <w:tcPr>
            <w:tcW w:w="2160" w:type="dxa"/>
            <w:shd w:val="clear" w:color="auto" w:fill="D0CECE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b/>
                <w:lang w:val="en-ZA"/>
              </w:rPr>
            </w:pPr>
            <w:r w:rsidRPr="007B7F0D">
              <w:rPr>
                <w:rFonts w:ascii="Arial" w:hAnsi="Arial" w:cs="Arial"/>
                <w:b/>
                <w:lang w:val="en-ZA"/>
              </w:rPr>
              <w:t>2 722</w:t>
            </w:r>
          </w:p>
        </w:tc>
        <w:tc>
          <w:tcPr>
            <w:tcW w:w="2538" w:type="dxa"/>
            <w:shd w:val="clear" w:color="auto" w:fill="D0CECE"/>
          </w:tcPr>
          <w:p w:rsidR="004871DB" w:rsidRPr="007B7F0D" w:rsidRDefault="004871DB" w:rsidP="00E72BFA">
            <w:pPr>
              <w:spacing w:line="360" w:lineRule="auto"/>
              <w:jc w:val="right"/>
              <w:rPr>
                <w:rFonts w:ascii="Arial" w:hAnsi="Arial" w:cs="Arial"/>
                <w:b/>
                <w:lang w:val="en-ZA"/>
              </w:rPr>
            </w:pPr>
            <w:r w:rsidRPr="007B7F0D">
              <w:rPr>
                <w:rFonts w:ascii="Arial" w:hAnsi="Arial" w:cs="Arial"/>
                <w:b/>
                <w:lang w:val="en-ZA"/>
              </w:rPr>
              <w:t>4 986</w:t>
            </w:r>
          </w:p>
        </w:tc>
      </w:tr>
    </w:tbl>
    <w:p w:rsidR="00E72BFA" w:rsidRDefault="00E72BFA" w:rsidP="00E72BFA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B74982" w:rsidRDefault="00B74982" w:rsidP="00E72BFA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(2)(b)</w:t>
      </w:r>
      <w:r w:rsidR="004871DB">
        <w:rPr>
          <w:rFonts w:ascii="Arial" w:hAnsi="Arial" w:cs="Arial"/>
          <w:lang w:val="en-ZA"/>
        </w:rPr>
        <w:t xml:space="preserve">(i) </w:t>
      </w:r>
      <w:r w:rsidR="00F22C2A">
        <w:rPr>
          <w:rFonts w:ascii="Arial" w:hAnsi="Arial" w:cs="Arial"/>
          <w:lang w:val="en-ZA"/>
        </w:rPr>
        <w:t>During the period 1 April 2021 to 28 February 2022, the NPA repor</w:t>
      </w:r>
      <w:r w:rsidR="00B44BC9">
        <w:rPr>
          <w:rFonts w:ascii="Arial" w:hAnsi="Arial" w:cs="Arial"/>
          <w:lang w:val="en-ZA"/>
        </w:rPr>
        <w:t>ted</w:t>
      </w:r>
      <w:r w:rsidR="00F22C2A">
        <w:rPr>
          <w:rFonts w:ascii="Arial" w:hAnsi="Arial" w:cs="Arial"/>
          <w:lang w:val="en-ZA"/>
        </w:rPr>
        <w:t xml:space="preserve"> cases of sexual offences</w:t>
      </w:r>
      <w:r w:rsidR="008345FA">
        <w:rPr>
          <w:rFonts w:ascii="Arial" w:hAnsi="Arial" w:cs="Arial"/>
          <w:lang w:val="en-ZA"/>
        </w:rPr>
        <w:t xml:space="preserve"> finalised with</w:t>
      </w:r>
      <w:r w:rsidR="00F22C2A">
        <w:rPr>
          <w:rFonts w:ascii="Arial" w:hAnsi="Arial" w:cs="Arial"/>
          <w:lang w:val="en-ZA"/>
        </w:rPr>
        <w:t xml:space="preserve"> conviction as follows: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186"/>
        <w:gridCol w:w="2232"/>
        <w:gridCol w:w="2242"/>
      </w:tblGrid>
      <w:tr w:rsidR="00F22C2A" w:rsidRPr="007B7F0D" w:rsidTr="00E72BFA">
        <w:trPr>
          <w:tblHeader/>
        </w:trPr>
        <w:tc>
          <w:tcPr>
            <w:tcW w:w="2394" w:type="dxa"/>
            <w:shd w:val="clear" w:color="auto" w:fill="E7E6E6"/>
            <w:vAlign w:val="center"/>
          </w:tcPr>
          <w:p w:rsidR="00F22C2A" w:rsidRPr="007B7F0D" w:rsidRDefault="00F22C2A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394" w:type="dxa"/>
            <w:shd w:val="clear" w:color="auto" w:fill="E7E6E6"/>
            <w:vAlign w:val="center"/>
          </w:tcPr>
          <w:p w:rsidR="00F22C2A" w:rsidRPr="007B7F0D" w:rsidRDefault="00F22C2A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7B7F0D">
              <w:rPr>
                <w:rFonts w:ascii="Arial" w:hAnsi="Arial" w:cs="Arial"/>
                <w:b/>
                <w:lang w:val="en-ZA"/>
              </w:rPr>
              <w:t>Total No of cases finalised with a verdict</w:t>
            </w:r>
          </w:p>
        </w:tc>
        <w:tc>
          <w:tcPr>
            <w:tcW w:w="2394" w:type="dxa"/>
            <w:shd w:val="clear" w:color="auto" w:fill="E7E6E6"/>
            <w:vAlign w:val="center"/>
          </w:tcPr>
          <w:p w:rsidR="00F22C2A" w:rsidRPr="007B7F0D" w:rsidRDefault="00F22C2A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7B7F0D">
              <w:rPr>
                <w:rFonts w:ascii="Arial" w:hAnsi="Arial" w:cs="Arial"/>
                <w:b/>
                <w:lang w:val="en-ZA"/>
              </w:rPr>
              <w:t>Total No of Cases finalised with a Conviction</w:t>
            </w:r>
          </w:p>
        </w:tc>
        <w:tc>
          <w:tcPr>
            <w:tcW w:w="2394" w:type="dxa"/>
            <w:shd w:val="clear" w:color="auto" w:fill="E7E6E6"/>
            <w:vAlign w:val="center"/>
          </w:tcPr>
          <w:p w:rsidR="00F22C2A" w:rsidRPr="007B7F0D" w:rsidRDefault="00F22C2A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7B7F0D">
              <w:rPr>
                <w:rFonts w:ascii="Arial" w:hAnsi="Arial" w:cs="Arial"/>
                <w:b/>
                <w:lang w:val="en-ZA"/>
              </w:rPr>
              <w:t>Percentage of Conviction</w:t>
            </w:r>
          </w:p>
        </w:tc>
      </w:tr>
      <w:tr w:rsidR="00F22C2A" w:rsidRPr="007B7F0D" w:rsidTr="007B7F0D">
        <w:tc>
          <w:tcPr>
            <w:tcW w:w="2394" w:type="dxa"/>
            <w:shd w:val="clear" w:color="auto" w:fill="E7E6E6"/>
          </w:tcPr>
          <w:p w:rsidR="00F22C2A" w:rsidRPr="007B7F0D" w:rsidRDefault="00F22C2A" w:rsidP="00E72BFA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All provinces</w:t>
            </w:r>
          </w:p>
        </w:tc>
        <w:tc>
          <w:tcPr>
            <w:tcW w:w="2394" w:type="dxa"/>
            <w:shd w:val="clear" w:color="auto" w:fill="auto"/>
          </w:tcPr>
          <w:p w:rsidR="00F22C2A" w:rsidRPr="007B7F0D" w:rsidRDefault="00B44BC9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4 040</w:t>
            </w:r>
          </w:p>
        </w:tc>
        <w:tc>
          <w:tcPr>
            <w:tcW w:w="2394" w:type="dxa"/>
            <w:shd w:val="clear" w:color="auto" w:fill="auto"/>
          </w:tcPr>
          <w:p w:rsidR="00F22C2A" w:rsidRPr="007B7F0D" w:rsidRDefault="00B44BC9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3 008</w:t>
            </w:r>
          </w:p>
        </w:tc>
        <w:tc>
          <w:tcPr>
            <w:tcW w:w="2394" w:type="dxa"/>
            <w:shd w:val="clear" w:color="auto" w:fill="auto"/>
          </w:tcPr>
          <w:p w:rsidR="00F22C2A" w:rsidRPr="007B7F0D" w:rsidRDefault="00B44BC9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74.5%</w:t>
            </w:r>
          </w:p>
        </w:tc>
      </w:tr>
      <w:tr w:rsidR="00B44BC9" w:rsidRPr="007B7F0D" w:rsidTr="007B7F0D">
        <w:tc>
          <w:tcPr>
            <w:tcW w:w="2394" w:type="dxa"/>
            <w:shd w:val="clear" w:color="auto" w:fill="E7E6E6"/>
          </w:tcPr>
          <w:p w:rsidR="00B44BC9" w:rsidRPr="007B7F0D" w:rsidRDefault="00B44BC9" w:rsidP="00E72BFA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Courts attached to the 55 TCCs</w:t>
            </w:r>
          </w:p>
        </w:tc>
        <w:tc>
          <w:tcPr>
            <w:tcW w:w="2394" w:type="dxa"/>
            <w:shd w:val="clear" w:color="auto" w:fill="auto"/>
          </w:tcPr>
          <w:p w:rsidR="00B44BC9" w:rsidRPr="007B7F0D" w:rsidRDefault="00B44BC9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1 190</w:t>
            </w:r>
          </w:p>
        </w:tc>
        <w:tc>
          <w:tcPr>
            <w:tcW w:w="2394" w:type="dxa"/>
            <w:shd w:val="clear" w:color="auto" w:fill="auto"/>
          </w:tcPr>
          <w:p w:rsidR="00B44BC9" w:rsidRPr="007B7F0D" w:rsidRDefault="00B44BC9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910</w:t>
            </w:r>
          </w:p>
        </w:tc>
        <w:tc>
          <w:tcPr>
            <w:tcW w:w="2394" w:type="dxa"/>
            <w:shd w:val="clear" w:color="auto" w:fill="auto"/>
          </w:tcPr>
          <w:p w:rsidR="00B44BC9" w:rsidRPr="007B7F0D" w:rsidRDefault="00B44BC9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76.5%</w:t>
            </w:r>
          </w:p>
        </w:tc>
      </w:tr>
    </w:tbl>
    <w:p w:rsidR="00F22C2A" w:rsidRDefault="00F22C2A" w:rsidP="00E72BFA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p w:rsidR="00B74982" w:rsidRDefault="00D362F2" w:rsidP="00E72BFA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Department is </w:t>
      </w:r>
      <w:r w:rsidR="00286FF9">
        <w:rPr>
          <w:rFonts w:ascii="Arial" w:hAnsi="Arial" w:cs="Arial"/>
          <w:lang w:val="en-ZA"/>
        </w:rPr>
        <w:t xml:space="preserve">currently </w:t>
      </w:r>
      <w:r>
        <w:rPr>
          <w:rFonts w:ascii="Arial" w:hAnsi="Arial" w:cs="Arial"/>
          <w:lang w:val="en-ZA"/>
        </w:rPr>
        <w:t xml:space="preserve">not collecting statistics according to the </w:t>
      </w:r>
      <w:r w:rsidR="006E198F">
        <w:rPr>
          <w:rFonts w:ascii="Arial" w:hAnsi="Arial" w:cs="Arial"/>
          <w:lang w:val="en-ZA"/>
        </w:rPr>
        <w:t>t</w:t>
      </w:r>
      <w:r w:rsidR="00286FF9">
        <w:rPr>
          <w:rFonts w:ascii="Arial" w:hAnsi="Arial" w:cs="Arial"/>
          <w:lang w:val="en-ZA"/>
        </w:rPr>
        <w:t>ypes of sentence</w:t>
      </w:r>
      <w:r w:rsidR="006E198F">
        <w:rPr>
          <w:rFonts w:ascii="Arial" w:hAnsi="Arial" w:cs="Arial"/>
          <w:lang w:val="en-ZA"/>
        </w:rPr>
        <w:t xml:space="preserve"> impo</w:t>
      </w:r>
      <w:r w:rsidR="008345FA">
        <w:rPr>
          <w:rFonts w:ascii="Arial" w:hAnsi="Arial" w:cs="Arial"/>
          <w:lang w:val="en-ZA"/>
        </w:rPr>
        <w:t>sed on convicted sex offenders</w:t>
      </w:r>
      <w:r w:rsidR="006E198F">
        <w:rPr>
          <w:rFonts w:ascii="Arial" w:hAnsi="Arial" w:cs="Arial"/>
          <w:lang w:val="en-ZA"/>
        </w:rPr>
        <w:t xml:space="preserve">, and this includes sentences imposed in terms of the </w:t>
      </w:r>
      <w:r w:rsidR="00286FF9">
        <w:rPr>
          <w:rFonts w:ascii="Arial" w:hAnsi="Arial" w:cs="Arial"/>
          <w:lang w:val="en-ZA"/>
        </w:rPr>
        <w:t xml:space="preserve">minimum sentencing legislation referred to as the </w:t>
      </w:r>
      <w:r>
        <w:rPr>
          <w:rFonts w:ascii="Arial" w:hAnsi="Arial" w:cs="Arial"/>
          <w:lang w:val="en-ZA"/>
        </w:rPr>
        <w:t>Criminal Law Amendment</w:t>
      </w:r>
      <w:r w:rsidR="006E198F">
        <w:rPr>
          <w:rFonts w:ascii="Arial" w:hAnsi="Arial" w:cs="Arial"/>
          <w:lang w:val="en-ZA"/>
        </w:rPr>
        <w:t xml:space="preserve"> A</w:t>
      </w:r>
      <w:r w:rsidR="00286FF9">
        <w:rPr>
          <w:rFonts w:ascii="Arial" w:hAnsi="Arial" w:cs="Arial"/>
          <w:lang w:val="en-ZA"/>
        </w:rPr>
        <w:t>ct, 199</w:t>
      </w:r>
      <w:r w:rsidR="006E198F">
        <w:rPr>
          <w:rFonts w:ascii="Arial" w:hAnsi="Arial" w:cs="Arial"/>
          <w:lang w:val="en-ZA"/>
        </w:rPr>
        <w:t>7</w:t>
      </w:r>
      <w:r>
        <w:rPr>
          <w:rFonts w:ascii="Arial" w:hAnsi="Arial" w:cs="Arial"/>
          <w:lang w:val="en-ZA"/>
        </w:rPr>
        <w:t xml:space="preserve"> </w:t>
      </w:r>
      <w:r w:rsidR="006E198F">
        <w:rPr>
          <w:rFonts w:ascii="Arial" w:hAnsi="Arial" w:cs="Arial"/>
          <w:lang w:val="en-ZA"/>
        </w:rPr>
        <w:t>(</w:t>
      </w:r>
      <w:r w:rsidR="00286FF9">
        <w:rPr>
          <w:rFonts w:ascii="Arial" w:hAnsi="Arial" w:cs="Arial"/>
          <w:lang w:val="en-ZA"/>
        </w:rPr>
        <w:t xml:space="preserve">Act 105 of 1997). </w:t>
      </w:r>
      <w:r w:rsidR="003930CC">
        <w:rPr>
          <w:rFonts w:ascii="Arial" w:hAnsi="Arial" w:cs="Arial"/>
          <w:lang w:val="en-ZA"/>
        </w:rPr>
        <w:t>However, t</w:t>
      </w:r>
      <w:r w:rsidR="0058236F">
        <w:rPr>
          <w:rFonts w:ascii="Arial" w:hAnsi="Arial" w:cs="Arial"/>
          <w:lang w:val="en-ZA"/>
        </w:rPr>
        <w:t>he corre</w:t>
      </w:r>
      <w:r w:rsidR="003930CC">
        <w:rPr>
          <w:rFonts w:ascii="Arial" w:hAnsi="Arial" w:cs="Arial"/>
          <w:lang w:val="en-ZA"/>
        </w:rPr>
        <w:t xml:space="preserve">ction of this matter is </w:t>
      </w:r>
      <w:r w:rsidR="0058236F">
        <w:rPr>
          <w:rFonts w:ascii="Arial" w:hAnsi="Arial" w:cs="Arial"/>
          <w:lang w:val="en-ZA"/>
        </w:rPr>
        <w:t>already receiving attention.</w:t>
      </w:r>
      <w:r>
        <w:rPr>
          <w:rFonts w:ascii="Arial" w:hAnsi="Arial" w:cs="Arial"/>
          <w:lang w:val="en-ZA"/>
        </w:rPr>
        <w:t xml:space="preserve"> </w:t>
      </w:r>
      <w:r w:rsidR="00286FF9">
        <w:rPr>
          <w:rFonts w:ascii="Arial" w:hAnsi="Arial" w:cs="Arial"/>
          <w:lang w:val="en-ZA"/>
        </w:rPr>
        <w:t xml:space="preserve">In January 2022, the Department established a Task Team constituted by statisticians, gender-based violence and femicide (GBVF) specialists and </w:t>
      </w:r>
      <w:r w:rsidR="0058236F">
        <w:rPr>
          <w:rFonts w:ascii="Arial" w:hAnsi="Arial" w:cs="Arial"/>
          <w:lang w:val="en-ZA"/>
        </w:rPr>
        <w:t xml:space="preserve">the </w:t>
      </w:r>
      <w:r w:rsidR="00286FF9">
        <w:rPr>
          <w:rFonts w:ascii="Arial" w:hAnsi="Arial" w:cs="Arial"/>
          <w:lang w:val="en-ZA"/>
        </w:rPr>
        <w:t xml:space="preserve">system developers drawn from DoJ&amp;CD, NPA, </w:t>
      </w:r>
      <w:r w:rsidR="0058236F">
        <w:rPr>
          <w:rFonts w:ascii="Arial" w:hAnsi="Arial" w:cs="Arial"/>
          <w:lang w:val="en-ZA"/>
        </w:rPr>
        <w:t xml:space="preserve">Legal Aid South Africa, </w:t>
      </w:r>
      <w:r w:rsidR="00286FF9">
        <w:rPr>
          <w:rFonts w:ascii="Arial" w:hAnsi="Arial" w:cs="Arial"/>
          <w:lang w:val="en-ZA"/>
        </w:rPr>
        <w:t xml:space="preserve">the Integrated Justice System (IJS) and the judiciary to address gaps in the </w:t>
      </w:r>
      <w:r w:rsidR="0058236F">
        <w:rPr>
          <w:rFonts w:ascii="Arial" w:hAnsi="Arial" w:cs="Arial"/>
          <w:lang w:val="en-ZA"/>
        </w:rPr>
        <w:t xml:space="preserve">current </w:t>
      </w:r>
      <w:r w:rsidR="00286FF9">
        <w:rPr>
          <w:rFonts w:ascii="Arial" w:hAnsi="Arial" w:cs="Arial"/>
          <w:lang w:val="en-ZA"/>
        </w:rPr>
        <w:t xml:space="preserve">data metrics of the Integrated Case Management System (ICMS): Criminal </w:t>
      </w:r>
      <w:r w:rsidR="0058236F">
        <w:rPr>
          <w:rFonts w:ascii="Arial" w:hAnsi="Arial" w:cs="Arial"/>
          <w:lang w:val="en-ZA"/>
        </w:rPr>
        <w:t>an</w:t>
      </w:r>
      <w:r w:rsidR="008345FA">
        <w:rPr>
          <w:rFonts w:ascii="Arial" w:hAnsi="Arial" w:cs="Arial"/>
          <w:lang w:val="en-ZA"/>
        </w:rPr>
        <w:t xml:space="preserve">d </w:t>
      </w:r>
      <w:r w:rsidR="003930CC">
        <w:rPr>
          <w:rFonts w:ascii="Arial" w:hAnsi="Arial" w:cs="Arial"/>
          <w:lang w:val="en-ZA"/>
        </w:rPr>
        <w:t>to align this data repository</w:t>
      </w:r>
      <w:r w:rsidR="0058236F">
        <w:rPr>
          <w:rFonts w:ascii="Arial" w:hAnsi="Arial" w:cs="Arial"/>
          <w:lang w:val="en-ZA"/>
        </w:rPr>
        <w:t xml:space="preserve"> to the new changes introduced by the recent 3 GBV Amendment Acts of 2021. </w:t>
      </w:r>
      <w:r w:rsidR="00B44BC9">
        <w:rPr>
          <w:rFonts w:ascii="Arial" w:hAnsi="Arial" w:cs="Arial"/>
          <w:lang w:val="en-ZA"/>
        </w:rPr>
        <w:t xml:space="preserve">The upgrading of the </w:t>
      </w:r>
      <w:r w:rsidR="003930CC">
        <w:rPr>
          <w:rFonts w:ascii="Arial" w:hAnsi="Arial" w:cs="Arial"/>
          <w:lang w:val="en-ZA"/>
        </w:rPr>
        <w:t>ICMS: Criminal</w:t>
      </w:r>
      <w:r w:rsidR="00B44BC9">
        <w:rPr>
          <w:rFonts w:ascii="Arial" w:hAnsi="Arial" w:cs="Arial"/>
          <w:lang w:val="en-ZA"/>
        </w:rPr>
        <w:t xml:space="preserve"> will unfold in a phase-in approach which gives priority to the inc</w:t>
      </w:r>
      <w:r w:rsidR="003930CC">
        <w:rPr>
          <w:rFonts w:ascii="Arial" w:hAnsi="Arial" w:cs="Arial"/>
          <w:lang w:val="en-ZA"/>
        </w:rPr>
        <w:t xml:space="preserve">lusion of the additional </w:t>
      </w:r>
      <w:r w:rsidR="008345FA">
        <w:rPr>
          <w:rFonts w:ascii="Arial" w:hAnsi="Arial" w:cs="Arial"/>
          <w:lang w:val="en-ZA"/>
        </w:rPr>
        <w:t>data metrics on sentencing</w:t>
      </w:r>
      <w:r w:rsidR="0060572C">
        <w:rPr>
          <w:rFonts w:ascii="Arial" w:hAnsi="Arial" w:cs="Arial"/>
          <w:lang w:val="en-ZA"/>
        </w:rPr>
        <w:t>, as part of Phase 1. The latter Phase is expected to be finalised in 2022/23 financial year.</w:t>
      </w:r>
      <w:r w:rsidR="003930CC">
        <w:rPr>
          <w:rFonts w:ascii="Arial" w:hAnsi="Arial" w:cs="Arial"/>
          <w:lang w:val="en-ZA"/>
        </w:rPr>
        <w:t xml:space="preserve">  </w:t>
      </w:r>
    </w:p>
    <w:p w:rsidR="00E72BFA" w:rsidRDefault="00E72BFA" w:rsidP="00E72BFA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3930CC" w:rsidRDefault="0060572C" w:rsidP="00E72BFA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While the Department’s ICMS upgrade is in progress, the </w:t>
      </w:r>
      <w:r w:rsidR="003930CC">
        <w:rPr>
          <w:rFonts w:ascii="Arial" w:hAnsi="Arial" w:cs="Arial"/>
          <w:lang w:val="en-ZA"/>
        </w:rPr>
        <w:t xml:space="preserve">NPA </w:t>
      </w:r>
      <w:r>
        <w:rPr>
          <w:rFonts w:ascii="Arial" w:hAnsi="Arial" w:cs="Arial"/>
          <w:lang w:val="en-ZA"/>
        </w:rPr>
        <w:t xml:space="preserve">is collecting </w:t>
      </w:r>
      <w:r w:rsidR="003930CC">
        <w:rPr>
          <w:rFonts w:ascii="Arial" w:hAnsi="Arial" w:cs="Arial"/>
          <w:lang w:val="en-ZA"/>
        </w:rPr>
        <w:t xml:space="preserve">statistics on </w:t>
      </w:r>
      <w:r w:rsidR="008345FA">
        <w:rPr>
          <w:rFonts w:ascii="Arial" w:hAnsi="Arial" w:cs="Arial"/>
          <w:lang w:val="en-ZA"/>
        </w:rPr>
        <w:t xml:space="preserve">the imprisonment </w:t>
      </w:r>
      <w:r w:rsidR="003930CC">
        <w:rPr>
          <w:rFonts w:ascii="Arial" w:hAnsi="Arial" w:cs="Arial"/>
          <w:lang w:val="en-ZA"/>
        </w:rPr>
        <w:t>sente</w:t>
      </w:r>
      <w:r w:rsidR="008345FA">
        <w:rPr>
          <w:rFonts w:ascii="Arial" w:hAnsi="Arial" w:cs="Arial"/>
          <w:lang w:val="en-ZA"/>
        </w:rPr>
        <w:t>nces imposed on convicted sex offenders</w:t>
      </w:r>
      <w:r w:rsidR="007C471E">
        <w:rPr>
          <w:rFonts w:ascii="Arial" w:hAnsi="Arial" w:cs="Arial"/>
          <w:lang w:val="en-ZA"/>
        </w:rPr>
        <w:t>, but</w:t>
      </w:r>
      <w:r w:rsidR="006F34EB">
        <w:rPr>
          <w:rFonts w:ascii="Arial" w:hAnsi="Arial" w:cs="Arial"/>
          <w:lang w:val="en-ZA"/>
        </w:rPr>
        <w:t xml:space="preserve"> in a limited scale. </w:t>
      </w:r>
      <w:r>
        <w:rPr>
          <w:rFonts w:ascii="Arial" w:hAnsi="Arial" w:cs="Arial"/>
          <w:lang w:val="en-ZA"/>
        </w:rPr>
        <w:t>D</w:t>
      </w:r>
      <w:r w:rsidR="007C471E">
        <w:rPr>
          <w:rFonts w:ascii="Arial" w:hAnsi="Arial" w:cs="Arial"/>
          <w:lang w:val="en-ZA"/>
        </w:rPr>
        <w:t xml:space="preserve">uring the period 1 April 2021 to 28 February 2022, </w:t>
      </w:r>
      <w:r>
        <w:rPr>
          <w:rFonts w:ascii="Arial" w:hAnsi="Arial" w:cs="Arial"/>
          <w:lang w:val="en-ZA"/>
        </w:rPr>
        <w:t xml:space="preserve">the NPA reported that </w:t>
      </w:r>
      <w:r w:rsidR="007C471E">
        <w:rPr>
          <w:rFonts w:ascii="Arial" w:hAnsi="Arial" w:cs="Arial"/>
          <w:lang w:val="en-ZA"/>
        </w:rPr>
        <w:t>the 55 Thuthuzela Care Centres (TCCs) recorded the following breakdown of sentences imposed exclusively on convicted rape offenders: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888"/>
        <w:gridCol w:w="3060"/>
      </w:tblGrid>
      <w:tr w:rsidR="0060572C" w:rsidRPr="00E72BFA" w:rsidTr="00E72BFA">
        <w:trPr>
          <w:tblHeader/>
        </w:trPr>
        <w:tc>
          <w:tcPr>
            <w:tcW w:w="2268" w:type="dxa"/>
            <w:shd w:val="clear" w:color="auto" w:fill="D0CECE"/>
            <w:vAlign w:val="center"/>
          </w:tcPr>
          <w:p w:rsidR="007C471E" w:rsidRPr="00E72BFA" w:rsidRDefault="007C471E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72BFA">
              <w:rPr>
                <w:rFonts w:ascii="Arial" w:hAnsi="Arial" w:cs="Arial"/>
                <w:b/>
                <w:lang w:val="en-ZA"/>
              </w:rPr>
              <w:t>Offence</w:t>
            </w:r>
          </w:p>
        </w:tc>
        <w:tc>
          <w:tcPr>
            <w:tcW w:w="3888" w:type="dxa"/>
            <w:shd w:val="clear" w:color="auto" w:fill="E7E6E6"/>
            <w:vAlign w:val="center"/>
          </w:tcPr>
          <w:p w:rsidR="007C471E" w:rsidRPr="00E72BFA" w:rsidRDefault="006F34EB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72BFA">
              <w:rPr>
                <w:rFonts w:ascii="Arial" w:hAnsi="Arial" w:cs="Arial"/>
                <w:b/>
                <w:lang w:val="en-ZA"/>
              </w:rPr>
              <w:t>Type of Sentence</w:t>
            </w:r>
          </w:p>
        </w:tc>
        <w:tc>
          <w:tcPr>
            <w:tcW w:w="3060" w:type="dxa"/>
            <w:shd w:val="clear" w:color="auto" w:fill="E7E6E6"/>
            <w:vAlign w:val="center"/>
          </w:tcPr>
          <w:p w:rsidR="007C471E" w:rsidRPr="00E72BFA" w:rsidRDefault="006F34EB" w:rsidP="00E72BFA">
            <w:pPr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72BFA">
              <w:rPr>
                <w:rFonts w:ascii="Arial" w:hAnsi="Arial" w:cs="Arial"/>
                <w:b/>
                <w:lang w:val="en-ZA"/>
              </w:rPr>
              <w:t>Number</w:t>
            </w:r>
          </w:p>
        </w:tc>
      </w:tr>
      <w:tr w:rsidR="006F34EB" w:rsidRPr="007B7F0D" w:rsidTr="007B7F0D">
        <w:trPr>
          <w:cantSplit/>
          <w:trHeight w:val="1134"/>
        </w:trPr>
        <w:tc>
          <w:tcPr>
            <w:tcW w:w="2268" w:type="dxa"/>
            <w:vMerge w:val="restart"/>
            <w:shd w:val="clear" w:color="auto" w:fill="D0CECE"/>
            <w:textDirection w:val="btLr"/>
          </w:tcPr>
          <w:p w:rsidR="006F34EB" w:rsidRPr="007B7F0D" w:rsidRDefault="006F34EB" w:rsidP="00E72BFA">
            <w:pPr>
              <w:spacing w:line="360" w:lineRule="auto"/>
              <w:ind w:left="113" w:right="113"/>
              <w:jc w:val="right"/>
              <w:rPr>
                <w:rFonts w:ascii="Arial" w:hAnsi="Arial" w:cs="Arial"/>
                <w:sz w:val="72"/>
                <w:szCs w:val="72"/>
                <w:lang w:val="en-ZA"/>
              </w:rPr>
            </w:pPr>
            <w:r w:rsidRPr="007B7F0D">
              <w:rPr>
                <w:rFonts w:ascii="Arial" w:hAnsi="Arial" w:cs="Arial"/>
                <w:sz w:val="72"/>
                <w:szCs w:val="72"/>
                <w:lang w:val="en-ZA"/>
              </w:rPr>
              <w:t>RAPE</w:t>
            </w:r>
          </w:p>
        </w:tc>
        <w:tc>
          <w:tcPr>
            <w:tcW w:w="3888" w:type="dxa"/>
            <w:shd w:val="clear" w:color="auto" w:fill="auto"/>
          </w:tcPr>
          <w:p w:rsidR="006F34EB" w:rsidRPr="007B7F0D" w:rsidRDefault="006F34EB" w:rsidP="00E72BFA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Life imprisonment</w:t>
            </w:r>
          </w:p>
        </w:tc>
        <w:tc>
          <w:tcPr>
            <w:tcW w:w="3060" w:type="dxa"/>
            <w:shd w:val="clear" w:color="auto" w:fill="auto"/>
          </w:tcPr>
          <w:p w:rsidR="006F34EB" w:rsidRPr="007B7F0D" w:rsidRDefault="006F34E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173</w:t>
            </w:r>
          </w:p>
        </w:tc>
      </w:tr>
      <w:tr w:rsidR="006F34EB" w:rsidRPr="007B7F0D" w:rsidTr="007B7F0D">
        <w:tc>
          <w:tcPr>
            <w:tcW w:w="2268" w:type="dxa"/>
            <w:vMerge/>
            <w:shd w:val="clear" w:color="auto" w:fill="D0CECE"/>
          </w:tcPr>
          <w:p w:rsidR="006F34EB" w:rsidRPr="007B7F0D" w:rsidRDefault="006F34EB" w:rsidP="00E72BFA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3888" w:type="dxa"/>
            <w:shd w:val="clear" w:color="auto" w:fill="auto"/>
          </w:tcPr>
          <w:p w:rsidR="006F34EB" w:rsidRPr="007B7F0D" w:rsidRDefault="006F34EB" w:rsidP="00E72BFA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20-25 years imprisonment</w:t>
            </w:r>
          </w:p>
        </w:tc>
        <w:tc>
          <w:tcPr>
            <w:tcW w:w="3060" w:type="dxa"/>
            <w:shd w:val="clear" w:color="auto" w:fill="auto"/>
          </w:tcPr>
          <w:p w:rsidR="006F34EB" w:rsidRPr="007B7F0D" w:rsidRDefault="006F34E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89</w:t>
            </w:r>
          </w:p>
        </w:tc>
      </w:tr>
      <w:tr w:rsidR="006F34EB" w:rsidRPr="007B7F0D" w:rsidTr="00E72BFA">
        <w:trPr>
          <w:trHeight w:val="916"/>
        </w:trPr>
        <w:tc>
          <w:tcPr>
            <w:tcW w:w="2268" w:type="dxa"/>
            <w:vMerge/>
            <w:shd w:val="clear" w:color="auto" w:fill="D0CECE"/>
          </w:tcPr>
          <w:p w:rsidR="006F34EB" w:rsidRPr="007B7F0D" w:rsidRDefault="006F34EB" w:rsidP="00E72BFA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3888" w:type="dxa"/>
            <w:shd w:val="clear" w:color="auto" w:fill="auto"/>
          </w:tcPr>
          <w:p w:rsidR="006F34EB" w:rsidRPr="007B7F0D" w:rsidRDefault="006F34EB" w:rsidP="00E72BFA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10-19 years imprisonment</w:t>
            </w:r>
          </w:p>
        </w:tc>
        <w:tc>
          <w:tcPr>
            <w:tcW w:w="3060" w:type="dxa"/>
            <w:shd w:val="clear" w:color="auto" w:fill="auto"/>
          </w:tcPr>
          <w:p w:rsidR="006F34EB" w:rsidRPr="007B7F0D" w:rsidRDefault="006F34EB" w:rsidP="00E72BFA">
            <w:pPr>
              <w:spacing w:line="360" w:lineRule="auto"/>
              <w:jc w:val="right"/>
              <w:rPr>
                <w:rFonts w:ascii="Arial" w:hAnsi="Arial" w:cs="Arial"/>
                <w:lang w:val="en-ZA"/>
              </w:rPr>
            </w:pPr>
            <w:r w:rsidRPr="007B7F0D">
              <w:rPr>
                <w:rFonts w:ascii="Arial" w:hAnsi="Arial" w:cs="Arial"/>
                <w:lang w:val="en-ZA"/>
              </w:rPr>
              <w:t>338</w:t>
            </w:r>
          </w:p>
        </w:tc>
      </w:tr>
    </w:tbl>
    <w:p w:rsidR="00E72BFA" w:rsidRDefault="00E72BFA" w:rsidP="00E72BFA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58236F" w:rsidRPr="00E72BFA" w:rsidRDefault="008345FA" w:rsidP="00E72BFA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Please note that </w:t>
      </w:r>
      <w:r w:rsidR="00E72BFA">
        <w:rPr>
          <w:rFonts w:ascii="Arial" w:hAnsi="Arial" w:cs="Arial"/>
          <w:lang w:val="en-ZA"/>
        </w:rPr>
        <w:t>the</w:t>
      </w:r>
      <w:r w:rsidR="001570C9">
        <w:rPr>
          <w:rFonts w:ascii="Arial" w:hAnsi="Arial" w:cs="Arial"/>
          <w:lang w:val="en-ZA"/>
        </w:rPr>
        <w:t>s</w:t>
      </w:r>
      <w:r w:rsidR="00E72BFA">
        <w:rPr>
          <w:rFonts w:ascii="Arial" w:hAnsi="Arial" w:cs="Arial"/>
          <w:lang w:val="en-ZA"/>
        </w:rPr>
        <w:t>e</w:t>
      </w:r>
      <w:r w:rsidR="00914C6E">
        <w:rPr>
          <w:rFonts w:ascii="Arial" w:hAnsi="Arial" w:cs="Arial"/>
          <w:lang w:val="en-ZA"/>
        </w:rPr>
        <w:t xml:space="preserve"> statistics do</w:t>
      </w:r>
      <w:r w:rsidR="001570C9">
        <w:rPr>
          <w:rFonts w:ascii="Arial" w:hAnsi="Arial" w:cs="Arial"/>
          <w:lang w:val="en-ZA"/>
        </w:rPr>
        <w:t xml:space="preserve"> not give the complete performance of al</w:t>
      </w:r>
      <w:r>
        <w:rPr>
          <w:rFonts w:ascii="Arial" w:hAnsi="Arial" w:cs="Arial"/>
          <w:lang w:val="en-ZA"/>
        </w:rPr>
        <w:t xml:space="preserve">l courts in the country, as it is </w:t>
      </w:r>
      <w:r w:rsidR="001570C9">
        <w:rPr>
          <w:rFonts w:ascii="Arial" w:hAnsi="Arial" w:cs="Arial"/>
          <w:lang w:val="en-ZA"/>
        </w:rPr>
        <w:t xml:space="preserve">limited </w:t>
      </w:r>
      <w:r>
        <w:rPr>
          <w:rFonts w:ascii="Arial" w:hAnsi="Arial" w:cs="Arial"/>
          <w:lang w:val="en-ZA"/>
        </w:rPr>
        <w:t xml:space="preserve">only </w:t>
      </w:r>
      <w:r w:rsidR="001570C9">
        <w:rPr>
          <w:rFonts w:ascii="Arial" w:hAnsi="Arial" w:cs="Arial"/>
          <w:lang w:val="en-ZA"/>
        </w:rPr>
        <w:t xml:space="preserve">to those courts that are linked to the 55 TCCs. </w:t>
      </w:r>
    </w:p>
    <w:sectPr w:rsidR="0058236F" w:rsidRPr="00E72BFA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D0" w:rsidRDefault="002676D0" w:rsidP="00913892">
      <w:r>
        <w:separator/>
      </w:r>
    </w:p>
  </w:endnote>
  <w:endnote w:type="continuationSeparator" w:id="0">
    <w:p w:rsidR="002676D0" w:rsidRDefault="002676D0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2676D0" w:rsidRPr="002676D0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D0" w:rsidRDefault="002676D0" w:rsidP="00913892">
      <w:r>
        <w:separator/>
      </w:r>
    </w:p>
  </w:footnote>
  <w:footnote w:type="continuationSeparator" w:id="0">
    <w:p w:rsidR="002676D0" w:rsidRDefault="002676D0" w:rsidP="00913892">
      <w:r>
        <w:continuationSeparator/>
      </w:r>
    </w:p>
  </w:footnote>
  <w:footnote w:id="1">
    <w:p w:rsidR="00596ACD" w:rsidRDefault="00596ACD">
      <w:pPr>
        <w:pStyle w:val="FootnoteText"/>
      </w:pPr>
      <w:r>
        <w:rPr>
          <w:rStyle w:val="FootnoteReference"/>
        </w:rPr>
        <w:footnoteRef/>
      </w:r>
      <w:r>
        <w:t xml:space="preserve"> Ministerial Advisory Task Team on the Adjudication of Sexual Offences Matters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DD3AE9"/>
    <w:multiLevelType w:val="hybridMultilevel"/>
    <w:tmpl w:val="F52C3F04"/>
    <w:lvl w:ilvl="0" w:tplc="5AD8971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2331C93"/>
    <w:multiLevelType w:val="hybridMultilevel"/>
    <w:tmpl w:val="A1720D0C"/>
    <w:lvl w:ilvl="0" w:tplc="C638D1E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015BA6"/>
    <w:multiLevelType w:val="hybridMultilevel"/>
    <w:tmpl w:val="866A1D3A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7417A3"/>
    <w:multiLevelType w:val="hybridMultilevel"/>
    <w:tmpl w:val="7D64F822"/>
    <w:lvl w:ilvl="0" w:tplc="9C32B37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41637"/>
    <w:multiLevelType w:val="hybridMultilevel"/>
    <w:tmpl w:val="FF342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112AAE"/>
    <w:multiLevelType w:val="hybridMultilevel"/>
    <w:tmpl w:val="482E8E82"/>
    <w:lvl w:ilvl="0" w:tplc="6E54136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9AF096C"/>
    <w:multiLevelType w:val="hybridMultilevel"/>
    <w:tmpl w:val="4D1CC404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B08BF"/>
    <w:multiLevelType w:val="hybridMultilevel"/>
    <w:tmpl w:val="9D9A988E"/>
    <w:lvl w:ilvl="0" w:tplc="685E72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D1B39"/>
    <w:multiLevelType w:val="hybridMultilevel"/>
    <w:tmpl w:val="CCE4DD3E"/>
    <w:lvl w:ilvl="0" w:tplc="1A30E3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E1089"/>
    <w:multiLevelType w:val="hybridMultilevel"/>
    <w:tmpl w:val="C69E2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3CE34CC"/>
    <w:multiLevelType w:val="hybridMultilevel"/>
    <w:tmpl w:val="1A188080"/>
    <w:lvl w:ilvl="0" w:tplc="350ED6E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75C5423"/>
    <w:multiLevelType w:val="hybridMultilevel"/>
    <w:tmpl w:val="326E1AF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AF6482"/>
    <w:multiLevelType w:val="hybridMultilevel"/>
    <w:tmpl w:val="AF34C9B4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11F89"/>
    <w:multiLevelType w:val="hybridMultilevel"/>
    <w:tmpl w:val="0B90134E"/>
    <w:lvl w:ilvl="0" w:tplc="3BBCF33C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8"/>
  </w:num>
  <w:num w:numId="5">
    <w:abstractNumId w:val="37"/>
  </w:num>
  <w:num w:numId="6">
    <w:abstractNumId w:val="3"/>
  </w:num>
  <w:num w:numId="7">
    <w:abstractNumId w:val="44"/>
  </w:num>
  <w:num w:numId="8">
    <w:abstractNumId w:val="11"/>
  </w:num>
  <w:num w:numId="9">
    <w:abstractNumId w:val="18"/>
  </w:num>
  <w:num w:numId="10">
    <w:abstractNumId w:val="39"/>
  </w:num>
  <w:num w:numId="11">
    <w:abstractNumId w:val="2"/>
  </w:num>
  <w:num w:numId="12">
    <w:abstractNumId w:val="26"/>
  </w:num>
  <w:num w:numId="13">
    <w:abstractNumId w:val="15"/>
  </w:num>
  <w:num w:numId="14">
    <w:abstractNumId w:val="20"/>
  </w:num>
  <w:num w:numId="15">
    <w:abstractNumId w:val="10"/>
  </w:num>
  <w:num w:numId="16">
    <w:abstractNumId w:val="17"/>
  </w:num>
  <w:num w:numId="17">
    <w:abstractNumId w:val="42"/>
  </w:num>
  <w:num w:numId="18">
    <w:abstractNumId w:val="27"/>
  </w:num>
  <w:num w:numId="19">
    <w:abstractNumId w:val="23"/>
  </w:num>
  <w:num w:numId="20">
    <w:abstractNumId w:val="41"/>
  </w:num>
  <w:num w:numId="21">
    <w:abstractNumId w:val="32"/>
  </w:num>
  <w:num w:numId="22">
    <w:abstractNumId w:val="33"/>
  </w:num>
  <w:num w:numId="23">
    <w:abstractNumId w:val="8"/>
  </w:num>
  <w:num w:numId="24">
    <w:abstractNumId w:val="34"/>
  </w:num>
  <w:num w:numId="25">
    <w:abstractNumId w:val="5"/>
  </w:num>
  <w:num w:numId="26">
    <w:abstractNumId w:val="7"/>
  </w:num>
  <w:num w:numId="27">
    <w:abstractNumId w:val="30"/>
  </w:num>
  <w:num w:numId="28">
    <w:abstractNumId w:val="43"/>
  </w:num>
  <w:num w:numId="29">
    <w:abstractNumId w:val="6"/>
  </w:num>
  <w:num w:numId="30">
    <w:abstractNumId w:val="12"/>
  </w:num>
  <w:num w:numId="31">
    <w:abstractNumId w:val="1"/>
  </w:num>
  <w:num w:numId="32">
    <w:abstractNumId w:val="13"/>
  </w:num>
  <w:num w:numId="33">
    <w:abstractNumId w:val="22"/>
  </w:num>
  <w:num w:numId="34">
    <w:abstractNumId w:val="40"/>
  </w:num>
  <w:num w:numId="35">
    <w:abstractNumId w:val="47"/>
  </w:num>
  <w:num w:numId="36">
    <w:abstractNumId w:val="29"/>
  </w:num>
  <w:num w:numId="37">
    <w:abstractNumId w:val="16"/>
  </w:num>
  <w:num w:numId="38">
    <w:abstractNumId w:val="21"/>
  </w:num>
  <w:num w:numId="39">
    <w:abstractNumId w:val="9"/>
  </w:num>
  <w:num w:numId="40">
    <w:abstractNumId w:val="19"/>
  </w:num>
  <w:num w:numId="41">
    <w:abstractNumId w:val="31"/>
  </w:num>
  <w:num w:numId="42">
    <w:abstractNumId w:val="45"/>
  </w:num>
  <w:num w:numId="43">
    <w:abstractNumId w:val="38"/>
  </w:num>
  <w:num w:numId="44">
    <w:abstractNumId w:val="25"/>
  </w:num>
  <w:num w:numId="45">
    <w:abstractNumId w:val="46"/>
  </w:num>
  <w:num w:numId="46">
    <w:abstractNumId w:val="35"/>
  </w:num>
  <w:num w:numId="47">
    <w:abstractNumId w:val="36"/>
  </w:num>
  <w:num w:numId="48">
    <w:abstractNumId w:val="24"/>
  </w:num>
  <w:num w:numId="49">
    <w:abstractNumId w:val="4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71"/>
    <w:rsid w:val="00017E77"/>
    <w:rsid w:val="00026EC0"/>
    <w:rsid w:val="00030927"/>
    <w:rsid w:val="0004105D"/>
    <w:rsid w:val="0004190C"/>
    <w:rsid w:val="00046588"/>
    <w:rsid w:val="00052CE2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4DAD"/>
    <w:rsid w:val="00105174"/>
    <w:rsid w:val="00110B8F"/>
    <w:rsid w:val="00110EC8"/>
    <w:rsid w:val="00113044"/>
    <w:rsid w:val="00120775"/>
    <w:rsid w:val="00130BDB"/>
    <w:rsid w:val="001314B9"/>
    <w:rsid w:val="00134C16"/>
    <w:rsid w:val="001354F5"/>
    <w:rsid w:val="00144111"/>
    <w:rsid w:val="00145236"/>
    <w:rsid w:val="00156483"/>
    <w:rsid w:val="001570C9"/>
    <w:rsid w:val="001702F2"/>
    <w:rsid w:val="00173403"/>
    <w:rsid w:val="001774BC"/>
    <w:rsid w:val="001848C4"/>
    <w:rsid w:val="00192D26"/>
    <w:rsid w:val="00194B05"/>
    <w:rsid w:val="0019515C"/>
    <w:rsid w:val="001A6D2A"/>
    <w:rsid w:val="001B00F0"/>
    <w:rsid w:val="001B51B9"/>
    <w:rsid w:val="001D2E53"/>
    <w:rsid w:val="001D4F07"/>
    <w:rsid w:val="001E1BE7"/>
    <w:rsid w:val="001F41F3"/>
    <w:rsid w:val="001F445E"/>
    <w:rsid w:val="00203F6A"/>
    <w:rsid w:val="00213182"/>
    <w:rsid w:val="0021549B"/>
    <w:rsid w:val="002269FD"/>
    <w:rsid w:val="00262ACE"/>
    <w:rsid w:val="00263360"/>
    <w:rsid w:val="002676D0"/>
    <w:rsid w:val="0027076A"/>
    <w:rsid w:val="00275216"/>
    <w:rsid w:val="0027707E"/>
    <w:rsid w:val="00281574"/>
    <w:rsid w:val="002857B6"/>
    <w:rsid w:val="00286311"/>
    <w:rsid w:val="00286FF9"/>
    <w:rsid w:val="00291065"/>
    <w:rsid w:val="002A0DB1"/>
    <w:rsid w:val="002A6E76"/>
    <w:rsid w:val="002B1906"/>
    <w:rsid w:val="002B2B31"/>
    <w:rsid w:val="002B6D18"/>
    <w:rsid w:val="002C719B"/>
    <w:rsid w:val="002D5BF7"/>
    <w:rsid w:val="002D70BA"/>
    <w:rsid w:val="002D7BBD"/>
    <w:rsid w:val="002E7253"/>
    <w:rsid w:val="002F22DD"/>
    <w:rsid w:val="0031652F"/>
    <w:rsid w:val="00322BA4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930CC"/>
    <w:rsid w:val="003A64C5"/>
    <w:rsid w:val="003A6AD0"/>
    <w:rsid w:val="003B0260"/>
    <w:rsid w:val="003C43F4"/>
    <w:rsid w:val="003C4D22"/>
    <w:rsid w:val="003C5B62"/>
    <w:rsid w:val="003C68A0"/>
    <w:rsid w:val="003D526D"/>
    <w:rsid w:val="003D780B"/>
    <w:rsid w:val="003E0CEE"/>
    <w:rsid w:val="003F2E8C"/>
    <w:rsid w:val="003F2E8D"/>
    <w:rsid w:val="003F3BE0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871DB"/>
    <w:rsid w:val="004926BD"/>
    <w:rsid w:val="004A427C"/>
    <w:rsid w:val="004B6B6B"/>
    <w:rsid w:val="004E7CD4"/>
    <w:rsid w:val="004F6FEC"/>
    <w:rsid w:val="00502868"/>
    <w:rsid w:val="00515B6A"/>
    <w:rsid w:val="005160F8"/>
    <w:rsid w:val="00532F12"/>
    <w:rsid w:val="0054211D"/>
    <w:rsid w:val="005454FB"/>
    <w:rsid w:val="005601A1"/>
    <w:rsid w:val="00572F09"/>
    <w:rsid w:val="0057409C"/>
    <w:rsid w:val="005772C1"/>
    <w:rsid w:val="0058236F"/>
    <w:rsid w:val="005835BC"/>
    <w:rsid w:val="005856A7"/>
    <w:rsid w:val="00585897"/>
    <w:rsid w:val="00586FCA"/>
    <w:rsid w:val="00590888"/>
    <w:rsid w:val="00596ACD"/>
    <w:rsid w:val="005A2F69"/>
    <w:rsid w:val="005A42CF"/>
    <w:rsid w:val="005B6209"/>
    <w:rsid w:val="005C4580"/>
    <w:rsid w:val="005D1EEF"/>
    <w:rsid w:val="005E365A"/>
    <w:rsid w:val="005E6608"/>
    <w:rsid w:val="00604F50"/>
    <w:rsid w:val="0060572C"/>
    <w:rsid w:val="00611D96"/>
    <w:rsid w:val="00612214"/>
    <w:rsid w:val="00625CD7"/>
    <w:rsid w:val="00630932"/>
    <w:rsid w:val="0065202D"/>
    <w:rsid w:val="00653FE5"/>
    <w:rsid w:val="00661BE2"/>
    <w:rsid w:val="00670788"/>
    <w:rsid w:val="0067545A"/>
    <w:rsid w:val="006959E4"/>
    <w:rsid w:val="00697C8D"/>
    <w:rsid w:val="006A4983"/>
    <w:rsid w:val="006B0F80"/>
    <w:rsid w:val="006C0567"/>
    <w:rsid w:val="006D21F9"/>
    <w:rsid w:val="006D7E71"/>
    <w:rsid w:val="006E198F"/>
    <w:rsid w:val="006E7BC1"/>
    <w:rsid w:val="006F2454"/>
    <w:rsid w:val="006F34EB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340B"/>
    <w:rsid w:val="007B7829"/>
    <w:rsid w:val="007B7F0D"/>
    <w:rsid w:val="007C0AC3"/>
    <w:rsid w:val="007C1863"/>
    <w:rsid w:val="007C471E"/>
    <w:rsid w:val="007E6925"/>
    <w:rsid w:val="007E7201"/>
    <w:rsid w:val="007F2B0B"/>
    <w:rsid w:val="007F3217"/>
    <w:rsid w:val="0080509D"/>
    <w:rsid w:val="008169B8"/>
    <w:rsid w:val="00827AC9"/>
    <w:rsid w:val="008345FA"/>
    <w:rsid w:val="00846897"/>
    <w:rsid w:val="0085174C"/>
    <w:rsid w:val="00860D16"/>
    <w:rsid w:val="008616A2"/>
    <w:rsid w:val="00865132"/>
    <w:rsid w:val="008769EF"/>
    <w:rsid w:val="00881381"/>
    <w:rsid w:val="00892846"/>
    <w:rsid w:val="0089703D"/>
    <w:rsid w:val="008A1398"/>
    <w:rsid w:val="008A1837"/>
    <w:rsid w:val="008B1BCF"/>
    <w:rsid w:val="008B7516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14C6E"/>
    <w:rsid w:val="00917F4E"/>
    <w:rsid w:val="0092193B"/>
    <w:rsid w:val="009229AD"/>
    <w:rsid w:val="0093185E"/>
    <w:rsid w:val="0094372F"/>
    <w:rsid w:val="009541F2"/>
    <w:rsid w:val="009551F2"/>
    <w:rsid w:val="00973033"/>
    <w:rsid w:val="009761A7"/>
    <w:rsid w:val="00983C6B"/>
    <w:rsid w:val="009853D5"/>
    <w:rsid w:val="009868D6"/>
    <w:rsid w:val="0098762D"/>
    <w:rsid w:val="009A755B"/>
    <w:rsid w:val="009B0CAB"/>
    <w:rsid w:val="009C416B"/>
    <w:rsid w:val="009D4F78"/>
    <w:rsid w:val="009D6016"/>
    <w:rsid w:val="009E0268"/>
    <w:rsid w:val="009E1C96"/>
    <w:rsid w:val="009F17AE"/>
    <w:rsid w:val="009F1B70"/>
    <w:rsid w:val="009F2D5C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75138"/>
    <w:rsid w:val="00A8093A"/>
    <w:rsid w:val="00A85935"/>
    <w:rsid w:val="00AA13DE"/>
    <w:rsid w:val="00AA2AB0"/>
    <w:rsid w:val="00AA39AC"/>
    <w:rsid w:val="00AD7B7A"/>
    <w:rsid w:val="00AF0F1A"/>
    <w:rsid w:val="00AF5D91"/>
    <w:rsid w:val="00B021CE"/>
    <w:rsid w:val="00B13369"/>
    <w:rsid w:val="00B170EA"/>
    <w:rsid w:val="00B26AB3"/>
    <w:rsid w:val="00B40A2F"/>
    <w:rsid w:val="00B44BC9"/>
    <w:rsid w:val="00B46E62"/>
    <w:rsid w:val="00B553A6"/>
    <w:rsid w:val="00B74982"/>
    <w:rsid w:val="00B76C9E"/>
    <w:rsid w:val="00B8345D"/>
    <w:rsid w:val="00B958BA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9A8"/>
    <w:rsid w:val="00BD6D36"/>
    <w:rsid w:val="00BF0672"/>
    <w:rsid w:val="00BF0809"/>
    <w:rsid w:val="00BF1930"/>
    <w:rsid w:val="00BF738D"/>
    <w:rsid w:val="00BF7B20"/>
    <w:rsid w:val="00C15423"/>
    <w:rsid w:val="00C15D71"/>
    <w:rsid w:val="00C31057"/>
    <w:rsid w:val="00C331B7"/>
    <w:rsid w:val="00C360AA"/>
    <w:rsid w:val="00C3772F"/>
    <w:rsid w:val="00C41A50"/>
    <w:rsid w:val="00C570E1"/>
    <w:rsid w:val="00C71126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209A0"/>
    <w:rsid w:val="00D222F0"/>
    <w:rsid w:val="00D224BE"/>
    <w:rsid w:val="00D24750"/>
    <w:rsid w:val="00D3067D"/>
    <w:rsid w:val="00D362F2"/>
    <w:rsid w:val="00D41538"/>
    <w:rsid w:val="00D463C8"/>
    <w:rsid w:val="00D50C5D"/>
    <w:rsid w:val="00D56B43"/>
    <w:rsid w:val="00D6158A"/>
    <w:rsid w:val="00D72E9E"/>
    <w:rsid w:val="00D74CDB"/>
    <w:rsid w:val="00D764A0"/>
    <w:rsid w:val="00D76DA7"/>
    <w:rsid w:val="00D80139"/>
    <w:rsid w:val="00D8298E"/>
    <w:rsid w:val="00D86E52"/>
    <w:rsid w:val="00D93520"/>
    <w:rsid w:val="00D93903"/>
    <w:rsid w:val="00DA29F5"/>
    <w:rsid w:val="00DA495F"/>
    <w:rsid w:val="00DB11B2"/>
    <w:rsid w:val="00DC1190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32E95"/>
    <w:rsid w:val="00E44AFC"/>
    <w:rsid w:val="00E55AFD"/>
    <w:rsid w:val="00E64482"/>
    <w:rsid w:val="00E72BFA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F061D6"/>
    <w:rsid w:val="00F20EAD"/>
    <w:rsid w:val="00F220CD"/>
    <w:rsid w:val="00F22C2A"/>
    <w:rsid w:val="00F26B86"/>
    <w:rsid w:val="00F31805"/>
    <w:rsid w:val="00F3487E"/>
    <w:rsid w:val="00F36003"/>
    <w:rsid w:val="00F400F2"/>
    <w:rsid w:val="00F475A6"/>
    <w:rsid w:val="00F53541"/>
    <w:rsid w:val="00F5419D"/>
    <w:rsid w:val="00F55893"/>
    <w:rsid w:val="00F63F57"/>
    <w:rsid w:val="00F646C9"/>
    <w:rsid w:val="00F72F0D"/>
    <w:rsid w:val="00F739F4"/>
    <w:rsid w:val="00F80E79"/>
    <w:rsid w:val="00F8119F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6A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96ACD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96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1887-1432-41BD-B119-12FE28EE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2022-04-04T12:18:00Z</cp:lastPrinted>
  <dcterms:created xsi:type="dcterms:W3CDTF">2022-05-03T10:18:00Z</dcterms:created>
  <dcterms:modified xsi:type="dcterms:W3CDTF">2022-05-03T10:18:00Z</dcterms:modified>
</cp:coreProperties>
</file>