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5233484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8B0E18">
        <w:rPr>
          <w:b/>
          <w:sz w:val="24"/>
          <w:szCs w:val="24"/>
          <w:lang w:val="af-ZA"/>
        </w:rPr>
        <w:t>9</w:t>
      </w:r>
      <w:r w:rsidR="006D2C99">
        <w:rPr>
          <w:b/>
          <w:sz w:val="24"/>
          <w:szCs w:val="24"/>
          <w:lang w:val="af-ZA"/>
        </w:rPr>
        <w:t>24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91F9D">
        <w:rPr>
          <w:b/>
          <w:sz w:val="24"/>
          <w:szCs w:val="24"/>
        </w:rPr>
        <w:t>31</w:t>
      </w:r>
      <w:r w:rsidR="009C04C3">
        <w:rPr>
          <w:b/>
          <w:sz w:val="24"/>
          <w:szCs w:val="24"/>
        </w:rPr>
        <w:t xml:space="preserve"> MARCH</w:t>
      </w:r>
      <w:r w:rsidR="00526E7D" w:rsidRPr="0055709D">
        <w:rPr>
          <w:b/>
          <w:sz w:val="24"/>
          <w:szCs w:val="24"/>
        </w:rPr>
        <w:t xml:space="preserve"> 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6D2C99" w:rsidRPr="00404E15" w:rsidRDefault="006D2C99" w:rsidP="006D2C99">
      <w:pPr>
        <w:spacing w:after="267" w:line="249" w:lineRule="auto"/>
        <w:ind w:left="818" w:hanging="720"/>
        <w:rPr>
          <w:sz w:val="24"/>
          <w:szCs w:val="24"/>
        </w:rPr>
      </w:pPr>
      <w:r w:rsidRPr="00404E15">
        <w:rPr>
          <w:b/>
          <w:sz w:val="24"/>
          <w:szCs w:val="24"/>
        </w:rPr>
        <w:t xml:space="preserve">Dr A </w:t>
      </w:r>
      <w:proofErr w:type="spellStart"/>
      <w:r w:rsidRPr="00404E15">
        <w:rPr>
          <w:b/>
          <w:sz w:val="24"/>
          <w:szCs w:val="24"/>
        </w:rPr>
        <w:t>Lotriet</w:t>
      </w:r>
      <w:proofErr w:type="spellEnd"/>
      <w:r w:rsidRPr="00404E15">
        <w:rPr>
          <w:b/>
          <w:sz w:val="24"/>
          <w:szCs w:val="24"/>
        </w:rPr>
        <w:t xml:space="preserve"> (DA) to ask the Minister of Human Settlements:</w:t>
      </w:r>
    </w:p>
    <w:p w:rsidR="006D2C99" w:rsidRPr="00404E15" w:rsidRDefault="006D2C99" w:rsidP="001F31E6">
      <w:pPr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404E15">
        <w:rPr>
          <w:sz w:val="24"/>
          <w:szCs w:val="24"/>
        </w:rPr>
        <w:t>(1)</w:t>
      </w:r>
      <w:r w:rsidRPr="00404E15">
        <w:rPr>
          <w:sz w:val="24"/>
          <w:szCs w:val="24"/>
        </w:rPr>
        <w:tab/>
        <w:t xml:space="preserve">Whether there is any position of (a) chief executive officer, (b) chief financial officer and/or (c) chief </w:t>
      </w:r>
      <w:r w:rsidRPr="00F20B47">
        <w:rPr>
          <w:color w:val="000000"/>
          <w:sz w:val="24"/>
          <w:szCs w:val="24"/>
        </w:rPr>
        <w:t>operating</w:t>
      </w:r>
      <w:r w:rsidRPr="00404E15">
        <w:rPr>
          <w:sz w:val="24"/>
          <w:szCs w:val="24"/>
        </w:rPr>
        <w:t xml:space="preserve"> officer that is currently vacant in each entity reporting to her; if so, (</w:t>
      </w:r>
      <w:proofErr w:type="spellStart"/>
      <w:r w:rsidRPr="00404E15">
        <w:rPr>
          <w:sz w:val="24"/>
          <w:szCs w:val="24"/>
        </w:rPr>
        <w:t>i</w:t>
      </w:r>
      <w:proofErr w:type="spellEnd"/>
      <w:r w:rsidRPr="00404E15">
        <w:rPr>
          <w:sz w:val="24"/>
          <w:szCs w:val="24"/>
        </w:rPr>
        <w:t>) how long has each specified position been vacant and (ii) what is the reason for each vacancy;</w:t>
      </w:r>
    </w:p>
    <w:p w:rsidR="006D2C99" w:rsidRPr="00404E15" w:rsidRDefault="006D2C99" w:rsidP="001F31E6">
      <w:pPr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404E15">
        <w:rPr>
          <w:sz w:val="24"/>
          <w:szCs w:val="24"/>
        </w:rPr>
        <w:t>(2)</w:t>
      </w:r>
      <w:r w:rsidRPr="00404E15">
        <w:rPr>
          <w:sz w:val="24"/>
          <w:szCs w:val="24"/>
        </w:rPr>
        <w:tab/>
      </w:r>
      <w:proofErr w:type="gramStart"/>
      <w:r w:rsidRPr="00404E15">
        <w:rPr>
          <w:sz w:val="24"/>
          <w:szCs w:val="24"/>
        </w:rPr>
        <w:t>have</w:t>
      </w:r>
      <w:proofErr w:type="gramEnd"/>
      <w:r w:rsidRPr="00404E15">
        <w:rPr>
          <w:sz w:val="24"/>
          <w:szCs w:val="24"/>
        </w:rPr>
        <w:t xml:space="preserve"> the vacancies been advertised; if so, (a) were interviews done and (b) on what date will the vacancies be filled;</w:t>
      </w:r>
    </w:p>
    <w:p w:rsidR="006D2C99" w:rsidRPr="00404E15" w:rsidRDefault="006D2C99" w:rsidP="001F31E6">
      <w:pPr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404E15">
        <w:rPr>
          <w:sz w:val="24"/>
          <w:szCs w:val="24"/>
        </w:rPr>
        <w:t>(3)</w:t>
      </w:r>
      <w:r w:rsidRPr="00404E15">
        <w:rPr>
          <w:sz w:val="24"/>
          <w:szCs w:val="24"/>
        </w:rPr>
        <w:tab/>
        <w:t xml:space="preserve">(a) what is the total number of persons who are currently employed in the specified positions in an acting capacity, (b) for what period </w:t>
      </w:r>
      <w:r w:rsidRPr="00E76FC0">
        <w:rPr>
          <w:sz w:val="24"/>
          <w:szCs w:val="24"/>
        </w:rPr>
        <w:t>has each person</w:t>
      </w:r>
      <w:r w:rsidRPr="00404E15">
        <w:rPr>
          <w:sz w:val="24"/>
          <w:szCs w:val="24"/>
        </w:rPr>
        <w:t xml:space="preserve"> been acting in each position and (c) has any of the specified persons applied for the positions</w:t>
      </w:r>
      <w:r w:rsidRPr="00404E15">
        <w:rPr>
          <w:sz w:val="24"/>
          <w:szCs w:val="24"/>
          <w:lang w:eastAsia="en-ZA"/>
        </w:rPr>
        <w:t>?</w:t>
      </w:r>
      <w:r>
        <w:rPr>
          <w:sz w:val="24"/>
          <w:szCs w:val="24"/>
          <w:lang w:eastAsia="en-ZA"/>
        </w:rPr>
        <w:t xml:space="preserve"> </w:t>
      </w:r>
      <w:r w:rsidRPr="00404E15">
        <w:rPr>
          <w:sz w:val="24"/>
          <w:szCs w:val="24"/>
        </w:rPr>
        <w:tab/>
      </w:r>
      <w:r w:rsidRPr="00404E15">
        <w:rPr>
          <w:sz w:val="24"/>
          <w:szCs w:val="24"/>
        </w:rPr>
        <w:tab/>
      </w:r>
      <w:r w:rsidRPr="00404E15">
        <w:rPr>
          <w:sz w:val="24"/>
          <w:szCs w:val="24"/>
        </w:rPr>
        <w:tab/>
      </w:r>
      <w:r w:rsidRPr="00404E15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404E15">
        <w:t>NW993E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1F31E6" w:rsidRDefault="001F31E6" w:rsidP="00917CDC">
      <w:pPr>
        <w:spacing w:line="360" w:lineRule="auto"/>
        <w:jc w:val="both"/>
        <w:rPr>
          <w:sz w:val="24"/>
          <w:szCs w:val="24"/>
        </w:rPr>
      </w:pPr>
      <w:r w:rsidRPr="001F31E6">
        <w:rPr>
          <w:sz w:val="24"/>
          <w:szCs w:val="24"/>
        </w:rPr>
        <w:t>Honourable member, of the eight entities reporting to me, there are two entities with vacan</w:t>
      </w:r>
      <w:r w:rsidR="00917CDC">
        <w:rPr>
          <w:sz w:val="24"/>
          <w:szCs w:val="24"/>
        </w:rPr>
        <w:t>t positions</w:t>
      </w:r>
      <w:r w:rsidR="009306E0">
        <w:rPr>
          <w:sz w:val="24"/>
          <w:szCs w:val="24"/>
        </w:rPr>
        <w:t>.</w:t>
      </w:r>
      <w:r w:rsidRPr="001F3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Councils of the affected entities have assured me that they are prioritising the </w:t>
      </w:r>
      <w:r w:rsidR="00C527FC">
        <w:rPr>
          <w:sz w:val="24"/>
          <w:szCs w:val="24"/>
        </w:rPr>
        <w:t xml:space="preserve">filling of these </w:t>
      </w:r>
      <w:r>
        <w:rPr>
          <w:sz w:val="24"/>
          <w:szCs w:val="24"/>
        </w:rPr>
        <w:t>vacancies</w:t>
      </w:r>
      <w:r w:rsidR="00F3695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306E0">
        <w:rPr>
          <w:sz w:val="24"/>
          <w:szCs w:val="24"/>
        </w:rPr>
        <w:t xml:space="preserve">Please find </w:t>
      </w:r>
      <w:r w:rsidR="009306E0" w:rsidRPr="001F31E6">
        <w:rPr>
          <w:sz w:val="24"/>
          <w:szCs w:val="24"/>
        </w:rPr>
        <w:t>the detailed information in the table below.</w:t>
      </w:r>
    </w:p>
    <w:p w:rsidR="001F31E6" w:rsidRPr="001F31E6" w:rsidRDefault="001F31E6" w:rsidP="001F31E6">
      <w:r>
        <w:rPr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59"/>
        <w:gridCol w:w="1843"/>
        <w:gridCol w:w="1701"/>
        <w:gridCol w:w="3248"/>
      </w:tblGrid>
      <w:tr w:rsidR="00B165B3" w:rsidRPr="005A3561" w:rsidTr="005A3561">
        <w:trPr>
          <w:tblHeader/>
        </w:trPr>
        <w:tc>
          <w:tcPr>
            <w:tcW w:w="1843" w:type="dxa"/>
            <w:shd w:val="clear" w:color="auto" w:fill="E7E6E6"/>
          </w:tcPr>
          <w:p w:rsidR="00636C07" w:rsidRPr="005A3561" w:rsidRDefault="00636C07" w:rsidP="00636C07">
            <w:pPr>
              <w:rPr>
                <w:b/>
                <w:sz w:val="22"/>
                <w:szCs w:val="22"/>
              </w:rPr>
            </w:pPr>
            <w:r w:rsidRPr="005A3561">
              <w:rPr>
                <w:b/>
                <w:sz w:val="22"/>
                <w:szCs w:val="22"/>
              </w:rPr>
              <w:t>Entity</w:t>
            </w:r>
          </w:p>
        </w:tc>
        <w:tc>
          <w:tcPr>
            <w:tcW w:w="1559" w:type="dxa"/>
            <w:shd w:val="clear" w:color="auto" w:fill="E7E6E6"/>
          </w:tcPr>
          <w:p w:rsidR="00636C07" w:rsidRPr="005A3561" w:rsidRDefault="00636C07" w:rsidP="00636C07">
            <w:pPr>
              <w:rPr>
                <w:b/>
                <w:sz w:val="22"/>
                <w:szCs w:val="22"/>
              </w:rPr>
            </w:pPr>
            <w:r w:rsidRPr="005A3561">
              <w:rPr>
                <w:b/>
                <w:sz w:val="22"/>
                <w:szCs w:val="22"/>
              </w:rPr>
              <w:t>Chief Executive Officer (CEO)</w:t>
            </w:r>
          </w:p>
        </w:tc>
        <w:tc>
          <w:tcPr>
            <w:tcW w:w="1843" w:type="dxa"/>
            <w:shd w:val="clear" w:color="auto" w:fill="E7E6E6"/>
          </w:tcPr>
          <w:p w:rsidR="00636C07" w:rsidRPr="005A3561" w:rsidRDefault="00636C07" w:rsidP="00636C07">
            <w:pPr>
              <w:rPr>
                <w:b/>
                <w:sz w:val="22"/>
                <w:szCs w:val="22"/>
              </w:rPr>
            </w:pPr>
            <w:r w:rsidRPr="005A3561">
              <w:rPr>
                <w:b/>
                <w:sz w:val="22"/>
                <w:szCs w:val="22"/>
              </w:rPr>
              <w:t>Chief Financial Officer (CFO)</w:t>
            </w:r>
          </w:p>
        </w:tc>
        <w:tc>
          <w:tcPr>
            <w:tcW w:w="1701" w:type="dxa"/>
            <w:shd w:val="clear" w:color="auto" w:fill="E7E6E6"/>
          </w:tcPr>
          <w:p w:rsidR="00636C07" w:rsidRPr="005A3561" w:rsidRDefault="00636C07" w:rsidP="00636C07">
            <w:pPr>
              <w:rPr>
                <w:b/>
                <w:sz w:val="22"/>
                <w:szCs w:val="22"/>
              </w:rPr>
            </w:pPr>
            <w:r w:rsidRPr="005A3561">
              <w:rPr>
                <w:b/>
                <w:sz w:val="22"/>
                <w:szCs w:val="22"/>
              </w:rPr>
              <w:t>Chief Operating Officer (COO)</w:t>
            </w:r>
          </w:p>
        </w:tc>
        <w:tc>
          <w:tcPr>
            <w:tcW w:w="3248" w:type="dxa"/>
            <w:shd w:val="clear" w:color="auto" w:fill="E7E6E6"/>
          </w:tcPr>
          <w:p w:rsidR="00636C07" w:rsidRPr="005A3561" w:rsidRDefault="00636C07" w:rsidP="00636C07">
            <w:pPr>
              <w:rPr>
                <w:b/>
                <w:sz w:val="22"/>
                <w:szCs w:val="22"/>
              </w:rPr>
            </w:pPr>
            <w:r w:rsidRPr="005A3561">
              <w:rPr>
                <w:b/>
                <w:sz w:val="22"/>
                <w:szCs w:val="22"/>
              </w:rPr>
              <w:t xml:space="preserve">Advertisement of the vacant post </w:t>
            </w:r>
            <w:r w:rsidR="00614C11" w:rsidRPr="005A3561">
              <w:rPr>
                <w:b/>
                <w:sz w:val="22"/>
                <w:szCs w:val="22"/>
              </w:rPr>
              <w:t>or measure taken to fill the position</w:t>
            </w:r>
          </w:p>
        </w:tc>
      </w:tr>
      <w:tr w:rsidR="00B165B3" w:rsidRPr="005A3561" w:rsidTr="005A3561">
        <w:tc>
          <w:tcPr>
            <w:tcW w:w="1843" w:type="dxa"/>
            <w:shd w:val="clear" w:color="auto" w:fill="auto"/>
          </w:tcPr>
          <w:p w:rsidR="00B165B3" w:rsidRPr="005A3561" w:rsidRDefault="00B165B3" w:rsidP="00B165B3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 xml:space="preserve">National Home Builders </w:t>
            </w:r>
            <w:r w:rsidRPr="005A3561">
              <w:rPr>
                <w:sz w:val="22"/>
                <w:szCs w:val="22"/>
              </w:rPr>
              <w:lastRenderedPageBreak/>
              <w:t>Registration Council (NHBRC)</w:t>
            </w:r>
          </w:p>
        </w:tc>
        <w:tc>
          <w:tcPr>
            <w:tcW w:w="1559" w:type="dxa"/>
            <w:shd w:val="clear" w:color="auto" w:fill="auto"/>
          </w:tcPr>
          <w:p w:rsidR="00B165B3" w:rsidRPr="005A3561" w:rsidRDefault="00B165B3" w:rsidP="00B165B3">
            <w:pPr>
              <w:pStyle w:val="NoSpacing"/>
              <w:rPr>
                <w:b/>
                <w:sz w:val="22"/>
                <w:szCs w:val="22"/>
              </w:rPr>
            </w:pPr>
            <w:r w:rsidRPr="005A3561">
              <w:rPr>
                <w:b/>
                <w:sz w:val="22"/>
                <w:szCs w:val="22"/>
              </w:rPr>
              <w:lastRenderedPageBreak/>
              <w:t xml:space="preserve">Vacant </w:t>
            </w:r>
          </w:p>
        </w:tc>
        <w:tc>
          <w:tcPr>
            <w:tcW w:w="1843" w:type="dxa"/>
            <w:shd w:val="clear" w:color="auto" w:fill="auto"/>
          </w:tcPr>
          <w:p w:rsidR="00B165B3" w:rsidRPr="005A3561" w:rsidRDefault="00B165B3" w:rsidP="00B165B3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701" w:type="dxa"/>
            <w:shd w:val="clear" w:color="auto" w:fill="auto"/>
          </w:tcPr>
          <w:p w:rsidR="00B165B3" w:rsidRDefault="00B165B3" w:rsidP="00B165B3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3248" w:type="dxa"/>
            <w:shd w:val="clear" w:color="auto" w:fill="auto"/>
          </w:tcPr>
          <w:p w:rsidR="00B165B3" w:rsidRPr="005A3561" w:rsidRDefault="00614C11" w:rsidP="00614C11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 xml:space="preserve">The position was advertised and the last </w:t>
            </w:r>
            <w:r w:rsidR="00B165B3" w:rsidRPr="005A3561">
              <w:rPr>
                <w:sz w:val="22"/>
                <w:szCs w:val="22"/>
              </w:rPr>
              <w:t xml:space="preserve">candidate </w:t>
            </w:r>
            <w:r w:rsidRPr="005A3561">
              <w:rPr>
                <w:sz w:val="22"/>
                <w:szCs w:val="22"/>
              </w:rPr>
              <w:t xml:space="preserve">shortlisted </w:t>
            </w:r>
            <w:r w:rsidR="00B165B3" w:rsidRPr="005A3561">
              <w:rPr>
                <w:sz w:val="22"/>
                <w:szCs w:val="22"/>
              </w:rPr>
              <w:t xml:space="preserve">was </w:t>
            </w:r>
            <w:r w:rsidR="00B165B3" w:rsidRPr="005A3561">
              <w:rPr>
                <w:sz w:val="22"/>
                <w:szCs w:val="22"/>
              </w:rPr>
              <w:lastRenderedPageBreak/>
              <w:t>interviewed on 04 April 2017. The process for competency assessment and security screening will then be undertaken.</w:t>
            </w:r>
          </w:p>
          <w:p w:rsidR="00643247" w:rsidRPr="005A3561" w:rsidRDefault="00643247" w:rsidP="00614C11">
            <w:pPr>
              <w:pStyle w:val="NoSpacing"/>
              <w:rPr>
                <w:sz w:val="22"/>
                <w:szCs w:val="22"/>
              </w:rPr>
            </w:pPr>
          </w:p>
          <w:p w:rsidR="00643247" w:rsidRPr="005A3561" w:rsidRDefault="00643247" w:rsidP="001F31E6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>There is an Acting CEO</w:t>
            </w:r>
            <w:r w:rsidR="001F31E6" w:rsidRPr="005A3561">
              <w:rPr>
                <w:sz w:val="22"/>
                <w:szCs w:val="22"/>
              </w:rPr>
              <w:t xml:space="preserve"> </w:t>
            </w:r>
            <w:r w:rsidRPr="005A3561">
              <w:rPr>
                <w:sz w:val="22"/>
                <w:szCs w:val="22"/>
              </w:rPr>
              <w:t xml:space="preserve">and the official did not apply for the position. </w:t>
            </w:r>
          </w:p>
        </w:tc>
      </w:tr>
      <w:tr w:rsidR="00B165B3" w:rsidRPr="005A3561" w:rsidTr="005A3561">
        <w:tc>
          <w:tcPr>
            <w:tcW w:w="1843" w:type="dxa"/>
            <w:shd w:val="clear" w:color="auto" w:fill="auto"/>
          </w:tcPr>
          <w:p w:rsidR="00B165B3" w:rsidRPr="005A3561" w:rsidRDefault="00B165B3" w:rsidP="00B165B3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lastRenderedPageBreak/>
              <w:t>Social Housing Regulatory Authority (SHRA)</w:t>
            </w:r>
          </w:p>
        </w:tc>
        <w:tc>
          <w:tcPr>
            <w:tcW w:w="1559" w:type="dxa"/>
            <w:shd w:val="clear" w:color="auto" w:fill="auto"/>
          </w:tcPr>
          <w:p w:rsidR="00B165B3" w:rsidRPr="005A3561" w:rsidRDefault="00B165B3" w:rsidP="00B165B3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843" w:type="dxa"/>
            <w:shd w:val="clear" w:color="auto" w:fill="auto"/>
          </w:tcPr>
          <w:p w:rsidR="00B165B3" w:rsidRPr="005A3561" w:rsidRDefault="00B165B3" w:rsidP="00657215">
            <w:pPr>
              <w:pStyle w:val="NoSpacing"/>
              <w:rPr>
                <w:b/>
                <w:sz w:val="22"/>
                <w:szCs w:val="22"/>
              </w:rPr>
            </w:pPr>
            <w:r w:rsidRPr="005A3561">
              <w:rPr>
                <w:sz w:val="22"/>
                <w:szCs w:val="22"/>
                <w:lang w:val="en-US" w:eastAsia="en-ZA"/>
              </w:rPr>
              <w:t xml:space="preserve">The SHRA structure as per the Social Housing Act does not provide for a Chief Financial Officer </w:t>
            </w:r>
          </w:p>
        </w:tc>
        <w:tc>
          <w:tcPr>
            <w:tcW w:w="1701" w:type="dxa"/>
            <w:shd w:val="clear" w:color="auto" w:fill="auto"/>
          </w:tcPr>
          <w:p w:rsidR="00B165B3" w:rsidRDefault="00B165B3" w:rsidP="00B165B3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3248" w:type="dxa"/>
            <w:shd w:val="clear" w:color="auto" w:fill="auto"/>
          </w:tcPr>
          <w:p w:rsidR="00614C11" w:rsidRPr="005A3561" w:rsidRDefault="00984BF1" w:rsidP="00614C1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applicable </w:t>
            </w:r>
          </w:p>
        </w:tc>
      </w:tr>
      <w:tr w:rsidR="00636C07" w:rsidRPr="005A3561" w:rsidTr="005A3561">
        <w:tc>
          <w:tcPr>
            <w:tcW w:w="1843" w:type="dxa"/>
            <w:shd w:val="clear" w:color="auto" w:fill="auto"/>
          </w:tcPr>
          <w:p w:rsidR="00636C07" w:rsidRPr="005A3561" w:rsidRDefault="00636C07" w:rsidP="00636C07">
            <w:pPr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>Rural Housing Loan Fund (RHLF)</w:t>
            </w:r>
          </w:p>
        </w:tc>
        <w:tc>
          <w:tcPr>
            <w:tcW w:w="1559" w:type="dxa"/>
            <w:shd w:val="clear" w:color="auto" w:fill="auto"/>
          </w:tcPr>
          <w:p w:rsidR="00636C07" w:rsidRDefault="00636C07" w:rsidP="00636C07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843" w:type="dxa"/>
            <w:shd w:val="clear" w:color="auto" w:fill="auto"/>
          </w:tcPr>
          <w:p w:rsidR="00636C07" w:rsidRDefault="00636C07" w:rsidP="00636C07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701" w:type="dxa"/>
            <w:shd w:val="clear" w:color="auto" w:fill="auto"/>
          </w:tcPr>
          <w:p w:rsidR="00636C07" w:rsidRPr="005A3561" w:rsidRDefault="00B165B3" w:rsidP="00D04703">
            <w:pPr>
              <w:rPr>
                <w:sz w:val="22"/>
                <w:szCs w:val="22"/>
              </w:rPr>
            </w:pPr>
            <w:r w:rsidRPr="005A3561">
              <w:rPr>
                <w:b/>
                <w:sz w:val="22"/>
                <w:szCs w:val="22"/>
              </w:rPr>
              <w:t>Vacant</w:t>
            </w:r>
            <w:r w:rsidR="00D04703" w:rsidRPr="005A3561">
              <w:rPr>
                <w:sz w:val="22"/>
                <w:szCs w:val="22"/>
              </w:rPr>
              <w:t xml:space="preserve"> in that it appears on the structure of RHLF but it is</w:t>
            </w:r>
            <w:r w:rsidR="00657215">
              <w:rPr>
                <w:sz w:val="22"/>
                <w:szCs w:val="22"/>
              </w:rPr>
              <w:t xml:space="preserve"> no</w:t>
            </w:r>
            <w:r w:rsidR="00D04703" w:rsidRPr="005A3561">
              <w:rPr>
                <w:sz w:val="22"/>
                <w:szCs w:val="22"/>
              </w:rPr>
              <w:t xml:space="preserve"> </w:t>
            </w:r>
            <w:r w:rsidR="00D04703" w:rsidRPr="005A3561">
              <w:rPr>
                <w:sz w:val="22"/>
                <w:szCs w:val="22"/>
                <w:lang w:val="en-ZA"/>
              </w:rPr>
              <w:t>longer budgeted for.</w:t>
            </w:r>
          </w:p>
        </w:tc>
        <w:tc>
          <w:tcPr>
            <w:tcW w:w="3248" w:type="dxa"/>
            <w:shd w:val="clear" w:color="auto" w:fill="auto"/>
          </w:tcPr>
          <w:p w:rsidR="00636C07" w:rsidRPr="005A3561" w:rsidRDefault="00B165B3" w:rsidP="00105052">
            <w:pPr>
              <w:pStyle w:val="NoSpacing"/>
              <w:rPr>
                <w:b/>
                <w:sz w:val="22"/>
                <w:szCs w:val="22"/>
              </w:rPr>
            </w:pPr>
            <w:r w:rsidRPr="005A3561">
              <w:rPr>
                <w:sz w:val="22"/>
                <w:szCs w:val="22"/>
                <w:lang w:val="en-ZA"/>
              </w:rPr>
              <w:t xml:space="preserve">The position of Chief Operating Officer is on hold until the DFI Consolidation Process has been concluded. </w:t>
            </w:r>
          </w:p>
        </w:tc>
      </w:tr>
      <w:tr w:rsidR="00B165B3" w:rsidRPr="005A3561" w:rsidTr="005A3561">
        <w:tc>
          <w:tcPr>
            <w:tcW w:w="1843" w:type="dxa"/>
            <w:shd w:val="clear" w:color="auto" w:fill="auto"/>
          </w:tcPr>
          <w:p w:rsidR="00B165B3" w:rsidRPr="005A3561" w:rsidRDefault="00B165B3" w:rsidP="00B165B3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 xml:space="preserve">Estate Agency Affairs Board (EAAB) </w:t>
            </w:r>
          </w:p>
        </w:tc>
        <w:tc>
          <w:tcPr>
            <w:tcW w:w="1559" w:type="dxa"/>
            <w:shd w:val="clear" w:color="auto" w:fill="auto"/>
          </w:tcPr>
          <w:p w:rsidR="00B165B3" w:rsidRDefault="00B165B3" w:rsidP="00B165B3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843" w:type="dxa"/>
            <w:shd w:val="clear" w:color="auto" w:fill="auto"/>
          </w:tcPr>
          <w:p w:rsidR="00B165B3" w:rsidRDefault="00B165B3" w:rsidP="00B165B3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701" w:type="dxa"/>
            <w:shd w:val="clear" w:color="auto" w:fill="auto"/>
          </w:tcPr>
          <w:p w:rsidR="00B165B3" w:rsidRDefault="00B165B3" w:rsidP="00B165B3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3248" w:type="dxa"/>
            <w:shd w:val="clear" w:color="auto" w:fill="auto"/>
          </w:tcPr>
          <w:p w:rsidR="00B165B3" w:rsidRPr="005A3561" w:rsidRDefault="00614C11" w:rsidP="00B165B3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>Not applicable</w:t>
            </w:r>
          </w:p>
        </w:tc>
      </w:tr>
      <w:tr w:rsidR="00614C11" w:rsidRPr="005A3561" w:rsidTr="005A3561">
        <w:tc>
          <w:tcPr>
            <w:tcW w:w="1843" w:type="dxa"/>
            <w:shd w:val="clear" w:color="auto" w:fill="auto"/>
          </w:tcPr>
          <w:p w:rsidR="00614C11" w:rsidRPr="005A3561" w:rsidRDefault="00614C11" w:rsidP="00614C11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>National Housing Finance Corporation (NHFC)</w:t>
            </w:r>
          </w:p>
        </w:tc>
        <w:tc>
          <w:tcPr>
            <w:tcW w:w="1559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843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701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3248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Not applicable</w:t>
            </w:r>
          </w:p>
        </w:tc>
      </w:tr>
      <w:tr w:rsidR="00614C11" w:rsidRPr="005A3561" w:rsidTr="005A3561">
        <w:tc>
          <w:tcPr>
            <w:tcW w:w="1843" w:type="dxa"/>
            <w:shd w:val="clear" w:color="auto" w:fill="auto"/>
          </w:tcPr>
          <w:p w:rsidR="00614C11" w:rsidRPr="005A3561" w:rsidRDefault="00614C11" w:rsidP="00614C11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>Housing Development Agency (HDA)</w:t>
            </w:r>
          </w:p>
        </w:tc>
        <w:tc>
          <w:tcPr>
            <w:tcW w:w="1559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843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701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3248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Not applicable</w:t>
            </w:r>
          </w:p>
        </w:tc>
      </w:tr>
      <w:tr w:rsidR="00614C11" w:rsidRPr="005A3561" w:rsidTr="005A3561">
        <w:tc>
          <w:tcPr>
            <w:tcW w:w="1843" w:type="dxa"/>
            <w:shd w:val="clear" w:color="auto" w:fill="auto"/>
          </w:tcPr>
          <w:p w:rsidR="00614C11" w:rsidRPr="005A3561" w:rsidRDefault="00614C11" w:rsidP="00614C11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>Community Scheme Ombud Service (CSOS)</w:t>
            </w:r>
          </w:p>
        </w:tc>
        <w:tc>
          <w:tcPr>
            <w:tcW w:w="1559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843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701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3248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Not applicable</w:t>
            </w:r>
          </w:p>
        </w:tc>
      </w:tr>
      <w:tr w:rsidR="00614C11" w:rsidRPr="005A3561" w:rsidTr="005A3561">
        <w:tc>
          <w:tcPr>
            <w:tcW w:w="1843" w:type="dxa"/>
            <w:shd w:val="clear" w:color="auto" w:fill="auto"/>
          </w:tcPr>
          <w:p w:rsidR="00614C11" w:rsidRPr="005A3561" w:rsidRDefault="00614C11" w:rsidP="00614C11">
            <w:pPr>
              <w:pStyle w:val="NoSpacing"/>
              <w:rPr>
                <w:sz w:val="22"/>
                <w:szCs w:val="22"/>
              </w:rPr>
            </w:pPr>
            <w:r w:rsidRPr="005A3561">
              <w:rPr>
                <w:sz w:val="22"/>
                <w:szCs w:val="22"/>
              </w:rPr>
              <w:t>National Urban Reconstruction and Housing Agency (NURCHA)</w:t>
            </w:r>
          </w:p>
        </w:tc>
        <w:tc>
          <w:tcPr>
            <w:tcW w:w="1559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843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1701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Filled</w:t>
            </w:r>
          </w:p>
        </w:tc>
        <w:tc>
          <w:tcPr>
            <w:tcW w:w="3248" w:type="dxa"/>
            <w:shd w:val="clear" w:color="auto" w:fill="auto"/>
          </w:tcPr>
          <w:p w:rsidR="00614C11" w:rsidRDefault="00614C11" w:rsidP="00614C11">
            <w:r w:rsidRPr="005A3561">
              <w:rPr>
                <w:sz w:val="22"/>
                <w:szCs w:val="22"/>
              </w:rPr>
              <w:t>Not applicable</w:t>
            </w:r>
          </w:p>
        </w:tc>
      </w:tr>
    </w:tbl>
    <w:p w:rsidR="008773D7" w:rsidRDefault="008773D7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8773D7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58" w:rsidRDefault="00AF0658" w:rsidP="00054FEC">
      <w:r>
        <w:separator/>
      </w:r>
    </w:p>
  </w:endnote>
  <w:endnote w:type="continuationSeparator" w:id="0">
    <w:p w:rsidR="00AF0658" w:rsidRDefault="00AF0658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58" w:rsidRDefault="00AF0658" w:rsidP="00054FEC">
      <w:r>
        <w:separator/>
      </w:r>
    </w:p>
  </w:footnote>
  <w:footnote w:type="continuationSeparator" w:id="0">
    <w:p w:rsidR="00AF0658" w:rsidRDefault="00AF0658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FE5985">
      <w:t>9</w:t>
    </w:r>
    <w:r w:rsidR="006D2C99">
      <w:t>24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43801"/>
    <w:rsid w:val="001440D5"/>
    <w:rsid w:val="001604EE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587F"/>
    <w:rsid w:val="001E77A7"/>
    <w:rsid w:val="001F17FC"/>
    <w:rsid w:val="001F31E6"/>
    <w:rsid w:val="00203262"/>
    <w:rsid w:val="00211743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97F06"/>
    <w:rsid w:val="002E39B0"/>
    <w:rsid w:val="002F729C"/>
    <w:rsid w:val="003225B0"/>
    <w:rsid w:val="00323C61"/>
    <w:rsid w:val="00326ADE"/>
    <w:rsid w:val="00332EDA"/>
    <w:rsid w:val="00333798"/>
    <w:rsid w:val="00360151"/>
    <w:rsid w:val="003639EF"/>
    <w:rsid w:val="003658A1"/>
    <w:rsid w:val="00386EBC"/>
    <w:rsid w:val="00391B22"/>
    <w:rsid w:val="00397799"/>
    <w:rsid w:val="003A0C97"/>
    <w:rsid w:val="003A48E1"/>
    <w:rsid w:val="003B7EF6"/>
    <w:rsid w:val="003F3D4B"/>
    <w:rsid w:val="003F40BD"/>
    <w:rsid w:val="003F4CED"/>
    <w:rsid w:val="003F5497"/>
    <w:rsid w:val="00400487"/>
    <w:rsid w:val="00411FA8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A356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14C11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4892"/>
    <w:rsid w:val="007468D2"/>
    <w:rsid w:val="0075051F"/>
    <w:rsid w:val="00751A45"/>
    <w:rsid w:val="00755D11"/>
    <w:rsid w:val="00762CB4"/>
    <w:rsid w:val="00766475"/>
    <w:rsid w:val="00766CE9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74EAB"/>
    <w:rsid w:val="008773D7"/>
    <w:rsid w:val="00895D3F"/>
    <w:rsid w:val="008B0E18"/>
    <w:rsid w:val="008B2848"/>
    <w:rsid w:val="008C22C2"/>
    <w:rsid w:val="008D4969"/>
    <w:rsid w:val="008E39AE"/>
    <w:rsid w:val="008E4498"/>
    <w:rsid w:val="008F3F23"/>
    <w:rsid w:val="008F3FE5"/>
    <w:rsid w:val="008F4456"/>
    <w:rsid w:val="008F69FC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D5DC1"/>
    <w:rsid w:val="009E4722"/>
    <w:rsid w:val="009F104A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0658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69F6"/>
    <w:rsid w:val="00D37537"/>
    <w:rsid w:val="00D37F9B"/>
    <w:rsid w:val="00D47AF6"/>
    <w:rsid w:val="00D61B85"/>
    <w:rsid w:val="00D6500F"/>
    <w:rsid w:val="00D70A77"/>
    <w:rsid w:val="00D74382"/>
    <w:rsid w:val="00D76FA4"/>
    <w:rsid w:val="00D849FF"/>
    <w:rsid w:val="00D91F9D"/>
    <w:rsid w:val="00DA0BDC"/>
    <w:rsid w:val="00DB59D7"/>
    <w:rsid w:val="00DB75E0"/>
    <w:rsid w:val="00DC28F1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63E4"/>
    <w:rsid w:val="00F3695E"/>
    <w:rsid w:val="00F374AD"/>
    <w:rsid w:val="00F41641"/>
    <w:rsid w:val="00F51113"/>
    <w:rsid w:val="00F60C74"/>
    <w:rsid w:val="00F61C46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2017-05-02T10:32:00Z</dcterms:created>
  <dcterms:modified xsi:type="dcterms:W3CDTF">2017-05-02T10:32:00Z</dcterms:modified>
</cp:coreProperties>
</file>