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6B12E" w14:textId="77777777" w:rsidR="00AD2688" w:rsidRDefault="00AD2688" w:rsidP="008716D0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1F796C1" wp14:editId="125F18A6">
            <wp:extent cx="21526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DEE7D" w14:textId="77777777" w:rsidR="00DC5D0F" w:rsidRDefault="00DC5D0F" w:rsidP="00DC5D0F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NATIONAL ASSEMBLY</w:t>
      </w:r>
    </w:p>
    <w:p w14:paraId="26E30076" w14:textId="77777777" w:rsidR="00DC5D0F" w:rsidRDefault="00DC5D0F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 FOR WRITTEN REPLY</w:t>
      </w:r>
    </w:p>
    <w:p w14:paraId="6D957A8B" w14:textId="759CD429" w:rsidR="00DC5D0F" w:rsidRDefault="00DC5D0F" w:rsidP="00DC5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PARLIAMENTARY QUESTION 92</w:t>
      </w:r>
    </w:p>
    <w:p w14:paraId="1C842833" w14:textId="77777777" w:rsidR="00DC5D0F" w:rsidRDefault="00DC5D0F" w:rsidP="009D32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</w:p>
    <w:p w14:paraId="52D68E28" w14:textId="77777777" w:rsidR="00F66F1F" w:rsidRPr="00F66F1F" w:rsidRDefault="00F66F1F" w:rsidP="009D32DF">
      <w:pPr>
        <w:spacing w:after="0" w:line="276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</w:pPr>
      <w:r w:rsidRPr="00F66F1F">
        <w:rPr>
          <w:rFonts w:ascii="Arial" w:hAnsi="Arial" w:cs="Arial"/>
          <w:b/>
          <w:sz w:val="24"/>
          <w:szCs w:val="24"/>
        </w:rPr>
        <w:t xml:space="preserve">Mr M Bagraim (DA) </w:t>
      </w:r>
      <w:r w:rsidRPr="00F66F1F"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  <w:t xml:space="preserve">to ask </w:t>
      </w:r>
      <w:r w:rsidRPr="00F66F1F">
        <w:rPr>
          <w:rFonts w:ascii="Arial" w:hAnsi="Arial" w:cs="Arial"/>
          <w:b/>
          <w:sz w:val="24"/>
          <w:szCs w:val="24"/>
        </w:rPr>
        <w:t>the</w:t>
      </w:r>
      <w:r w:rsidRPr="00F66F1F"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  <w:t xml:space="preserve"> Minister of Trade and Industry</w:t>
      </w:r>
      <w:r w:rsidRPr="00F66F1F"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  <w:fldChar w:fldCharType="begin"/>
      </w:r>
      <w:r w:rsidRPr="00F66F1F">
        <w:rPr>
          <w:rFonts w:ascii="Arial" w:hAnsi="Arial" w:cs="Arial"/>
          <w:sz w:val="24"/>
          <w:szCs w:val="24"/>
        </w:rPr>
        <w:instrText xml:space="preserve"> XE "</w:instrText>
      </w:r>
      <w:r w:rsidRPr="00F66F1F">
        <w:rPr>
          <w:rFonts w:ascii="Arial" w:eastAsia="Times New Roman" w:hAnsi="Arial" w:cs="Arial"/>
          <w:b/>
          <w:sz w:val="24"/>
          <w:szCs w:val="24"/>
          <w:lang w:val="en-US"/>
        </w:rPr>
        <w:instrText>Trade and Industry</w:instrText>
      </w:r>
      <w:r w:rsidRPr="00F66F1F">
        <w:rPr>
          <w:rFonts w:ascii="Arial" w:hAnsi="Arial" w:cs="Arial"/>
          <w:sz w:val="24"/>
          <w:szCs w:val="24"/>
        </w:rPr>
        <w:instrText xml:space="preserve">" </w:instrText>
      </w:r>
      <w:r w:rsidRPr="00F66F1F"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  <w:fldChar w:fldCharType="end"/>
      </w:r>
      <w:r w:rsidRPr="00F66F1F">
        <w:rPr>
          <w:rFonts w:ascii="Arial" w:eastAsia="Calibri" w:hAnsi="Arial" w:cs="Arial"/>
          <w:b/>
          <w:bCs/>
          <w:color w:val="000000"/>
          <w:sz w:val="24"/>
          <w:szCs w:val="24"/>
          <w:lang w:eastAsia="en-ZA"/>
        </w:rPr>
        <w:t>:</w:t>
      </w:r>
    </w:p>
    <w:p w14:paraId="0C186C47" w14:textId="77777777" w:rsidR="00F66F1F" w:rsidRPr="00F66F1F" w:rsidRDefault="00F66F1F" w:rsidP="009D32DF">
      <w:pPr>
        <w:spacing w:after="0"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6F1F">
        <w:rPr>
          <w:rFonts w:ascii="Arial" w:hAnsi="Arial" w:cs="Arial"/>
          <w:sz w:val="24"/>
          <w:szCs w:val="24"/>
        </w:rPr>
        <w:t>(1)</w:t>
      </w:r>
      <w:r w:rsidRPr="00F66F1F">
        <w:rPr>
          <w:rFonts w:ascii="Arial" w:hAnsi="Arial" w:cs="Arial"/>
          <w:sz w:val="24"/>
          <w:szCs w:val="24"/>
        </w:rPr>
        <w:tab/>
      </w:r>
      <w:r w:rsidRPr="00F66F1F">
        <w:rPr>
          <w:rFonts w:ascii="Arial" w:hAnsi="Arial" w:cs="Arial"/>
          <w:color w:val="000000" w:themeColor="text1"/>
          <w:sz w:val="24"/>
          <w:szCs w:val="24"/>
        </w:rPr>
        <w:t>Why does South Africa’s ranking in the World Bank’s 2020 Ease of Doing Business Report remain at 84 despite his department and the World Bank having set up a working group to address the country’s poor performance in the 2019 version of the report; if not, why not; if so, what are the relevant details;</w:t>
      </w:r>
    </w:p>
    <w:p w14:paraId="1FFE87CF" w14:textId="77777777" w:rsidR="00F66F1F" w:rsidRPr="00F66F1F" w:rsidRDefault="00F66F1F" w:rsidP="009D32DF">
      <w:pPr>
        <w:spacing w:after="0"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ACC387" w14:textId="77777777" w:rsidR="00F66F1F" w:rsidRPr="00F66F1F" w:rsidRDefault="00F66F1F" w:rsidP="009D32DF">
      <w:pPr>
        <w:spacing w:after="0"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6F1F">
        <w:rPr>
          <w:rFonts w:ascii="Arial" w:hAnsi="Arial" w:cs="Arial"/>
          <w:color w:val="000000" w:themeColor="text1"/>
          <w:sz w:val="24"/>
          <w:szCs w:val="24"/>
        </w:rPr>
        <w:t>(2)</w:t>
      </w:r>
      <w:r w:rsidRPr="00F66F1F">
        <w:rPr>
          <w:rFonts w:ascii="Arial" w:hAnsi="Arial" w:cs="Arial"/>
          <w:color w:val="000000" w:themeColor="text1"/>
          <w:sz w:val="24"/>
          <w:szCs w:val="24"/>
        </w:rPr>
        <w:tab/>
        <w:t xml:space="preserve">whether this is evidence that he is unable to deliver the widespread economic reform required </w:t>
      </w:r>
      <w:r w:rsidRPr="00F66F1F">
        <w:rPr>
          <w:rFonts w:ascii="Arial" w:eastAsia="Calibri" w:hAnsi="Arial" w:cs="Arial"/>
          <w:color w:val="000000" w:themeColor="text1"/>
          <w:sz w:val="24"/>
          <w:szCs w:val="24"/>
        </w:rPr>
        <w:t>to</w:t>
      </w:r>
      <w:r w:rsidRPr="00F66F1F">
        <w:rPr>
          <w:rFonts w:ascii="Arial" w:hAnsi="Arial" w:cs="Arial"/>
          <w:color w:val="000000" w:themeColor="text1"/>
          <w:sz w:val="24"/>
          <w:szCs w:val="24"/>
        </w:rPr>
        <w:t xml:space="preserve"> put the country’s economy back on an upward growth trajectory; if not, why not; if so, what are the relevant details? NW101E</w:t>
      </w:r>
    </w:p>
    <w:p w14:paraId="5CF0D79B" w14:textId="6F59724E" w:rsidR="00841FA9" w:rsidRPr="00841FA9" w:rsidRDefault="00841FA9" w:rsidP="009D32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8C2E1A" w14:textId="08DD9128" w:rsidR="00841FA9" w:rsidRPr="00841FA9" w:rsidRDefault="00841FA9" w:rsidP="009D32D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41FA9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PLY</w:t>
      </w:r>
    </w:p>
    <w:p w14:paraId="1A3EB743" w14:textId="77777777" w:rsidR="00C716FE" w:rsidRDefault="00C716FE" w:rsidP="009D32DF">
      <w:pPr>
        <w:widowControl w:val="0"/>
        <w:shd w:val="clear" w:color="auto" w:fill="FFFFFF"/>
        <w:autoSpaceDE w:val="0"/>
        <w:autoSpaceDN w:val="0"/>
        <w:spacing w:before="100" w:after="100" w:line="276" w:lineRule="auto"/>
        <w:ind w:right="72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</w:pPr>
    </w:p>
    <w:p w14:paraId="75044ED0" w14:textId="7C09ACFF" w:rsidR="008A6771" w:rsidRDefault="008A6771" w:rsidP="009D32DF">
      <w:pPr>
        <w:widowControl w:val="0"/>
        <w:shd w:val="clear" w:color="auto" w:fill="FFFFFF"/>
        <w:autoSpaceDE w:val="0"/>
        <w:autoSpaceDN w:val="0"/>
        <w:spacing w:before="100" w:after="100" w:line="276" w:lineRule="auto"/>
        <w:ind w:right="72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The Department is working with the World Bank to identify challenges that result in a low ranking on the Ease of Doing Business Index and as this work progresses, it is expected to impact positively on the country ranking.</w:t>
      </w:r>
    </w:p>
    <w:p w14:paraId="1D6A1DDA" w14:textId="2FD2772C" w:rsidR="008A6771" w:rsidRPr="00AD21EB" w:rsidRDefault="008A6771" w:rsidP="009D32DF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The project with the W</w:t>
      </w:r>
      <w:r w:rsidR="00AD21EB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orld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B</w:t>
      </w:r>
      <w:r w:rsidR="00AD21EB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ank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 was launched in </w:t>
      </w:r>
      <w:r w:rsidR="00AD21EB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March 2019. </w:t>
      </w:r>
      <w:r w:rsidR="00AD21EB"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Th</w:t>
      </w:r>
      <w:r w:rsidR="00AD21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e</w:t>
      </w:r>
      <w:r w:rsidR="00AD21EB"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D</w:t>
      </w:r>
      <w:r w:rsidR="00AD21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oing </w:t>
      </w:r>
      <w:r w:rsidR="00AD21EB"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B</w:t>
      </w:r>
      <w:r w:rsidR="00AD21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usiness Report</w:t>
      </w:r>
      <w:r w:rsidR="00AD21EB"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2020 </w:t>
      </w:r>
      <w:r w:rsidR="00AD21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quoted by the Honourable Member</w:t>
      </w:r>
      <w:r w:rsidR="00AD21EB"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is for the period 1 May 2018 to 30 April 2019</w:t>
      </w:r>
      <w:r w:rsidR="00AD21EB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,</w:t>
      </w:r>
      <w:r w:rsidR="00AD21EB"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released in October 2019.</w:t>
      </w:r>
    </w:p>
    <w:p w14:paraId="6A99FA16" w14:textId="0368135E" w:rsidR="00F46F93" w:rsidRDefault="008A6771" w:rsidP="009D32DF">
      <w:pPr>
        <w:widowControl w:val="0"/>
        <w:shd w:val="clear" w:color="auto" w:fill="FFFFFF"/>
        <w:autoSpaceDE w:val="0"/>
        <w:autoSpaceDN w:val="0"/>
        <w:spacing w:before="100" w:after="100" w:line="276" w:lineRule="auto"/>
        <w:ind w:right="72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A number of the factors that contribute to the country ranking fall outside of the Department’s legal mandate, but through this process, </w:t>
      </w:r>
      <w:r w:rsidR="00F46F93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the Department can work with other public entities and the private sector to address concerns</w:t>
      </w:r>
      <w:r w:rsidR="00C716FE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 that have been identified</w:t>
      </w:r>
      <w:r w:rsidR="00F46F93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.</w:t>
      </w:r>
    </w:p>
    <w:p w14:paraId="5A739108" w14:textId="1C155E08" w:rsidR="00F46F93" w:rsidRPr="00F46F93" w:rsidRDefault="00F46F93" w:rsidP="009D32DF">
      <w:pPr>
        <w:widowControl w:val="0"/>
        <w:shd w:val="clear" w:color="auto" w:fill="FFFFFF"/>
        <w:autoSpaceDE w:val="0"/>
        <w:autoSpaceDN w:val="0"/>
        <w:spacing w:before="100" w:after="100" w:line="276" w:lineRule="auto"/>
        <w:ind w:right="72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One area that does falls within the mandate of the DTIC in t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he Starting a Business Indicator</w:t>
      </w:r>
      <w:r>
        <w:rPr>
          <w:rFonts w:ascii="Arial" w:eastAsia="Arial" w:hAnsi="Arial" w:cs="Arial"/>
          <w:w w:val="105"/>
          <w:sz w:val="24"/>
          <w:szCs w:val="24"/>
          <w:lang w:val="en-US"/>
        </w:rPr>
        <w:t xml:space="preserve">, relating to the ease of registering a company. The DTIC and its agency, the CIPC is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pioneering </w:t>
      </w:r>
      <w:r>
        <w:rPr>
          <w:rFonts w:ascii="Arial" w:eastAsia="Arial" w:hAnsi="Arial" w:cs="Arial"/>
          <w:w w:val="105"/>
          <w:sz w:val="24"/>
          <w:szCs w:val="24"/>
          <w:lang w:val="en-US"/>
        </w:rPr>
        <w:t xml:space="preserve">an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e-government </w:t>
      </w:r>
      <w:r>
        <w:rPr>
          <w:rFonts w:ascii="Arial" w:eastAsia="Arial" w:hAnsi="Arial" w:cs="Arial"/>
          <w:w w:val="105"/>
          <w:sz w:val="24"/>
          <w:szCs w:val="24"/>
          <w:lang w:val="en-US"/>
        </w:rPr>
        <w:t xml:space="preserve">platform </w:t>
      </w:r>
      <w:r w:rsidR="00AD21EB">
        <w:rPr>
          <w:rFonts w:ascii="Arial" w:eastAsia="Arial" w:hAnsi="Arial" w:cs="Arial"/>
          <w:w w:val="105"/>
          <w:sz w:val="24"/>
          <w:szCs w:val="24"/>
          <w:lang w:val="en-US"/>
        </w:rPr>
        <w:t xml:space="preserve">through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the establishment of the Biz Portal.  Today a domestic firm through the Biz Portal can obtain the following online within one day:</w:t>
      </w:r>
    </w:p>
    <w:p w14:paraId="1E8FCFA0" w14:textId="77777777" w:rsidR="00F46F93" w:rsidRPr="00841FA9" w:rsidRDefault="00F46F93" w:rsidP="009D32D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1134" w:right="99" w:hanging="567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Company registration; </w:t>
      </w:r>
    </w:p>
    <w:p w14:paraId="0E1D004C" w14:textId="77777777" w:rsidR="00F46F93" w:rsidRPr="00841FA9" w:rsidRDefault="00F46F93" w:rsidP="009D32D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1134" w:right="99" w:hanging="567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Domain name registration;</w:t>
      </w:r>
    </w:p>
    <w:p w14:paraId="09A12EEA" w14:textId="77777777" w:rsidR="00F46F93" w:rsidRPr="00841FA9" w:rsidRDefault="00F46F93" w:rsidP="009D32D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1134" w:right="99" w:hanging="567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lastRenderedPageBreak/>
        <w:t xml:space="preserve">B-BBEE certificate; </w:t>
      </w:r>
    </w:p>
    <w:p w14:paraId="07918F8B" w14:textId="77777777" w:rsidR="00F46F93" w:rsidRPr="00841FA9" w:rsidRDefault="00F46F93" w:rsidP="009D32D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1134" w:right="99" w:hanging="567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Tax registration number; </w:t>
      </w:r>
    </w:p>
    <w:p w14:paraId="763C7460" w14:textId="77777777" w:rsidR="00F46F93" w:rsidRPr="00841FA9" w:rsidRDefault="00F46F93" w:rsidP="009D32D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1134" w:right="99" w:hanging="567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Unemployment Insurance Fund registration;</w:t>
      </w:r>
    </w:p>
    <w:p w14:paraId="08497F83" w14:textId="77777777" w:rsidR="00F46F93" w:rsidRPr="00841FA9" w:rsidRDefault="00F46F93" w:rsidP="009D32D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1134" w:right="99" w:hanging="567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Compensation Fund registration;</w:t>
      </w:r>
    </w:p>
    <w:p w14:paraId="06AD8927" w14:textId="77777777" w:rsidR="00F46F93" w:rsidRPr="00841FA9" w:rsidRDefault="00F46F93" w:rsidP="009D32DF">
      <w:pPr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left="1134" w:right="99" w:hanging="567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Business Bank account.  </w:t>
      </w:r>
    </w:p>
    <w:p w14:paraId="4A73585C" w14:textId="77777777" w:rsidR="00F46F93" w:rsidRPr="00841FA9" w:rsidRDefault="00F46F93" w:rsidP="009D32DF">
      <w:pPr>
        <w:widowControl w:val="0"/>
        <w:autoSpaceDE w:val="0"/>
        <w:autoSpaceDN w:val="0"/>
        <w:spacing w:after="0" w:line="276" w:lineRule="auto"/>
        <w:ind w:left="567" w:right="9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</w:p>
    <w:p w14:paraId="70E4E6B0" w14:textId="0C00A120" w:rsidR="00F46F93" w:rsidRPr="00C716FE" w:rsidRDefault="00C716FE" w:rsidP="009D32DF">
      <w:pPr>
        <w:tabs>
          <w:tab w:val="left" w:pos="780"/>
        </w:tabs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>
        <w:rPr>
          <w:rFonts w:ascii="Arial" w:eastAsia="Arial" w:hAnsi="Arial" w:cs="Arial"/>
          <w:w w:val="105"/>
          <w:sz w:val="24"/>
          <w:szCs w:val="24"/>
          <w:lang w:val="en-US"/>
        </w:rPr>
        <w:t>I am advised that s</w:t>
      </w:r>
      <w:r w:rsidR="00F46F93"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ince the launch of the Biz Portal pilot in November 2019, </w:t>
      </w:r>
      <w:r>
        <w:rPr>
          <w:rFonts w:ascii="Arial" w:eastAsia="Arial" w:hAnsi="Arial" w:cs="Arial"/>
          <w:w w:val="105"/>
          <w:sz w:val="24"/>
          <w:szCs w:val="24"/>
          <w:lang w:val="en-US"/>
        </w:rPr>
        <w:t>8 759</w:t>
      </w:r>
      <w:r w:rsidR="00F46F93"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 companies have been registered within a day.   </w:t>
      </w:r>
      <w:r w:rsidR="00AD21EB" w:rsidRPr="00841FA9">
        <w:rPr>
          <w:rFonts w:ascii="Arial" w:eastAsia="Arial" w:hAnsi="Arial" w:cs="Arial"/>
          <w:w w:val="105"/>
          <w:sz w:val="24"/>
          <w:szCs w:val="24"/>
          <w:lang w:val="en-US"/>
        </w:rPr>
        <w:t>This will significantly change the landscape and make strides in the Ease of Doing Business indicator.</w:t>
      </w:r>
    </w:p>
    <w:p w14:paraId="14306CD0" w14:textId="09CF9812" w:rsidR="00AD21EB" w:rsidRDefault="00AD21EB" w:rsidP="009D32DF">
      <w:pPr>
        <w:widowControl w:val="0"/>
        <w:shd w:val="clear" w:color="auto" w:fill="FFFFFF"/>
        <w:autoSpaceDE w:val="0"/>
        <w:autoSpaceDN w:val="0"/>
        <w:spacing w:before="100" w:after="100" w:line="276" w:lineRule="auto"/>
        <w:ind w:right="720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It should be noted that the World </w:t>
      </w:r>
      <w:r w:rsidR="00C716FE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ank uses the major city in every surveyed country as a proxy for aspects of business regulation affecting small domestic firms. In the case of South Africa, it is the City of Johannesburg (CoJ) and covers the period 1 May 2018 to 30 April 2019 in the CoJ. </w:t>
      </w:r>
    </w:p>
    <w:p w14:paraId="37CE2B3A" w14:textId="2DC32E62" w:rsidR="00841FA9" w:rsidRPr="00841FA9" w:rsidRDefault="00841FA9" w:rsidP="009D32D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CoJ is directly responsible for following indicators:</w:t>
      </w:r>
      <w:r>
        <w:rPr>
          <w:rFonts w:ascii="Arial" w:eastAsia="Times New Roman" w:hAnsi="Arial" w:cs="Arial"/>
          <w:color w:val="222222"/>
          <w:sz w:val="24"/>
          <w:szCs w:val="24"/>
          <w:lang w:eastAsia="en-ZA"/>
        </w:rPr>
        <w:t xml:space="preserve">        </w:t>
      </w:r>
    </w:p>
    <w:p w14:paraId="7B5D3200" w14:textId="77777777" w:rsidR="00841FA9" w:rsidRPr="00841FA9" w:rsidRDefault="00841FA9" w:rsidP="009D32DF">
      <w:pPr>
        <w:numPr>
          <w:ilvl w:val="0"/>
          <w:numId w:val="16"/>
        </w:numPr>
        <w:shd w:val="clear" w:color="auto" w:fill="FFFFFF"/>
        <w:tabs>
          <w:tab w:val="num" w:pos="1134"/>
        </w:tabs>
        <w:spacing w:before="100" w:beforeAutospacing="1" w:after="100" w:afterAutospacing="1" w:line="276" w:lineRule="auto"/>
        <w:ind w:left="1134" w:hanging="567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Getting Electricity</w:t>
      </w:r>
    </w:p>
    <w:p w14:paraId="41541359" w14:textId="77777777" w:rsidR="00841FA9" w:rsidRPr="00841FA9" w:rsidRDefault="00841FA9" w:rsidP="009D32DF">
      <w:pPr>
        <w:numPr>
          <w:ilvl w:val="0"/>
          <w:numId w:val="16"/>
        </w:numPr>
        <w:shd w:val="clear" w:color="auto" w:fill="FFFFFF"/>
        <w:tabs>
          <w:tab w:val="num" w:pos="1134"/>
        </w:tabs>
        <w:spacing w:before="100" w:beforeAutospacing="1" w:after="100" w:afterAutospacing="1" w:line="276" w:lineRule="auto"/>
        <w:ind w:left="1134" w:hanging="567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Registering Property</w:t>
      </w:r>
    </w:p>
    <w:p w14:paraId="51772628" w14:textId="77777777" w:rsidR="00841FA9" w:rsidRPr="00841FA9" w:rsidRDefault="00841FA9" w:rsidP="009D32DF">
      <w:pPr>
        <w:numPr>
          <w:ilvl w:val="0"/>
          <w:numId w:val="16"/>
        </w:numPr>
        <w:shd w:val="clear" w:color="auto" w:fill="FFFFFF"/>
        <w:tabs>
          <w:tab w:val="num" w:pos="1134"/>
        </w:tabs>
        <w:spacing w:before="100" w:beforeAutospacing="1" w:after="100" w:afterAutospacing="1" w:line="276" w:lineRule="auto"/>
        <w:ind w:left="1134" w:hanging="567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841FA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>Dealing with Construction Permits</w:t>
      </w:r>
    </w:p>
    <w:p w14:paraId="62FFAACA" w14:textId="77777777" w:rsidR="00841FA9" w:rsidRPr="00841FA9" w:rsidRDefault="00841FA9" w:rsidP="009D32DF">
      <w:pPr>
        <w:widowControl w:val="0"/>
        <w:autoSpaceDE w:val="0"/>
        <w:autoSpaceDN w:val="0"/>
        <w:spacing w:after="0" w:line="276" w:lineRule="auto"/>
        <w:ind w:right="9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Progress on the pace of reforms at CoJ have been slow and this indicated in the Doing Business (DB) Report 2020 released in October 2019.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The lack of movement on these impacted negatively on our rankings. </w:t>
      </w:r>
    </w:p>
    <w:p w14:paraId="0F1AC0A4" w14:textId="77777777" w:rsidR="00841FA9" w:rsidRPr="00841FA9" w:rsidRDefault="00841FA9" w:rsidP="009D32D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</w:p>
    <w:p w14:paraId="3C7F79CD" w14:textId="0E327712" w:rsidR="00841FA9" w:rsidRPr="00CE6B25" w:rsidRDefault="00841FA9" w:rsidP="009D32DF">
      <w:pPr>
        <w:shd w:val="clear" w:color="auto" w:fill="FFFFFF"/>
        <w:spacing w:after="100" w:line="276" w:lineRule="auto"/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</w:pPr>
      <w:r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Since the appointment of the Executive Mayor of CoJ Mr. Geoff Makhubo, the </w:t>
      </w:r>
      <w:r w:rsidR="00AD21EB"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Department team</w:t>
      </w:r>
      <w:r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, W</w:t>
      </w:r>
      <w:r w:rsidR="00AD21EB"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orld </w:t>
      </w:r>
      <w:r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B</w:t>
      </w:r>
      <w:r w:rsidR="00AD21EB"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ank</w:t>
      </w:r>
      <w:r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 and CoJ have been able to formalise an action plan for the above</w:t>
      </w:r>
      <w:r w:rsidR="00AD21EB"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-</w:t>
      </w:r>
      <w:r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mentioned indicators </w:t>
      </w:r>
      <w:r w:rsidR="00AD21EB"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in order to </w:t>
      </w:r>
      <w:r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>improve turnaround times and service delivery</w:t>
      </w:r>
      <w:r w:rsidR="00AD21EB"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. </w:t>
      </w:r>
      <w:r w:rsidRPr="00CE6B25"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  <w:t xml:space="preserve">Since November 2019, the COJ has piloted an e-rates certificate and has issued 5772 e-certificates of which 98% were issued within 24 hours. </w:t>
      </w:r>
    </w:p>
    <w:p w14:paraId="01707F73" w14:textId="77777777" w:rsidR="00841FA9" w:rsidRPr="00CE6B25" w:rsidRDefault="00841FA9" w:rsidP="009D32DF">
      <w:pPr>
        <w:widowControl w:val="0"/>
        <w:autoSpaceDE w:val="0"/>
        <w:autoSpaceDN w:val="0"/>
        <w:spacing w:after="0" w:line="276" w:lineRule="auto"/>
        <w:ind w:left="567" w:right="99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n-ZA"/>
        </w:rPr>
      </w:pPr>
    </w:p>
    <w:p w14:paraId="19AC113F" w14:textId="15FB263E" w:rsidR="00841FA9" w:rsidRPr="00841FA9" w:rsidRDefault="00841FA9" w:rsidP="009D32DF">
      <w:pPr>
        <w:tabs>
          <w:tab w:val="left" w:pos="780"/>
        </w:tabs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The Technical Working Group continues to work on improving the key elements of the measured indicators to ensure that </w:t>
      </w:r>
      <w:r w:rsidR="00AD21EB">
        <w:rPr>
          <w:rFonts w:ascii="Arial" w:eastAsia="Arial" w:hAnsi="Arial" w:cs="Arial"/>
          <w:w w:val="105"/>
          <w:sz w:val="24"/>
          <w:szCs w:val="24"/>
          <w:lang w:val="en-US"/>
        </w:rPr>
        <w:t xml:space="preserve">an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increase </w:t>
      </w:r>
      <w:r w:rsidR="00AD21EB">
        <w:rPr>
          <w:rFonts w:ascii="Arial" w:eastAsia="Arial" w:hAnsi="Arial" w:cs="Arial"/>
          <w:w w:val="105"/>
          <w:sz w:val="24"/>
          <w:szCs w:val="24"/>
          <w:lang w:val="en-US"/>
        </w:rPr>
        <w:t xml:space="preserve">in South Africa’s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rankings and </w:t>
      </w:r>
      <w:r w:rsidR="00AD21EB">
        <w:rPr>
          <w:rFonts w:ascii="Arial" w:eastAsia="Arial" w:hAnsi="Arial" w:cs="Arial"/>
          <w:w w:val="105"/>
          <w:sz w:val="24"/>
          <w:szCs w:val="24"/>
          <w:lang w:val="en-US"/>
        </w:rPr>
        <w:t xml:space="preserve">I am advised that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some of the successes and improvements to date include:</w:t>
      </w:r>
    </w:p>
    <w:p w14:paraId="791E4F7C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Measured improved customer service by SARS;</w:t>
      </w:r>
    </w:p>
    <w:p w14:paraId="1ADC51B1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Service Delivery Charter published by SARS;</w:t>
      </w:r>
    </w:p>
    <w:p w14:paraId="1136C0B4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Service Charter developed by COJ for registering a property;</w:t>
      </w:r>
    </w:p>
    <w:p w14:paraId="7C8B8537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Increased transparency and availability of information fee schedules, documents for registration and services;</w:t>
      </w:r>
    </w:p>
    <w:p w14:paraId="0F82884B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Expanded Preferred Traders Program rolled out for trading across borders;</w:t>
      </w:r>
    </w:p>
    <w:p w14:paraId="1DB35BB9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Cut off time for pre-loading stacking vehicles to be at the port was reduced from 72 hours to 24 hours;</w:t>
      </w:r>
    </w:p>
    <w:p w14:paraId="04D27DB6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Queuing times are now measured from inside the port gate to the stack and not from outside the gate point of entry to the discharge of </w:t>
      </w: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lastRenderedPageBreak/>
        <w:t>goods;</w:t>
      </w:r>
    </w:p>
    <w:p w14:paraId="1A2D56C2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>Transnet port services for import/export of vehicles now fully automated.</w:t>
      </w:r>
    </w:p>
    <w:p w14:paraId="58660753" w14:textId="77777777" w:rsidR="00841FA9" w:rsidRPr="00841FA9" w:rsidRDefault="00841FA9" w:rsidP="009D32DF">
      <w:pPr>
        <w:widowControl w:val="0"/>
        <w:numPr>
          <w:ilvl w:val="0"/>
          <w:numId w:val="13"/>
        </w:numPr>
        <w:tabs>
          <w:tab w:val="left" w:pos="780"/>
        </w:tabs>
        <w:autoSpaceDE w:val="0"/>
        <w:autoSpaceDN w:val="0"/>
        <w:spacing w:after="0" w:line="276" w:lineRule="auto"/>
        <w:ind w:right="119"/>
        <w:jc w:val="both"/>
        <w:rPr>
          <w:rFonts w:ascii="Arial" w:eastAsia="Arial" w:hAnsi="Arial" w:cs="Arial"/>
          <w:w w:val="105"/>
          <w:sz w:val="24"/>
          <w:szCs w:val="24"/>
          <w:lang w:val="en-US"/>
        </w:rPr>
      </w:pPr>
      <w:r w:rsidRPr="00841FA9">
        <w:rPr>
          <w:rFonts w:ascii="Arial" w:eastAsia="Arial" w:hAnsi="Arial" w:cs="Arial"/>
          <w:w w:val="105"/>
          <w:sz w:val="24"/>
          <w:szCs w:val="24"/>
          <w:lang w:val="en-US"/>
        </w:rPr>
        <w:t xml:space="preserve">Updated Website by Deeds Office, improving access, quality and transparency of information to buyers and sellers of property. </w:t>
      </w:r>
    </w:p>
    <w:p w14:paraId="5D33D37E" w14:textId="77777777" w:rsidR="00841FA9" w:rsidRPr="00841FA9" w:rsidRDefault="00841FA9" w:rsidP="009D32DF">
      <w:pPr>
        <w:tabs>
          <w:tab w:val="left" w:pos="780"/>
        </w:tabs>
        <w:spacing w:line="276" w:lineRule="auto"/>
        <w:ind w:right="119"/>
        <w:jc w:val="both"/>
        <w:rPr>
          <w:w w:val="105"/>
          <w:sz w:val="24"/>
          <w:szCs w:val="24"/>
        </w:rPr>
      </w:pPr>
    </w:p>
    <w:p w14:paraId="4D262EBE" w14:textId="77777777" w:rsidR="00F66F1F" w:rsidRPr="00F66F1F" w:rsidRDefault="00F66F1F" w:rsidP="009D32DF">
      <w:pPr>
        <w:spacing w:line="276" w:lineRule="auto"/>
        <w:rPr>
          <w:rFonts w:ascii="Arial" w:eastAsia="Arial" w:hAnsi="Arial" w:cs="Arial"/>
          <w:b/>
          <w:w w:val="105"/>
          <w:sz w:val="24"/>
          <w:szCs w:val="24"/>
          <w:lang w:val="en-US"/>
        </w:rPr>
      </w:pPr>
    </w:p>
    <w:p w14:paraId="344EE701" w14:textId="77777777" w:rsidR="009D32DF" w:rsidRDefault="009D32DF" w:rsidP="009D32DF">
      <w:pPr>
        <w:spacing w:line="276" w:lineRule="auto"/>
        <w:jc w:val="center"/>
        <w:rPr>
          <w:rFonts w:ascii="Arial" w:eastAsia="Arial" w:hAnsi="Arial" w:cs="Arial"/>
          <w:b/>
          <w:w w:val="105"/>
          <w:sz w:val="24"/>
          <w:szCs w:val="24"/>
          <w:lang w:val="en-US"/>
        </w:rPr>
      </w:pPr>
      <w:r>
        <w:rPr>
          <w:rFonts w:ascii="Arial" w:eastAsia="Arial" w:hAnsi="Arial" w:cs="Arial"/>
          <w:b/>
          <w:w w:val="105"/>
          <w:sz w:val="24"/>
          <w:szCs w:val="24"/>
          <w:lang w:val="en-US"/>
        </w:rPr>
        <w:t>-END-</w:t>
      </w:r>
    </w:p>
    <w:sectPr w:rsidR="009D32DF" w:rsidSect="003C00AD">
      <w:headerReference w:type="default" r:id="rId8"/>
      <w:footerReference w:type="default" r:id="rId9"/>
      <w:pgSz w:w="11906" w:h="16838"/>
      <w:pgMar w:top="1440" w:right="1440" w:bottom="993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10314" w14:textId="77777777" w:rsidR="006C2F30" w:rsidRDefault="006C2F30" w:rsidP="008716D0">
      <w:pPr>
        <w:spacing w:after="0" w:line="240" w:lineRule="auto"/>
      </w:pPr>
      <w:r>
        <w:separator/>
      </w:r>
    </w:p>
  </w:endnote>
  <w:endnote w:type="continuationSeparator" w:id="0">
    <w:p w14:paraId="1F9BD67B" w14:textId="77777777" w:rsidR="006C2F30" w:rsidRDefault="006C2F30" w:rsidP="0087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4CED" w14:textId="18C4DDA1" w:rsidR="008716D0" w:rsidRDefault="00AD2688" w:rsidP="003C00AD">
    <w:pPr>
      <w:pStyle w:val="Footer"/>
      <w:jc w:val="center"/>
    </w:pPr>
    <w:r>
      <w:t xml:space="preserve">Parliamentary Question </w:t>
    </w:r>
    <w:r w:rsidR="00DC5D0F">
      <w:t>92</w:t>
    </w:r>
  </w:p>
  <w:p w14:paraId="7D18EA46" w14:textId="78E7505E" w:rsidR="008716D0" w:rsidRDefault="006C2F30" w:rsidP="003C00AD">
    <w:pPr>
      <w:pStyle w:val="Footer"/>
      <w:jc w:val="center"/>
    </w:pPr>
    <w:sdt>
      <w:sdtPr>
        <w:id w:val="2047713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16D0">
          <w:fldChar w:fldCharType="begin"/>
        </w:r>
        <w:r w:rsidR="008716D0">
          <w:instrText xml:space="preserve"> PAGE   \* MERGEFORMAT </w:instrText>
        </w:r>
        <w:r w:rsidR="008716D0">
          <w:fldChar w:fldCharType="separate"/>
        </w:r>
        <w:r w:rsidR="00F05575">
          <w:rPr>
            <w:noProof/>
          </w:rPr>
          <w:t>1</w:t>
        </w:r>
        <w:r w:rsidR="008716D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B7D9" w14:textId="77777777" w:rsidR="006C2F30" w:rsidRDefault="006C2F30" w:rsidP="008716D0">
      <w:pPr>
        <w:spacing w:after="0" w:line="240" w:lineRule="auto"/>
      </w:pPr>
      <w:r>
        <w:separator/>
      </w:r>
    </w:p>
  </w:footnote>
  <w:footnote w:type="continuationSeparator" w:id="0">
    <w:p w14:paraId="2C6449C2" w14:textId="77777777" w:rsidR="006C2F30" w:rsidRDefault="006C2F30" w:rsidP="0087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EB34" w14:textId="77777777" w:rsidR="008716D0" w:rsidRDefault="008716D0" w:rsidP="008716D0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A8"/>
    <w:multiLevelType w:val="multilevel"/>
    <w:tmpl w:val="609846A0"/>
    <w:lvl w:ilvl="0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03346"/>
    <w:multiLevelType w:val="hybridMultilevel"/>
    <w:tmpl w:val="6540DA84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4C5E0D"/>
    <w:multiLevelType w:val="hybridMultilevel"/>
    <w:tmpl w:val="42C040CA"/>
    <w:lvl w:ilvl="0" w:tplc="B35E99C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1B76C9"/>
    <w:multiLevelType w:val="hybridMultilevel"/>
    <w:tmpl w:val="C90C7122"/>
    <w:lvl w:ilvl="0" w:tplc="77F20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7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46DDF"/>
    <w:multiLevelType w:val="hybridMultilevel"/>
    <w:tmpl w:val="36F228F0"/>
    <w:lvl w:ilvl="0" w:tplc="FF9E0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1D7F"/>
    <w:multiLevelType w:val="multilevel"/>
    <w:tmpl w:val="6F7A3E5E"/>
    <w:lvl w:ilvl="0">
      <w:start w:val="1"/>
      <w:numFmt w:val="lowerLetter"/>
      <w:lvlText w:val="%1."/>
      <w:lvlJc w:val="left"/>
      <w:pPr>
        <w:tabs>
          <w:tab w:val="num" w:pos="4689"/>
        </w:tabs>
        <w:ind w:left="468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409"/>
        </w:tabs>
        <w:ind w:left="540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129"/>
        </w:tabs>
        <w:ind w:left="612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6849"/>
        </w:tabs>
        <w:ind w:left="68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8289"/>
        </w:tabs>
        <w:ind w:left="828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009"/>
        </w:tabs>
        <w:ind w:left="90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0449"/>
        </w:tabs>
        <w:ind w:left="10449" w:hanging="360"/>
      </w:pPr>
    </w:lvl>
  </w:abstractNum>
  <w:abstractNum w:abstractNumId="10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A48E6"/>
    <w:multiLevelType w:val="hybridMultilevel"/>
    <w:tmpl w:val="BB9A8E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00C5E"/>
    <w:multiLevelType w:val="hybridMultilevel"/>
    <w:tmpl w:val="41EA095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2D"/>
    <w:rsid w:val="00000180"/>
    <w:rsid w:val="000C06AF"/>
    <w:rsid w:val="000D4DE2"/>
    <w:rsid w:val="00130C63"/>
    <w:rsid w:val="001D3EB1"/>
    <w:rsid w:val="002169F8"/>
    <w:rsid w:val="00277145"/>
    <w:rsid w:val="002F6E14"/>
    <w:rsid w:val="00312D88"/>
    <w:rsid w:val="003216AB"/>
    <w:rsid w:val="003C00AD"/>
    <w:rsid w:val="0041442D"/>
    <w:rsid w:val="004613E2"/>
    <w:rsid w:val="0046189E"/>
    <w:rsid w:val="004C4D0D"/>
    <w:rsid w:val="004E593D"/>
    <w:rsid w:val="004F6712"/>
    <w:rsid w:val="005B162F"/>
    <w:rsid w:val="00601CEE"/>
    <w:rsid w:val="00605A9E"/>
    <w:rsid w:val="006C2F30"/>
    <w:rsid w:val="006C7E6D"/>
    <w:rsid w:val="0071582E"/>
    <w:rsid w:val="007224D4"/>
    <w:rsid w:val="00735523"/>
    <w:rsid w:val="007B22D0"/>
    <w:rsid w:val="008402CB"/>
    <w:rsid w:val="00841FA9"/>
    <w:rsid w:val="00861744"/>
    <w:rsid w:val="008716D0"/>
    <w:rsid w:val="00877229"/>
    <w:rsid w:val="008A6771"/>
    <w:rsid w:val="008E0F2C"/>
    <w:rsid w:val="008E3218"/>
    <w:rsid w:val="008E55B9"/>
    <w:rsid w:val="008F008A"/>
    <w:rsid w:val="009312FA"/>
    <w:rsid w:val="00933DC0"/>
    <w:rsid w:val="009D32DF"/>
    <w:rsid w:val="009E03FE"/>
    <w:rsid w:val="009E24D3"/>
    <w:rsid w:val="009E2A85"/>
    <w:rsid w:val="00A403DB"/>
    <w:rsid w:val="00A60FB1"/>
    <w:rsid w:val="00A7269A"/>
    <w:rsid w:val="00AC476E"/>
    <w:rsid w:val="00AD21EB"/>
    <w:rsid w:val="00AD2688"/>
    <w:rsid w:val="00B359BE"/>
    <w:rsid w:val="00B45C1C"/>
    <w:rsid w:val="00B62072"/>
    <w:rsid w:val="00B701F5"/>
    <w:rsid w:val="00B909AF"/>
    <w:rsid w:val="00C3284E"/>
    <w:rsid w:val="00C57ED3"/>
    <w:rsid w:val="00C716FE"/>
    <w:rsid w:val="00C95861"/>
    <w:rsid w:val="00CA73B0"/>
    <w:rsid w:val="00CE6B25"/>
    <w:rsid w:val="00D11AA5"/>
    <w:rsid w:val="00D14BBC"/>
    <w:rsid w:val="00DC5D0F"/>
    <w:rsid w:val="00E52144"/>
    <w:rsid w:val="00E90AB6"/>
    <w:rsid w:val="00EA311C"/>
    <w:rsid w:val="00F05575"/>
    <w:rsid w:val="00F46F93"/>
    <w:rsid w:val="00F66F1F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E8169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D0"/>
  </w:style>
  <w:style w:type="paragraph" w:styleId="Footer">
    <w:name w:val="footer"/>
    <w:basedOn w:val="Normal"/>
    <w:link w:val="FooterChar"/>
    <w:uiPriority w:val="99"/>
    <w:unhideWhenUsed/>
    <w:rsid w:val="0087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D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C5D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C5D0F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Nikiwe Ncetezo</cp:lastModifiedBy>
  <cp:revision>2</cp:revision>
  <cp:lastPrinted>2020-02-17T13:59:00Z</cp:lastPrinted>
  <dcterms:created xsi:type="dcterms:W3CDTF">2020-04-16T14:16:00Z</dcterms:created>
  <dcterms:modified xsi:type="dcterms:W3CDTF">2020-04-16T14:16:00Z</dcterms:modified>
</cp:coreProperties>
</file>