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4524D6"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2574925</wp:posOffset>
            </wp:positionH>
            <wp:positionV relativeFrom="margin">
              <wp:posOffset>132715</wp:posOffset>
            </wp:positionV>
            <wp:extent cx="1159510" cy="1104265"/>
            <wp:effectExtent l="19050" t="0" r="254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5951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500F33" w:rsidP="00FB6D36">
      <w:pPr>
        <w:jc w:val="center"/>
        <w:rPr>
          <w:rFonts w:ascii="Arial Bold" w:hAnsi="Arial Bold" w:cs="Arial"/>
          <w:b/>
          <w:color w:val="005800"/>
        </w:rPr>
      </w:pPr>
      <w:r>
        <w:rPr>
          <w:rFonts w:ascii="Arial Bold" w:hAnsi="Arial Bold" w:cs="Arial"/>
          <w:b/>
          <w:color w:val="005800"/>
        </w:rPr>
        <w:t>MINISTRY:</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AF3657" w:rsidP="00AF3657">
      <w:pPr>
        <w:tabs>
          <w:tab w:val="left" w:pos="8770"/>
        </w:tabs>
        <w:rPr>
          <w:b/>
          <w:sz w:val="24"/>
          <w:szCs w:val="24"/>
        </w:rPr>
      </w:pPr>
      <w:r>
        <w:rPr>
          <w:b/>
          <w:sz w:val="24"/>
          <w:szCs w:val="24"/>
        </w:rPr>
        <w:tab/>
      </w: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041EAA">
      <w:pPr>
        <w:rPr>
          <w:b/>
          <w:sz w:val="24"/>
          <w:szCs w:val="24"/>
        </w:rPr>
      </w:pPr>
      <w:r w:rsidRPr="0055709D">
        <w:rPr>
          <w:b/>
          <w:sz w:val="24"/>
          <w:szCs w:val="24"/>
        </w:rPr>
        <w:t>QUESTION NO.:</w:t>
      </w:r>
      <w:r w:rsidR="00D95BCE">
        <w:rPr>
          <w:b/>
          <w:sz w:val="24"/>
          <w:szCs w:val="24"/>
        </w:rPr>
        <w:t xml:space="preserve"> </w:t>
      </w:r>
      <w:r w:rsidR="00041EAA">
        <w:rPr>
          <w:b/>
          <w:sz w:val="24"/>
          <w:szCs w:val="24"/>
        </w:rPr>
        <w:t>91</w:t>
      </w:r>
      <w:r w:rsidR="00335C58">
        <w:rPr>
          <w:b/>
          <w:sz w:val="24"/>
          <w:szCs w:val="24"/>
        </w:rPr>
        <w:t>9</w:t>
      </w:r>
    </w:p>
    <w:p w:rsidR="00041EAA" w:rsidRPr="0055709D" w:rsidRDefault="00041EAA" w:rsidP="00041EAA">
      <w:pP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w:t>
      </w:r>
      <w:r w:rsidR="00AF3657">
        <w:rPr>
          <w:b/>
          <w:sz w:val="24"/>
          <w:szCs w:val="24"/>
        </w:rPr>
        <w:t>9</w:t>
      </w:r>
      <w:r w:rsidR="003200B4">
        <w:rPr>
          <w:b/>
          <w:sz w:val="24"/>
          <w:szCs w:val="24"/>
        </w:rPr>
        <w:t xml:space="preserve"> MARCH 2021</w:t>
      </w:r>
    </w:p>
    <w:p w:rsidR="00B177C5" w:rsidRDefault="00B177C5" w:rsidP="00B177C5">
      <w:pPr>
        <w:rPr>
          <w:b/>
          <w:sz w:val="24"/>
          <w:szCs w:val="24"/>
        </w:rPr>
      </w:pPr>
    </w:p>
    <w:p w:rsidR="00335C58" w:rsidRPr="00D660A3" w:rsidRDefault="00335C58" w:rsidP="00335C58">
      <w:pPr>
        <w:spacing w:before="100" w:beforeAutospacing="1" w:after="100" w:afterAutospacing="1"/>
        <w:ind w:left="720" w:hanging="720"/>
        <w:jc w:val="both"/>
        <w:outlineLvl w:val="0"/>
        <w:rPr>
          <w:b/>
          <w:sz w:val="24"/>
          <w:szCs w:val="24"/>
        </w:rPr>
      </w:pPr>
      <w:r w:rsidRPr="00D660A3">
        <w:rPr>
          <w:b/>
          <w:sz w:val="24"/>
          <w:szCs w:val="24"/>
        </w:rPr>
        <w:t>Mrs M R Mohlala (EFF) to ask the Minister of Human Settlements, Water and Sanitation</w:t>
      </w:r>
      <w:r>
        <w:rPr>
          <w:b/>
          <w:sz w:val="24"/>
          <w:szCs w:val="24"/>
        </w:rPr>
        <w:fldChar w:fldCharType="begin"/>
      </w:r>
      <w:r>
        <w:instrText xml:space="preserve"> XE "</w:instrText>
      </w:r>
      <w:r w:rsidRPr="00FE6EF2">
        <w:rPr>
          <w:b/>
          <w:sz w:val="24"/>
          <w:szCs w:val="24"/>
        </w:rPr>
        <w:instrText>Human Settlements, Water and Sanitation</w:instrText>
      </w:r>
      <w:r>
        <w:instrText xml:space="preserve">" </w:instrText>
      </w:r>
      <w:r>
        <w:rPr>
          <w:b/>
          <w:sz w:val="24"/>
          <w:szCs w:val="24"/>
        </w:rPr>
        <w:fldChar w:fldCharType="end"/>
      </w:r>
      <w:r w:rsidRPr="00D660A3">
        <w:rPr>
          <w:b/>
          <w:sz w:val="24"/>
          <w:szCs w:val="24"/>
        </w:rPr>
        <w:t>:</w:t>
      </w:r>
    </w:p>
    <w:p w:rsidR="00335C58" w:rsidRPr="00D660A3" w:rsidRDefault="00335C58" w:rsidP="00335C58">
      <w:pPr>
        <w:jc w:val="both"/>
        <w:rPr>
          <w:sz w:val="24"/>
          <w:szCs w:val="24"/>
        </w:rPr>
      </w:pPr>
      <w:r w:rsidRPr="00D660A3">
        <w:rPr>
          <w:sz w:val="24"/>
          <w:szCs w:val="24"/>
        </w:rPr>
        <w:t>Given that her department has just bought more than 20 water tankers worth R26 million for the Amathole District in the Eastern Cape, what are her long-term plans to resolve the water crisis in the specified district?</w:t>
      </w:r>
      <w:r w:rsidRPr="00D660A3">
        <w:rPr>
          <w:sz w:val="24"/>
          <w:szCs w:val="24"/>
        </w:rPr>
        <w:tab/>
      </w:r>
      <w:r w:rsidRPr="00D660A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660A3">
        <w:t>NW1086E</w:t>
      </w:r>
    </w:p>
    <w:p w:rsidR="0075620A" w:rsidRDefault="0075620A" w:rsidP="00522363">
      <w:pPr>
        <w:spacing w:line="320" w:lineRule="atLeast"/>
        <w:ind w:left="720" w:hanging="720"/>
        <w:jc w:val="both"/>
        <w:rPr>
          <w:b/>
          <w:sz w:val="24"/>
          <w:szCs w:val="24"/>
        </w:rPr>
      </w:pPr>
    </w:p>
    <w:p w:rsidR="00CA56EF" w:rsidRPr="00500F33" w:rsidRDefault="00EB6AA1" w:rsidP="00522363">
      <w:pPr>
        <w:tabs>
          <w:tab w:val="left" w:pos="2300"/>
        </w:tabs>
        <w:spacing w:line="320" w:lineRule="atLeast"/>
        <w:ind w:left="720" w:hanging="720"/>
        <w:jc w:val="both"/>
        <w:rPr>
          <w:b/>
          <w:sz w:val="24"/>
          <w:szCs w:val="24"/>
        </w:rPr>
      </w:pPr>
      <w:r w:rsidRPr="00500F33">
        <w:rPr>
          <w:b/>
          <w:sz w:val="24"/>
          <w:szCs w:val="24"/>
        </w:rPr>
        <w:t>REPLY:</w:t>
      </w:r>
    </w:p>
    <w:p w:rsidR="00500F33" w:rsidRDefault="00500F33" w:rsidP="00500F33">
      <w:pPr>
        <w:jc w:val="both"/>
        <w:rPr>
          <w:sz w:val="24"/>
          <w:szCs w:val="24"/>
        </w:rPr>
      </w:pPr>
    </w:p>
    <w:p w:rsidR="001D50A8" w:rsidRPr="00500F33" w:rsidRDefault="001D50A8" w:rsidP="001D50A8">
      <w:pPr>
        <w:jc w:val="both"/>
        <w:rPr>
          <w:sz w:val="24"/>
          <w:szCs w:val="24"/>
        </w:rPr>
      </w:pPr>
      <w:r w:rsidRPr="00500F33">
        <w:rPr>
          <w:sz w:val="24"/>
          <w:szCs w:val="24"/>
        </w:rPr>
        <w:t xml:space="preserve">The 20 water </w:t>
      </w:r>
      <w:r w:rsidR="005B6ED2">
        <w:rPr>
          <w:sz w:val="24"/>
          <w:szCs w:val="24"/>
        </w:rPr>
        <w:t>trucks (</w:t>
      </w:r>
      <w:r w:rsidRPr="00500F33">
        <w:rPr>
          <w:sz w:val="24"/>
          <w:szCs w:val="24"/>
        </w:rPr>
        <w:t>tankers</w:t>
      </w:r>
      <w:r w:rsidR="005B6ED2">
        <w:rPr>
          <w:sz w:val="24"/>
          <w:szCs w:val="24"/>
        </w:rPr>
        <w:t>)</w:t>
      </w:r>
      <w:r w:rsidRPr="00500F33">
        <w:rPr>
          <w:sz w:val="24"/>
          <w:szCs w:val="24"/>
        </w:rPr>
        <w:t xml:space="preserve"> referred to by the Honourable Member were procured through Amatola Water as part of the Drought Intervention Programme for the entire Eastern Cape Province. </w:t>
      </w:r>
    </w:p>
    <w:p w:rsidR="001D50A8" w:rsidRPr="00500F33" w:rsidRDefault="001D50A8" w:rsidP="001D50A8">
      <w:pPr>
        <w:jc w:val="both"/>
        <w:rPr>
          <w:b/>
          <w:sz w:val="24"/>
          <w:szCs w:val="24"/>
        </w:rPr>
      </w:pPr>
    </w:p>
    <w:p w:rsidR="001D50A8" w:rsidRPr="00500F33" w:rsidRDefault="001D50A8" w:rsidP="001D50A8">
      <w:pPr>
        <w:jc w:val="both"/>
        <w:rPr>
          <w:rFonts w:eastAsia="Arial Unicode MS"/>
          <w:sz w:val="24"/>
          <w:szCs w:val="24"/>
        </w:rPr>
      </w:pPr>
      <w:r>
        <w:rPr>
          <w:rFonts w:eastAsia="Arial Unicode MS"/>
          <w:sz w:val="24"/>
          <w:szCs w:val="24"/>
        </w:rPr>
        <w:t>T</w:t>
      </w:r>
      <w:r w:rsidRPr="00500F33">
        <w:rPr>
          <w:rFonts w:eastAsia="Arial Unicode MS"/>
          <w:sz w:val="24"/>
          <w:szCs w:val="24"/>
        </w:rPr>
        <w:t>he Department of Water and Sanitation (DWS) is currently implementing a number of long-term projects that seek to resolve the water crisis in Amathole District Municipality that are funded through government conditional grants</w:t>
      </w:r>
      <w:r>
        <w:rPr>
          <w:rFonts w:eastAsia="Arial Unicode MS"/>
          <w:sz w:val="24"/>
          <w:szCs w:val="24"/>
        </w:rPr>
        <w:t>,</w:t>
      </w:r>
      <w:r w:rsidRPr="00500F33">
        <w:rPr>
          <w:rFonts w:eastAsia="Arial Unicode MS"/>
          <w:sz w:val="24"/>
          <w:szCs w:val="24"/>
        </w:rPr>
        <w:t xml:space="preserve"> including the Regional Bulk Infrastructure Grant (RBIG) as well as Water Services Infrastructure Grant (WSIG). </w:t>
      </w:r>
    </w:p>
    <w:p w:rsidR="001D50A8" w:rsidRPr="00500F33" w:rsidRDefault="001D50A8" w:rsidP="001D50A8">
      <w:pPr>
        <w:ind w:firstLine="720"/>
        <w:jc w:val="both"/>
        <w:rPr>
          <w:rFonts w:eastAsia="Arial Unicode MS"/>
          <w:b/>
          <w:sz w:val="24"/>
          <w:szCs w:val="24"/>
        </w:rPr>
      </w:pPr>
    </w:p>
    <w:p w:rsidR="001D50A8" w:rsidRPr="00500F33" w:rsidRDefault="001D50A8" w:rsidP="001D50A8">
      <w:pPr>
        <w:jc w:val="both"/>
        <w:rPr>
          <w:rFonts w:eastAsia="Arial Unicode MS"/>
          <w:b/>
          <w:sz w:val="24"/>
          <w:szCs w:val="24"/>
        </w:rPr>
      </w:pPr>
      <w:r w:rsidRPr="00500F33">
        <w:rPr>
          <w:rFonts w:eastAsia="Arial Unicode MS"/>
          <w:b/>
          <w:sz w:val="24"/>
          <w:szCs w:val="24"/>
        </w:rPr>
        <w:t>Projects that are funded under RBIG are:</w:t>
      </w:r>
    </w:p>
    <w:p w:rsidR="001D50A8" w:rsidRPr="00500F33" w:rsidRDefault="001D50A8" w:rsidP="001D50A8">
      <w:pPr>
        <w:pStyle w:val="ListParagraph"/>
        <w:numPr>
          <w:ilvl w:val="0"/>
          <w:numId w:val="16"/>
        </w:numPr>
        <w:jc w:val="both"/>
      </w:pPr>
      <w:r w:rsidRPr="00500F33">
        <w:rPr>
          <w:b/>
        </w:rPr>
        <w:t>The Xhora Bulk Water Supply Scheme</w:t>
      </w:r>
      <w:r w:rsidRPr="00500F33">
        <w:t xml:space="preserve"> which includes a number of components, namely; the raw water supply system (river weir, pump stations and off-channel dam)</w:t>
      </w:r>
      <w:r>
        <w:t>,</w:t>
      </w:r>
      <w:r w:rsidRPr="00500F33">
        <w:t xml:space="preserve"> the Xhora water treatment plant, and the treated water supply system. To date, 21 500 people have access to water. An additional 12 500 </w:t>
      </w:r>
      <w:r>
        <w:t xml:space="preserve">residents </w:t>
      </w:r>
      <w:r w:rsidRPr="00500F33">
        <w:t xml:space="preserve">should have access </w:t>
      </w:r>
      <w:r>
        <w:t xml:space="preserve">to clean water </w:t>
      </w:r>
      <w:r w:rsidRPr="00500F33">
        <w:t>in the next 3 months when the next phase is commissioned.</w:t>
      </w:r>
    </w:p>
    <w:p w:rsidR="001D50A8" w:rsidRPr="00500F33" w:rsidRDefault="001D50A8" w:rsidP="001D50A8">
      <w:pPr>
        <w:pStyle w:val="ListParagraph"/>
        <w:ind w:left="1418"/>
        <w:jc w:val="both"/>
      </w:pPr>
    </w:p>
    <w:p w:rsidR="001D50A8" w:rsidRPr="00500F33" w:rsidRDefault="001D50A8" w:rsidP="001D50A8">
      <w:pPr>
        <w:pStyle w:val="ListParagraph"/>
        <w:numPr>
          <w:ilvl w:val="0"/>
          <w:numId w:val="16"/>
        </w:numPr>
        <w:jc w:val="both"/>
      </w:pPr>
      <w:r w:rsidRPr="00500F33">
        <w:rPr>
          <w:b/>
        </w:rPr>
        <w:t>The Ngqamakhwe Regional Water Supply Scheme Phase 5A,</w:t>
      </w:r>
      <w:r w:rsidRPr="00500F33">
        <w:t xml:space="preserve"> referred to as the Butterworth Emergency Water Supply Scheme, will transfer raw water from the Tsomo River to the upper reaches of the Xilinxa River Dam catchment to augment the water supply to Butterworth. The existing water treatment works (WTW) downstream of the Xilinxa Dam will be used to supply treated water to Butterworth. This project will then be integrated into </w:t>
      </w:r>
      <w:r w:rsidRPr="00500F33">
        <w:lastRenderedPageBreak/>
        <w:t>the Ngqamakhwe Regional Water Supply Scheme (RWSS) and will be used to distribute potable water once the Tsomo WTW has been commissioned</w:t>
      </w:r>
      <w:r>
        <w:t xml:space="preserve">. </w:t>
      </w:r>
      <w:r w:rsidRPr="00500F33">
        <w:t>The contractor has established the site and construction has commenced. The anticipated completion date is 23</w:t>
      </w:r>
      <w:r w:rsidRPr="00500F33">
        <w:rPr>
          <w:vertAlign w:val="superscript"/>
        </w:rPr>
        <w:t>rd</w:t>
      </w:r>
      <w:r w:rsidRPr="00500F33">
        <w:t xml:space="preserve"> of September 2023</w:t>
      </w:r>
    </w:p>
    <w:p w:rsidR="001D50A8" w:rsidRPr="00500F33" w:rsidRDefault="001D50A8" w:rsidP="001D50A8">
      <w:pPr>
        <w:jc w:val="both"/>
        <w:rPr>
          <w:sz w:val="24"/>
          <w:szCs w:val="24"/>
        </w:rPr>
      </w:pPr>
    </w:p>
    <w:p w:rsidR="001D50A8" w:rsidRPr="00500F33" w:rsidRDefault="001D50A8" w:rsidP="001D50A8">
      <w:pPr>
        <w:jc w:val="both"/>
        <w:rPr>
          <w:sz w:val="24"/>
          <w:szCs w:val="24"/>
        </w:rPr>
      </w:pPr>
      <w:r w:rsidRPr="00500F33">
        <w:rPr>
          <w:sz w:val="24"/>
          <w:szCs w:val="24"/>
        </w:rPr>
        <w:t>District Wide Refurbishment projects that include a variety of refurbishment work of water treatment works, waste water treatment works, sewer pump stations, boreholes and bulk infrastructure in the towns of Adelaide, Bedford, Butterworth</w:t>
      </w:r>
      <w:r>
        <w:rPr>
          <w:sz w:val="24"/>
          <w:szCs w:val="24"/>
        </w:rPr>
        <w:t xml:space="preserve"> and</w:t>
      </w:r>
      <w:r w:rsidRPr="00500F33">
        <w:rPr>
          <w:sz w:val="24"/>
          <w:szCs w:val="24"/>
        </w:rPr>
        <w:t xml:space="preserve"> Idutywa </w:t>
      </w:r>
      <w:r>
        <w:rPr>
          <w:sz w:val="24"/>
          <w:szCs w:val="24"/>
        </w:rPr>
        <w:t xml:space="preserve">are </w:t>
      </w:r>
      <w:r w:rsidRPr="00500F33">
        <w:rPr>
          <w:sz w:val="24"/>
          <w:szCs w:val="24"/>
        </w:rPr>
        <w:t>as follows:</w:t>
      </w:r>
    </w:p>
    <w:p w:rsidR="001D50A8" w:rsidRPr="00500F33" w:rsidRDefault="001D50A8" w:rsidP="001D50A8">
      <w:pPr>
        <w:jc w:val="both"/>
        <w:rPr>
          <w:sz w:val="24"/>
          <w:szCs w:val="24"/>
        </w:rPr>
      </w:pPr>
    </w:p>
    <w:p w:rsidR="001D50A8" w:rsidRPr="00500F33" w:rsidRDefault="001D50A8" w:rsidP="001D50A8">
      <w:pPr>
        <w:pStyle w:val="ListParagraph"/>
        <w:numPr>
          <w:ilvl w:val="0"/>
          <w:numId w:val="13"/>
        </w:numPr>
        <w:ind w:left="1134" w:hanging="425"/>
        <w:jc w:val="both"/>
        <w:rPr>
          <w:u w:val="single"/>
        </w:rPr>
      </w:pPr>
      <w:r w:rsidRPr="00500F33">
        <w:rPr>
          <w:b/>
        </w:rPr>
        <w:t>Bedford &amp; Adelaide Town</w:t>
      </w:r>
      <w:r w:rsidRPr="00500F33">
        <w:t xml:space="preserve"> - Refurbishment of Adelaide &amp; Bedford WTW currently under construction. The project is 50% complete and the anticipated completion date is 30</w:t>
      </w:r>
      <w:r w:rsidRPr="00500F33">
        <w:rPr>
          <w:vertAlign w:val="superscript"/>
        </w:rPr>
        <w:t>th</w:t>
      </w:r>
      <w:r w:rsidRPr="00500F33">
        <w:t xml:space="preserve"> June 2021</w:t>
      </w:r>
    </w:p>
    <w:p w:rsidR="001D50A8" w:rsidRPr="00500F33" w:rsidRDefault="001D50A8" w:rsidP="001D50A8">
      <w:pPr>
        <w:pStyle w:val="ListParagraph"/>
        <w:ind w:left="2138"/>
        <w:jc w:val="both"/>
      </w:pPr>
    </w:p>
    <w:p w:rsidR="001D50A8" w:rsidRPr="00500F33" w:rsidRDefault="001D50A8" w:rsidP="001D50A8">
      <w:pPr>
        <w:pStyle w:val="ListParagraph"/>
        <w:numPr>
          <w:ilvl w:val="0"/>
          <w:numId w:val="13"/>
        </w:numPr>
        <w:ind w:left="1134" w:hanging="425"/>
        <w:jc w:val="both"/>
        <w:rPr>
          <w:b/>
          <w:u w:val="single"/>
        </w:rPr>
      </w:pPr>
      <w:r w:rsidRPr="00500F33">
        <w:rPr>
          <w:b/>
        </w:rPr>
        <w:t xml:space="preserve">Butterworth Town </w:t>
      </w:r>
      <w:r w:rsidRPr="00500F33">
        <w:t>-</w:t>
      </w:r>
      <w:r w:rsidRPr="00500F33">
        <w:rPr>
          <w:b/>
        </w:rPr>
        <w:t xml:space="preserve"> </w:t>
      </w:r>
      <w:r w:rsidRPr="00500F33">
        <w:t>Augmentation of Butterworth Water supply from Teko Kona Boreholes currently under construction. The project is 90% complete and the anticipated completion date on the 30</w:t>
      </w:r>
      <w:r w:rsidRPr="00500F33">
        <w:rPr>
          <w:vertAlign w:val="superscript"/>
        </w:rPr>
        <w:t>th</w:t>
      </w:r>
      <w:r w:rsidRPr="00500F33">
        <w:t xml:space="preserve"> of June 2021.</w:t>
      </w:r>
    </w:p>
    <w:p w:rsidR="001D50A8" w:rsidRPr="00500F33" w:rsidRDefault="001D50A8" w:rsidP="001D50A8">
      <w:pPr>
        <w:pStyle w:val="ListParagraph"/>
        <w:rPr>
          <w:u w:val="single"/>
        </w:rPr>
      </w:pPr>
    </w:p>
    <w:p w:rsidR="001D50A8" w:rsidRPr="00500F33" w:rsidRDefault="001D50A8" w:rsidP="001D50A8">
      <w:pPr>
        <w:pStyle w:val="ListParagraph"/>
        <w:numPr>
          <w:ilvl w:val="0"/>
          <w:numId w:val="13"/>
        </w:numPr>
        <w:ind w:left="1134" w:hanging="425"/>
        <w:jc w:val="both"/>
        <w:rPr>
          <w:b/>
          <w:u w:val="single"/>
        </w:rPr>
      </w:pPr>
      <w:r w:rsidRPr="00500F33">
        <w:rPr>
          <w:b/>
        </w:rPr>
        <w:t>Idutywa Town</w:t>
      </w:r>
      <w:r w:rsidRPr="00500F33">
        <w:t xml:space="preserve"> - The Amathole District Municipality will be equipping boreholes for the Augmentation of water supply around </w:t>
      </w:r>
      <w:r>
        <w:t>i</w:t>
      </w:r>
      <w:r w:rsidRPr="00500F33">
        <w:t>Dutywa area. The projects are to commence in 2022/23</w:t>
      </w:r>
    </w:p>
    <w:p w:rsidR="001D50A8" w:rsidRPr="00500F33" w:rsidRDefault="001D50A8" w:rsidP="001D50A8">
      <w:pPr>
        <w:jc w:val="both"/>
        <w:rPr>
          <w:b/>
          <w:sz w:val="24"/>
          <w:szCs w:val="24"/>
          <w:u w:val="single"/>
        </w:rPr>
      </w:pPr>
    </w:p>
    <w:p w:rsidR="001D50A8" w:rsidRPr="00500F33" w:rsidRDefault="001D50A8" w:rsidP="001D50A8">
      <w:pPr>
        <w:pStyle w:val="ListParagraph"/>
        <w:ind w:left="2138"/>
        <w:jc w:val="both"/>
      </w:pPr>
    </w:p>
    <w:p w:rsidR="001D50A8" w:rsidRPr="00500F33" w:rsidRDefault="001D50A8" w:rsidP="001D50A8">
      <w:pPr>
        <w:pStyle w:val="ListParagraph"/>
        <w:numPr>
          <w:ilvl w:val="0"/>
          <w:numId w:val="13"/>
        </w:numPr>
        <w:ind w:left="1134" w:hanging="425"/>
        <w:jc w:val="both"/>
      </w:pPr>
      <w:r>
        <w:t>W</w:t>
      </w:r>
      <w:r w:rsidRPr="00500F33">
        <w:t xml:space="preserve">ater Conservation and Demand Management </w:t>
      </w:r>
      <w:r>
        <w:t>(</w:t>
      </w:r>
      <w:r w:rsidRPr="00500F33">
        <w:t xml:space="preserve">WCDM) </w:t>
      </w:r>
      <w:r>
        <w:t xml:space="preserve">teams have been established to </w:t>
      </w:r>
      <w:r w:rsidRPr="00500F33">
        <w:t>deal</w:t>
      </w:r>
      <w:r>
        <w:t xml:space="preserve"> </w:t>
      </w:r>
      <w:r w:rsidRPr="00500F33">
        <w:t xml:space="preserve">with the implementation of various WCDM strategies </w:t>
      </w:r>
      <w:r>
        <w:t xml:space="preserve">aimed at </w:t>
      </w:r>
      <w:r w:rsidRPr="00500F33">
        <w:t xml:space="preserve">reducing non-revenue water within Amathole District Municipality. The Water Loss Reduction Programmes are being implemented in the Amahlathi, Great Kei, Mbashe, Mnquma, Ngqushwa and Raymond Mhlaba Local Municipalities. The projects include: </w:t>
      </w:r>
    </w:p>
    <w:p w:rsidR="001D50A8" w:rsidRPr="00500F33" w:rsidRDefault="001D50A8" w:rsidP="001D50A8">
      <w:pPr>
        <w:pStyle w:val="ListParagraph"/>
        <w:numPr>
          <w:ilvl w:val="0"/>
          <w:numId w:val="15"/>
        </w:numPr>
        <w:ind w:left="1418" w:hanging="284"/>
      </w:pPr>
      <w:r w:rsidRPr="00500F33">
        <w:t xml:space="preserve">Monthly billing analysis, </w:t>
      </w:r>
    </w:p>
    <w:p w:rsidR="001D50A8" w:rsidRPr="00500F33" w:rsidRDefault="001D50A8" w:rsidP="001D50A8">
      <w:pPr>
        <w:pStyle w:val="ListParagraph"/>
        <w:numPr>
          <w:ilvl w:val="0"/>
          <w:numId w:val="15"/>
        </w:numPr>
        <w:ind w:left="1418" w:hanging="284"/>
      </w:pPr>
      <w:r w:rsidRPr="00500F33">
        <w:t>Retrofitting of internal plumbing</w:t>
      </w:r>
    </w:p>
    <w:p w:rsidR="001D50A8" w:rsidRPr="00500F33" w:rsidRDefault="001D50A8" w:rsidP="001D50A8">
      <w:pPr>
        <w:pStyle w:val="ListParagraph"/>
        <w:numPr>
          <w:ilvl w:val="0"/>
          <w:numId w:val="15"/>
        </w:numPr>
        <w:ind w:left="1418" w:hanging="284"/>
      </w:pPr>
      <w:r w:rsidRPr="00500F33">
        <w:t>Leak Detection and repairs</w:t>
      </w:r>
    </w:p>
    <w:p w:rsidR="001D50A8" w:rsidRPr="00500F33" w:rsidRDefault="001D50A8" w:rsidP="001D50A8">
      <w:pPr>
        <w:pStyle w:val="ListParagraph"/>
        <w:numPr>
          <w:ilvl w:val="0"/>
          <w:numId w:val="15"/>
        </w:numPr>
        <w:ind w:left="1418" w:hanging="284"/>
      </w:pPr>
      <w:r w:rsidRPr="00500F33">
        <w:t xml:space="preserve">Reservoir </w:t>
      </w:r>
      <w:r>
        <w:t>r</w:t>
      </w:r>
      <w:r w:rsidRPr="00500F33">
        <w:t>epairs</w:t>
      </w:r>
    </w:p>
    <w:p w:rsidR="001D50A8" w:rsidRPr="00500F33" w:rsidRDefault="001D50A8" w:rsidP="001D50A8">
      <w:pPr>
        <w:pStyle w:val="ListParagraph"/>
        <w:numPr>
          <w:ilvl w:val="0"/>
          <w:numId w:val="15"/>
        </w:numPr>
        <w:ind w:left="1418" w:hanging="284"/>
      </w:pPr>
      <w:r w:rsidRPr="00500F33">
        <w:t xml:space="preserve">Dam </w:t>
      </w:r>
      <w:r>
        <w:t>r</w:t>
      </w:r>
      <w:r w:rsidRPr="00500F33">
        <w:t xml:space="preserve">epairs </w:t>
      </w:r>
    </w:p>
    <w:p w:rsidR="001D50A8" w:rsidRPr="00500F33" w:rsidRDefault="001D50A8" w:rsidP="001D50A8">
      <w:pPr>
        <w:pStyle w:val="ListParagraph"/>
        <w:numPr>
          <w:ilvl w:val="0"/>
          <w:numId w:val="15"/>
        </w:numPr>
        <w:ind w:left="1418" w:hanging="284"/>
      </w:pPr>
      <w:r w:rsidRPr="00500F33">
        <w:t xml:space="preserve">Meter Installations and replacements </w:t>
      </w:r>
    </w:p>
    <w:p w:rsidR="001D50A8" w:rsidRPr="00500F33" w:rsidRDefault="001D50A8" w:rsidP="001D50A8">
      <w:pPr>
        <w:pStyle w:val="ListParagraph"/>
        <w:numPr>
          <w:ilvl w:val="0"/>
          <w:numId w:val="15"/>
        </w:numPr>
        <w:ind w:left="1418" w:hanging="284"/>
      </w:pPr>
      <w:r w:rsidRPr="00500F33">
        <w:t>Water Balance Reports, and</w:t>
      </w:r>
    </w:p>
    <w:p w:rsidR="001D50A8" w:rsidRPr="00500F33" w:rsidRDefault="001D50A8" w:rsidP="001D50A8">
      <w:pPr>
        <w:pStyle w:val="ListParagraph"/>
        <w:numPr>
          <w:ilvl w:val="0"/>
          <w:numId w:val="15"/>
        </w:numPr>
        <w:ind w:left="1418" w:hanging="284"/>
      </w:pPr>
      <w:r w:rsidRPr="00500F33">
        <w:t>Pressure Management and Water Restrictions</w:t>
      </w:r>
    </w:p>
    <w:p w:rsidR="001D50A8" w:rsidRPr="00500F33" w:rsidRDefault="001D50A8" w:rsidP="001D50A8">
      <w:pPr>
        <w:ind w:left="1418"/>
        <w:jc w:val="both"/>
        <w:rPr>
          <w:sz w:val="24"/>
          <w:szCs w:val="24"/>
        </w:rPr>
      </w:pPr>
    </w:p>
    <w:p w:rsidR="001D50A8" w:rsidRPr="00500F33" w:rsidRDefault="001D50A8" w:rsidP="001D50A8">
      <w:pPr>
        <w:pStyle w:val="ListParagraph"/>
        <w:numPr>
          <w:ilvl w:val="0"/>
          <w:numId w:val="13"/>
        </w:numPr>
        <w:ind w:left="1134" w:hanging="425"/>
        <w:jc w:val="both"/>
      </w:pPr>
      <w:r w:rsidRPr="00500F33">
        <w:t>District Wide Water Supply which entails the provision of bulk water supply and reticulation with standpipes and/or drilling and equipping of boreholes and refurbishment of existing infrastructure.</w:t>
      </w:r>
    </w:p>
    <w:p w:rsidR="001D50A8" w:rsidRPr="00500F33" w:rsidRDefault="001D50A8" w:rsidP="001D50A8">
      <w:pPr>
        <w:jc w:val="both"/>
        <w:rPr>
          <w:sz w:val="24"/>
          <w:szCs w:val="24"/>
        </w:rPr>
      </w:pPr>
    </w:p>
    <w:p w:rsidR="001D50A8" w:rsidRPr="00500F33" w:rsidRDefault="001D50A8" w:rsidP="001D50A8">
      <w:pPr>
        <w:pStyle w:val="ListParagraph"/>
        <w:numPr>
          <w:ilvl w:val="0"/>
          <w:numId w:val="15"/>
        </w:numPr>
        <w:ind w:left="1418" w:hanging="284"/>
        <w:jc w:val="both"/>
      </w:pPr>
      <w:r w:rsidRPr="00500F33">
        <w:rPr>
          <w:b/>
        </w:rPr>
        <w:t>West Victoria East Water Supply phase 3 -</w:t>
      </w:r>
      <w:r w:rsidRPr="00500F33">
        <w:t xml:space="preserve"> The project is for the provision of water supply extension to all the local villages.</w:t>
      </w:r>
    </w:p>
    <w:p w:rsidR="001D50A8" w:rsidRPr="00500F33" w:rsidRDefault="001D50A8" w:rsidP="001D50A8">
      <w:pPr>
        <w:pStyle w:val="ListParagraph"/>
        <w:tabs>
          <w:tab w:val="left" w:pos="1418"/>
        </w:tabs>
        <w:ind w:left="1418"/>
        <w:jc w:val="both"/>
      </w:pPr>
    </w:p>
    <w:p w:rsidR="001D50A8" w:rsidRPr="00500F33" w:rsidRDefault="001D50A8" w:rsidP="001D50A8">
      <w:pPr>
        <w:pStyle w:val="ListParagraph"/>
        <w:numPr>
          <w:ilvl w:val="0"/>
          <w:numId w:val="15"/>
        </w:numPr>
        <w:ind w:left="1418" w:hanging="284"/>
        <w:jc w:val="both"/>
      </w:pPr>
      <w:r w:rsidRPr="00500F33">
        <w:rPr>
          <w:b/>
        </w:rPr>
        <w:t>Rural Household Sanitation for Provision of basic sanitation services</w:t>
      </w:r>
      <w:r w:rsidRPr="00500F33">
        <w:t xml:space="preserve"> - 218 Ventilated Pit Latrines to be provided in order to address the sanitation backlog within </w:t>
      </w:r>
      <w:r w:rsidRPr="00500F33">
        <w:lastRenderedPageBreak/>
        <w:t>the Municipal area of Mnquma ward 11 and 4. To date, 121 VIP structures have been constructed in the villages of Mnquma, Ward 11.</w:t>
      </w:r>
    </w:p>
    <w:p w:rsidR="001D50A8" w:rsidRPr="00500F33" w:rsidRDefault="001D50A8" w:rsidP="001D50A8">
      <w:pPr>
        <w:pStyle w:val="ListParagraph"/>
        <w:ind w:left="1418"/>
        <w:jc w:val="both"/>
      </w:pPr>
    </w:p>
    <w:p w:rsidR="001D50A8" w:rsidRPr="00500F33" w:rsidRDefault="001D50A8" w:rsidP="001D50A8">
      <w:pPr>
        <w:pStyle w:val="ListParagraph"/>
        <w:numPr>
          <w:ilvl w:val="0"/>
          <w:numId w:val="13"/>
        </w:numPr>
        <w:ind w:left="1134" w:hanging="425"/>
        <w:jc w:val="both"/>
      </w:pPr>
      <w:r w:rsidRPr="00500F33">
        <w:t>There are also Drought Intervention Project</w:t>
      </w:r>
      <w:r>
        <w:t>s</w:t>
      </w:r>
      <w:r w:rsidRPr="00500F33">
        <w:t xml:space="preserve"> which include projects for siting, drilling and testing of boreholes and ad-hoc emergency drought related works such as equipping of boreholes, refurbishing of pumps and generators throughout the District (Mnquma LM, Mbashe LM, Raymond Mhlaba, Adelaide, Bedford and Hogsback). Progress in this regard is as follows:</w:t>
      </w:r>
    </w:p>
    <w:p w:rsidR="001D50A8" w:rsidRPr="00500F33" w:rsidRDefault="001D50A8" w:rsidP="001D50A8">
      <w:pPr>
        <w:pStyle w:val="ListParagraph"/>
        <w:numPr>
          <w:ilvl w:val="0"/>
          <w:numId w:val="14"/>
        </w:numPr>
        <w:ind w:left="1418"/>
        <w:jc w:val="both"/>
      </w:pPr>
      <w:r w:rsidRPr="00500F33">
        <w:t>Equipping of Goshen Borehole  = 100% complete</w:t>
      </w:r>
    </w:p>
    <w:p w:rsidR="001D50A8" w:rsidRPr="00500F33" w:rsidRDefault="001D50A8" w:rsidP="001D50A8">
      <w:pPr>
        <w:pStyle w:val="ListParagraph"/>
        <w:numPr>
          <w:ilvl w:val="0"/>
          <w:numId w:val="14"/>
        </w:numPr>
        <w:ind w:left="1418"/>
        <w:jc w:val="both"/>
      </w:pPr>
      <w:r w:rsidRPr="00500F33">
        <w:t>Construction of Butterworth Water Treatment Works Backwash recovery system = 70% complete</w:t>
      </w:r>
    </w:p>
    <w:p w:rsidR="001D50A8" w:rsidRPr="00500F33" w:rsidRDefault="001D50A8" w:rsidP="001D50A8">
      <w:pPr>
        <w:pStyle w:val="ListParagraph"/>
        <w:numPr>
          <w:ilvl w:val="0"/>
          <w:numId w:val="14"/>
        </w:numPr>
        <w:ind w:left="1418"/>
        <w:jc w:val="both"/>
      </w:pPr>
      <w:r w:rsidRPr="00500F33">
        <w:t>Equipping of Wartburg Borehole = 45% complete</w:t>
      </w:r>
    </w:p>
    <w:p w:rsidR="001D50A8" w:rsidRPr="00500F33" w:rsidRDefault="001D50A8" w:rsidP="001D50A8">
      <w:pPr>
        <w:ind w:left="1418" w:firstLine="720"/>
        <w:jc w:val="both"/>
        <w:rPr>
          <w:sz w:val="24"/>
          <w:szCs w:val="24"/>
        </w:rPr>
      </w:pPr>
    </w:p>
    <w:p w:rsidR="001D50A8" w:rsidRPr="00500F33" w:rsidRDefault="001D50A8" w:rsidP="001D50A8">
      <w:pPr>
        <w:jc w:val="both"/>
        <w:rPr>
          <w:rFonts w:eastAsia="Arial Unicode MS"/>
          <w:sz w:val="24"/>
          <w:szCs w:val="24"/>
        </w:rPr>
      </w:pPr>
      <w:r w:rsidRPr="00500F33">
        <w:rPr>
          <w:rFonts w:eastAsia="Arial Unicode MS"/>
          <w:sz w:val="24"/>
          <w:szCs w:val="24"/>
        </w:rPr>
        <w:t>The Projects that are funded under WSIG drought funding, rolled over from the 2018/19 financial year are:</w:t>
      </w:r>
    </w:p>
    <w:p w:rsidR="001D50A8" w:rsidRPr="00500F33" w:rsidRDefault="001D50A8" w:rsidP="001D50A8">
      <w:pPr>
        <w:pStyle w:val="ListParagraph"/>
        <w:numPr>
          <w:ilvl w:val="0"/>
          <w:numId w:val="13"/>
        </w:numPr>
        <w:ind w:left="1134" w:hanging="425"/>
        <w:jc w:val="both"/>
      </w:pPr>
      <w:r w:rsidRPr="00500F33">
        <w:t>Butterworth Water Supply - Water Treatment works backwash water recovery.</w:t>
      </w:r>
    </w:p>
    <w:p w:rsidR="001D50A8" w:rsidRPr="00500F33" w:rsidRDefault="001D50A8" w:rsidP="001D50A8">
      <w:pPr>
        <w:pStyle w:val="ListParagraph"/>
        <w:numPr>
          <w:ilvl w:val="0"/>
          <w:numId w:val="13"/>
        </w:numPr>
        <w:ind w:left="1134" w:hanging="425"/>
        <w:jc w:val="both"/>
      </w:pPr>
      <w:r w:rsidRPr="00500F33">
        <w:t>Butterworth Water Supply - Augmentation of bulk water to Ibika from Teko Kona boreholes.</w:t>
      </w:r>
    </w:p>
    <w:p w:rsidR="001D50A8" w:rsidRDefault="001D50A8" w:rsidP="001D50A8">
      <w:pPr>
        <w:jc w:val="both"/>
        <w:rPr>
          <w:sz w:val="24"/>
          <w:szCs w:val="24"/>
        </w:rPr>
      </w:pPr>
    </w:p>
    <w:p w:rsidR="001D50A8" w:rsidRPr="00500F33" w:rsidRDefault="001D50A8" w:rsidP="001D50A8">
      <w:pPr>
        <w:jc w:val="both"/>
        <w:rPr>
          <w:sz w:val="24"/>
          <w:szCs w:val="24"/>
        </w:rPr>
      </w:pPr>
      <w:r w:rsidRPr="00500F33">
        <w:rPr>
          <w:sz w:val="24"/>
          <w:szCs w:val="24"/>
        </w:rPr>
        <w:t>The table below shows the breakdown of the allocations per programme for 2018/19, 2019/20 and 2020/21 financial year allocation to ADM:</w:t>
      </w:r>
    </w:p>
    <w:p w:rsidR="001D50A8" w:rsidRPr="00500F33" w:rsidRDefault="001D50A8" w:rsidP="001D50A8">
      <w:pPr>
        <w:ind w:left="720"/>
        <w:jc w:val="both"/>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581"/>
        <w:gridCol w:w="2125"/>
        <w:gridCol w:w="2240"/>
      </w:tblGrid>
      <w:tr w:rsidR="001D50A8" w:rsidRPr="00AE7DB5" w:rsidTr="00C457B3">
        <w:trPr>
          <w:trHeight w:val="375"/>
        </w:trPr>
        <w:tc>
          <w:tcPr>
            <w:tcW w:w="2693" w:type="dxa"/>
            <w:shd w:val="clear" w:color="auto" w:fill="D0CECE"/>
          </w:tcPr>
          <w:p w:rsidR="001D50A8" w:rsidRPr="00AE7DB5" w:rsidRDefault="001D50A8" w:rsidP="00C457B3">
            <w:pPr>
              <w:jc w:val="center"/>
              <w:rPr>
                <w:b/>
                <w:sz w:val="24"/>
                <w:szCs w:val="24"/>
              </w:rPr>
            </w:pPr>
            <w:r w:rsidRPr="00AE7DB5">
              <w:rPr>
                <w:b/>
                <w:sz w:val="24"/>
                <w:szCs w:val="24"/>
              </w:rPr>
              <w:t>Programme</w:t>
            </w:r>
          </w:p>
        </w:tc>
        <w:tc>
          <w:tcPr>
            <w:tcW w:w="2581" w:type="dxa"/>
            <w:shd w:val="clear" w:color="auto" w:fill="D0CECE"/>
          </w:tcPr>
          <w:p w:rsidR="001D50A8" w:rsidRPr="00AE7DB5" w:rsidRDefault="001D50A8" w:rsidP="00C457B3">
            <w:pPr>
              <w:jc w:val="center"/>
              <w:rPr>
                <w:b/>
                <w:sz w:val="24"/>
                <w:szCs w:val="24"/>
              </w:rPr>
            </w:pPr>
            <w:r w:rsidRPr="00AE7DB5">
              <w:rPr>
                <w:b/>
                <w:sz w:val="24"/>
                <w:szCs w:val="24"/>
              </w:rPr>
              <w:t>2018/19 Allocation</w:t>
            </w:r>
          </w:p>
        </w:tc>
        <w:tc>
          <w:tcPr>
            <w:tcW w:w="2125" w:type="dxa"/>
            <w:shd w:val="clear" w:color="auto" w:fill="D0CECE"/>
          </w:tcPr>
          <w:p w:rsidR="001D50A8" w:rsidRPr="00AE7DB5" w:rsidRDefault="001D50A8" w:rsidP="00C457B3">
            <w:pPr>
              <w:jc w:val="center"/>
              <w:rPr>
                <w:b/>
                <w:sz w:val="24"/>
                <w:szCs w:val="24"/>
              </w:rPr>
            </w:pPr>
            <w:r w:rsidRPr="00AE7DB5">
              <w:rPr>
                <w:b/>
                <w:sz w:val="24"/>
                <w:szCs w:val="24"/>
              </w:rPr>
              <w:t>2019/20</w:t>
            </w:r>
          </w:p>
          <w:p w:rsidR="001D50A8" w:rsidRPr="00AE7DB5" w:rsidRDefault="001D50A8" w:rsidP="00C457B3">
            <w:pPr>
              <w:jc w:val="center"/>
              <w:rPr>
                <w:b/>
                <w:sz w:val="24"/>
                <w:szCs w:val="24"/>
              </w:rPr>
            </w:pPr>
            <w:r w:rsidRPr="00AE7DB5">
              <w:rPr>
                <w:b/>
                <w:sz w:val="24"/>
                <w:szCs w:val="24"/>
              </w:rPr>
              <w:t>Allocation</w:t>
            </w:r>
          </w:p>
        </w:tc>
        <w:tc>
          <w:tcPr>
            <w:tcW w:w="2240" w:type="dxa"/>
            <w:shd w:val="clear" w:color="auto" w:fill="D0CECE"/>
          </w:tcPr>
          <w:p w:rsidR="001D50A8" w:rsidRPr="00AE7DB5" w:rsidRDefault="001D50A8" w:rsidP="00C457B3">
            <w:pPr>
              <w:jc w:val="center"/>
              <w:rPr>
                <w:b/>
                <w:sz w:val="24"/>
                <w:szCs w:val="24"/>
              </w:rPr>
            </w:pPr>
            <w:r w:rsidRPr="00AE7DB5">
              <w:rPr>
                <w:b/>
                <w:sz w:val="24"/>
                <w:szCs w:val="24"/>
              </w:rPr>
              <w:t>2020/21</w:t>
            </w:r>
          </w:p>
          <w:p w:rsidR="001D50A8" w:rsidRPr="00AE7DB5" w:rsidRDefault="001D50A8" w:rsidP="00C457B3">
            <w:pPr>
              <w:jc w:val="center"/>
              <w:rPr>
                <w:b/>
                <w:sz w:val="24"/>
                <w:szCs w:val="24"/>
              </w:rPr>
            </w:pPr>
            <w:r w:rsidRPr="00AE7DB5">
              <w:rPr>
                <w:b/>
                <w:sz w:val="24"/>
                <w:szCs w:val="24"/>
              </w:rPr>
              <w:t>Allocation</w:t>
            </w:r>
          </w:p>
        </w:tc>
      </w:tr>
      <w:tr w:rsidR="001D50A8" w:rsidRPr="00AE7DB5" w:rsidTr="00C457B3">
        <w:tc>
          <w:tcPr>
            <w:tcW w:w="2693" w:type="dxa"/>
            <w:shd w:val="clear" w:color="auto" w:fill="auto"/>
          </w:tcPr>
          <w:p w:rsidR="001D50A8" w:rsidRPr="00AE7DB5" w:rsidRDefault="001D50A8" w:rsidP="00C457B3">
            <w:pPr>
              <w:jc w:val="both"/>
              <w:rPr>
                <w:sz w:val="24"/>
                <w:szCs w:val="24"/>
              </w:rPr>
            </w:pPr>
            <w:r w:rsidRPr="00AE7DB5">
              <w:rPr>
                <w:sz w:val="24"/>
                <w:szCs w:val="24"/>
              </w:rPr>
              <w:t>RBIG</w:t>
            </w:r>
          </w:p>
        </w:tc>
        <w:tc>
          <w:tcPr>
            <w:tcW w:w="2581" w:type="dxa"/>
            <w:shd w:val="clear" w:color="auto" w:fill="auto"/>
          </w:tcPr>
          <w:p w:rsidR="001D50A8" w:rsidRPr="00AE7DB5" w:rsidRDefault="001D50A8" w:rsidP="00C457B3">
            <w:pPr>
              <w:jc w:val="center"/>
              <w:rPr>
                <w:sz w:val="24"/>
                <w:szCs w:val="24"/>
              </w:rPr>
            </w:pPr>
            <w:r w:rsidRPr="00AE7DB5">
              <w:rPr>
                <w:sz w:val="24"/>
                <w:szCs w:val="24"/>
              </w:rPr>
              <w:t>R 66 500 000</w:t>
            </w:r>
          </w:p>
        </w:tc>
        <w:tc>
          <w:tcPr>
            <w:tcW w:w="2125" w:type="dxa"/>
            <w:shd w:val="clear" w:color="auto" w:fill="auto"/>
          </w:tcPr>
          <w:p w:rsidR="001D50A8" w:rsidRPr="00AE7DB5" w:rsidRDefault="001D50A8" w:rsidP="00C457B3">
            <w:pPr>
              <w:jc w:val="center"/>
              <w:rPr>
                <w:sz w:val="24"/>
                <w:szCs w:val="24"/>
              </w:rPr>
            </w:pPr>
            <w:r w:rsidRPr="00AE7DB5">
              <w:rPr>
                <w:sz w:val="24"/>
                <w:szCs w:val="24"/>
              </w:rPr>
              <w:t>R  99 694 000</w:t>
            </w:r>
          </w:p>
        </w:tc>
        <w:tc>
          <w:tcPr>
            <w:tcW w:w="2240" w:type="dxa"/>
            <w:shd w:val="clear" w:color="auto" w:fill="auto"/>
          </w:tcPr>
          <w:p w:rsidR="001D50A8" w:rsidRPr="00AE7DB5" w:rsidRDefault="001D50A8" w:rsidP="00C457B3">
            <w:pPr>
              <w:jc w:val="center"/>
              <w:rPr>
                <w:sz w:val="24"/>
                <w:szCs w:val="24"/>
              </w:rPr>
            </w:pPr>
            <w:r w:rsidRPr="00AE7DB5">
              <w:rPr>
                <w:sz w:val="24"/>
                <w:szCs w:val="24"/>
              </w:rPr>
              <w:t>R106 366 000</w:t>
            </w:r>
          </w:p>
        </w:tc>
      </w:tr>
      <w:tr w:rsidR="001D50A8" w:rsidRPr="00AE7DB5" w:rsidTr="00C457B3">
        <w:tc>
          <w:tcPr>
            <w:tcW w:w="2693" w:type="dxa"/>
            <w:shd w:val="clear" w:color="auto" w:fill="auto"/>
          </w:tcPr>
          <w:p w:rsidR="001D50A8" w:rsidRPr="00AE7DB5" w:rsidRDefault="001D50A8" w:rsidP="00C457B3">
            <w:pPr>
              <w:jc w:val="both"/>
              <w:rPr>
                <w:sz w:val="24"/>
                <w:szCs w:val="24"/>
              </w:rPr>
            </w:pPr>
            <w:r w:rsidRPr="00AE7DB5">
              <w:rPr>
                <w:sz w:val="24"/>
                <w:szCs w:val="24"/>
              </w:rPr>
              <w:t>WSIG</w:t>
            </w:r>
          </w:p>
        </w:tc>
        <w:tc>
          <w:tcPr>
            <w:tcW w:w="2581" w:type="dxa"/>
            <w:shd w:val="clear" w:color="auto" w:fill="auto"/>
          </w:tcPr>
          <w:p w:rsidR="001D50A8" w:rsidRPr="00AE7DB5" w:rsidRDefault="001D50A8" w:rsidP="00C457B3">
            <w:pPr>
              <w:jc w:val="center"/>
              <w:rPr>
                <w:sz w:val="24"/>
                <w:szCs w:val="24"/>
              </w:rPr>
            </w:pPr>
            <w:r w:rsidRPr="00AE7DB5">
              <w:rPr>
                <w:sz w:val="24"/>
                <w:szCs w:val="24"/>
              </w:rPr>
              <w:t>R100 000 000</w:t>
            </w:r>
          </w:p>
        </w:tc>
        <w:tc>
          <w:tcPr>
            <w:tcW w:w="2125" w:type="dxa"/>
            <w:shd w:val="clear" w:color="auto" w:fill="auto"/>
          </w:tcPr>
          <w:p w:rsidR="001D50A8" w:rsidRPr="00AE7DB5" w:rsidRDefault="001D50A8" w:rsidP="00C457B3">
            <w:pPr>
              <w:jc w:val="center"/>
              <w:rPr>
                <w:sz w:val="24"/>
                <w:szCs w:val="24"/>
              </w:rPr>
            </w:pPr>
            <w:r w:rsidRPr="00AE7DB5">
              <w:rPr>
                <w:sz w:val="24"/>
                <w:szCs w:val="24"/>
              </w:rPr>
              <w:t>R102 000 000</w:t>
            </w:r>
          </w:p>
        </w:tc>
        <w:tc>
          <w:tcPr>
            <w:tcW w:w="2240" w:type="dxa"/>
            <w:shd w:val="clear" w:color="auto" w:fill="auto"/>
          </w:tcPr>
          <w:p w:rsidR="001D50A8" w:rsidRPr="00AE7DB5" w:rsidRDefault="001D50A8" w:rsidP="00C457B3">
            <w:pPr>
              <w:jc w:val="center"/>
              <w:rPr>
                <w:sz w:val="24"/>
                <w:szCs w:val="24"/>
              </w:rPr>
            </w:pPr>
            <w:r w:rsidRPr="00AE7DB5">
              <w:rPr>
                <w:sz w:val="24"/>
                <w:szCs w:val="24"/>
              </w:rPr>
              <w:t>R  80 000 000</w:t>
            </w:r>
          </w:p>
        </w:tc>
      </w:tr>
      <w:tr w:rsidR="001D50A8" w:rsidRPr="00AE7DB5" w:rsidTr="00C457B3">
        <w:tc>
          <w:tcPr>
            <w:tcW w:w="2693" w:type="dxa"/>
            <w:shd w:val="clear" w:color="auto" w:fill="auto"/>
          </w:tcPr>
          <w:p w:rsidR="001D50A8" w:rsidRPr="00AE7DB5" w:rsidRDefault="001D50A8" w:rsidP="00C457B3">
            <w:pPr>
              <w:jc w:val="both"/>
              <w:rPr>
                <w:sz w:val="24"/>
                <w:szCs w:val="24"/>
              </w:rPr>
            </w:pPr>
            <w:r w:rsidRPr="00AE7DB5">
              <w:rPr>
                <w:sz w:val="24"/>
                <w:szCs w:val="24"/>
              </w:rPr>
              <w:t>WSIG Drought</w:t>
            </w:r>
          </w:p>
        </w:tc>
        <w:tc>
          <w:tcPr>
            <w:tcW w:w="2581" w:type="dxa"/>
            <w:shd w:val="clear" w:color="auto" w:fill="auto"/>
          </w:tcPr>
          <w:p w:rsidR="001D50A8" w:rsidRPr="00AE7DB5" w:rsidRDefault="001D50A8" w:rsidP="00C457B3">
            <w:pPr>
              <w:jc w:val="center"/>
              <w:rPr>
                <w:sz w:val="24"/>
                <w:szCs w:val="24"/>
              </w:rPr>
            </w:pPr>
            <w:r w:rsidRPr="00AE7DB5">
              <w:rPr>
                <w:sz w:val="24"/>
                <w:szCs w:val="24"/>
              </w:rPr>
              <w:t>R  64 000 000</w:t>
            </w:r>
          </w:p>
        </w:tc>
        <w:tc>
          <w:tcPr>
            <w:tcW w:w="2125" w:type="dxa"/>
            <w:shd w:val="clear" w:color="auto" w:fill="auto"/>
          </w:tcPr>
          <w:p w:rsidR="001D50A8" w:rsidRPr="00AE7DB5" w:rsidRDefault="001D50A8" w:rsidP="00C457B3">
            <w:pPr>
              <w:jc w:val="center"/>
              <w:rPr>
                <w:sz w:val="24"/>
                <w:szCs w:val="24"/>
              </w:rPr>
            </w:pPr>
            <w:r w:rsidRPr="00AE7DB5">
              <w:rPr>
                <w:sz w:val="24"/>
                <w:szCs w:val="24"/>
              </w:rPr>
              <w:t>R  64 000 000</w:t>
            </w:r>
          </w:p>
        </w:tc>
        <w:tc>
          <w:tcPr>
            <w:tcW w:w="2240" w:type="dxa"/>
            <w:shd w:val="clear" w:color="auto" w:fill="auto"/>
          </w:tcPr>
          <w:p w:rsidR="001D50A8" w:rsidRPr="00AE7DB5" w:rsidRDefault="001D50A8" w:rsidP="00C457B3">
            <w:pPr>
              <w:jc w:val="center"/>
              <w:rPr>
                <w:sz w:val="24"/>
                <w:szCs w:val="24"/>
              </w:rPr>
            </w:pPr>
            <w:r w:rsidRPr="00AE7DB5">
              <w:rPr>
                <w:sz w:val="24"/>
                <w:szCs w:val="24"/>
              </w:rPr>
              <w:t>-</w:t>
            </w:r>
          </w:p>
        </w:tc>
      </w:tr>
      <w:tr w:rsidR="001D50A8" w:rsidRPr="00AE7DB5" w:rsidTr="00C457B3">
        <w:tc>
          <w:tcPr>
            <w:tcW w:w="2693" w:type="dxa"/>
            <w:shd w:val="clear" w:color="auto" w:fill="auto"/>
          </w:tcPr>
          <w:p w:rsidR="001D50A8" w:rsidRPr="00AE7DB5" w:rsidRDefault="001D50A8" w:rsidP="00C457B3">
            <w:pPr>
              <w:jc w:val="both"/>
              <w:rPr>
                <w:b/>
                <w:sz w:val="24"/>
                <w:szCs w:val="24"/>
              </w:rPr>
            </w:pPr>
            <w:r w:rsidRPr="00AE7DB5">
              <w:rPr>
                <w:b/>
                <w:sz w:val="24"/>
                <w:szCs w:val="24"/>
              </w:rPr>
              <w:t>Total</w:t>
            </w:r>
          </w:p>
        </w:tc>
        <w:tc>
          <w:tcPr>
            <w:tcW w:w="2581" w:type="dxa"/>
            <w:shd w:val="clear" w:color="auto" w:fill="auto"/>
          </w:tcPr>
          <w:p w:rsidR="001D50A8" w:rsidRPr="00AE7DB5" w:rsidRDefault="001D50A8" w:rsidP="00C457B3">
            <w:pPr>
              <w:jc w:val="center"/>
              <w:rPr>
                <w:b/>
                <w:sz w:val="24"/>
                <w:szCs w:val="24"/>
              </w:rPr>
            </w:pPr>
            <w:r w:rsidRPr="00AE7DB5">
              <w:rPr>
                <w:b/>
                <w:sz w:val="24"/>
                <w:szCs w:val="24"/>
              </w:rPr>
              <w:t>R230 500 000</w:t>
            </w:r>
          </w:p>
        </w:tc>
        <w:tc>
          <w:tcPr>
            <w:tcW w:w="2125" w:type="dxa"/>
            <w:shd w:val="clear" w:color="auto" w:fill="auto"/>
          </w:tcPr>
          <w:p w:rsidR="001D50A8" w:rsidRPr="00AE7DB5" w:rsidRDefault="001D50A8" w:rsidP="00C457B3">
            <w:pPr>
              <w:jc w:val="center"/>
              <w:rPr>
                <w:b/>
                <w:sz w:val="24"/>
                <w:szCs w:val="24"/>
              </w:rPr>
            </w:pPr>
            <w:r w:rsidRPr="00AE7DB5">
              <w:rPr>
                <w:b/>
                <w:sz w:val="24"/>
                <w:szCs w:val="24"/>
              </w:rPr>
              <w:t>R201 6294 000</w:t>
            </w:r>
          </w:p>
        </w:tc>
        <w:tc>
          <w:tcPr>
            <w:tcW w:w="2240" w:type="dxa"/>
            <w:shd w:val="clear" w:color="auto" w:fill="auto"/>
          </w:tcPr>
          <w:p w:rsidR="001D50A8" w:rsidRPr="00AE7DB5" w:rsidRDefault="001D50A8" w:rsidP="00C457B3">
            <w:pPr>
              <w:jc w:val="center"/>
              <w:rPr>
                <w:b/>
                <w:sz w:val="24"/>
                <w:szCs w:val="24"/>
              </w:rPr>
            </w:pPr>
            <w:r w:rsidRPr="00AE7DB5">
              <w:rPr>
                <w:b/>
                <w:sz w:val="24"/>
                <w:szCs w:val="24"/>
              </w:rPr>
              <w:t>R186 366 000</w:t>
            </w:r>
          </w:p>
        </w:tc>
      </w:tr>
    </w:tbl>
    <w:p w:rsidR="001D50A8" w:rsidRPr="00500F33" w:rsidRDefault="001D50A8" w:rsidP="001D50A8">
      <w:pPr>
        <w:jc w:val="both"/>
        <w:rPr>
          <w:b/>
          <w:sz w:val="24"/>
          <w:szCs w:val="24"/>
        </w:rPr>
      </w:pPr>
    </w:p>
    <w:p w:rsidR="001D50A8" w:rsidRPr="00500F33" w:rsidRDefault="001D50A8" w:rsidP="001D50A8">
      <w:pPr>
        <w:jc w:val="both"/>
        <w:rPr>
          <w:sz w:val="24"/>
          <w:szCs w:val="24"/>
        </w:rPr>
      </w:pPr>
    </w:p>
    <w:p w:rsidR="001D50A8" w:rsidRPr="00500F33" w:rsidRDefault="001D50A8" w:rsidP="001D50A8">
      <w:pPr>
        <w:tabs>
          <w:tab w:val="left" w:pos="2300"/>
        </w:tabs>
        <w:spacing w:line="320" w:lineRule="atLeast"/>
        <w:ind w:left="720" w:hanging="720"/>
        <w:jc w:val="both"/>
        <w:rPr>
          <w:sz w:val="24"/>
          <w:szCs w:val="24"/>
        </w:rPr>
      </w:pPr>
    </w:p>
    <w:p w:rsidR="00500F33" w:rsidRPr="00500F33" w:rsidRDefault="00500F33" w:rsidP="001D50A8">
      <w:pPr>
        <w:jc w:val="both"/>
        <w:rPr>
          <w:sz w:val="24"/>
          <w:szCs w:val="24"/>
        </w:rPr>
      </w:pPr>
    </w:p>
    <w:sectPr w:rsidR="00500F33" w:rsidRPr="00500F33" w:rsidSect="00500F33">
      <w:headerReference w:type="default" r:id="rId8"/>
      <w:pgSz w:w="12240" w:h="15840"/>
      <w:pgMar w:top="1701"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E8" w:rsidRDefault="00BE73E8" w:rsidP="00054FEC">
      <w:r>
        <w:separator/>
      </w:r>
    </w:p>
  </w:endnote>
  <w:endnote w:type="continuationSeparator" w:id="0">
    <w:p w:rsidR="00BE73E8" w:rsidRDefault="00BE73E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E8" w:rsidRDefault="00BE73E8" w:rsidP="00054FEC">
      <w:r>
        <w:separator/>
      </w:r>
    </w:p>
  </w:footnote>
  <w:footnote w:type="continuationSeparator" w:id="0">
    <w:p w:rsidR="00BE73E8" w:rsidRDefault="00BE73E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6D23A0">
      <w:t>9</w:t>
    </w:r>
    <w:r w:rsidR="004C2FAD">
      <w:t>1</w:t>
    </w:r>
    <w:r w:rsidR="00335C58">
      <w:t>9</w:t>
    </w:r>
    <w:r w:rsidR="006D23A0">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8B1EB6"/>
    <w:multiLevelType w:val="hybridMultilevel"/>
    <w:tmpl w:val="377E3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2E96DF2"/>
    <w:multiLevelType w:val="hybridMultilevel"/>
    <w:tmpl w:val="7E6C9302"/>
    <w:lvl w:ilvl="0" w:tplc="26D04E2E">
      <w:start w:val="16"/>
      <w:numFmt w:val="bullet"/>
      <w:lvlText w:val="-"/>
      <w:lvlJc w:val="left"/>
      <w:pPr>
        <w:ind w:left="2138" w:hanging="360"/>
      </w:pPr>
      <w:rPr>
        <w:rFonts w:ascii="Arial" w:eastAsia="Times New Roman" w:hAnsi="Arial" w:cs="Aria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48594D58"/>
    <w:multiLevelType w:val="hybridMultilevel"/>
    <w:tmpl w:val="C658B59C"/>
    <w:lvl w:ilvl="0" w:tplc="1C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4D92878"/>
    <w:multiLevelType w:val="hybridMultilevel"/>
    <w:tmpl w:val="C672A8A6"/>
    <w:lvl w:ilvl="0" w:tplc="26D04E2E">
      <w:start w:val="16"/>
      <w:numFmt w:val="bullet"/>
      <w:lvlText w:val="-"/>
      <w:lvlJc w:val="left"/>
      <w:pPr>
        <w:ind w:left="2498" w:hanging="360"/>
      </w:pPr>
      <w:rPr>
        <w:rFonts w:ascii="Arial" w:eastAsia="Times New Roman" w:hAnsi="Arial" w:cs="Arial" w:hint="default"/>
      </w:rPr>
    </w:lvl>
    <w:lvl w:ilvl="1" w:tplc="1C090003" w:tentative="1">
      <w:start w:val="1"/>
      <w:numFmt w:val="bullet"/>
      <w:lvlText w:val="o"/>
      <w:lvlJc w:val="left"/>
      <w:pPr>
        <w:ind w:left="3218" w:hanging="360"/>
      </w:pPr>
      <w:rPr>
        <w:rFonts w:ascii="Courier New" w:hAnsi="Courier New" w:cs="Courier New" w:hint="default"/>
      </w:rPr>
    </w:lvl>
    <w:lvl w:ilvl="2" w:tplc="1C090005" w:tentative="1">
      <w:start w:val="1"/>
      <w:numFmt w:val="bullet"/>
      <w:lvlText w:val=""/>
      <w:lvlJc w:val="left"/>
      <w:pPr>
        <w:ind w:left="3938" w:hanging="360"/>
      </w:pPr>
      <w:rPr>
        <w:rFonts w:ascii="Wingdings" w:hAnsi="Wingdings" w:hint="default"/>
      </w:rPr>
    </w:lvl>
    <w:lvl w:ilvl="3" w:tplc="1C090001" w:tentative="1">
      <w:start w:val="1"/>
      <w:numFmt w:val="bullet"/>
      <w:lvlText w:val=""/>
      <w:lvlJc w:val="left"/>
      <w:pPr>
        <w:ind w:left="4658" w:hanging="360"/>
      </w:pPr>
      <w:rPr>
        <w:rFonts w:ascii="Symbol" w:hAnsi="Symbol" w:hint="default"/>
      </w:rPr>
    </w:lvl>
    <w:lvl w:ilvl="4" w:tplc="1C090003" w:tentative="1">
      <w:start w:val="1"/>
      <w:numFmt w:val="bullet"/>
      <w:lvlText w:val="o"/>
      <w:lvlJc w:val="left"/>
      <w:pPr>
        <w:ind w:left="5378" w:hanging="360"/>
      </w:pPr>
      <w:rPr>
        <w:rFonts w:ascii="Courier New" w:hAnsi="Courier New" w:cs="Courier New" w:hint="default"/>
      </w:rPr>
    </w:lvl>
    <w:lvl w:ilvl="5" w:tplc="1C090005" w:tentative="1">
      <w:start w:val="1"/>
      <w:numFmt w:val="bullet"/>
      <w:lvlText w:val=""/>
      <w:lvlJc w:val="left"/>
      <w:pPr>
        <w:ind w:left="6098" w:hanging="360"/>
      </w:pPr>
      <w:rPr>
        <w:rFonts w:ascii="Wingdings" w:hAnsi="Wingdings" w:hint="default"/>
      </w:rPr>
    </w:lvl>
    <w:lvl w:ilvl="6" w:tplc="1C090001" w:tentative="1">
      <w:start w:val="1"/>
      <w:numFmt w:val="bullet"/>
      <w:lvlText w:val=""/>
      <w:lvlJc w:val="left"/>
      <w:pPr>
        <w:ind w:left="6818" w:hanging="360"/>
      </w:pPr>
      <w:rPr>
        <w:rFonts w:ascii="Symbol" w:hAnsi="Symbol" w:hint="default"/>
      </w:rPr>
    </w:lvl>
    <w:lvl w:ilvl="7" w:tplc="1C090003" w:tentative="1">
      <w:start w:val="1"/>
      <w:numFmt w:val="bullet"/>
      <w:lvlText w:val="o"/>
      <w:lvlJc w:val="left"/>
      <w:pPr>
        <w:ind w:left="7538" w:hanging="360"/>
      </w:pPr>
      <w:rPr>
        <w:rFonts w:ascii="Courier New" w:hAnsi="Courier New" w:cs="Courier New" w:hint="default"/>
      </w:rPr>
    </w:lvl>
    <w:lvl w:ilvl="8" w:tplc="1C090005" w:tentative="1">
      <w:start w:val="1"/>
      <w:numFmt w:val="bullet"/>
      <w:lvlText w:val=""/>
      <w:lvlJc w:val="left"/>
      <w:pPr>
        <w:ind w:left="8258" w:hanging="360"/>
      </w:pPr>
      <w:rPr>
        <w:rFonts w:ascii="Wingdings" w:hAnsi="Wingdings" w:hint="default"/>
      </w:rPr>
    </w:lvl>
  </w:abstractNum>
  <w:abstractNum w:abstractNumId="11">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7F2B6AF7"/>
    <w:multiLevelType w:val="hybridMultilevel"/>
    <w:tmpl w:val="ACCE0934"/>
    <w:lvl w:ilvl="0" w:tplc="1C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
  </w:num>
  <w:num w:numId="2">
    <w:abstractNumId w:val="5"/>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8"/>
  </w:num>
  <w:num w:numId="8">
    <w:abstractNumId w:val="6"/>
  </w:num>
  <w:num w:numId="9">
    <w:abstractNumId w:val="11"/>
  </w:num>
  <w:num w:numId="10">
    <w:abstractNumId w:val="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4"/>
  </w:num>
  <w:num w:numId="1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1EAA"/>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50A8"/>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200B4"/>
    <w:rsid w:val="003225B0"/>
    <w:rsid w:val="00323C61"/>
    <w:rsid w:val="00326ADE"/>
    <w:rsid w:val="00332EDA"/>
    <w:rsid w:val="00333798"/>
    <w:rsid w:val="00335C5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24D6"/>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2FAD"/>
    <w:rsid w:val="004C34F2"/>
    <w:rsid w:val="004C7102"/>
    <w:rsid w:val="004D2EDA"/>
    <w:rsid w:val="004E1009"/>
    <w:rsid w:val="004E69A7"/>
    <w:rsid w:val="004E7504"/>
    <w:rsid w:val="004F5117"/>
    <w:rsid w:val="00500F33"/>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6ED2"/>
    <w:rsid w:val="005B77A4"/>
    <w:rsid w:val="005C0461"/>
    <w:rsid w:val="005C71CA"/>
    <w:rsid w:val="005D1F3D"/>
    <w:rsid w:val="005D69D1"/>
    <w:rsid w:val="005E69AF"/>
    <w:rsid w:val="005F4728"/>
    <w:rsid w:val="00600850"/>
    <w:rsid w:val="00600BD5"/>
    <w:rsid w:val="006043CA"/>
    <w:rsid w:val="0061082B"/>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3A0"/>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67808"/>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A6F38"/>
    <w:rsid w:val="009B5929"/>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E7DB5"/>
    <w:rsid w:val="00AF266B"/>
    <w:rsid w:val="00AF3657"/>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E73E8"/>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457B3"/>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C45C0"/>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2021-04-19T09:43:00Z</dcterms:created>
  <dcterms:modified xsi:type="dcterms:W3CDTF">2021-04-19T09:43:00Z</dcterms:modified>
</cp:coreProperties>
</file>