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0A" w:rsidRPr="008024BB" w:rsidRDefault="006C090A" w:rsidP="006C090A">
      <w:pPr>
        <w:tabs>
          <w:tab w:val="left" w:pos="7020"/>
        </w:tabs>
        <w:spacing w:line="360" w:lineRule="auto"/>
        <w:jc w:val="center"/>
        <w:rPr>
          <w:rFonts w:ascii="Arial" w:hAnsi="Arial" w:cs="Arial"/>
          <w:b/>
          <w:sz w:val="24"/>
          <w:szCs w:val="24"/>
        </w:rPr>
      </w:pPr>
      <w:bookmarkStart w:id="0" w:name="_GoBack"/>
      <w:bookmarkEnd w:id="0"/>
      <w:r w:rsidRPr="008024BB">
        <w:rPr>
          <w:rFonts w:ascii="Arial" w:hAnsi="Arial" w:cs="Arial"/>
          <w:b/>
          <w:sz w:val="24"/>
          <w:szCs w:val="24"/>
        </w:rPr>
        <w:t>PARLIAMENT OF THE REPUBLIC OF SOUTH AFRICA</w:t>
      </w:r>
    </w:p>
    <w:p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NATIONAL ASSEMBLY</w:t>
      </w:r>
    </w:p>
    <w:p w:rsidR="006C090A" w:rsidRPr="008024BB" w:rsidRDefault="006C090A" w:rsidP="006C090A">
      <w:pPr>
        <w:tabs>
          <w:tab w:val="left" w:pos="7020"/>
        </w:tabs>
        <w:spacing w:line="360" w:lineRule="auto"/>
        <w:jc w:val="center"/>
        <w:rPr>
          <w:rFonts w:ascii="Arial" w:hAnsi="Arial" w:cs="Arial"/>
          <w:b/>
          <w:sz w:val="24"/>
          <w:szCs w:val="24"/>
        </w:rPr>
      </w:pPr>
      <w:r w:rsidRPr="008024BB">
        <w:rPr>
          <w:rFonts w:ascii="Arial" w:hAnsi="Arial" w:cs="Arial"/>
          <w:b/>
          <w:sz w:val="24"/>
          <w:szCs w:val="24"/>
        </w:rPr>
        <w:t>WRITTEN REPLY</w:t>
      </w:r>
    </w:p>
    <w:p w:rsidR="006C090A" w:rsidRPr="006C090A" w:rsidRDefault="006C090A" w:rsidP="006C090A">
      <w:pPr>
        <w:tabs>
          <w:tab w:val="left" w:pos="7020"/>
        </w:tabs>
        <w:spacing w:line="360" w:lineRule="auto"/>
        <w:rPr>
          <w:rFonts w:ascii="Arial" w:hAnsi="Arial" w:cs="Arial"/>
          <w:b/>
          <w:sz w:val="24"/>
          <w:szCs w:val="24"/>
          <w:u w:val="single"/>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8F3545">
        <w:rPr>
          <w:rFonts w:ascii="Arial" w:hAnsi="Arial" w:cs="Arial"/>
          <w:b/>
          <w:sz w:val="24"/>
          <w:szCs w:val="24"/>
        </w:rPr>
        <w:t>91</w:t>
      </w:r>
      <w:r w:rsidR="00FF6740">
        <w:rPr>
          <w:rFonts w:ascii="Arial" w:hAnsi="Arial" w:cs="Arial"/>
          <w:b/>
          <w:sz w:val="24"/>
          <w:szCs w:val="24"/>
        </w:rPr>
        <w:t>6</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PUBLICATION:  </w:t>
      </w:r>
      <w:r w:rsidR="007C2868">
        <w:rPr>
          <w:rFonts w:ascii="Arial" w:hAnsi="Arial" w:cs="Arial"/>
          <w:b/>
          <w:sz w:val="24"/>
          <w:szCs w:val="24"/>
        </w:rPr>
        <w:t>13 September 2019</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7C2868">
        <w:rPr>
          <w:rFonts w:ascii="Arial" w:hAnsi="Arial" w:cs="Arial"/>
          <w:b/>
          <w:sz w:val="24"/>
          <w:szCs w:val="24"/>
        </w:rPr>
        <w:t xml:space="preserve"> 16</w:t>
      </w:r>
    </w:p>
    <w:p w:rsidR="0036215C" w:rsidRDefault="0036215C" w:rsidP="0036215C">
      <w:pPr>
        <w:tabs>
          <w:tab w:val="left" w:pos="7020"/>
        </w:tabs>
        <w:spacing w:line="360" w:lineRule="auto"/>
        <w:rPr>
          <w:rFonts w:ascii="Arial" w:hAnsi="Arial" w:cs="Arial"/>
          <w:b/>
          <w:sz w:val="24"/>
          <w:szCs w:val="24"/>
        </w:rPr>
      </w:pPr>
    </w:p>
    <w:p w:rsidR="00F45314" w:rsidRPr="00F45314" w:rsidRDefault="00F45314" w:rsidP="00775E5B">
      <w:pPr>
        <w:autoSpaceDE w:val="0"/>
        <w:autoSpaceDN w:val="0"/>
        <w:adjustRightInd w:val="0"/>
        <w:rPr>
          <w:rFonts w:ascii="Arial" w:eastAsia="Calibri" w:hAnsi="Arial" w:cs="Arial"/>
          <w:color w:val="000000"/>
          <w:sz w:val="24"/>
          <w:szCs w:val="24"/>
          <w:lang w:val="en-US"/>
        </w:rPr>
      </w:pPr>
      <w:r w:rsidRPr="00F45314">
        <w:rPr>
          <w:rFonts w:ascii="Arial" w:eastAsia="Calibri" w:hAnsi="Arial" w:cs="Arial"/>
          <w:b/>
          <w:bCs/>
          <w:color w:val="000000"/>
          <w:sz w:val="24"/>
          <w:szCs w:val="24"/>
          <w:lang w:val="en-US"/>
        </w:rPr>
        <w:t>M</w:t>
      </w:r>
      <w:r w:rsidR="00527792">
        <w:rPr>
          <w:rFonts w:ascii="Arial" w:eastAsia="Calibri" w:hAnsi="Arial" w:cs="Arial"/>
          <w:b/>
          <w:bCs/>
          <w:color w:val="000000"/>
          <w:sz w:val="24"/>
          <w:szCs w:val="24"/>
          <w:lang w:val="en-US"/>
        </w:rPr>
        <w:t>r</w:t>
      </w:r>
      <w:r w:rsidR="008024BB">
        <w:rPr>
          <w:rFonts w:ascii="Arial" w:eastAsia="Calibri" w:hAnsi="Arial" w:cs="Arial"/>
          <w:b/>
          <w:bCs/>
          <w:color w:val="000000"/>
          <w:sz w:val="24"/>
          <w:szCs w:val="24"/>
          <w:lang w:val="en-US"/>
        </w:rPr>
        <w:t>.</w:t>
      </w:r>
      <w:r w:rsidR="00527792">
        <w:rPr>
          <w:rFonts w:ascii="Arial" w:eastAsia="Calibri" w:hAnsi="Arial" w:cs="Arial"/>
          <w:b/>
          <w:bCs/>
          <w:color w:val="000000"/>
          <w:sz w:val="24"/>
          <w:szCs w:val="24"/>
          <w:lang w:val="en-US"/>
        </w:rPr>
        <w:t xml:space="preserve"> </w:t>
      </w:r>
      <w:r w:rsidR="008F3545">
        <w:rPr>
          <w:rFonts w:ascii="Arial" w:eastAsia="Calibri" w:hAnsi="Arial" w:cs="Arial"/>
          <w:b/>
          <w:bCs/>
          <w:color w:val="000000"/>
          <w:sz w:val="24"/>
          <w:szCs w:val="24"/>
          <w:lang w:val="en-US"/>
        </w:rPr>
        <w:t xml:space="preserve">C </w:t>
      </w:r>
      <w:proofErr w:type="spellStart"/>
      <w:r w:rsidR="008F3545">
        <w:rPr>
          <w:rFonts w:ascii="Arial" w:eastAsia="Calibri" w:hAnsi="Arial" w:cs="Arial"/>
          <w:b/>
          <w:bCs/>
          <w:color w:val="000000"/>
          <w:sz w:val="24"/>
          <w:szCs w:val="24"/>
          <w:lang w:val="en-US"/>
        </w:rPr>
        <w:t>MacKenzie</w:t>
      </w:r>
      <w:proofErr w:type="spellEnd"/>
      <w:r w:rsidRPr="00F45314">
        <w:rPr>
          <w:rFonts w:ascii="Arial" w:eastAsia="Calibri" w:hAnsi="Arial" w:cs="Arial"/>
          <w:b/>
          <w:bCs/>
          <w:color w:val="000000"/>
          <w:sz w:val="24"/>
          <w:szCs w:val="24"/>
          <w:lang w:val="en-US"/>
        </w:rPr>
        <w:t xml:space="preserve"> (</w:t>
      </w:r>
      <w:r w:rsidR="008F3545">
        <w:rPr>
          <w:rFonts w:ascii="Arial" w:eastAsia="Calibri" w:hAnsi="Arial" w:cs="Arial"/>
          <w:b/>
          <w:bCs/>
          <w:color w:val="000000"/>
          <w:sz w:val="24"/>
          <w:szCs w:val="24"/>
          <w:lang w:val="en-US"/>
        </w:rPr>
        <w:t>DA</w:t>
      </w:r>
      <w:r w:rsidRPr="00F45314">
        <w:rPr>
          <w:rFonts w:ascii="Arial" w:eastAsia="Calibri" w:hAnsi="Arial" w:cs="Arial"/>
          <w:b/>
          <w:bCs/>
          <w:color w:val="000000"/>
          <w:sz w:val="24"/>
          <w:szCs w:val="24"/>
          <w:lang w:val="en-US"/>
        </w:rPr>
        <w:t>) to ask the Minister of Communications:</w:t>
      </w:r>
    </w:p>
    <w:p w:rsidR="00F45314" w:rsidRPr="00F45314" w:rsidRDefault="00F45314" w:rsidP="00F45314">
      <w:pPr>
        <w:contextualSpacing/>
        <w:jc w:val="both"/>
        <w:rPr>
          <w:rFonts w:ascii="Arial" w:eastAsia="Calibri" w:hAnsi="Arial" w:cs="Arial"/>
          <w:color w:val="000000"/>
          <w:sz w:val="24"/>
          <w:szCs w:val="24"/>
          <w:lang w:val="en-US"/>
        </w:rPr>
      </w:pPr>
    </w:p>
    <w:p w:rsidR="00516A5E" w:rsidRDefault="008F3545" w:rsidP="008024BB">
      <w:pPr>
        <w:numPr>
          <w:ilvl w:val="0"/>
          <w:numId w:val="11"/>
        </w:numPr>
        <w:ind w:left="567" w:hanging="567"/>
        <w:contextualSpacing/>
        <w:jc w:val="both"/>
        <w:outlineLvl w:val="0"/>
        <w:rPr>
          <w:rFonts w:ascii="Arial" w:eastAsia="Calibri Light" w:hAnsi="Arial" w:cs="Arial"/>
          <w:iCs/>
          <w:sz w:val="24"/>
          <w:szCs w:val="24"/>
        </w:rPr>
      </w:pPr>
      <w:r>
        <w:rPr>
          <w:rFonts w:ascii="Arial" w:eastAsia="Calibri Light" w:hAnsi="Arial" w:cs="Arial"/>
          <w:iCs/>
          <w:sz w:val="24"/>
          <w:szCs w:val="24"/>
        </w:rPr>
        <w:t xml:space="preserve">Whether the </w:t>
      </w:r>
      <w:r w:rsidR="006E520A">
        <w:rPr>
          <w:rFonts w:ascii="Arial" w:eastAsia="Calibri Light" w:hAnsi="Arial" w:cs="Arial"/>
          <w:iCs/>
          <w:sz w:val="24"/>
          <w:szCs w:val="24"/>
        </w:rPr>
        <w:t>State Information Technology Agency (SITA</w:t>
      </w:r>
      <w:r>
        <w:rPr>
          <w:rFonts w:ascii="Arial" w:eastAsia="Calibri Light" w:hAnsi="Arial" w:cs="Arial"/>
          <w:iCs/>
          <w:sz w:val="24"/>
          <w:szCs w:val="24"/>
        </w:rPr>
        <w:t>)</w:t>
      </w:r>
      <w:r w:rsidR="006E520A">
        <w:rPr>
          <w:rFonts w:ascii="Arial" w:eastAsia="Calibri Light" w:hAnsi="Arial" w:cs="Arial"/>
          <w:iCs/>
          <w:sz w:val="24"/>
          <w:szCs w:val="24"/>
        </w:rPr>
        <w:t xml:space="preserve"> has been</w:t>
      </w:r>
      <w:r>
        <w:rPr>
          <w:rFonts w:ascii="Arial" w:eastAsia="Calibri Light" w:hAnsi="Arial" w:cs="Arial"/>
          <w:iCs/>
          <w:sz w:val="24"/>
          <w:szCs w:val="24"/>
        </w:rPr>
        <w:t xml:space="preserve"> the subject of any investigation by the Special Investigating Unit (SIU) in the period of 1 June 2014 to 30 June 2019; if so, what was the (a) subject and nature of each specified investigation and (b) </w:t>
      </w:r>
      <w:r w:rsidR="003728BE">
        <w:rPr>
          <w:rFonts w:ascii="Arial" w:eastAsia="Calibri Light" w:hAnsi="Arial" w:cs="Arial"/>
          <w:iCs/>
          <w:sz w:val="24"/>
          <w:szCs w:val="24"/>
        </w:rPr>
        <w:t>any further relevant details</w:t>
      </w:r>
      <w:r>
        <w:rPr>
          <w:rFonts w:ascii="Arial" w:eastAsia="Calibri Light" w:hAnsi="Arial" w:cs="Arial"/>
          <w:iCs/>
          <w:sz w:val="24"/>
          <w:szCs w:val="24"/>
        </w:rPr>
        <w:t xml:space="preserve">? </w:t>
      </w:r>
    </w:p>
    <w:p w:rsidR="008024BB" w:rsidRDefault="008024BB" w:rsidP="008024BB">
      <w:pPr>
        <w:ind w:left="567" w:hanging="567"/>
        <w:contextualSpacing/>
        <w:jc w:val="both"/>
        <w:outlineLvl w:val="0"/>
        <w:rPr>
          <w:rFonts w:ascii="Arial" w:eastAsia="Calibri Light" w:hAnsi="Arial" w:cs="Arial"/>
          <w:iCs/>
          <w:sz w:val="24"/>
          <w:szCs w:val="24"/>
        </w:rPr>
      </w:pPr>
    </w:p>
    <w:p w:rsidR="008024BB" w:rsidRPr="008024BB" w:rsidRDefault="00516A5E" w:rsidP="008024BB">
      <w:pPr>
        <w:numPr>
          <w:ilvl w:val="0"/>
          <w:numId w:val="11"/>
        </w:numPr>
        <w:ind w:left="567" w:hanging="567"/>
        <w:contextualSpacing/>
        <w:jc w:val="both"/>
        <w:outlineLvl w:val="0"/>
        <w:rPr>
          <w:rFonts w:ascii="Arial" w:eastAsia="Calibri" w:hAnsi="Arial" w:cs="Arial"/>
          <w:color w:val="000000"/>
          <w:sz w:val="24"/>
          <w:szCs w:val="24"/>
          <w:lang w:val="en-US"/>
        </w:rPr>
      </w:pPr>
      <w:r w:rsidRPr="00516A5E">
        <w:rPr>
          <w:rFonts w:ascii="Arial" w:eastAsia="Calibri Light" w:hAnsi="Arial" w:cs="Arial"/>
          <w:iCs/>
          <w:sz w:val="24"/>
          <w:szCs w:val="24"/>
        </w:rPr>
        <w:t xml:space="preserve">Whether the specified investigations have been completed in each case; if not, what is the current status of each of the incomplete investigations; if so what was the outcome of the investigation in each case? </w:t>
      </w:r>
    </w:p>
    <w:p w:rsidR="008024BB" w:rsidRDefault="008024BB" w:rsidP="008024BB">
      <w:pPr>
        <w:pStyle w:val="ListParagraph"/>
        <w:rPr>
          <w:rFonts w:ascii="Arial" w:eastAsia="Calibri Light" w:hAnsi="Arial" w:cs="Arial"/>
          <w:b/>
          <w:iCs/>
          <w:szCs w:val="24"/>
        </w:rPr>
      </w:pPr>
    </w:p>
    <w:p w:rsidR="00F45314" w:rsidRPr="00516A5E" w:rsidRDefault="008F3545" w:rsidP="008024BB">
      <w:pPr>
        <w:contextualSpacing/>
        <w:jc w:val="right"/>
        <w:outlineLvl w:val="0"/>
        <w:rPr>
          <w:rFonts w:ascii="Arial" w:eastAsia="Calibri" w:hAnsi="Arial" w:cs="Arial"/>
          <w:color w:val="000000"/>
          <w:sz w:val="24"/>
          <w:szCs w:val="24"/>
          <w:lang w:val="en-US"/>
        </w:rPr>
      </w:pPr>
      <w:r w:rsidRPr="00516A5E">
        <w:rPr>
          <w:rFonts w:ascii="Arial" w:eastAsia="Calibri Light" w:hAnsi="Arial" w:cs="Arial"/>
          <w:b/>
          <w:iCs/>
          <w:sz w:val="24"/>
          <w:szCs w:val="24"/>
        </w:rPr>
        <w:t>NW206</w:t>
      </w:r>
      <w:r w:rsidR="006E520A" w:rsidRPr="00516A5E">
        <w:rPr>
          <w:rFonts w:ascii="Arial" w:eastAsia="Calibri Light" w:hAnsi="Arial" w:cs="Arial"/>
          <w:b/>
          <w:iCs/>
          <w:sz w:val="24"/>
          <w:szCs w:val="24"/>
        </w:rPr>
        <w:t>9</w:t>
      </w:r>
      <w:r w:rsidRPr="00516A5E">
        <w:rPr>
          <w:rFonts w:ascii="Arial" w:eastAsia="Calibri Light" w:hAnsi="Arial" w:cs="Arial"/>
          <w:b/>
          <w:iCs/>
          <w:sz w:val="24"/>
          <w:szCs w:val="24"/>
        </w:rPr>
        <w:t>E</w:t>
      </w:r>
    </w:p>
    <w:p w:rsidR="00F45314" w:rsidRPr="00F45314" w:rsidRDefault="00F45314" w:rsidP="00F45314">
      <w:pPr>
        <w:contextualSpacing/>
        <w:jc w:val="both"/>
        <w:rPr>
          <w:rFonts w:ascii="Arial" w:eastAsia="Calibri" w:hAnsi="Arial" w:cs="Arial"/>
          <w:color w:val="000000"/>
          <w:sz w:val="24"/>
          <w:szCs w:val="24"/>
          <w:lang w:val="en-US"/>
        </w:rPr>
      </w:pPr>
    </w:p>
    <w:p w:rsidR="00F45314" w:rsidRPr="00F45314" w:rsidRDefault="00F45314" w:rsidP="00F45314">
      <w:pPr>
        <w:shd w:val="clear" w:color="auto" w:fill="FFFFFF"/>
        <w:tabs>
          <w:tab w:val="left" w:pos="4408"/>
        </w:tabs>
        <w:jc w:val="both"/>
        <w:rPr>
          <w:rFonts w:ascii="Arial" w:eastAsia="Calibri" w:hAnsi="Arial" w:cs="Arial"/>
          <w:b/>
          <w:sz w:val="24"/>
          <w:szCs w:val="24"/>
          <w:lang w:val="en-ZA"/>
        </w:rPr>
      </w:pPr>
      <w:r w:rsidRPr="00F45314">
        <w:rPr>
          <w:rFonts w:ascii="Arial" w:eastAsia="Calibri" w:hAnsi="Arial" w:cs="Arial"/>
          <w:b/>
          <w:sz w:val="24"/>
          <w:szCs w:val="24"/>
          <w:lang w:val="en-ZA"/>
        </w:rPr>
        <w:t>REPLY:</w:t>
      </w:r>
    </w:p>
    <w:p w:rsidR="00F45314" w:rsidRPr="00F45314" w:rsidRDefault="00F45314" w:rsidP="00F45314">
      <w:pPr>
        <w:shd w:val="clear" w:color="auto" w:fill="FFFFFF"/>
        <w:tabs>
          <w:tab w:val="left" w:pos="4408"/>
        </w:tabs>
        <w:jc w:val="both"/>
        <w:rPr>
          <w:rFonts w:ascii="Arial" w:eastAsia="Calibri" w:hAnsi="Arial" w:cs="Arial"/>
          <w:bCs/>
          <w:sz w:val="24"/>
          <w:szCs w:val="24"/>
          <w:lang w:val="en-ZA"/>
        </w:rPr>
      </w:pPr>
    </w:p>
    <w:p w:rsidR="00F45314" w:rsidRPr="00F45314" w:rsidRDefault="00F45314" w:rsidP="008024BB">
      <w:pPr>
        <w:shd w:val="clear" w:color="auto" w:fill="FFFFFF"/>
        <w:tabs>
          <w:tab w:val="left" w:pos="4408"/>
        </w:tabs>
        <w:rPr>
          <w:rFonts w:ascii="Arial" w:eastAsia="Calibri" w:hAnsi="Arial" w:cs="Arial"/>
          <w:b/>
          <w:bCs/>
          <w:sz w:val="24"/>
          <w:szCs w:val="24"/>
          <w:lang w:val="en-ZA"/>
        </w:rPr>
      </w:pPr>
      <w:r w:rsidRPr="00F45314">
        <w:rPr>
          <w:rFonts w:ascii="Arial" w:eastAsia="Calibri" w:hAnsi="Arial" w:cs="Arial"/>
          <w:b/>
          <w:bCs/>
          <w:sz w:val="24"/>
          <w:szCs w:val="24"/>
          <w:lang w:val="en-ZA"/>
        </w:rPr>
        <w:t xml:space="preserve">I have been advised by the </w:t>
      </w:r>
      <w:r w:rsidR="006E520A">
        <w:rPr>
          <w:rFonts w:ascii="Arial" w:eastAsia="Calibri" w:hAnsi="Arial" w:cs="Arial"/>
          <w:b/>
          <w:bCs/>
          <w:sz w:val="24"/>
          <w:szCs w:val="24"/>
          <w:lang w:val="en-ZA"/>
        </w:rPr>
        <w:t>SITA</w:t>
      </w:r>
      <w:r w:rsidR="008F3545">
        <w:rPr>
          <w:rFonts w:ascii="Arial" w:eastAsia="Calibri" w:hAnsi="Arial" w:cs="Arial"/>
          <w:b/>
          <w:bCs/>
          <w:sz w:val="24"/>
          <w:szCs w:val="24"/>
          <w:lang w:val="en-ZA"/>
        </w:rPr>
        <w:t xml:space="preserve"> </w:t>
      </w:r>
      <w:r w:rsidRPr="00F45314">
        <w:rPr>
          <w:rFonts w:ascii="Arial" w:eastAsia="Calibri" w:hAnsi="Arial" w:cs="Arial"/>
          <w:b/>
          <w:bCs/>
          <w:sz w:val="24"/>
          <w:szCs w:val="24"/>
          <w:lang w:val="en-ZA"/>
        </w:rPr>
        <w:t>as follows:</w:t>
      </w:r>
    </w:p>
    <w:p w:rsidR="00A438B1" w:rsidRPr="00331394" w:rsidRDefault="00A438B1" w:rsidP="008024BB">
      <w:pPr>
        <w:rPr>
          <w:rFonts w:ascii="Arial" w:eastAsia="Calibri" w:hAnsi="Arial" w:cs="Arial"/>
          <w:color w:val="000000"/>
          <w:sz w:val="24"/>
          <w:szCs w:val="24"/>
          <w:lang w:eastAsia="en-ZA"/>
        </w:rPr>
      </w:pPr>
    </w:p>
    <w:p w:rsidR="006E520A" w:rsidRDefault="008F3545" w:rsidP="008024BB">
      <w:pPr>
        <w:rPr>
          <w:rFonts w:ascii="Arial" w:eastAsia="Calibri" w:hAnsi="Arial" w:cs="Arial"/>
          <w:color w:val="000000"/>
          <w:sz w:val="24"/>
          <w:szCs w:val="24"/>
          <w:lang w:eastAsia="en-ZA"/>
        </w:rPr>
      </w:pPr>
      <w:r>
        <w:rPr>
          <w:rFonts w:ascii="Arial" w:eastAsia="Calibri" w:hAnsi="Arial" w:cs="Arial"/>
          <w:color w:val="000000"/>
          <w:sz w:val="24"/>
          <w:szCs w:val="24"/>
          <w:lang w:eastAsia="en-ZA"/>
        </w:rPr>
        <w:t xml:space="preserve">Yes, </w:t>
      </w:r>
      <w:r w:rsidR="006E520A">
        <w:rPr>
          <w:rFonts w:ascii="Arial" w:eastAsia="Calibri" w:hAnsi="Arial" w:cs="Arial"/>
          <w:color w:val="000000"/>
          <w:sz w:val="24"/>
          <w:szCs w:val="24"/>
          <w:lang w:eastAsia="en-ZA"/>
        </w:rPr>
        <w:t xml:space="preserve">SITA </w:t>
      </w:r>
      <w:r>
        <w:rPr>
          <w:rFonts w:ascii="Arial" w:eastAsia="Calibri" w:hAnsi="Arial" w:cs="Arial"/>
          <w:color w:val="000000"/>
          <w:sz w:val="24"/>
          <w:szCs w:val="24"/>
          <w:lang w:eastAsia="en-ZA"/>
        </w:rPr>
        <w:t>was the subject of an investigation by the SIU.</w:t>
      </w:r>
      <w:r w:rsidR="008024BB">
        <w:rPr>
          <w:rFonts w:ascii="Arial" w:eastAsia="Calibri" w:hAnsi="Arial" w:cs="Arial"/>
          <w:color w:val="000000"/>
          <w:sz w:val="24"/>
          <w:szCs w:val="24"/>
          <w:lang w:eastAsia="en-ZA"/>
        </w:rPr>
        <w:t xml:space="preserve"> </w:t>
      </w:r>
    </w:p>
    <w:p w:rsidR="002758CD" w:rsidRDefault="002758CD" w:rsidP="008024BB">
      <w:pPr>
        <w:rPr>
          <w:rFonts w:ascii="Arial" w:eastAsia="Calibri" w:hAnsi="Arial" w:cs="Arial"/>
          <w:color w:val="000000"/>
          <w:sz w:val="24"/>
          <w:szCs w:val="24"/>
          <w:lang w:eastAsia="en-ZA"/>
        </w:rPr>
      </w:pPr>
    </w:p>
    <w:p w:rsidR="002758CD" w:rsidRDefault="002758CD" w:rsidP="008024BB">
      <w:pPr>
        <w:rPr>
          <w:rFonts w:ascii="Arial" w:eastAsia="Calibri" w:hAnsi="Arial" w:cs="Arial"/>
          <w:color w:val="000000"/>
          <w:sz w:val="24"/>
          <w:szCs w:val="24"/>
          <w:lang w:eastAsia="en-ZA"/>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074"/>
        <w:gridCol w:w="1996"/>
        <w:gridCol w:w="2158"/>
        <w:gridCol w:w="2112"/>
      </w:tblGrid>
      <w:tr w:rsidR="006E520A" w:rsidRPr="00DC3101" w:rsidTr="00792B7A">
        <w:trPr>
          <w:tblHeader/>
        </w:trPr>
        <w:tc>
          <w:tcPr>
            <w:tcW w:w="4366" w:type="dxa"/>
            <w:gridSpan w:val="2"/>
            <w:shd w:val="clear" w:color="auto" w:fill="auto"/>
          </w:tcPr>
          <w:p w:rsidR="006E520A" w:rsidRPr="008024BB" w:rsidRDefault="006E520A" w:rsidP="002758CD">
            <w:pPr>
              <w:numPr>
                <w:ilvl w:val="0"/>
                <w:numId w:val="9"/>
              </w:numPr>
              <w:jc w:val="both"/>
              <w:rPr>
                <w:rFonts w:ascii="Arial" w:hAnsi="Arial" w:cs="Arial"/>
                <w:b/>
                <w:color w:val="000000"/>
                <w:sz w:val="22"/>
                <w:szCs w:val="22"/>
                <w:lang w:val="en-US" w:eastAsia="en-ZA"/>
              </w:rPr>
            </w:pPr>
            <w:r w:rsidRPr="008024BB">
              <w:rPr>
                <w:rFonts w:ascii="Arial" w:hAnsi="Arial" w:cs="Arial"/>
                <w:b/>
                <w:color w:val="000000"/>
                <w:sz w:val="22"/>
                <w:szCs w:val="22"/>
                <w:lang w:val="en-US" w:eastAsia="en-ZA"/>
              </w:rPr>
              <w:t>(a) (</w:t>
            </w:r>
            <w:proofErr w:type="spellStart"/>
            <w:r w:rsidRPr="008024BB">
              <w:rPr>
                <w:rFonts w:ascii="Arial" w:hAnsi="Arial" w:cs="Arial"/>
                <w:b/>
                <w:color w:val="000000"/>
                <w:sz w:val="22"/>
                <w:szCs w:val="22"/>
                <w:lang w:val="en-US" w:eastAsia="en-ZA"/>
              </w:rPr>
              <w:t>i</w:t>
            </w:r>
            <w:proofErr w:type="spellEnd"/>
            <w:r w:rsidRPr="008024BB">
              <w:rPr>
                <w:rFonts w:ascii="Arial" w:hAnsi="Arial" w:cs="Arial"/>
                <w:b/>
                <w:color w:val="000000"/>
                <w:sz w:val="22"/>
                <w:szCs w:val="22"/>
                <w:lang w:val="en-US" w:eastAsia="en-ZA"/>
              </w:rPr>
              <w:t>) Subject</w:t>
            </w:r>
          </w:p>
        </w:tc>
        <w:tc>
          <w:tcPr>
            <w:tcW w:w="1996" w:type="dxa"/>
            <w:shd w:val="clear" w:color="auto" w:fill="auto"/>
          </w:tcPr>
          <w:p w:rsidR="006E520A" w:rsidRPr="008024BB" w:rsidRDefault="006E520A" w:rsidP="002758CD">
            <w:pPr>
              <w:jc w:val="both"/>
              <w:rPr>
                <w:rFonts w:ascii="Arial" w:hAnsi="Arial" w:cs="Arial"/>
                <w:b/>
                <w:color w:val="000000"/>
                <w:sz w:val="22"/>
                <w:szCs w:val="22"/>
                <w:lang w:val="en-US" w:eastAsia="en-ZA"/>
              </w:rPr>
            </w:pPr>
            <w:r w:rsidRPr="008024BB">
              <w:rPr>
                <w:rFonts w:ascii="Arial" w:hAnsi="Arial" w:cs="Arial"/>
                <w:b/>
                <w:color w:val="000000"/>
                <w:sz w:val="22"/>
                <w:szCs w:val="22"/>
                <w:lang w:val="en-US" w:eastAsia="en-ZA"/>
              </w:rPr>
              <w:t>1 (a) (ii) Nature of each Investigation</w:t>
            </w:r>
          </w:p>
        </w:tc>
        <w:tc>
          <w:tcPr>
            <w:tcW w:w="2158" w:type="dxa"/>
            <w:shd w:val="clear" w:color="auto" w:fill="auto"/>
          </w:tcPr>
          <w:p w:rsidR="006E520A" w:rsidRPr="008024BB" w:rsidRDefault="006E520A" w:rsidP="002758CD">
            <w:pPr>
              <w:jc w:val="both"/>
              <w:rPr>
                <w:rFonts w:ascii="Arial" w:hAnsi="Arial" w:cs="Arial"/>
                <w:b/>
                <w:color w:val="000000"/>
                <w:sz w:val="22"/>
                <w:szCs w:val="22"/>
                <w:lang w:val="en-US" w:eastAsia="en-ZA"/>
              </w:rPr>
            </w:pPr>
            <w:r w:rsidRPr="008024BB">
              <w:rPr>
                <w:rFonts w:ascii="Arial" w:hAnsi="Arial" w:cs="Arial"/>
                <w:b/>
                <w:color w:val="000000"/>
                <w:sz w:val="22"/>
                <w:szCs w:val="22"/>
                <w:lang w:val="en-US" w:eastAsia="en-ZA"/>
              </w:rPr>
              <w:t>1 (b) Any further relevant details?</w:t>
            </w:r>
          </w:p>
        </w:tc>
        <w:tc>
          <w:tcPr>
            <w:tcW w:w="2112" w:type="dxa"/>
            <w:shd w:val="clear" w:color="auto" w:fill="auto"/>
          </w:tcPr>
          <w:p w:rsidR="006E520A" w:rsidRPr="008024BB" w:rsidRDefault="006E520A" w:rsidP="002758CD">
            <w:pPr>
              <w:numPr>
                <w:ilvl w:val="0"/>
                <w:numId w:val="9"/>
              </w:numPr>
              <w:tabs>
                <w:tab w:val="left" w:pos="313"/>
              </w:tabs>
              <w:ind w:left="-19" w:firstLine="48"/>
              <w:jc w:val="both"/>
              <w:rPr>
                <w:rFonts w:ascii="Arial" w:hAnsi="Arial" w:cs="Arial"/>
                <w:b/>
                <w:color w:val="000000"/>
                <w:sz w:val="22"/>
                <w:szCs w:val="22"/>
                <w:lang w:val="en-US" w:eastAsia="en-ZA"/>
              </w:rPr>
            </w:pPr>
            <w:r w:rsidRPr="008024BB">
              <w:rPr>
                <w:rFonts w:ascii="Arial" w:hAnsi="Arial" w:cs="Arial"/>
                <w:b/>
                <w:color w:val="000000"/>
                <w:sz w:val="22"/>
                <w:szCs w:val="22"/>
                <w:lang w:val="en-US" w:eastAsia="en-ZA"/>
              </w:rPr>
              <w:t>Status of each Investigation</w:t>
            </w:r>
          </w:p>
        </w:tc>
      </w:tr>
      <w:tr w:rsidR="006E520A" w:rsidRPr="00DC3101" w:rsidTr="002758CD">
        <w:tc>
          <w:tcPr>
            <w:tcW w:w="2292" w:type="dxa"/>
            <w:shd w:val="clear" w:color="auto" w:fill="auto"/>
          </w:tcPr>
          <w:p w:rsidR="006E520A" w:rsidRPr="008024BB" w:rsidRDefault="00B46A8F" w:rsidP="0002185E">
            <w:pPr>
              <w:rPr>
                <w:rFonts w:ascii="Arial" w:hAnsi="Arial" w:cs="Arial"/>
                <w:sz w:val="22"/>
                <w:szCs w:val="22"/>
              </w:rPr>
            </w:pPr>
            <w:r w:rsidRPr="008024BB">
              <w:rPr>
                <w:rFonts w:ascii="Arial" w:hAnsi="Arial" w:cs="Arial"/>
                <w:sz w:val="22"/>
                <w:szCs w:val="22"/>
              </w:rPr>
              <w:t xml:space="preserve"> </w:t>
            </w:r>
            <w:r w:rsidR="006E520A" w:rsidRPr="008024BB">
              <w:rPr>
                <w:rFonts w:ascii="Arial" w:hAnsi="Arial" w:cs="Arial"/>
                <w:sz w:val="22"/>
                <w:szCs w:val="22"/>
              </w:rPr>
              <w:t>Proclamation No. R. 53, 2014</w:t>
            </w:r>
          </w:p>
        </w:tc>
        <w:tc>
          <w:tcPr>
            <w:tcW w:w="2074"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 xml:space="preserve">Investigate payments which were made by SITA (SOC) Ltd to IBM SA (PTY) Ltd, in terms of an agreement dated 30 April 2013, concluded between IBM SA (PTY) Ltd and SITA, for the period 08 September 2012 </w:t>
            </w:r>
            <w:r w:rsidRPr="008024BB">
              <w:rPr>
                <w:rFonts w:ascii="Arial" w:hAnsi="Arial" w:cs="Arial"/>
                <w:sz w:val="22"/>
                <w:szCs w:val="22"/>
              </w:rPr>
              <w:lastRenderedPageBreak/>
              <w:t>and 01 August 2014.</w:t>
            </w:r>
          </w:p>
        </w:tc>
        <w:tc>
          <w:tcPr>
            <w:tcW w:w="1996"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lastRenderedPageBreak/>
              <w:t>Alleged tender irregularities and non-compliance with PFMA as well as supply chain management prescripts</w:t>
            </w:r>
          </w:p>
        </w:tc>
        <w:tc>
          <w:tcPr>
            <w:tcW w:w="2158"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None</w:t>
            </w:r>
          </w:p>
        </w:tc>
        <w:tc>
          <w:tcPr>
            <w:tcW w:w="2112"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Pending Investigation</w:t>
            </w:r>
          </w:p>
        </w:tc>
      </w:tr>
      <w:tr w:rsidR="006E520A" w:rsidRPr="00DC3101" w:rsidTr="002758CD">
        <w:tc>
          <w:tcPr>
            <w:tcW w:w="2292"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Proclamation No. R. 15, 2015 (Amendment)</w:t>
            </w:r>
          </w:p>
        </w:tc>
        <w:tc>
          <w:tcPr>
            <w:tcW w:w="2074"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 xml:space="preserve">Investigate contracts concluded with IBM SA (PTY) Ltd / SITA (SOC) Ltd, </w:t>
            </w:r>
            <w:proofErr w:type="spellStart"/>
            <w:r w:rsidRPr="008024BB">
              <w:rPr>
                <w:rFonts w:ascii="Arial" w:hAnsi="Arial" w:cs="Arial"/>
                <w:sz w:val="22"/>
                <w:szCs w:val="22"/>
              </w:rPr>
              <w:t>iFirm</w:t>
            </w:r>
            <w:proofErr w:type="spellEnd"/>
            <w:r w:rsidRPr="008024BB">
              <w:rPr>
                <w:rFonts w:ascii="Arial" w:hAnsi="Arial" w:cs="Arial"/>
                <w:sz w:val="22"/>
                <w:szCs w:val="22"/>
              </w:rPr>
              <w:t xml:space="preserve"> Consulting (PTY) Limited/SITA (SOCT) Ltd for the procurement of goods or services for itself or for and on behalf of State Institution; and payments made to such institutions for the period 03 August 2012 to 17 March 2015.</w:t>
            </w:r>
          </w:p>
        </w:tc>
        <w:tc>
          <w:tcPr>
            <w:tcW w:w="1996"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Alleged corruption, tender irregularities and non-compliance with PFMA as well as supply chain management prescripts</w:t>
            </w:r>
          </w:p>
        </w:tc>
        <w:tc>
          <w:tcPr>
            <w:tcW w:w="2158"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None</w:t>
            </w:r>
          </w:p>
        </w:tc>
        <w:tc>
          <w:tcPr>
            <w:tcW w:w="2112"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 xml:space="preserve">SITA went to court against </w:t>
            </w:r>
            <w:proofErr w:type="spellStart"/>
            <w:r w:rsidRPr="008024BB">
              <w:rPr>
                <w:rFonts w:ascii="Arial" w:hAnsi="Arial" w:cs="Arial"/>
                <w:sz w:val="22"/>
                <w:szCs w:val="22"/>
              </w:rPr>
              <w:t>iFirm</w:t>
            </w:r>
            <w:proofErr w:type="spellEnd"/>
            <w:r w:rsidRPr="008024BB">
              <w:rPr>
                <w:rFonts w:ascii="Arial" w:hAnsi="Arial" w:cs="Arial"/>
                <w:sz w:val="22"/>
                <w:szCs w:val="22"/>
              </w:rPr>
              <w:t xml:space="preserve"> Consulting (PTY) Limited based on the report received from SIU. SITA successfully, set aside the agreement.</w:t>
            </w:r>
          </w:p>
        </w:tc>
      </w:tr>
      <w:tr w:rsidR="006E520A" w:rsidRPr="00DC3101" w:rsidTr="002758CD">
        <w:tc>
          <w:tcPr>
            <w:tcW w:w="2292"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Proclamation No. R32, 2017</w:t>
            </w:r>
          </w:p>
        </w:tc>
        <w:tc>
          <w:tcPr>
            <w:tcW w:w="2074"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Amendment to Proclamation No. R.7 of 2014, amended by Proclamation No. R.599 of 10 July 2015 extending the period of the Proclamation to the date of publication this Proclamation, to 06 October 2017.</w:t>
            </w:r>
          </w:p>
          <w:p w:rsidR="006E520A" w:rsidRDefault="006E520A" w:rsidP="0002185E">
            <w:pPr>
              <w:rPr>
                <w:rFonts w:ascii="Arial" w:hAnsi="Arial" w:cs="Arial"/>
                <w:sz w:val="22"/>
                <w:szCs w:val="22"/>
              </w:rPr>
            </w:pPr>
            <w:r w:rsidRPr="008024BB">
              <w:rPr>
                <w:rFonts w:ascii="Arial" w:hAnsi="Arial" w:cs="Arial"/>
                <w:sz w:val="22"/>
                <w:szCs w:val="22"/>
              </w:rPr>
              <w:t>Substituting paragraph 2 of the Schedule of the Proclamation.</w:t>
            </w:r>
          </w:p>
          <w:p w:rsidR="008024BB" w:rsidRPr="008024BB" w:rsidRDefault="008024BB" w:rsidP="0002185E">
            <w:pPr>
              <w:rPr>
                <w:rFonts w:ascii="Arial" w:hAnsi="Arial" w:cs="Arial"/>
                <w:sz w:val="22"/>
                <w:szCs w:val="22"/>
              </w:rPr>
            </w:pPr>
          </w:p>
        </w:tc>
        <w:tc>
          <w:tcPr>
            <w:tcW w:w="1996"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Proclamation No. R. 7, 2014 as amended. Alleged tender irregularities and non-compliance with PFMA as well as supply chain management prescripts</w:t>
            </w:r>
          </w:p>
        </w:tc>
        <w:tc>
          <w:tcPr>
            <w:tcW w:w="2158"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None</w:t>
            </w:r>
          </w:p>
        </w:tc>
        <w:tc>
          <w:tcPr>
            <w:tcW w:w="2112"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 xml:space="preserve">Pending Investigation </w:t>
            </w:r>
          </w:p>
        </w:tc>
      </w:tr>
      <w:tr w:rsidR="006E520A" w:rsidRPr="00DC3101" w:rsidTr="002758CD">
        <w:tc>
          <w:tcPr>
            <w:tcW w:w="2292"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Proclamation No. R. 599, 2015 (Amendment)</w:t>
            </w:r>
          </w:p>
        </w:tc>
        <w:tc>
          <w:tcPr>
            <w:tcW w:w="2074"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Amendment to Proclamation No. R.7 of 2014 extending the period of the Proclamation to 10 July 2015.</w:t>
            </w:r>
          </w:p>
          <w:p w:rsidR="006E520A" w:rsidRPr="008024BB" w:rsidRDefault="006E520A" w:rsidP="0002185E">
            <w:pPr>
              <w:rPr>
                <w:rFonts w:ascii="Arial" w:hAnsi="Arial" w:cs="Arial"/>
                <w:sz w:val="22"/>
                <w:szCs w:val="22"/>
              </w:rPr>
            </w:pPr>
            <w:r w:rsidRPr="008024BB">
              <w:rPr>
                <w:rFonts w:ascii="Arial" w:hAnsi="Arial" w:cs="Arial"/>
                <w:sz w:val="22"/>
                <w:szCs w:val="22"/>
              </w:rPr>
              <w:t xml:space="preserve">Substituting paragraph 2 of the </w:t>
            </w:r>
            <w:r w:rsidRPr="008024BB">
              <w:rPr>
                <w:rFonts w:ascii="Arial" w:hAnsi="Arial" w:cs="Arial"/>
                <w:sz w:val="22"/>
                <w:szCs w:val="22"/>
              </w:rPr>
              <w:lastRenderedPageBreak/>
              <w:t>Schedule to the Proclamation.</w:t>
            </w:r>
          </w:p>
        </w:tc>
        <w:tc>
          <w:tcPr>
            <w:tcW w:w="1996"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lastRenderedPageBreak/>
              <w:t xml:space="preserve">Proclamation No. R. 7, 2014 and R32 of 2017 as amended. Alleged tender irregularities and non-compliance with PFMA as well as supply chain </w:t>
            </w:r>
            <w:r w:rsidRPr="008024BB">
              <w:rPr>
                <w:rFonts w:ascii="Arial" w:hAnsi="Arial" w:cs="Arial"/>
                <w:sz w:val="22"/>
                <w:szCs w:val="22"/>
              </w:rPr>
              <w:lastRenderedPageBreak/>
              <w:t>management prescripts</w:t>
            </w:r>
          </w:p>
        </w:tc>
        <w:tc>
          <w:tcPr>
            <w:tcW w:w="2158"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lastRenderedPageBreak/>
              <w:t>None</w:t>
            </w:r>
          </w:p>
        </w:tc>
        <w:tc>
          <w:tcPr>
            <w:tcW w:w="2112" w:type="dxa"/>
            <w:shd w:val="clear" w:color="auto" w:fill="auto"/>
          </w:tcPr>
          <w:p w:rsidR="006E520A" w:rsidRPr="008024BB" w:rsidRDefault="006E520A" w:rsidP="0002185E">
            <w:pPr>
              <w:rPr>
                <w:rFonts w:ascii="Arial" w:hAnsi="Arial" w:cs="Arial"/>
                <w:sz w:val="22"/>
                <w:szCs w:val="22"/>
              </w:rPr>
            </w:pPr>
            <w:r w:rsidRPr="008024BB">
              <w:rPr>
                <w:rFonts w:ascii="Arial" w:hAnsi="Arial" w:cs="Arial"/>
                <w:sz w:val="22"/>
                <w:szCs w:val="22"/>
              </w:rPr>
              <w:t xml:space="preserve">Pending Investigation </w:t>
            </w:r>
          </w:p>
        </w:tc>
      </w:tr>
    </w:tbl>
    <w:p w:rsidR="008024BB" w:rsidRDefault="008024BB" w:rsidP="008024BB">
      <w:pPr>
        <w:spacing w:line="360" w:lineRule="auto"/>
        <w:ind w:left="90"/>
        <w:jc w:val="right"/>
        <w:rPr>
          <w:rFonts w:ascii="Arial" w:eastAsia="Calibri" w:hAnsi="Arial" w:cs="Arial"/>
          <w:color w:val="000000"/>
          <w:sz w:val="24"/>
          <w:szCs w:val="24"/>
          <w:lang w:eastAsia="en-ZA"/>
        </w:rPr>
      </w:pPr>
    </w:p>
    <w:p w:rsidR="002B4195" w:rsidRDefault="002B4195" w:rsidP="002B4195">
      <w:pPr>
        <w:spacing w:line="360" w:lineRule="auto"/>
        <w:ind w:left="450"/>
        <w:jc w:val="both"/>
        <w:rPr>
          <w:rFonts w:ascii="Arial" w:eastAsia="Calibri" w:hAnsi="Arial" w:cs="Arial"/>
          <w:color w:val="000000"/>
          <w:sz w:val="24"/>
          <w:szCs w:val="24"/>
          <w:lang w:eastAsia="en-ZA"/>
        </w:rPr>
      </w:pPr>
    </w:p>
    <w:p w:rsidR="00792B7A" w:rsidRPr="00331394" w:rsidRDefault="00792B7A" w:rsidP="002B4195">
      <w:pPr>
        <w:spacing w:line="360" w:lineRule="auto"/>
        <w:ind w:left="450"/>
        <w:jc w:val="both"/>
        <w:rPr>
          <w:rFonts w:ascii="Arial" w:eastAsia="Calibri" w:hAnsi="Arial" w:cs="Arial"/>
          <w:color w:val="000000"/>
          <w:sz w:val="24"/>
          <w:szCs w:val="24"/>
          <w:lang w:eastAsia="en-ZA"/>
        </w:rPr>
      </w:pPr>
    </w:p>
    <w:p w:rsidR="008E5265" w:rsidRDefault="00792B7A" w:rsidP="008E5265">
      <w:pPr>
        <w:tabs>
          <w:tab w:val="left" w:pos="180"/>
        </w:tabs>
        <w:rPr>
          <w:rFonts w:ascii="Arial" w:hAnsi="Arial" w:cs="Arial"/>
          <w:b/>
          <w:sz w:val="24"/>
          <w:szCs w:val="24"/>
        </w:rPr>
      </w:pPr>
      <w:r>
        <w:rPr>
          <w:rFonts w:ascii="Arial" w:hAnsi="Arial" w:cs="Arial"/>
          <w:b/>
          <w:sz w:val="24"/>
          <w:szCs w:val="24"/>
        </w:rPr>
        <w:t>MS STELLA NDABENI-ABRAHAMS</w:t>
      </w:r>
    </w:p>
    <w:p w:rsidR="00792B7A" w:rsidRPr="00331394" w:rsidRDefault="00792B7A" w:rsidP="008E5265">
      <w:pPr>
        <w:tabs>
          <w:tab w:val="left" w:pos="180"/>
        </w:tabs>
        <w:rPr>
          <w:rFonts w:ascii="Arial" w:hAnsi="Arial" w:cs="Arial"/>
          <w:b/>
          <w:sz w:val="24"/>
          <w:szCs w:val="24"/>
        </w:rPr>
      </w:pPr>
      <w:r>
        <w:rPr>
          <w:rFonts w:ascii="Arial" w:hAnsi="Arial" w:cs="Arial"/>
          <w:b/>
          <w:sz w:val="24"/>
          <w:szCs w:val="24"/>
        </w:rPr>
        <w:t>MINISTER</w:t>
      </w:r>
    </w:p>
    <w:p w:rsidR="008E5265" w:rsidRPr="008E5265" w:rsidRDefault="008E5265" w:rsidP="008E5265">
      <w:pPr>
        <w:tabs>
          <w:tab w:val="left" w:pos="180"/>
        </w:tabs>
        <w:rPr>
          <w:rFonts w:ascii="Arial" w:hAnsi="Arial" w:cs="Arial"/>
          <w:b/>
          <w:sz w:val="24"/>
          <w:szCs w:val="24"/>
        </w:rPr>
      </w:pPr>
    </w:p>
    <w:sectPr w:rsidR="008E5265" w:rsidRPr="008E5265" w:rsidSect="006E520A">
      <w:headerReference w:type="even" r:id="rId7"/>
      <w:headerReference w:type="default" r:id="rId8"/>
      <w:footerReference w:type="default" r:id="rId9"/>
      <w:pgSz w:w="12240" w:h="15840"/>
      <w:pgMar w:top="1418" w:right="136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B3E" w:rsidRDefault="00B26B3E">
      <w:r>
        <w:separator/>
      </w:r>
    </w:p>
  </w:endnote>
  <w:endnote w:type="continuationSeparator" w:id="0">
    <w:p w:rsidR="00B26B3E" w:rsidRDefault="00B2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20B" w:rsidRDefault="0095520B">
    <w:pPr>
      <w:pStyle w:val="Footer"/>
      <w:jc w:val="right"/>
    </w:pPr>
    <w:r>
      <w:fldChar w:fldCharType="begin"/>
    </w:r>
    <w:r>
      <w:instrText xml:space="preserve"> PAGE   \* MERGEFORMAT </w:instrText>
    </w:r>
    <w:r>
      <w:fldChar w:fldCharType="separate"/>
    </w:r>
    <w:r w:rsidR="003728BE">
      <w:rPr>
        <w:noProof/>
      </w:rPr>
      <w:t>2</w:t>
    </w:r>
    <w:r>
      <w:rPr>
        <w:noProof/>
      </w:rPr>
      <w:fldChar w:fldCharType="end"/>
    </w:r>
  </w:p>
  <w:p w:rsidR="0095520B" w:rsidRDefault="00955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B3E" w:rsidRDefault="00B26B3E">
      <w:r>
        <w:separator/>
      </w:r>
    </w:p>
  </w:footnote>
  <w:footnote w:type="continuationSeparator" w:id="0">
    <w:p w:rsidR="00B26B3E" w:rsidRDefault="00B2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8BD58F6"/>
    <w:multiLevelType w:val="hybridMultilevel"/>
    <w:tmpl w:val="A2C6136C"/>
    <w:lvl w:ilvl="0" w:tplc="781438CE">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123D71C1"/>
    <w:multiLevelType w:val="hybridMultilevel"/>
    <w:tmpl w:val="BD6A099E"/>
    <w:lvl w:ilvl="0" w:tplc="A92231B8">
      <w:start w:val="1"/>
      <w:numFmt w:val="decimal"/>
      <w:lvlText w:val="%1."/>
      <w:lvlJc w:val="left"/>
      <w:pPr>
        <w:ind w:left="720" w:hanging="360"/>
      </w:pPr>
      <w:rPr>
        <w:rFonts w:eastAsia="Calibri Light"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403915AE"/>
    <w:multiLevelType w:val="hybridMultilevel"/>
    <w:tmpl w:val="E51A9138"/>
    <w:lvl w:ilvl="0" w:tplc="8AD2424C">
      <w:start w:val="1"/>
      <w:numFmt w:val="lowerRoman"/>
      <w:lvlText w:val="(%1)"/>
      <w:lvlJc w:val="left"/>
      <w:pPr>
        <w:ind w:left="1170" w:hanging="72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6" w15:restartNumberingAfterBreak="0">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7" w15:restartNumberingAfterBreak="0">
    <w:nsid w:val="4DCE23F2"/>
    <w:multiLevelType w:val="hybridMultilevel"/>
    <w:tmpl w:val="9F6CA1A8"/>
    <w:lvl w:ilvl="0" w:tplc="BC2EB26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662E3E29"/>
    <w:multiLevelType w:val="hybridMultilevel"/>
    <w:tmpl w:val="480EBD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8560700"/>
    <w:multiLevelType w:val="hybridMultilevel"/>
    <w:tmpl w:val="53D201A4"/>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0"/>
  </w:num>
  <w:num w:numId="5">
    <w:abstractNumId w:val="3"/>
  </w:num>
  <w:num w:numId="6">
    <w:abstractNumId w:val="2"/>
  </w:num>
  <w:num w:numId="7">
    <w:abstractNumId w:val="1"/>
  </w:num>
  <w:num w:numId="8">
    <w:abstractNumId w:val="5"/>
  </w:num>
  <w:num w:numId="9">
    <w:abstractNumId w:val="7"/>
  </w:num>
  <w:num w:numId="10">
    <w:abstractNumId w:val="9"/>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F9"/>
    <w:rsid w:val="000004AF"/>
    <w:rsid w:val="00000E16"/>
    <w:rsid w:val="000045F3"/>
    <w:rsid w:val="00006ABF"/>
    <w:rsid w:val="0001278B"/>
    <w:rsid w:val="000138FC"/>
    <w:rsid w:val="000153BE"/>
    <w:rsid w:val="00017D09"/>
    <w:rsid w:val="0002185E"/>
    <w:rsid w:val="00024E08"/>
    <w:rsid w:val="00026E8B"/>
    <w:rsid w:val="00030282"/>
    <w:rsid w:val="0003317A"/>
    <w:rsid w:val="00034C94"/>
    <w:rsid w:val="000442E9"/>
    <w:rsid w:val="00045960"/>
    <w:rsid w:val="000464EA"/>
    <w:rsid w:val="00052A2F"/>
    <w:rsid w:val="00053577"/>
    <w:rsid w:val="00055870"/>
    <w:rsid w:val="00061B0B"/>
    <w:rsid w:val="00065548"/>
    <w:rsid w:val="00083307"/>
    <w:rsid w:val="000874FB"/>
    <w:rsid w:val="000940BB"/>
    <w:rsid w:val="000974E2"/>
    <w:rsid w:val="000A0DB6"/>
    <w:rsid w:val="000A5830"/>
    <w:rsid w:val="000A74E4"/>
    <w:rsid w:val="000B355D"/>
    <w:rsid w:val="000B4EEE"/>
    <w:rsid w:val="000C2BD8"/>
    <w:rsid w:val="000C7E3D"/>
    <w:rsid w:val="000D0684"/>
    <w:rsid w:val="000D2DC7"/>
    <w:rsid w:val="000D3FB5"/>
    <w:rsid w:val="000D4062"/>
    <w:rsid w:val="000D55B6"/>
    <w:rsid w:val="000D788E"/>
    <w:rsid w:val="000E0154"/>
    <w:rsid w:val="000E0870"/>
    <w:rsid w:val="000E4A33"/>
    <w:rsid w:val="000E670D"/>
    <w:rsid w:val="000E695A"/>
    <w:rsid w:val="000E7470"/>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07A"/>
    <w:rsid w:val="00202885"/>
    <w:rsid w:val="002055F9"/>
    <w:rsid w:val="0020747B"/>
    <w:rsid w:val="00207C1A"/>
    <w:rsid w:val="00211547"/>
    <w:rsid w:val="00214E46"/>
    <w:rsid w:val="00221695"/>
    <w:rsid w:val="00237BF7"/>
    <w:rsid w:val="00245701"/>
    <w:rsid w:val="00254101"/>
    <w:rsid w:val="002565B8"/>
    <w:rsid w:val="00272F92"/>
    <w:rsid w:val="002758CD"/>
    <w:rsid w:val="00276E53"/>
    <w:rsid w:val="00280060"/>
    <w:rsid w:val="00282105"/>
    <w:rsid w:val="0028482E"/>
    <w:rsid w:val="00292C2C"/>
    <w:rsid w:val="002967B4"/>
    <w:rsid w:val="002A2954"/>
    <w:rsid w:val="002A337C"/>
    <w:rsid w:val="002A4115"/>
    <w:rsid w:val="002A5C5E"/>
    <w:rsid w:val="002A6B1B"/>
    <w:rsid w:val="002B4195"/>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28BE"/>
    <w:rsid w:val="003730D8"/>
    <w:rsid w:val="00374F10"/>
    <w:rsid w:val="003817B6"/>
    <w:rsid w:val="00383B4A"/>
    <w:rsid w:val="00391C7A"/>
    <w:rsid w:val="003A55B1"/>
    <w:rsid w:val="003A77F7"/>
    <w:rsid w:val="003A7A96"/>
    <w:rsid w:val="003B0856"/>
    <w:rsid w:val="003B254A"/>
    <w:rsid w:val="003C39DF"/>
    <w:rsid w:val="003C3A4F"/>
    <w:rsid w:val="003C42A9"/>
    <w:rsid w:val="003C69B9"/>
    <w:rsid w:val="003D6944"/>
    <w:rsid w:val="003E0412"/>
    <w:rsid w:val="003E16BF"/>
    <w:rsid w:val="00402865"/>
    <w:rsid w:val="00405C17"/>
    <w:rsid w:val="004063D9"/>
    <w:rsid w:val="0041438D"/>
    <w:rsid w:val="004143ED"/>
    <w:rsid w:val="00423429"/>
    <w:rsid w:val="00437B82"/>
    <w:rsid w:val="004402BD"/>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A2E"/>
    <w:rsid w:val="004E3FF2"/>
    <w:rsid w:val="004E65E3"/>
    <w:rsid w:val="00500640"/>
    <w:rsid w:val="0051065A"/>
    <w:rsid w:val="00516A5E"/>
    <w:rsid w:val="00520940"/>
    <w:rsid w:val="00527792"/>
    <w:rsid w:val="00533571"/>
    <w:rsid w:val="00540F2C"/>
    <w:rsid w:val="00542BB1"/>
    <w:rsid w:val="00547EE0"/>
    <w:rsid w:val="00556B36"/>
    <w:rsid w:val="005613B5"/>
    <w:rsid w:val="00565B99"/>
    <w:rsid w:val="00565D1A"/>
    <w:rsid w:val="00567584"/>
    <w:rsid w:val="00567C28"/>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D65CF"/>
    <w:rsid w:val="005E38EA"/>
    <w:rsid w:val="005E4B32"/>
    <w:rsid w:val="005F1B60"/>
    <w:rsid w:val="005F53FF"/>
    <w:rsid w:val="005F5B4B"/>
    <w:rsid w:val="005F63C2"/>
    <w:rsid w:val="005F7C6E"/>
    <w:rsid w:val="00602E28"/>
    <w:rsid w:val="00605443"/>
    <w:rsid w:val="0061081D"/>
    <w:rsid w:val="006110EA"/>
    <w:rsid w:val="00611EBD"/>
    <w:rsid w:val="00617091"/>
    <w:rsid w:val="0062270E"/>
    <w:rsid w:val="006259C7"/>
    <w:rsid w:val="00637E4F"/>
    <w:rsid w:val="00644D08"/>
    <w:rsid w:val="00645988"/>
    <w:rsid w:val="00650667"/>
    <w:rsid w:val="00662F7C"/>
    <w:rsid w:val="0066619F"/>
    <w:rsid w:val="00667DA9"/>
    <w:rsid w:val="0067179D"/>
    <w:rsid w:val="006830A0"/>
    <w:rsid w:val="006A0B01"/>
    <w:rsid w:val="006A4958"/>
    <w:rsid w:val="006A4D0B"/>
    <w:rsid w:val="006A6BC9"/>
    <w:rsid w:val="006B02A5"/>
    <w:rsid w:val="006B383B"/>
    <w:rsid w:val="006B5520"/>
    <w:rsid w:val="006C090A"/>
    <w:rsid w:val="006C25E7"/>
    <w:rsid w:val="006C595F"/>
    <w:rsid w:val="006D28DB"/>
    <w:rsid w:val="006D6C78"/>
    <w:rsid w:val="006D6DC1"/>
    <w:rsid w:val="006E520A"/>
    <w:rsid w:val="006E7144"/>
    <w:rsid w:val="006F243A"/>
    <w:rsid w:val="006F65F8"/>
    <w:rsid w:val="00701519"/>
    <w:rsid w:val="00714768"/>
    <w:rsid w:val="0071742C"/>
    <w:rsid w:val="00725F73"/>
    <w:rsid w:val="007305C8"/>
    <w:rsid w:val="00731189"/>
    <w:rsid w:val="007401A4"/>
    <w:rsid w:val="007411B5"/>
    <w:rsid w:val="007443CA"/>
    <w:rsid w:val="00744929"/>
    <w:rsid w:val="00744B3F"/>
    <w:rsid w:val="00746444"/>
    <w:rsid w:val="00751BC1"/>
    <w:rsid w:val="007528C1"/>
    <w:rsid w:val="00757910"/>
    <w:rsid w:val="00760307"/>
    <w:rsid w:val="00763191"/>
    <w:rsid w:val="0076504C"/>
    <w:rsid w:val="00765CA7"/>
    <w:rsid w:val="00775C7F"/>
    <w:rsid w:val="00775E5B"/>
    <w:rsid w:val="00781603"/>
    <w:rsid w:val="00782779"/>
    <w:rsid w:val="00792B7A"/>
    <w:rsid w:val="00792C5E"/>
    <w:rsid w:val="0079391F"/>
    <w:rsid w:val="00794384"/>
    <w:rsid w:val="00794388"/>
    <w:rsid w:val="007947A7"/>
    <w:rsid w:val="007A4D53"/>
    <w:rsid w:val="007B0C45"/>
    <w:rsid w:val="007B3CA2"/>
    <w:rsid w:val="007B46C2"/>
    <w:rsid w:val="007C2868"/>
    <w:rsid w:val="007C5C0F"/>
    <w:rsid w:val="007C681A"/>
    <w:rsid w:val="007C69E4"/>
    <w:rsid w:val="007C6FA1"/>
    <w:rsid w:val="007E403C"/>
    <w:rsid w:val="007E64A8"/>
    <w:rsid w:val="00801B08"/>
    <w:rsid w:val="008024BB"/>
    <w:rsid w:val="00811AC1"/>
    <w:rsid w:val="008130F3"/>
    <w:rsid w:val="00822FA5"/>
    <w:rsid w:val="0083450B"/>
    <w:rsid w:val="00836E2C"/>
    <w:rsid w:val="008467E6"/>
    <w:rsid w:val="00846861"/>
    <w:rsid w:val="0085168E"/>
    <w:rsid w:val="00855C30"/>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545"/>
    <w:rsid w:val="008F38FB"/>
    <w:rsid w:val="008F6051"/>
    <w:rsid w:val="00905B36"/>
    <w:rsid w:val="00906D03"/>
    <w:rsid w:val="00907F64"/>
    <w:rsid w:val="00910F1E"/>
    <w:rsid w:val="009139A8"/>
    <w:rsid w:val="00914D8F"/>
    <w:rsid w:val="00915D11"/>
    <w:rsid w:val="009175C1"/>
    <w:rsid w:val="00930938"/>
    <w:rsid w:val="009313C9"/>
    <w:rsid w:val="009317AD"/>
    <w:rsid w:val="0094143D"/>
    <w:rsid w:val="00945395"/>
    <w:rsid w:val="00946D78"/>
    <w:rsid w:val="0095520B"/>
    <w:rsid w:val="00957CAA"/>
    <w:rsid w:val="0096048C"/>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736C"/>
    <w:rsid w:val="009F7692"/>
    <w:rsid w:val="00A03C58"/>
    <w:rsid w:val="00A12E51"/>
    <w:rsid w:val="00A20479"/>
    <w:rsid w:val="00A23D3D"/>
    <w:rsid w:val="00A25727"/>
    <w:rsid w:val="00A35472"/>
    <w:rsid w:val="00A3686A"/>
    <w:rsid w:val="00A40439"/>
    <w:rsid w:val="00A40C84"/>
    <w:rsid w:val="00A42190"/>
    <w:rsid w:val="00A438B1"/>
    <w:rsid w:val="00A44383"/>
    <w:rsid w:val="00A46BE9"/>
    <w:rsid w:val="00A47652"/>
    <w:rsid w:val="00A57135"/>
    <w:rsid w:val="00A6067D"/>
    <w:rsid w:val="00A61316"/>
    <w:rsid w:val="00A61398"/>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10FFB"/>
    <w:rsid w:val="00B11A66"/>
    <w:rsid w:val="00B11E1A"/>
    <w:rsid w:val="00B1392D"/>
    <w:rsid w:val="00B157ED"/>
    <w:rsid w:val="00B158FB"/>
    <w:rsid w:val="00B16ACC"/>
    <w:rsid w:val="00B20279"/>
    <w:rsid w:val="00B26B3E"/>
    <w:rsid w:val="00B46313"/>
    <w:rsid w:val="00B46A8F"/>
    <w:rsid w:val="00B52FD5"/>
    <w:rsid w:val="00B56DA0"/>
    <w:rsid w:val="00B57016"/>
    <w:rsid w:val="00B602F1"/>
    <w:rsid w:val="00B637C5"/>
    <w:rsid w:val="00B63EA0"/>
    <w:rsid w:val="00B74368"/>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0780"/>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A7F4D"/>
    <w:rsid w:val="00CB4882"/>
    <w:rsid w:val="00CC3570"/>
    <w:rsid w:val="00CD195C"/>
    <w:rsid w:val="00CD4243"/>
    <w:rsid w:val="00CE729B"/>
    <w:rsid w:val="00CF04D0"/>
    <w:rsid w:val="00CF4F98"/>
    <w:rsid w:val="00CF7023"/>
    <w:rsid w:val="00D04676"/>
    <w:rsid w:val="00D05733"/>
    <w:rsid w:val="00D152F2"/>
    <w:rsid w:val="00D278B7"/>
    <w:rsid w:val="00D34632"/>
    <w:rsid w:val="00D3625E"/>
    <w:rsid w:val="00D3648A"/>
    <w:rsid w:val="00D4166B"/>
    <w:rsid w:val="00D47D19"/>
    <w:rsid w:val="00D56E2E"/>
    <w:rsid w:val="00D627F2"/>
    <w:rsid w:val="00D630B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224B"/>
    <w:rsid w:val="00E1479D"/>
    <w:rsid w:val="00E150A5"/>
    <w:rsid w:val="00E15539"/>
    <w:rsid w:val="00E23ABF"/>
    <w:rsid w:val="00E24F63"/>
    <w:rsid w:val="00E2533F"/>
    <w:rsid w:val="00E30EC1"/>
    <w:rsid w:val="00E310D7"/>
    <w:rsid w:val="00E409F8"/>
    <w:rsid w:val="00E431F6"/>
    <w:rsid w:val="00E47EC3"/>
    <w:rsid w:val="00E52B55"/>
    <w:rsid w:val="00E545D7"/>
    <w:rsid w:val="00E631DC"/>
    <w:rsid w:val="00E7172E"/>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8A2"/>
    <w:rsid w:val="00F0396F"/>
    <w:rsid w:val="00F04662"/>
    <w:rsid w:val="00F05529"/>
    <w:rsid w:val="00F05F73"/>
    <w:rsid w:val="00F2093A"/>
    <w:rsid w:val="00F30EBC"/>
    <w:rsid w:val="00F31A64"/>
    <w:rsid w:val="00F35717"/>
    <w:rsid w:val="00F35B85"/>
    <w:rsid w:val="00F36FBB"/>
    <w:rsid w:val="00F37A43"/>
    <w:rsid w:val="00F41D72"/>
    <w:rsid w:val="00F44355"/>
    <w:rsid w:val="00F45314"/>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765"/>
    <w:rsid w:val="00FD39B1"/>
    <w:rsid w:val="00FD6F82"/>
    <w:rsid w:val="00FF5495"/>
    <w:rsid w:val="00FF6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8B2E3"/>
  <w15:chartTrackingRefBased/>
  <w15:docId w15:val="{B438A771-1887-4A0D-837B-038108D8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link w:val="FooterChar"/>
    <w:uiPriority w:val="99"/>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792"/>
    <w:rPr>
      <w:color w:val="0000FF"/>
      <w:u w:val="single"/>
    </w:rPr>
  </w:style>
  <w:style w:type="character" w:customStyle="1" w:styleId="FooterChar">
    <w:name w:val="Footer Char"/>
    <w:link w:val="Footer"/>
    <w:uiPriority w:val="99"/>
    <w:rsid w:val="0095520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Bathandwa Mlambo</cp:lastModifiedBy>
  <cp:revision>4</cp:revision>
  <cp:lastPrinted>2019-10-03T09:34:00Z</cp:lastPrinted>
  <dcterms:created xsi:type="dcterms:W3CDTF">2019-10-03T09:34:00Z</dcterms:created>
  <dcterms:modified xsi:type="dcterms:W3CDTF">2019-10-03T11:20:00Z</dcterms:modified>
</cp:coreProperties>
</file>