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3" w:rsidRDefault="00EE6A98">
      <w:pPr>
        <w:pStyle w:val="Body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3427729</wp:posOffset>
            </wp:positionH>
            <wp:positionV relativeFrom="line">
              <wp:posOffset>-133350</wp:posOffset>
            </wp:positionV>
            <wp:extent cx="704850" cy="923925"/>
            <wp:effectExtent l="0" t="0" r="0" b="0"/>
            <wp:wrapNone/>
            <wp:docPr id="1073741825" name="officeArt object" descr="coatofarms_t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atofarms_tparent" descr="coatofarms_tparen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31E43" w:rsidRDefault="00431E43">
      <w:pPr>
        <w:pStyle w:val="Body"/>
        <w:jc w:val="center"/>
      </w:pPr>
    </w:p>
    <w:p w:rsidR="00431E43" w:rsidRDefault="00431E43">
      <w:pPr>
        <w:pStyle w:val="Body"/>
        <w:jc w:val="center"/>
      </w:pPr>
    </w:p>
    <w:p w:rsidR="00431E43" w:rsidRDefault="00431E43">
      <w:pPr>
        <w:pStyle w:val="Body"/>
        <w:jc w:val="center"/>
      </w:pPr>
    </w:p>
    <w:p w:rsidR="00431E43" w:rsidRDefault="00431E43">
      <w:pPr>
        <w:pStyle w:val="Body"/>
        <w:jc w:val="center"/>
      </w:pPr>
    </w:p>
    <w:p w:rsidR="00431E43" w:rsidRDefault="00EE6A9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</w:rPr>
        <w:t>Ministry</w:t>
      </w:r>
    </w:p>
    <w:p w:rsidR="00431E43" w:rsidRDefault="00EE6A9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Employment &amp; Labour</w:t>
      </w:r>
    </w:p>
    <w:p w:rsidR="00431E43" w:rsidRDefault="00EE6A98">
      <w:pPr>
        <w:pStyle w:val="Body"/>
        <w:jc w:val="center"/>
        <w:rPr>
          <w:b/>
          <w:bCs/>
          <w:caps/>
          <w:color w:val="008000"/>
          <w:sz w:val="22"/>
          <w:szCs w:val="22"/>
          <w:u w:color="008000"/>
        </w:rPr>
      </w:pPr>
      <w:r>
        <w:rPr>
          <w:b/>
          <w:bCs/>
          <w:caps/>
          <w:color w:val="008000"/>
          <w:sz w:val="22"/>
          <w:szCs w:val="22"/>
          <w:u w:color="008000"/>
          <w:lang w:val="en-US"/>
        </w:rPr>
        <w:t>Republic of South Africa</w:t>
      </w:r>
    </w:p>
    <w:p w:rsidR="00431E43" w:rsidRDefault="00EE6A98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en-US"/>
        </w:rPr>
        <w:t>Private Bag X499, PRETORIA, 0001. Laboria House 215 Schoeman Street, PRETORA Tel: (012) 392 9620 Fax: 012</w:t>
      </w:r>
      <w:r>
        <w:rPr>
          <w:sz w:val="14"/>
          <w:szCs w:val="14"/>
        </w:rPr>
        <w:t> 320 1942</w:t>
      </w:r>
    </w:p>
    <w:p w:rsidR="00431E43" w:rsidRDefault="00EE6A98"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lang w:val="de-DE"/>
        </w:rPr>
        <w:t>Private Bag X9090, CAPE TOWN, 8000. 120 Plein Street, 12</w:t>
      </w:r>
      <w:r>
        <w:rPr>
          <w:sz w:val="14"/>
          <w:szCs w:val="14"/>
          <w:vertAlign w:val="superscript"/>
          <w:lang w:val="en-US"/>
        </w:rPr>
        <w:t>th</w:t>
      </w:r>
      <w:r>
        <w:rPr>
          <w:sz w:val="14"/>
          <w:szCs w:val="14"/>
        </w:rPr>
        <w:t xml:space="preserve"> Floor, CAPE TOWN Tel: (021) 466 7160 Fax 021 432 2830</w:t>
      </w:r>
    </w:p>
    <w:p w:rsidR="00431E43" w:rsidRDefault="0024067D">
      <w:pPr>
        <w:pStyle w:val="Body"/>
        <w:jc w:val="center"/>
        <w:rPr>
          <w:sz w:val="12"/>
          <w:szCs w:val="12"/>
        </w:rPr>
      </w:pPr>
      <w:hyperlink r:id="rId8" w:history="1">
        <w:r w:rsidR="00EE6A98">
          <w:rPr>
            <w:rStyle w:val="Hyperlink0"/>
          </w:rPr>
          <w:t>www.labour.gov.za</w:t>
        </w:r>
      </w:hyperlink>
    </w:p>
    <w:p w:rsidR="00431E43" w:rsidRDefault="00EE6A98">
      <w:pPr>
        <w:pStyle w:val="Body"/>
        <w:jc w:val="center"/>
        <w:rPr>
          <w:sz w:val="12"/>
          <w:szCs w:val="12"/>
          <w:u w:val="single"/>
        </w:rPr>
      </w:pP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  <w:r>
        <w:rPr>
          <w:sz w:val="12"/>
          <w:szCs w:val="12"/>
          <w:u w:val="single"/>
          <w:lang w:val="en-US"/>
        </w:rPr>
        <w:tab/>
      </w:r>
    </w:p>
    <w:p w:rsidR="00431E43" w:rsidRDefault="00431E43">
      <w:pPr>
        <w:pStyle w:val="Body"/>
        <w:jc w:val="center"/>
        <w:rPr>
          <w:sz w:val="2"/>
          <w:szCs w:val="2"/>
          <w:lang w:val="en-US"/>
        </w:rPr>
      </w:pPr>
    </w:p>
    <w:p w:rsidR="00431E43" w:rsidRDefault="00431E43">
      <w:pPr>
        <w:pStyle w:val="Body"/>
        <w:jc w:val="both"/>
        <w:rPr>
          <w:sz w:val="10"/>
          <w:szCs w:val="10"/>
          <w:lang w:val="en-US"/>
        </w:rPr>
      </w:pPr>
    </w:p>
    <w:p w:rsidR="00431E43" w:rsidRDefault="00431E43">
      <w:pPr>
        <w:pStyle w:val="Body"/>
        <w:rPr>
          <w:b/>
          <w:bCs/>
          <w:lang w:val="en-US"/>
        </w:rPr>
      </w:pPr>
    </w:p>
    <w:p w:rsidR="00431E43" w:rsidRDefault="00EE6A98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NATIONAL ASSEMBLY</w:t>
      </w:r>
    </w:p>
    <w:p w:rsidR="00431E43" w:rsidRDefault="00431E43">
      <w:pPr>
        <w:pStyle w:val="Body"/>
        <w:jc w:val="center"/>
        <w:rPr>
          <w:b/>
          <w:bCs/>
          <w:lang w:val="en-US"/>
        </w:rPr>
      </w:pPr>
    </w:p>
    <w:p w:rsidR="00431E43" w:rsidRDefault="00EE6A98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WRITTEN REPLY</w:t>
      </w:r>
    </w:p>
    <w:p w:rsidR="00431E43" w:rsidRDefault="00431E43">
      <w:pPr>
        <w:pStyle w:val="Body"/>
        <w:ind w:firstLine="720"/>
      </w:pPr>
    </w:p>
    <w:p w:rsidR="00431E43" w:rsidRDefault="00EE6A98">
      <w:pPr>
        <w:pStyle w:val="Body"/>
        <w:ind w:left="2160" w:firstLine="720"/>
        <w:outlineLvl w:val="0"/>
        <w:rPr>
          <w:b/>
          <w:bCs/>
        </w:rPr>
      </w:pPr>
      <w:r>
        <w:rPr>
          <w:b/>
          <w:bCs/>
          <w:lang w:val="en-US"/>
        </w:rPr>
        <w:t>QUESTION NUMBER: 910 [NW1199E]</w:t>
      </w:r>
    </w:p>
    <w:p w:rsidR="00431E43" w:rsidRDefault="00431E43">
      <w:pPr>
        <w:pStyle w:val="Body"/>
        <w:outlineLvl w:val="0"/>
        <w:rPr>
          <w:b/>
          <w:bCs/>
        </w:rPr>
      </w:pPr>
    </w:p>
    <w:p w:rsidR="00431E43" w:rsidRDefault="00EE6A98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910. Ms T L Marawu (ATM) to ask the Minister of Employment and Labour:</w:t>
      </w:r>
    </w:p>
    <w:p w:rsidR="00431E43" w:rsidRDefault="00431E43">
      <w:pPr>
        <w:pStyle w:val="Body"/>
        <w:rPr>
          <w:sz w:val="22"/>
          <w:szCs w:val="22"/>
        </w:rPr>
      </w:pPr>
    </w:p>
    <w:p w:rsidR="00EE6A98" w:rsidRPr="003E123A" w:rsidRDefault="00EE6A98" w:rsidP="00EE6A98">
      <w:pPr>
        <w:ind w:right="-291"/>
        <w:jc w:val="both"/>
        <w:rPr>
          <w:rFonts w:cs="Arial"/>
          <w:sz w:val="22"/>
        </w:rPr>
      </w:pPr>
      <w:r w:rsidRPr="003E123A">
        <w:rPr>
          <w:rFonts w:cs="Arial"/>
          <w:sz w:val="22"/>
        </w:rPr>
        <w:t>(1) What (a) measures are in place to ensure that those who were drawing on the Unemployment Insurance Fund are removed from the system upon securing a permanent job, (b) steps will he take regarding the employment equity tables to provide for a small quota of non-South African nationals and (c) percentage quota will be reserved for other nationals;</w:t>
      </w:r>
    </w:p>
    <w:p w:rsidR="00EE6A98" w:rsidRPr="003E123A" w:rsidRDefault="00EE6A98" w:rsidP="00EE6A98">
      <w:pPr>
        <w:jc w:val="both"/>
        <w:rPr>
          <w:rFonts w:cs="Arial"/>
          <w:sz w:val="22"/>
        </w:rPr>
      </w:pPr>
    </w:p>
    <w:p w:rsidR="00EE6A98" w:rsidRDefault="00EE6A98" w:rsidP="00EE6A98">
      <w:pPr>
        <w:pBdr>
          <w:bottom w:val="single" w:sz="12" w:space="1" w:color="auto"/>
        </w:pBdr>
        <w:tabs>
          <w:tab w:val="left" w:pos="8364"/>
        </w:tabs>
        <w:ind w:right="-291"/>
        <w:jc w:val="both"/>
        <w:rPr>
          <w:rFonts w:cs="Arial"/>
          <w:sz w:val="22"/>
        </w:rPr>
      </w:pPr>
      <w:r w:rsidRPr="003E123A">
        <w:rPr>
          <w:rFonts w:cs="Arial"/>
          <w:sz w:val="22"/>
        </w:rPr>
        <w:t>(2) whether the percentage quota that will be reserved for other nationals will reflect the shortage of scarce and critical skills; if not, why not; if so, what are the relevant details? NW1199E</w:t>
      </w:r>
    </w:p>
    <w:p w:rsidR="00EE6A98" w:rsidRPr="003E123A" w:rsidRDefault="00EE6A98" w:rsidP="00EE6A98">
      <w:pPr>
        <w:pBdr>
          <w:bottom w:val="single" w:sz="12" w:space="1" w:color="auto"/>
        </w:pBdr>
        <w:tabs>
          <w:tab w:val="left" w:pos="8364"/>
        </w:tabs>
        <w:ind w:right="-291"/>
        <w:jc w:val="both"/>
        <w:rPr>
          <w:rFonts w:cs="Arial"/>
          <w:sz w:val="22"/>
        </w:rPr>
      </w:pPr>
    </w:p>
    <w:p w:rsidR="00431E43" w:rsidRDefault="00431E43">
      <w:pPr>
        <w:pStyle w:val="Body"/>
      </w:pPr>
    </w:p>
    <w:p w:rsidR="00EE6A98" w:rsidRPr="004F5E82" w:rsidRDefault="00EE6A98" w:rsidP="00EE6A98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2"/>
          <w:szCs w:val="22"/>
          <w:lang w:val="en-ZA"/>
        </w:rPr>
      </w:pPr>
      <w:r w:rsidRPr="004F5E82">
        <w:rPr>
          <w:rFonts w:eastAsiaTheme="minorHAnsi" w:cs="Arial"/>
          <w:b/>
          <w:sz w:val="22"/>
          <w:szCs w:val="22"/>
          <w:lang w:val="en-ZA"/>
        </w:rPr>
        <w:t>REPLY:</w:t>
      </w:r>
    </w:p>
    <w:p w:rsidR="00EE6A98" w:rsidRPr="00681AB9" w:rsidRDefault="00EE6A98" w:rsidP="00EE6A98">
      <w:pPr>
        <w:pStyle w:val="ListParagraph"/>
        <w:numPr>
          <w:ilvl w:val="0"/>
          <w:numId w:val="3"/>
        </w:numPr>
        <w:ind w:left="426" w:hanging="426"/>
        <w:jc w:val="both"/>
        <w:rPr>
          <w:rFonts w:cs="Arial"/>
        </w:rPr>
      </w:pPr>
      <w:r w:rsidRPr="00681AB9">
        <w:rPr>
          <w:rFonts w:cs="Arial"/>
        </w:rPr>
        <w:t>What (a) measures are in place to ensure that those who were drawing on the Unemployment Insurance Fund are removed from the system upon securing a permanent job</w:t>
      </w:r>
    </w:p>
    <w:p w:rsidR="00EE6A98" w:rsidRPr="003E123A" w:rsidRDefault="00EE6A98" w:rsidP="00EE6A98">
      <w:pPr>
        <w:jc w:val="both"/>
        <w:rPr>
          <w:rFonts w:cs="Arial"/>
          <w:sz w:val="22"/>
          <w:szCs w:val="22"/>
        </w:rPr>
      </w:pPr>
    </w:p>
    <w:p w:rsidR="00EE6A98" w:rsidRPr="003E123A" w:rsidRDefault="00EE6A98" w:rsidP="00EE6A98">
      <w:pPr>
        <w:jc w:val="both"/>
        <w:rPr>
          <w:rFonts w:cs="Arial"/>
          <w:b/>
          <w:sz w:val="22"/>
          <w:szCs w:val="22"/>
        </w:rPr>
      </w:pPr>
    </w:p>
    <w:p w:rsidR="00EE6A98" w:rsidRDefault="00EE6A98" w:rsidP="00EE6A98">
      <w:pPr>
        <w:pStyle w:val="ListParagraph"/>
        <w:numPr>
          <w:ilvl w:val="0"/>
          <w:numId w:val="1"/>
        </w:numPr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are statutory measures that are in place to ensure that those who were drawing on the Unemployment Insurance Fund are removed from the system upon securing a permanent job. These measures are outlined in the provisions of the Unemployment Insurance Contribution Act, 4 of 2002 (“the Act”). The provisions of section 10 (1) and (2) of the Act respectively place a duty on every employer; which the Act applies to, to register with the Unemployment Insurance Fund and before the seventh day of each month, submit to the Unemployment Insurance Commissioner information relating to:</w:t>
      </w:r>
    </w:p>
    <w:p w:rsidR="00EE6A98" w:rsidRDefault="00EE6A98" w:rsidP="00EE6A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termination of the employment of any employee; and </w:t>
      </w:r>
    </w:p>
    <w:p w:rsidR="00EE6A98" w:rsidRDefault="00EE6A98" w:rsidP="00EE6A9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appointment of any employee by the employer  </w:t>
      </w:r>
    </w:p>
    <w:p w:rsidR="00EE6A98" w:rsidRDefault="00EE6A98">
      <w:pPr>
        <w:pStyle w:val="Body"/>
        <w:spacing w:line="360" w:lineRule="auto"/>
        <w:jc w:val="both"/>
        <w:rPr>
          <w:lang w:val="en-US"/>
        </w:rPr>
      </w:pPr>
    </w:p>
    <w:p w:rsidR="00431E43" w:rsidRPr="00EE6A98" w:rsidRDefault="00EE6A98" w:rsidP="00EE6A98">
      <w:pPr>
        <w:pStyle w:val="Body"/>
        <w:spacing w:line="360" w:lineRule="auto"/>
        <w:ind w:left="567" w:hanging="425"/>
        <w:jc w:val="both"/>
        <w:rPr>
          <w:b/>
        </w:rPr>
      </w:pPr>
      <w:r w:rsidRPr="00EE6A98">
        <w:rPr>
          <w:b/>
          <w:lang w:val="en-US"/>
        </w:rPr>
        <w:lastRenderedPageBreak/>
        <w:t>(b) The Department of Employment and Labour is in a process of drafting a Labour Migration Policy (LMP). The LMP</w:t>
      </w:r>
      <w:r w:rsidRPr="00EE6A98">
        <w:rPr>
          <w:b/>
        </w:rPr>
        <w:t xml:space="preserve"> </w:t>
      </w:r>
      <w:r w:rsidRPr="00EE6A98">
        <w:rPr>
          <w:b/>
          <w:lang w:val="en-US"/>
        </w:rPr>
        <w:t xml:space="preserve">is one of the Sub-themes of the National Employment Policy (NEP) that we are currently working on. The LMP covers a range of topics that include amongst others, work visas for scarce and critical skills, quotas of foreign nationals in the labour market etc. once we have completed </w:t>
      </w:r>
      <w:r w:rsidR="001A75E0">
        <w:rPr>
          <w:b/>
          <w:lang w:val="en-US"/>
        </w:rPr>
        <w:t xml:space="preserve">we will publish this policy </w:t>
      </w:r>
      <w:r w:rsidRPr="00EE6A98">
        <w:rPr>
          <w:b/>
          <w:lang w:val="en-US"/>
        </w:rPr>
        <w:t xml:space="preserve">for public comment. </w:t>
      </w:r>
    </w:p>
    <w:p w:rsidR="00431E43" w:rsidRPr="00EE6A98" w:rsidRDefault="00431E43">
      <w:pPr>
        <w:pStyle w:val="Body"/>
        <w:spacing w:line="360" w:lineRule="auto"/>
        <w:jc w:val="both"/>
        <w:rPr>
          <w:b/>
        </w:rPr>
      </w:pPr>
    </w:p>
    <w:p w:rsidR="00431E43" w:rsidRPr="00EE6A98" w:rsidRDefault="00EE6A98" w:rsidP="00EE6A98">
      <w:pPr>
        <w:pStyle w:val="Body"/>
        <w:spacing w:line="360" w:lineRule="auto"/>
        <w:ind w:left="142" w:hanging="284"/>
        <w:jc w:val="both"/>
        <w:rPr>
          <w:b/>
        </w:rPr>
      </w:pPr>
      <w:r w:rsidRPr="00EE6A98">
        <w:rPr>
          <w:b/>
        </w:rPr>
        <w:t xml:space="preserve">2. </w:t>
      </w:r>
      <w:r w:rsidRPr="00EE6A98">
        <w:rPr>
          <w:b/>
          <w:lang w:val="en-US"/>
        </w:rPr>
        <w:t>Yes, it will reflect the shortage of scarce and critical skills. Our policies provide for the importation of skills in an event that the</w:t>
      </w:r>
      <w:r w:rsidR="001A75E0">
        <w:rPr>
          <w:b/>
          <w:lang w:val="en-US"/>
        </w:rPr>
        <w:t>y do no</w:t>
      </w:r>
      <w:r w:rsidRPr="00EE6A98">
        <w:rPr>
          <w:b/>
          <w:lang w:val="en-US"/>
        </w:rPr>
        <w:t xml:space="preserve">t exist in the country. </w:t>
      </w:r>
    </w:p>
    <w:sectPr w:rsidR="00431E43" w:rsidRPr="00EE6A98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7D" w:rsidRDefault="0024067D">
      <w:r>
        <w:separator/>
      </w:r>
    </w:p>
  </w:endnote>
  <w:endnote w:type="continuationSeparator" w:id="0">
    <w:p w:rsidR="0024067D" w:rsidRDefault="0024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7D" w:rsidRDefault="0024067D">
      <w:r>
        <w:separator/>
      </w:r>
    </w:p>
  </w:footnote>
  <w:footnote w:type="continuationSeparator" w:id="0">
    <w:p w:rsidR="0024067D" w:rsidRDefault="00240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29D"/>
    <w:multiLevelType w:val="hybridMultilevel"/>
    <w:tmpl w:val="EE0613AE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8055C"/>
    <w:multiLevelType w:val="hybridMultilevel"/>
    <w:tmpl w:val="EE56F8F8"/>
    <w:lvl w:ilvl="0" w:tplc="D82C87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B0"/>
    <w:multiLevelType w:val="hybridMultilevel"/>
    <w:tmpl w:val="C92087B0"/>
    <w:lvl w:ilvl="0" w:tplc="CDDC0E7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43"/>
    <w:rsid w:val="001A75E0"/>
    <w:rsid w:val="0024067D"/>
    <w:rsid w:val="00431E43"/>
    <w:rsid w:val="00503E26"/>
    <w:rsid w:val="009F3E86"/>
    <w:rsid w:val="00C10D63"/>
    <w:rsid w:val="00E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9F9D-4208-400D-B21E-62B69D0E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2"/>
      <w:szCs w:val="12"/>
      <w:u w:val="single" w:color="0000FF"/>
      <w:lang w:val="en-US"/>
    </w:rPr>
  </w:style>
  <w:style w:type="paragraph" w:styleId="ListParagraph">
    <w:name w:val="List Paragraph"/>
    <w:basedOn w:val="Normal"/>
    <w:uiPriority w:val="34"/>
    <w:qFormat/>
    <w:rsid w:val="00EE6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Malixole Ntleki (HQ)</dc:creator>
  <cp:lastModifiedBy>Nikiwe Ncetezo</cp:lastModifiedBy>
  <cp:revision>2</cp:revision>
  <dcterms:created xsi:type="dcterms:W3CDTF">2020-06-22T16:01:00Z</dcterms:created>
  <dcterms:modified xsi:type="dcterms:W3CDTF">2020-06-22T16:01:00Z</dcterms:modified>
</cp:coreProperties>
</file>