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FC" w:rsidRPr="008C0966" w:rsidRDefault="00714BFC" w:rsidP="00DF0A50">
      <w:pPr>
        <w:spacing w:after="200" w:line="276" w:lineRule="auto"/>
        <w:rPr>
          <w:rFonts w:ascii="Arial" w:eastAsia="Calibri" w:hAnsi="Arial" w:cs="Arial"/>
          <w:b/>
          <w:bCs/>
          <w:lang w:val="en-GB"/>
        </w:rPr>
      </w:pPr>
      <w:r w:rsidRPr="008C0966">
        <w:rPr>
          <w:rFonts w:ascii="Arial" w:eastAsia="Calibri" w:hAnsi="Arial" w:cs="Arial"/>
          <w:b/>
          <w:bCs/>
        </w:rPr>
        <w:t>NATIONAL ASSEMBLY</w:t>
      </w:r>
    </w:p>
    <w:p w:rsidR="00714BFC" w:rsidRPr="008C0966" w:rsidRDefault="00DF0A50" w:rsidP="00DF0A5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714BFC" w:rsidRPr="008C0966">
        <w:rPr>
          <w:rFonts w:ascii="Arial" w:eastAsia="Calibri" w:hAnsi="Arial" w:cs="Arial"/>
          <w:b/>
          <w:bCs/>
          <w:lang w:val="en-GB"/>
        </w:rPr>
        <w:t>FOR WRITTEN REPLY</w:t>
      </w:r>
    </w:p>
    <w:p w:rsidR="00714BFC" w:rsidRPr="008C0966" w:rsidRDefault="00DF0A50" w:rsidP="00DF0A5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714BFC" w:rsidRPr="008C0966">
        <w:rPr>
          <w:rFonts w:ascii="Arial" w:eastAsia="Calibri" w:hAnsi="Arial" w:cs="Arial"/>
          <w:b/>
          <w:bCs/>
          <w:lang w:val="en-GB"/>
        </w:rPr>
        <w:t xml:space="preserve">QUESTION </w:t>
      </w:r>
      <w:r>
        <w:rPr>
          <w:rFonts w:ascii="Arial" w:eastAsia="Calibri" w:hAnsi="Arial" w:cs="Arial"/>
          <w:b/>
          <w:bCs/>
          <w:lang w:val="en-GB"/>
        </w:rPr>
        <w:t xml:space="preserve">NO: </w:t>
      </w:r>
      <w:r w:rsidR="00714BFC">
        <w:rPr>
          <w:rFonts w:ascii="Arial" w:eastAsia="Calibri" w:hAnsi="Arial" w:cs="Arial"/>
          <w:b/>
          <w:bCs/>
          <w:lang w:val="en-GB"/>
        </w:rPr>
        <w:t>907</w:t>
      </w:r>
    </w:p>
    <w:p w:rsidR="00714BFC" w:rsidRPr="00DF0A50" w:rsidRDefault="00714BFC" w:rsidP="00DF0A50">
      <w:pPr>
        <w:spacing w:after="200" w:line="276" w:lineRule="auto"/>
        <w:rPr>
          <w:rFonts w:ascii="Arial" w:eastAsia="Calibri" w:hAnsi="Arial" w:cs="Arial"/>
          <w:b/>
          <w:bCs/>
          <w:lang w:val="en-GB"/>
        </w:rPr>
      </w:pPr>
      <w:r w:rsidRPr="00DF0A50">
        <w:rPr>
          <w:rFonts w:ascii="Arial" w:eastAsia="Calibri" w:hAnsi="Arial" w:cs="Arial"/>
          <w:b/>
          <w:bCs/>
          <w:lang w:val="en-GB"/>
        </w:rPr>
        <w:t>DATE OF QUESTION: 19</w:t>
      </w:r>
      <w:r w:rsidR="00DF0A50" w:rsidRPr="00DF0A50">
        <w:rPr>
          <w:rFonts w:ascii="Arial" w:eastAsia="Calibri" w:hAnsi="Arial" w:cs="Arial"/>
          <w:b/>
          <w:bCs/>
          <w:lang w:val="en-GB"/>
        </w:rPr>
        <w:t xml:space="preserve"> MARCH </w:t>
      </w:r>
      <w:r w:rsidRPr="00DF0A50">
        <w:rPr>
          <w:rFonts w:ascii="Arial" w:eastAsia="Calibri" w:hAnsi="Arial" w:cs="Arial"/>
          <w:b/>
          <w:bCs/>
          <w:lang w:val="en-GB"/>
        </w:rPr>
        <w:t>2021</w:t>
      </w:r>
    </w:p>
    <w:p w:rsidR="00DF0A50" w:rsidRPr="00DF0A50" w:rsidRDefault="00DF0A50" w:rsidP="00DF0A50">
      <w:pPr>
        <w:spacing w:after="200" w:line="276" w:lineRule="auto"/>
        <w:rPr>
          <w:rFonts w:ascii="Arial" w:eastAsia="Calibri" w:hAnsi="Arial" w:cs="Arial"/>
          <w:b/>
          <w:bCs/>
          <w:lang w:val="en-GB"/>
        </w:rPr>
      </w:pPr>
      <w:r w:rsidRPr="00DF0A50">
        <w:rPr>
          <w:rFonts w:ascii="Arial" w:eastAsia="Calibri" w:hAnsi="Arial" w:cs="Arial"/>
          <w:b/>
          <w:bCs/>
          <w:lang w:val="en-GB"/>
        </w:rPr>
        <w:t>DATE OF SUBMISSION: 07 APRIL 2021</w:t>
      </w:r>
    </w:p>
    <w:p w:rsidR="00714BFC" w:rsidRDefault="00714BFC" w:rsidP="00714BFC">
      <w:pPr>
        <w:spacing w:before="120" w:after="120" w:line="360" w:lineRule="auto"/>
        <w:jc w:val="both"/>
      </w:pPr>
      <w:r w:rsidRPr="00C73758">
        <w:rPr>
          <w:rFonts w:ascii="Arial" w:hAnsi="Arial" w:cs="Arial"/>
          <w:b/>
          <w:bCs/>
        </w:rPr>
        <w:t xml:space="preserve">Ms L H Arries (EFF) to ask the Minister of Justice and Correctional Services: </w:t>
      </w:r>
    </w:p>
    <w:p w:rsidR="00714BFC" w:rsidRDefault="00714BFC" w:rsidP="00714BFC">
      <w:pPr>
        <w:spacing w:before="120" w:after="120" w:line="360" w:lineRule="auto"/>
        <w:jc w:val="both"/>
        <w:rPr>
          <w:rFonts w:ascii="Arial" w:hAnsi="Arial" w:cs="Arial"/>
        </w:rPr>
      </w:pPr>
      <w:r w:rsidRPr="00C73758">
        <w:rPr>
          <w:rFonts w:ascii="Arial" w:hAnsi="Arial" w:cs="Arial"/>
        </w:rPr>
        <w:t>What total number of (a) cases of domestic violence were prosecuted over the past five years and (b) the specified case</w:t>
      </w:r>
      <w:r>
        <w:rPr>
          <w:rFonts w:ascii="Arial" w:hAnsi="Arial" w:cs="Arial"/>
        </w:rPr>
        <w:t>s have resulted in convictions?</w:t>
      </w:r>
    </w:p>
    <w:p w:rsidR="00714BFC" w:rsidRPr="00C73758" w:rsidRDefault="00714BFC" w:rsidP="00714BFC">
      <w:pPr>
        <w:spacing w:before="120" w:after="120" w:line="360" w:lineRule="auto"/>
        <w:ind w:left="360"/>
        <w:jc w:val="right"/>
        <w:rPr>
          <w:rFonts w:ascii="Arial" w:hAnsi="Arial" w:cs="Arial"/>
          <w:b/>
        </w:rPr>
      </w:pPr>
      <w:r w:rsidRPr="00C73758">
        <w:rPr>
          <w:rFonts w:ascii="Arial" w:hAnsi="Arial" w:cs="Arial"/>
          <w:b/>
        </w:rPr>
        <w:t>NW1074E</w:t>
      </w:r>
    </w:p>
    <w:p w:rsidR="00714BFC" w:rsidRPr="00FE5DBA" w:rsidRDefault="00714BFC" w:rsidP="00714BFC">
      <w:pPr>
        <w:spacing w:before="120" w:after="120" w:line="360" w:lineRule="auto"/>
        <w:ind w:left="360"/>
        <w:jc w:val="right"/>
        <w:rPr>
          <w:rFonts w:ascii="Arial" w:hAnsi="Arial" w:cs="Arial"/>
          <w:b/>
        </w:rPr>
      </w:pPr>
    </w:p>
    <w:p w:rsidR="00714BFC" w:rsidRDefault="00714BFC" w:rsidP="00714BFC">
      <w:pPr>
        <w:spacing w:line="360" w:lineRule="auto"/>
        <w:rPr>
          <w:rFonts w:ascii="Arial" w:hAnsi="Arial" w:cs="Arial"/>
          <w:b/>
          <w:bCs/>
        </w:rPr>
      </w:pPr>
      <w:r>
        <w:rPr>
          <w:rFonts w:ascii="Arial" w:hAnsi="Arial" w:cs="Arial"/>
          <w:b/>
        </w:rPr>
        <w:br w:type="page"/>
      </w:r>
    </w:p>
    <w:p w:rsidR="00714BFC" w:rsidRDefault="00714BFC" w:rsidP="00D14D32">
      <w:pPr>
        <w:spacing w:line="360" w:lineRule="auto"/>
        <w:rPr>
          <w:rFonts w:ascii="Arial" w:hAnsi="Arial" w:cs="Arial"/>
          <w:b/>
          <w:bCs/>
        </w:rPr>
      </w:pPr>
      <w:r>
        <w:rPr>
          <w:rFonts w:ascii="Arial" w:hAnsi="Arial" w:cs="Arial"/>
          <w:b/>
          <w:bCs/>
        </w:rPr>
        <w:t>REPLY:</w:t>
      </w:r>
    </w:p>
    <w:p w:rsidR="00D14D32" w:rsidRPr="00FD0743" w:rsidRDefault="00D14D32" w:rsidP="00D14D32">
      <w:pPr>
        <w:spacing w:line="360" w:lineRule="auto"/>
        <w:rPr>
          <w:rFonts w:ascii="Arial" w:hAnsi="Arial" w:cs="Arial"/>
          <w:b/>
          <w:bCs/>
        </w:rPr>
      </w:pPr>
    </w:p>
    <w:p w:rsidR="00AE393E" w:rsidRDefault="0042609F" w:rsidP="00D14D32">
      <w:pPr>
        <w:pStyle w:val="ListParagraph"/>
        <w:numPr>
          <w:ilvl w:val="0"/>
          <w:numId w:val="4"/>
        </w:numPr>
        <w:spacing w:line="360" w:lineRule="auto"/>
        <w:jc w:val="both"/>
        <w:rPr>
          <w:rFonts w:ascii="Arial" w:hAnsi="Arial" w:cs="Arial"/>
          <w:sz w:val="24"/>
        </w:rPr>
      </w:pPr>
      <w:r w:rsidRPr="00AE393E">
        <w:rPr>
          <w:rFonts w:ascii="Arial" w:hAnsi="Arial" w:cs="Arial"/>
          <w:sz w:val="24"/>
        </w:rPr>
        <w:t xml:space="preserve">It must be noted that there is no offence </w:t>
      </w:r>
      <w:r w:rsidRPr="00AE393E">
        <w:rPr>
          <w:rFonts w:ascii="Arial" w:hAnsi="Arial" w:cs="Arial"/>
          <w:i/>
          <w:sz w:val="24"/>
        </w:rPr>
        <w:t>per se</w:t>
      </w:r>
      <w:r w:rsidRPr="00AE393E">
        <w:rPr>
          <w:rFonts w:ascii="Arial" w:hAnsi="Arial" w:cs="Arial"/>
          <w:sz w:val="24"/>
        </w:rPr>
        <w:t xml:space="preserve"> called “domestic violence”, it is rather a collective </w:t>
      </w:r>
      <w:r w:rsidR="00AE393E">
        <w:rPr>
          <w:rFonts w:ascii="Arial" w:hAnsi="Arial" w:cs="Arial"/>
          <w:sz w:val="24"/>
        </w:rPr>
        <w:t>of</w:t>
      </w:r>
      <w:r w:rsidRPr="00AE393E">
        <w:rPr>
          <w:rFonts w:ascii="Arial" w:hAnsi="Arial" w:cs="Arial"/>
          <w:sz w:val="24"/>
        </w:rPr>
        <w:t xml:space="preserve"> offences related to the Domestic Violence Act or other relevant legislation (for example</w:t>
      </w:r>
      <w:r w:rsidR="00AE393E">
        <w:rPr>
          <w:rFonts w:ascii="Arial" w:hAnsi="Arial" w:cs="Arial"/>
          <w:sz w:val="24"/>
        </w:rPr>
        <w:t>:</w:t>
      </w:r>
      <w:r w:rsidRPr="00AE393E">
        <w:rPr>
          <w:rFonts w:ascii="Arial" w:hAnsi="Arial" w:cs="Arial"/>
          <w:sz w:val="24"/>
        </w:rPr>
        <w:t xml:space="preserve"> </w:t>
      </w:r>
      <w:r w:rsidR="00010F47" w:rsidRPr="00AE393E">
        <w:rPr>
          <w:rFonts w:ascii="Arial" w:hAnsi="Arial" w:cs="Arial"/>
          <w:sz w:val="24"/>
        </w:rPr>
        <w:t xml:space="preserve">Protection from </w:t>
      </w:r>
      <w:r w:rsidRPr="00AE393E">
        <w:rPr>
          <w:rFonts w:ascii="Arial" w:hAnsi="Arial" w:cs="Arial"/>
          <w:sz w:val="24"/>
        </w:rPr>
        <w:t xml:space="preserve">Harassment Act) or </w:t>
      </w:r>
      <w:r w:rsidR="00010F47" w:rsidRPr="00AE393E">
        <w:rPr>
          <w:rFonts w:ascii="Arial" w:hAnsi="Arial" w:cs="Arial"/>
          <w:sz w:val="24"/>
        </w:rPr>
        <w:t xml:space="preserve">even </w:t>
      </w:r>
      <w:r w:rsidRPr="00AE393E">
        <w:rPr>
          <w:rFonts w:ascii="Arial" w:hAnsi="Arial" w:cs="Arial"/>
          <w:sz w:val="24"/>
        </w:rPr>
        <w:t>other related common law offences which displays evidence of domestic violence</w:t>
      </w:r>
      <w:r w:rsidR="00010F47" w:rsidRPr="00AE393E">
        <w:rPr>
          <w:rFonts w:ascii="Arial" w:hAnsi="Arial" w:cs="Arial"/>
          <w:sz w:val="24"/>
        </w:rPr>
        <w:t xml:space="preserve"> in the merits of the case (for example</w:t>
      </w:r>
      <w:r w:rsidR="00AE393E">
        <w:rPr>
          <w:rFonts w:ascii="Arial" w:hAnsi="Arial" w:cs="Arial"/>
          <w:sz w:val="24"/>
        </w:rPr>
        <w:t>:</w:t>
      </w:r>
      <w:r w:rsidR="00010F47" w:rsidRPr="00AE393E">
        <w:rPr>
          <w:rFonts w:ascii="Arial" w:hAnsi="Arial" w:cs="Arial"/>
          <w:sz w:val="24"/>
        </w:rPr>
        <w:t xml:space="preserve"> attempted murder). </w:t>
      </w:r>
    </w:p>
    <w:p w:rsidR="00AE393E" w:rsidRDefault="00AE393E" w:rsidP="00AE393E">
      <w:pPr>
        <w:pStyle w:val="ListParagraph"/>
        <w:spacing w:line="360" w:lineRule="auto"/>
        <w:ind w:left="360"/>
        <w:jc w:val="both"/>
        <w:rPr>
          <w:rFonts w:ascii="Arial" w:hAnsi="Arial" w:cs="Arial"/>
          <w:sz w:val="24"/>
        </w:rPr>
      </w:pPr>
    </w:p>
    <w:p w:rsidR="00F317B9" w:rsidRPr="000D000A" w:rsidRDefault="00010F47" w:rsidP="00AE393E">
      <w:pPr>
        <w:pStyle w:val="ListParagraph"/>
        <w:spacing w:line="360" w:lineRule="auto"/>
        <w:ind w:left="360"/>
        <w:jc w:val="both"/>
        <w:rPr>
          <w:rFonts w:ascii="Arial" w:hAnsi="Arial" w:cs="Arial"/>
          <w:sz w:val="28"/>
        </w:rPr>
      </w:pPr>
      <w:r w:rsidRPr="000D000A">
        <w:rPr>
          <w:rFonts w:ascii="Arial" w:hAnsi="Arial" w:cs="Arial"/>
          <w:sz w:val="24"/>
        </w:rPr>
        <w:t>The N</w:t>
      </w:r>
      <w:r w:rsidR="00AE393E" w:rsidRPr="000D000A">
        <w:rPr>
          <w:rFonts w:ascii="Arial" w:hAnsi="Arial" w:cs="Arial"/>
          <w:sz w:val="24"/>
        </w:rPr>
        <w:t xml:space="preserve">ational </w:t>
      </w:r>
      <w:r w:rsidRPr="000D000A">
        <w:rPr>
          <w:rFonts w:ascii="Arial" w:hAnsi="Arial" w:cs="Arial"/>
          <w:sz w:val="24"/>
        </w:rPr>
        <w:t>P</w:t>
      </w:r>
      <w:r w:rsidR="00AE393E" w:rsidRPr="000D000A">
        <w:rPr>
          <w:rFonts w:ascii="Arial" w:hAnsi="Arial" w:cs="Arial"/>
          <w:sz w:val="24"/>
        </w:rPr>
        <w:t xml:space="preserve">rosecuting </w:t>
      </w:r>
      <w:r w:rsidRPr="000D000A">
        <w:rPr>
          <w:rFonts w:ascii="Arial" w:hAnsi="Arial" w:cs="Arial"/>
          <w:sz w:val="24"/>
        </w:rPr>
        <w:t>A</w:t>
      </w:r>
      <w:r w:rsidR="00AE393E" w:rsidRPr="000D000A">
        <w:rPr>
          <w:rFonts w:ascii="Arial" w:hAnsi="Arial" w:cs="Arial"/>
          <w:sz w:val="24"/>
        </w:rPr>
        <w:t>uthority (NPA)</w:t>
      </w:r>
      <w:r w:rsidRPr="000D000A">
        <w:rPr>
          <w:rFonts w:ascii="Arial" w:hAnsi="Arial" w:cs="Arial"/>
          <w:sz w:val="24"/>
        </w:rPr>
        <w:t xml:space="preserve"> does not collate offence specific statistics, therefore we extracted the </w:t>
      </w:r>
      <w:r w:rsidR="00F317B9" w:rsidRPr="000D000A">
        <w:rPr>
          <w:rFonts w:ascii="Arial" w:hAnsi="Arial" w:cs="Arial"/>
          <w:sz w:val="24"/>
        </w:rPr>
        <w:t xml:space="preserve">information </w:t>
      </w:r>
      <w:r w:rsidRPr="000D000A">
        <w:rPr>
          <w:rFonts w:ascii="Arial" w:hAnsi="Arial" w:cs="Arial"/>
          <w:sz w:val="24"/>
        </w:rPr>
        <w:t xml:space="preserve">as </w:t>
      </w:r>
      <w:r w:rsidR="00F317B9" w:rsidRPr="000D000A">
        <w:rPr>
          <w:rFonts w:ascii="Arial" w:hAnsi="Arial" w:cs="Arial"/>
          <w:sz w:val="24"/>
        </w:rPr>
        <w:t>is available on the ECMS</w:t>
      </w:r>
      <w:r w:rsidRPr="000D000A">
        <w:rPr>
          <w:rFonts w:ascii="Arial" w:hAnsi="Arial" w:cs="Arial"/>
          <w:sz w:val="24"/>
        </w:rPr>
        <w:t>. The infor</w:t>
      </w:r>
      <w:r w:rsidR="000D000A" w:rsidRPr="000D000A">
        <w:rPr>
          <w:rFonts w:ascii="Arial" w:hAnsi="Arial" w:cs="Arial"/>
          <w:sz w:val="24"/>
        </w:rPr>
        <w:t>mation reflected</w:t>
      </w:r>
      <w:r w:rsidRPr="000D000A">
        <w:rPr>
          <w:rFonts w:ascii="Arial" w:hAnsi="Arial" w:cs="Arial"/>
          <w:sz w:val="24"/>
        </w:rPr>
        <w:t xml:space="preserve"> </w:t>
      </w:r>
      <w:r w:rsidR="00F317B9" w:rsidRPr="000D000A">
        <w:rPr>
          <w:rFonts w:ascii="Arial" w:hAnsi="Arial" w:cs="Arial"/>
          <w:sz w:val="24"/>
        </w:rPr>
        <w:t>only relates to main charges and would not indicate those cases where a different main charge such as assault, attempted murder, malicious injury to property, etc have been added. Secondly, the extracted information only relates to offences linked to the particular Acts of which three</w:t>
      </w:r>
      <w:r w:rsidR="000D000A" w:rsidRPr="000D000A">
        <w:rPr>
          <w:rFonts w:ascii="Arial" w:hAnsi="Arial" w:cs="Arial"/>
          <w:sz w:val="24"/>
        </w:rPr>
        <w:t xml:space="preserve"> (3)</w:t>
      </w:r>
      <w:r w:rsidR="00F317B9" w:rsidRPr="000D000A">
        <w:rPr>
          <w:rFonts w:ascii="Arial" w:hAnsi="Arial" w:cs="Arial"/>
          <w:sz w:val="24"/>
        </w:rPr>
        <w:t xml:space="preserve"> contraventions are available namely:</w:t>
      </w:r>
    </w:p>
    <w:tbl>
      <w:tblPr>
        <w:tblW w:w="4764" w:type="pct"/>
        <w:tblInd w:w="426" w:type="dxa"/>
        <w:tblLook w:val="04A0"/>
      </w:tblPr>
      <w:tblGrid>
        <w:gridCol w:w="4062"/>
        <w:gridCol w:w="4754"/>
      </w:tblGrid>
      <w:tr w:rsidR="00D14D32" w:rsidRPr="00D14D32" w:rsidTr="00AE393E">
        <w:trPr>
          <w:trHeight w:val="372"/>
        </w:trPr>
        <w:tc>
          <w:tcPr>
            <w:tcW w:w="2170" w:type="pct"/>
            <w:tcBorders>
              <w:top w:val="nil"/>
              <w:left w:val="nil"/>
              <w:bottom w:val="nil"/>
              <w:right w:val="nil"/>
            </w:tcBorders>
            <w:shd w:val="clear" w:color="000000" w:fill="004A66"/>
            <w:noWrap/>
            <w:vAlign w:val="bottom"/>
            <w:hideMark/>
          </w:tcPr>
          <w:p w:rsidR="00F317B9" w:rsidRPr="00F317B9" w:rsidRDefault="00F317B9" w:rsidP="00D14D32">
            <w:pPr>
              <w:spacing w:line="360" w:lineRule="auto"/>
              <w:rPr>
                <w:rFonts w:ascii="Arial" w:hAnsi="Arial" w:cs="Arial"/>
                <w:color w:val="FFFFFF"/>
              </w:rPr>
            </w:pPr>
            <w:r w:rsidRPr="00F317B9">
              <w:rPr>
                <w:rFonts w:ascii="Arial" w:hAnsi="Arial" w:cs="Arial"/>
                <w:color w:val="FFFFFF"/>
              </w:rPr>
              <w:t>Source</w:t>
            </w:r>
          </w:p>
        </w:tc>
        <w:tc>
          <w:tcPr>
            <w:tcW w:w="2830" w:type="pct"/>
            <w:tcBorders>
              <w:top w:val="nil"/>
              <w:left w:val="nil"/>
              <w:bottom w:val="nil"/>
              <w:right w:val="nil"/>
            </w:tcBorders>
            <w:shd w:val="clear" w:color="000000" w:fill="004A66"/>
            <w:noWrap/>
            <w:vAlign w:val="bottom"/>
            <w:hideMark/>
          </w:tcPr>
          <w:p w:rsidR="00F317B9" w:rsidRPr="00F317B9" w:rsidRDefault="00F317B9" w:rsidP="00D14D32">
            <w:pPr>
              <w:spacing w:line="360" w:lineRule="auto"/>
              <w:rPr>
                <w:rFonts w:ascii="Arial" w:hAnsi="Arial" w:cs="Arial"/>
                <w:color w:val="FFFFFF"/>
              </w:rPr>
            </w:pPr>
            <w:r w:rsidRPr="00F317B9">
              <w:rPr>
                <w:rFonts w:ascii="Arial" w:hAnsi="Arial" w:cs="Arial"/>
                <w:color w:val="FFFFFF"/>
              </w:rPr>
              <w:t>Description</w:t>
            </w:r>
          </w:p>
        </w:tc>
      </w:tr>
      <w:tr w:rsidR="00F317B9" w:rsidRPr="00F317B9" w:rsidTr="00AE393E">
        <w:trPr>
          <w:trHeight w:val="372"/>
        </w:trPr>
        <w:tc>
          <w:tcPr>
            <w:tcW w:w="2170" w:type="pct"/>
            <w:tcBorders>
              <w:top w:val="nil"/>
              <w:left w:val="nil"/>
              <w:bottom w:val="nil"/>
              <w:right w:val="nil"/>
            </w:tcBorders>
            <w:shd w:val="clear" w:color="000000" w:fill="C3D9FF"/>
            <w:noWrap/>
            <w:vAlign w:val="bottom"/>
            <w:hideMark/>
          </w:tcPr>
          <w:p w:rsidR="00F317B9" w:rsidRPr="000D000A" w:rsidRDefault="00F317B9" w:rsidP="0068650C">
            <w:pPr>
              <w:pStyle w:val="ListParagraph"/>
              <w:numPr>
                <w:ilvl w:val="0"/>
                <w:numId w:val="3"/>
              </w:numPr>
              <w:spacing w:line="360" w:lineRule="auto"/>
              <w:rPr>
                <w:rFonts w:ascii="Arial" w:hAnsi="Arial" w:cs="Arial"/>
                <w:color w:val="000000"/>
              </w:rPr>
            </w:pPr>
            <w:r w:rsidRPr="000D000A">
              <w:rPr>
                <w:rFonts w:ascii="Arial" w:hAnsi="Arial" w:cs="Arial"/>
                <w:color w:val="000000"/>
              </w:rPr>
              <w:t>Section 18(1)(a) read with section 10(1) or (2) of the Protection from Harassment Act 17 of 2011</w:t>
            </w:r>
          </w:p>
        </w:tc>
        <w:tc>
          <w:tcPr>
            <w:tcW w:w="2830" w:type="pct"/>
            <w:tcBorders>
              <w:top w:val="nil"/>
              <w:left w:val="nil"/>
              <w:bottom w:val="nil"/>
              <w:right w:val="nil"/>
            </w:tcBorders>
            <w:shd w:val="clear" w:color="auto" w:fill="auto"/>
            <w:noWrap/>
            <w:vAlign w:val="bottom"/>
            <w:hideMark/>
          </w:tcPr>
          <w:p w:rsidR="00F317B9" w:rsidRPr="00F317B9" w:rsidRDefault="00F317B9" w:rsidP="001E6856">
            <w:pPr>
              <w:spacing w:line="360" w:lineRule="auto"/>
              <w:jc w:val="both"/>
              <w:rPr>
                <w:rFonts w:ascii="Arial" w:hAnsi="Arial" w:cs="Arial"/>
                <w:color w:val="000000"/>
              </w:rPr>
            </w:pPr>
            <w:r w:rsidRPr="00F317B9">
              <w:rPr>
                <w:rFonts w:ascii="Arial" w:hAnsi="Arial" w:cs="Arial"/>
                <w:color w:val="000000"/>
              </w:rPr>
              <w:t>Contravening a prohibition, condition, obligation or order imposed by a court by means of a protection order</w:t>
            </w:r>
            <w:r w:rsidR="00433323">
              <w:rPr>
                <w:rFonts w:ascii="Arial" w:hAnsi="Arial" w:cs="Arial"/>
                <w:color w:val="000000"/>
              </w:rPr>
              <w:t>.</w:t>
            </w:r>
          </w:p>
        </w:tc>
      </w:tr>
      <w:tr w:rsidR="00F317B9" w:rsidRPr="00F317B9" w:rsidTr="00AE393E">
        <w:trPr>
          <w:trHeight w:val="372"/>
        </w:trPr>
        <w:tc>
          <w:tcPr>
            <w:tcW w:w="2170" w:type="pct"/>
            <w:tcBorders>
              <w:top w:val="nil"/>
              <w:left w:val="nil"/>
              <w:bottom w:val="nil"/>
              <w:right w:val="nil"/>
            </w:tcBorders>
            <w:shd w:val="clear" w:color="000000" w:fill="FFFFFF"/>
            <w:noWrap/>
            <w:vAlign w:val="bottom"/>
            <w:hideMark/>
          </w:tcPr>
          <w:p w:rsidR="00F317B9" w:rsidRPr="000D000A" w:rsidRDefault="00F317B9" w:rsidP="0068650C">
            <w:pPr>
              <w:pStyle w:val="ListParagraph"/>
              <w:numPr>
                <w:ilvl w:val="0"/>
                <w:numId w:val="3"/>
              </w:numPr>
              <w:spacing w:line="360" w:lineRule="auto"/>
              <w:rPr>
                <w:rFonts w:ascii="Arial" w:hAnsi="Arial" w:cs="Arial"/>
                <w:color w:val="000000"/>
              </w:rPr>
            </w:pPr>
            <w:r w:rsidRPr="000D000A">
              <w:rPr>
                <w:rFonts w:ascii="Arial" w:hAnsi="Arial" w:cs="Arial"/>
                <w:color w:val="000000"/>
              </w:rPr>
              <w:t>Section 6(a) read with section 2 and 4 of the Prevention of Family Violence Act 133 of 1993</w:t>
            </w:r>
          </w:p>
        </w:tc>
        <w:tc>
          <w:tcPr>
            <w:tcW w:w="2830" w:type="pct"/>
            <w:tcBorders>
              <w:top w:val="nil"/>
              <w:left w:val="nil"/>
              <w:bottom w:val="nil"/>
              <w:right w:val="nil"/>
            </w:tcBorders>
            <w:shd w:val="clear" w:color="auto" w:fill="auto"/>
            <w:noWrap/>
            <w:vAlign w:val="bottom"/>
            <w:hideMark/>
          </w:tcPr>
          <w:p w:rsidR="00F317B9" w:rsidRPr="00F317B9" w:rsidRDefault="00F317B9" w:rsidP="001E6856">
            <w:pPr>
              <w:spacing w:line="360" w:lineRule="auto"/>
              <w:jc w:val="both"/>
              <w:rPr>
                <w:rFonts w:ascii="Arial" w:hAnsi="Arial" w:cs="Arial"/>
                <w:color w:val="000000"/>
              </w:rPr>
            </w:pPr>
            <w:r w:rsidRPr="00F317B9">
              <w:rPr>
                <w:rFonts w:ascii="Arial" w:hAnsi="Arial" w:cs="Arial"/>
                <w:color w:val="000000"/>
              </w:rPr>
              <w:t>Contravening an interdict or other order granted by a judge or magistrate in a domestic violence incident</w:t>
            </w:r>
            <w:r w:rsidR="00433323">
              <w:rPr>
                <w:rFonts w:ascii="Arial" w:hAnsi="Arial" w:cs="Arial"/>
                <w:color w:val="000000"/>
              </w:rPr>
              <w:t>.</w:t>
            </w:r>
          </w:p>
        </w:tc>
      </w:tr>
      <w:tr w:rsidR="00F317B9" w:rsidRPr="00F317B9" w:rsidTr="00AE393E">
        <w:trPr>
          <w:trHeight w:val="372"/>
        </w:trPr>
        <w:tc>
          <w:tcPr>
            <w:tcW w:w="2170" w:type="pct"/>
            <w:tcBorders>
              <w:top w:val="nil"/>
              <w:left w:val="nil"/>
              <w:bottom w:val="nil"/>
              <w:right w:val="nil"/>
            </w:tcBorders>
            <w:shd w:val="clear" w:color="000000" w:fill="C3D9FF"/>
            <w:noWrap/>
            <w:vAlign w:val="bottom"/>
            <w:hideMark/>
          </w:tcPr>
          <w:p w:rsidR="00F317B9" w:rsidRPr="000D000A" w:rsidRDefault="00F317B9" w:rsidP="0068650C">
            <w:pPr>
              <w:pStyle w:val="ListParagraph"/>
              <w:numPr>
                <w:ilvl w:val="0"/>
                <w:numId w:val="3"/>
              </w:numPr>
              <w:spacing w:line="360" w:lineRule="auto"/>
              <w:rPr>
                <w:rFonts w:ascii="Arial" w:hAnsi="Arial" w:cs="Arial"/>
                <w:color w:val="000000"/>
              </w:rPr>
            </w:pPr>
            <w:r w:rsidRPr="000D000A">
              <w:rPr>
                <w:rFonts w:ascii="Arial" w:hAnsi="Arial" w:cs="Arial"/>
                <w:color w:val="000000"/>
              </w:rPr>
              <w:t>Section 7(1) read with section 17 of the Domestic Violence Act 116 of 1998</w:t>
            </w:r>
          </w:p>
        </w:tc>
        <w:tc>
          <w:tcPr>
            <w:tcW w:w="2830" w:type="pct"/>
            <w:tcBorders>
              <w:top w:val="nil"/>
              <w:left w:val="nil"/>
              <w:bottom w:val="nil"/>
              <w:right w:val="nil"/>
            </w:tcBorders>
            <w:shd w:val="clear" w:color="auto" w:fill="auto"/>
            <w:noWrap/>
            <w:vAlign w:val="bottom"/>
            <w:hideMark/>
          </w:tcPr>
          <w:p w:rsidR="00F317B9" w:rsidRPr="00F317B9" w:rsidRDefault="00F317B9" w:rsidP="001E6856">
            <w:pPr>
              <w:spacing w:line="360" w:lineRule="auto"/>
              <w:jc w:val="both"/>
              <w:rPr>
                <w:rFonts w:ascii="Arial" w:hAnsi="Arial" w:cs="Arial"/>
                <w:color w:val="000000"/>
              </w:rPr>
            </w:pPr>
            <w:r w:rsidRPr="00F317B9">
              <w:rPr>
                <w:rFonts w:ascii="Arial" w:hAnsi="Arial" w:cs="Arial"/>
                <w:color w:val="000000"/>
              </w:rPr>
              <w:t xml:space="preserve">Contravening the conditions of domestic violence </w:t>
            </w:r>
            <w:r w:rsidR="00433323">
              <w:rPr>
                <w:rFonts w:ascii="Arial" w:hAnsi="Arial" w:cs="Arial"/>
                <w:color w:val="000000"/>
              </w:rPr>
              <w:t xml:space="preserve">protection </w:t>
            </w:r>
            <w:r w:rsidRPr="00F317B9">
              <w:rPr>
                <w:rFonts w:ascii="Arial" w:hAnsi="Arial" w:cs="Arial"/>
                <w:color w:val="000000"/>
              </w:rPr>
              <w:t>order</w:t>
            </w:r>
            <w:r w:rsidR="00433323">
              <w:rPr>
                <w:rFonts w:ascii="Arial" w:hAnsi="Arial" w:cs="Arial"/>
                <w:color w:val="000000"/>
              </w:rPr>
              <w:t>.</w:t>
            </w:r>
          </w:p>
        </w:tc>
      </w:tr>
    </w:tbl>
    <w:p w:rsidR="00F317B9" w:rsidRPr="00D14D32" w:rsidRDefault="00F317B9" w:rsidP="00D14D32">
      <w:pPr>
        <w:spacing w:line="360" w:lineRule="auto"/>
        <w:jc w:val="both"/>
        <w:rPr>
          <w:rFonts w:ascii="Arial" w:hAnsi="Arial" w:cs="Arial"/>
        </w:rPr>
      </w:pPr>
    </w:p>
    <w:p w:rsidR="00F317B9" w:rsidRPr="000D000A" w:rsidRDefault="00F317B9" w:rsidP="000D000A">
      <w:pPr>
        <w:pStyle w:val="ListParagraph"/>
        <w:spacing w:line="360" w:lineRule="auto"/>
        <w:ind w:left="360"/>
        <w:jc w:val="both"/>
        <w:rPr>
          <w:rFonts w:ascii="Arial" w:hAnsi="Arial" w:cs="Arial"/>
          <w:sz w:val="24"/>
        </w:rPr>
      </w:pPr>
      <w:r w:rsidRPr="000D000A">
        <w:rPr>
          <w:rFonts w:ascii="Arial" w:hAnsi="Arial" w:cs="Arial"/>
          <w:sz w:val="24"/>
        </w:rPr>
        <w:t xml:space="preserve">The following information, </w:t>
      </w:r>
      <w:r w:rsidR="008B4078" w:rsidRPr="000D000A">
        <w:rPr>
          <w:rFonts w:ascii="Arial" w:hAnsi="Arial" w:cs="Arial"/>
          <w:sz w:val="24"/>
        </w:rPr>
        <w:t>as extracted</w:t>
      </w:r>
      <w:r w:rsidR="00AA7D7E" w:rsidRPr="000D000A">
        <w:rPr>
          <w:rFonts w:ascii="Arial" w:hAnsi="Arial" w:cs="Arial"/>
          <w:sz w:val="24"/>
        </w:rPr>
        <w:t xml:space="preserve">, is only </w:t>
      </w:r>
      <w:r w:rsidR="008B4078" w:rsidRPr="000D000A">
        <w:rPr>
          <w:rFonts w:ascii="Arial" w:hAnsi="Arial" w:cs="Arial"/>
          <w:sz w:val="24"/>
        </w:rPr>
        <w:t xml:space="preserve">with reference to </w:t>
      </w:r>
      <w:r w:rsidR="00AA7D7E" w:rsidRPr="000D000A">
        <w:rPr>
          <w:rFonts w:ascii="Arial" w:hAnsi="Arial" w:cs="Arial"/>
          <w:sz w:val="24"/>
        </w:rPr>
        <w:t xml:space="preserve">contraventions on the aforementioned legislation. The previous </w:t>
      </w:r>
      <w:r w:rsidRPr="000D000A">
        <w:rPr>
          <w:rFonts w:ascii="Arial" w:hAnsi="Arial" w:cs="Arial"/>
          <w:sz w:val="24"/>
        </w:rPr>
        <w:t xml:space="preserve">disclaimers </w:t>
      </w:r>
      <w:r w:rsidR="00AA7D7E" w:rsidRPr="000D000A">
        <w:rPr>
          <w:rFonts w:ascii="Arial" w:hAnsi="Arial" w:cs="Arial"/>
          <w:sz w:val="24"/>
        </w:rPr>
        <w:t xml:space="preserve">as explained in the second paragraph should also be </w:t>
      </w:r>
      <w:r w:rsidRPr="000D000A">
        <w:rPr>
          <w:rFonts w:ascii="Arial" w:hAnsi="Arial" w:cs="Arial"/>
          <w:sz w:val="24"/>
        </w:rPr>
        <w:t>kept in mind</w:t>
      </w:r>
      <w:r w:rsidR="00AA7D7E" w:rsidRPr="000D000A">
        <w:rPr>
          <w:rFonts w:ascii="Arial" w:hAnsi="Arial" w:cs="Arial"/>
          <w:sz w:val="24"/>
        </w:rPr>
        <w:t xml:space="preserve">. </w:t>
      </w:r>
      <w:r w:rsidRPr="000D000A">
        <w:rPr>
          <w:rFonts w:ascii="Arial" w:hAnsi="Arial" w:cs="Arial"/>
          <w:sz w:val="24"/>
        </w:rPr>
        <w:t>A comparison of cases finalised between April 2019 and March 2020 compared with the verdicts finalised</w:t>
      </w:r>
      <w:r w:rsidR="005E7D5F" w:rsidRPr="000D000A">
        <w:rPr>
          <w:rFonts w:ascii="Arial" w:hAnsi="Arial" w:cs="Arial"/>
          <w:sz w:val="24"/>
        </w:rPr>
        <w:t xml:space="preserve"> with a verdict</w:t>
      </w:r>
      <w:r w:rsidRPr="000D000A">
        <w:rPr>
          <w:rFonts w:ascii="Arial" w:hAnsi="Arial" w:cs="Arial"/>
          <w:sz w:val="24"/>
        </w:rPr>
        <w:t xml:space="preserve"> between April 2020 and March 2021 is depicted in Figures 1 and 2 for District and Regional court respectively.</w:t>
      </w:r>
    </w:p>
    <w:p w:rsidR="00F317B9" w:rsidRDefault="005E7D5F" w:rsidP="000D000A">
      <w:pPr>
        <w:spacing w:line="360" w:lineRule="auto"/>
        <w:jc w:val="both"/>
        <w:rPr>
          <w:rFonts w:ascii="Arial" w:hAnsi="Arial" w:cs="Arial"/>
          <w:b/>
          <w:bCs/>
          <w:i/>
          <w:iCs/>
        </w:rPr>
      </w:pPr>
      <w:r w:rsidRPr="00D14D32">
        <w:rPr>
          <w:rFonts w:ascii="Arial" w:hAnsi="Arial" w:cs="Arial"/>
          <w:b/>
          <w:bCs/>
          <w:i/>
          <w:iCs/>
        </w:rPr>
        <w:lastRenderedPageBreak/>
        <w:t>Figure 1</w:t>
      </w:r>
      <w:r w:rsidR="00D14D32">
        <w:rPr>
          <w:rFonts w:ascii="Arial" w:hAnsi="Arial" w:cs="Arial"/>
          <w:b/>
          <w:bCs/>
          <w:i/>
          <w:iCs/>
        </w:rPr>
        <w:t>: Verdicts Apr 19- Mar 20 compared to Apr 20 – Mar 21 in DC</w:t>
      </w:r>
    </w:p>
    <w:p w:rsidR="004A6AD5" w:rsidRPr="002E400F" w:rsidRDefault="002E400F" w:rsidP="000D000A">
      <w:pPr>
        <w:spacing w:line="360" w:lineRule="auto"/>
        <w:jc w:val="both"/>
        <w:rPr>
          <w:rFonts w:ascii="Arial" w:hAnsi="Arial" w:cs="Arial"/>
          <w:bCs/>
          <w:i/>
          <w:iCs/>
          <w:sz w:val="20"/>
          <w:szCs w:val="20"/>
        </w:rPr>
      </w:pPr>
      <w:r w:rsidRPr="002E400F">
        <w:rPr>
          <w:rFonts w:ascii="Arial" w:hAnsi="Arial" w:cs="Arial"/>
          <w:bCs/>
          <w:i/>
          <w:iCs/>
          <w:sz w:val="20"/>
          <w:szCs w:val="20"/>
        </w:rPr>
        <w:t xml:space="preserve">Light blue </w:t>
      </w:r>
      <w:r>
        <w:rPr>
          <w:rFonts w:ascii="Arial" w:hAnsi="Arial" w:cs="Arial"/>
          <w:bCs/>
          <w:i/>
          <w:iCs/>
          <w:sz w:val="20"/>
          <w:szCs w:val="20"/>
        </w:rPr>
        <w:t xml:space="preserve">reflects the 2020/21 FY for number of verdict cases finalised per month. The decrease in numbers as indicated is due to the impact of covid-19 and related restrictions. The dark blue </w:t>
      </w:r>
      <w:r w:rsidR="00A47D07">
        <w:rPr>
          <w:rFonts w:ascii="Arial" w:hAnsi="Arial" w:cs="Arial"/>
          <w:bCs/>
          <w:i/>
          <w:iCs/>
          <w:sz w:val="20"/>
          <w:szCs w:val="20"/>
        </w:rPr>
        <w:t>information</w:t>
      </w:r>
      <w:r>
        <w:rPr>
          <w:rFonts w:ascii="Arial" w:hAnsi="Arial" w:cs="Arial"/>
          <w:bCs/>
          <w:i/>
          <w:iCs/>
          <w:sz w:val="20"/>
          <w:szCs w:val="20"/>
        </w:rPr>
        <w:t xml:space="preserve"> reflects the previous 2019/2020 FY.    </w:t>
      </w:r>
    </w:p>
    <w:tbl>
      <w:tblPr>
        <w:tblW w:w="0" w:type="dxa"/>
        <w:tblCellMar>
          <w:top w:w="15" w:type="dxa"/>
          <w:left w:w="15" w:type="dxa"/>
          <w:bottom w:w="15" w:type="dxa"/>
          <w:right w:w="15" w:type="dxa"/>
        </w:tblCellMar>
        <w:tblLook w:val="04A0"/>
      </w:tblPr>
      <w:tblGrid>
        <w:gridCol w:w="9026"/>
      </w:tblGrid>
      <w:tr w:rsidR="005E7D5F" w:rsidRPr="005E7D5F" w:rsidTr="005E7D5F">
        <w:tc>
          <w:tcPr>
            <w:tcW w:w="0" w:type="auto"/>
            <w:shd w:val="clear" w:color="auto" w:fill="auto"/>
            <w:tcMar>
              <w:top w:w="0" w:type="dxa"/>
              <w:left w:w="0" w:type="dxa"/>
              <w:bottom w:w="0" w:type="dxa"/>
              <w:right w:w="0" w:type="dxa"/>
            </w:tcMar>
            <w:vAlign w:val="center"/>
            <w:hideMark/>
          </w:tcPr>
          <w:p w:rsidR="005E7D5F" w:rsidRPr="005E7D5F" w:rsidRDefault="001A25E1" w:rsidP="00D14D32">
            <w:pPr>
              <w:spacing w:line="360" w:lineRule="auto"/>
              <w:rPr>
                <w:rFonts w:ascii="Arial" w:hAnsi="Arial" w:cs="Arial"/>
                <w:color w:val="605E5C"/>
              </w:rPr>
            </w:pPr>
            <w:r>
              <w:rPr>
                <w:rFonts w:ascii="Arial" w:hAnsi="Arial" w:cs="Arial"/>
                <w:noProof/>
              </w:rPr>
              <w:drawing>
                <wp:inline distT="0" distB="0" distL="0" distR="0">
                  <wp:extent cx="5886450" cy="3257550"/>
                  <wp:effectExtent l="1905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86450" cy="3257550"/>
                          </a:xfrm>
                          <a:prstGeom prst="rect">
                            <a:avLst/>
                          </a:prstGeom>
                          <a:noFill/>
                          <a:ln w="9525">
                            <a:noFill/>
                            <a:miter lim="800000"/>
                            <a:headEnd/>
                            <a:tailEnd/>
                          </a:ln>
                        </pic:spPr>
                      </pic:pic>
                    </a:graphicData>
                  </a:graphic>
                </wp:inline>
              </w:drawing>
            </w:r>
          </w:p>
        </w:tc>
      </w:tr>
      <w:tr w:rsidR="005E7D5F" w:rsidRPr="005E7D5F" w:rsidTr="005E7D5F">
        <w:tc>
          <w:tcPr>
            <w:tcW w:w="0" w:type="auto"/>
            <w:shd w:val="clear" w:color="auto" w:fill="auto"/>
            <w:tcMar>
              <w:top w:w="0" w:type="dxa"/>
              <w:left w:w="0" w:type="dxa"/>
              <w:bottom w:w="0" w:type="dxa"/>
              <w:right w:w="0" w:type="dxa"/>
            </w:tcMar>
            <w:vAlign w:val="center"/>
            <w:hideMark/>
          </w:tcPr>
          <w:p w:rsidR="005E7D5F" w:rsidRPr="005E7D5F" w:rsidRDefault="005E7D5F" w:rsidP="00D14D32">
            <w:pPr>
              <w:spacing w:line="360" w:lineRule="auto"/>
              <w:rPr>
                <w:rFonts w:ascii="Arial" w:hAnsi="Arial" w:cs="Arial"/>
                <w:color w:val="605E5C"/>
              </w:rPr>
            </w:pPr>
          </w:p>
        </w:tc>
      </w:tr>
    </w:tbl>
    <w:p w:rsidR="00113AFE" w:rsidRDefault="00113AFE" w:rsidP="00D14D32">
      <w:pPr>
        <w:spacing w:line="360" w:lineRule="auto"/>
        <w:jc w:val="both"/>
        <w:rPr>
          <w:rFonts w:ascii="Arial" w:hAnsi="Arial" w:cs="Arial"/>
          <w:b/>
          <w:bCs/>
          <w:i/>
          <w:iCs/>
        </w:rPr>
      </w:pPr>
    </w:p>
    <w:p w:rsidR="005E7D5F" w:rsidRDefault="005E7D5F" w:rsidP="00D14D32">
      <w:pPr>
        <w:spacing w:line="360" w:lineRule="auto"/>
        <w:jc w:val="both"/>
        <w:rPr>
          <w:rFonts w:ascii="Arial" w:hAnsi="Arial" w:cs="Arial"/>
          <w:b/>
          <w:bCs/>
          <w:i/>
          <w:iCs/>
        </w:rPr>
      </w:pPr>
      <w:r w:rsidRPr="00D14D32">
        <w:rPr>
          <w:rFonts w:ascii="Arial" w:hAnsi="Arial" w:cs="Arial"/>
          <w:b/>
          <w:bCs/>
          <w:i/>
          <w:iCs/>
        </w:rPr>
        <w:t>Figure 2</w:t>
      </w:r>
      <w:r w:rsidR="00D14D32">
        <w:rPr>
          <w:rFonts w:ascii="Arial" w:hAnsi="Arial" w:cs="Arial"/>
          <w:b/>
          <w:bCs/>
          <w:i/>
          <w:iCs/>
        </w:rPr>
        <w:t>: Verdicts Apr 19- Mar 20 compared to Apr 20 – Mar 21 in RC</w:t>
      </w:r>
    </w:p>
    <w:p w:rsidR="00A47D07" w:rsidRPr="002E400F" w:rsidRDefault="00A47D07" w:rsidP="00A47D07">
      <w:pPr>
        <w:spacing w:line="360" w:lineRule="auto"/>
        <w:jc w:val="both"/>
        <w:rPr>
          <w:rFonts w:ascii="Arial" w:hAnsi="Arial" w:cs="Arial"/>
          <w:bCs/>
          <w:i/>
          <w:iCs/>
          <w:sz w:val="20"/>
          <w:szCs w:val="20"/>
        </w:rPr>
      </w:pPr>
      <w:r w:rsidRPr="002E400F">
        <w:rPr>
          <w:rFonts w:ascii="Arial" w:hAnsi="Arial" w:cs="Arial"/>
          <w:bCs/>
          <w:i/>
          <w:iCs/>
          <w:sz w:val="20"/>
          <w:szCs w:val="20"/>
        </w:rPr>
        <w:t xml:space="preserve">Light blue </w:t>
      </w:r>
      <w:r>
        <w:rPr>
          <w:rFonts w:ascii="Arial" w:hAnsi="Arial" w:cs="Arial"/>
          <w:bCs/>
          <w:i/>
          <w:iCs/>
          <w:sz w:val="20"/>
          <w:szCs w:val="20"/>
        </w:rPr>
        <w:t xml:space="preserve">reflects the 2020/21 FY for number of verdict cases finalised per month. The decrease in numbers as indicated is due to the impact of covid-19 and related restrictions. The dark blue information reflects the previous 2019/2020 FY. The lower numbers in the Regional Court is attributed to the fact that the predominant number of these contraventions of orders are dealt with in the District Courts.     </w:t>
      </w:r>
    </w:p>
    <w:tbl>
      <w:tblPr>
        <w:tblW w:w="9026" w:type="dxa"/>
        <w:tblCellMar>
          <w:top w:w="15" w:type="dxa"/>
          <w:left w:w="15" w:type="dxa"/>
          <w:bottom w:w="15" w:type="dxa"/>
          <w:right w:w="15" w:type="dxa"/>
        </w:tblCellMar>
        <w:tblLook w:val="04A0"/>
      </w:tblPr>
      <w:tblGrid>
        <w:gridCol w:w="9026"/>
      </w:tblGrid>
      <w:tr w:rsidR="005E7D5F" w:rsidRPr="00D14D32" w:rsidTr="00A47D07">
        <w:tc>
          <w:tcPr>
            <w:tcW w:w="0" w:type="auto"/>
            <w:shd w:val="clear" w:color="auto" w:fill="auto"/>
            <w:tcMar>
              <w:top w:w="0" w:type="dxa"/>
              <w:left w:w="0" w:type="dxa"/>
              <w:bottom w:w="0" w:type="dxa"/>
              <w:right w:w="0" w:type="dxa"/>
            </w:tcMar>
            <w:vAlign w:val="center"/>
            <w:hideMark/>
          </w:tcPr>
          <w:p w:rsidR="005E7D5F" w:rsidRPr="00D14D32" w:rsidRDefault="001A25E1" w:rsidP="00D14D32">
            <w:pPr>
              <w:spacing w:line="360" w:lineRule="auto"/>
              <w:rPr>
                <w:rFonts w:ascii="Arial" w:hAnsi="Arial" w:cs="Arial"/>
                <w:color w:val="605E5C"/>
              </w:rPr>
            </w:pPr>
            <w:r>
              <w:rPr>
                <w:rFonts w:ascii="Arial" w:eastAsia="Calibri" w:hAnsi="Arial" w:cs="Arial"/>
                <w:noProof/>
              </w:rPr>
              <w:drawing>
                <wp:inline distT="0" distB="0" distL="0" distR="0">
                  <wp:extent cx="5734050" cy="2562225"/>
                  <wp:effectExtent l="1905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4050" cy="2562225"/>
                          </a:xfrm>
                          <a:prstGeom prst="rect">
                            <a:avLst/>
                          </a:prstGeom>
                          <a:noFill/>
                          <a:ln w="9525">
                            <a:noFill/>
                            <a:miter lim="800000"/>
                            <a:headEnd/>
                            <a:tailEnd/>
                          </a:ln>
                        </pic:spPr>
                      </pic:pic>
                    </a:graphicData>
                  </a:graphic>
                </wp:inline>
              </w:drawing>
            </w:r>
          </w:p>
        </w:tc>
      </w:tr>
      <w:tr w:rsidR="005E7D5F" w:rsidRPr="00D14D32" w:rsidTr="00A47D07">
        <w:tc>
          <w:tcPr>
            <w:tcW w:w="0" w:type="auto"/>
            <w:shd w:val="clear" w:color="auto" w:fill="auto"/>
            <w:tcMar>
              <w:top w:w="0" w:type="dxa"/>
              <w:left w:w="0" w:type="dxa"/>
              <w:bottom w:w="0" w:type="dxa"/>
              <w:right w:w="0" w:type="dxa"/>
            </w:tcMar>
            <w:vAlign w:val="center"/>
            <w:hideMark/>
          </w:tcPr>
          <w:p w:rsidR="005E7D5F" w:rsidRPr="00D14D32" w:rsidRDefault="005E7D5F" w:rsidP="00D14D32">
            <w:pPr>
              <w:spacing w:line="360" w:lineRule="auto"/>
              <w:rPr>
                <w:rFonts w:ascii="Arial" w:hAnsi="Arial" w:cs="Arial"/>
                <w:color w:val="605E5C"/>
              </w:rPr>
            </w:pPr>
          </w:p>
        </w:tc>
      </w:tr>
    </w:tbl>
    <w:p w:rsidR="00433323" w:rsidRPr="00D14D32" w:rsidRDefault="00433323" w:rsidP="00433323">
      <w:pPr>
        <w:spacing w:line="360" w:lineRule="auto"/>
        <w:jc w:val="both"/>
        <w:rPr>
          <w:rFonts w:ascii="Arial" w:hAnsi="Arial" w:cs="Arial"/>
        </w:rPr>
      </w:pPr>
      <w:r>
        <w:rPr>
          <w:rFonts w:ascii="Arial" w:hAnsi="Arial" w:cs="Arial"/>
        </w:rPr>
        <w:lastRenderedPageBreak/>
        <w:t>Similarly, a</w:t>
      </w:r>
      <w:r w:rsidRPr="00D14D32">
        <w:rPr>
          <w:rFonts w:ascii="Arial" w:hAnsi="Arial" w:cs="Arial"/>
        </w:rPr>
        <w:t xml:space="preserve"> comparison of cases finalised between April 201</w:t>
      </w:r>
      <w:r>
        <w:rPr>
          <w:rFonts w:ascii="Arial" w:hAnsi="Arial" w:cs="Arial"/>
        </w:rPr>
        <w:t>8</w:t>
      </w:r>
      <w:r w:rsidRPr="00D14D32">
        <w:rPr>
          <w:rFonts w:ascii="Arial" w:hAnsi="Arial" w:cs="Arial"/>
        </w:rPr>
        <w:t xml:space="preserve"> and March 20</w:t>
      </w:r>
      <w:r>
        <w:rPr>
          <w:rFonts w:ascii="Arial" w:hAnsi="Arial" w:cs="Arial"/>
        </w:rPr>
        <w:t>19</w:t>
      </w:r>
      <w:r w:rsidRPr="00D14D32">
        <w:rPr>
          <w:rFonts w:ascii="Arial" w:hAnsi="Arial" w:cs="Arial"/>
        </w:rPr>
        <w:t xml:space="preserve"> compared with the verdicts finalised with a verdict between April 20</w:t>
      </w:r>
      <w:r>
        <w:rPr>
          <w:rFonts w:ascii="Arial" w:hAnsi="Arial" w:cs="Arial"/>
        </w:rPr>
        <w:t>19</w:t>
      </w:r>
      <w:r w:rsidRPr="00D14D32">
        <w:rPr>
          <w:rFonts w:ascii="Arial" w:hAnsi="Arial" w:cs="Arial"/>
        </w:rPr>
        <w:t xml:space="preserve"> and March 202</w:t>
      </w:r>
      <w:r>
        <w:rPr>
          <w:rFonts w:ascii="Arial" w:hAnsi="Arial" w:cs="Arial"/>
        </w:rPr>
        <w:t>0</w:t>
      </w:r>
      <w:r w:rsidRPr="00D14D32">
        <w:rPr>
          <w:rFonts w:ascii="Arial" w:hAnsi="Arial" w:cs="Arial"/>
        </w:rPr>
        <w:t xml:space="preserve"> is depicted in Figures </w:t>
      </w:r>
      <w:r>
        <w:rPr>
          <w:rFonts w:ascii="Arial" w:hAnsi="Arial" w:cs="Arial"/>
        </w:rPr>
        <w:t>3</w:t>
      </w:r>
      <w:r w:rsidRPr="00D14D32">
        <w:rPr>
          <w:rFonts w:ascii="Arial" w:hAnsi="Arial" w:cs="Arial"/>
        </w:rPr>
        <w:t xml:space="preserve"> and </w:t>
      </w:r>
      <w:r>
        <w:rPr>
          <w:rFonts w:ascii="Arial" w:hAnsi="Arial" w:cs="Arial"/>
        </w:rPr>
        <w:t>4</w:t>
      </w:r>
      <w:r w:rsidRPr="00D14D32">
        <w:rPr>
          <w:rFonts w:ascii="Arial" w:hAnsi="Arial" w:cs="Arial"/>
        </w:rPr>
        <w:t xml:space="preserve"> for District and Regional court respectively.</w:t>
      </w:r>
    </w:p>
    <w:p w:rsidR="00433323" w:rsidRDefault="00433323" w:rsidP="00D14D32">
      <w:pPr>
        <w:spacing w:line="360" w:lineRule="auto"/>
        <w:jc w:val="both"/>
        <w:rPr>
          <w:rFonts w:ascii="Arial" w:hAnsi="Arial" w:cs="Arial"/>
          <w:b/>
          <w:bCs/>
          <w:i/>
          <w:iCs/>
        </w:rPr>
      </w:pPr>
    </w:p>
    <w:p w:rsidR="00D14D32" w:rsidRDefault="00D14D32" w:rsidP="00D14D32">
      <w:pPr>
        <w:spacing w:line="360" w:lineRule="auto"/>
        <w:jc w:val="both"/>
        <w:rPr>
          <w:rFonts w:ascii="Arial" w:hAnsi="Arial" w:cs="Arial"/>
          <w:b/>
          <w:bCs/>
          <w:i/>
          <w:iCs/>
        </w:rPr>
      </w:pPr>
      <w:r w:rsidRPr="00D14D32">
        <w:rPr>
          <w:rFonts w:ascii="Arial" w:hAnsi="Arial" w:cs="Arial"/>
          <w:b/>
          <w:bCs/>
          <w:i/>
          <w:iCs/>
        </w:rPr>
        <w:t xml:space="preserve">Figure </w:t>
      </w:r>
      <w:r>
        <w:rPr>
          <w:rFonts w:ascii="Arial" w:hAnsi="Arial" w:cs="Arial"/>
          <w:b/>
          <w:bCs/>
          <w:i/>
          <w:iCs/>
        </w:rPr>
        <w:t>3: Verdicts Apr 18- Mar 19 compared to Apr 19 – Mar 20 in DC</w:t>
      </w:r>
    </w:p>
    <w:p w:rsidR="006302CA" w:rsidRPr="00D14D32" w:rsidRDefault="006302CA" w:rsidP="00D14D32">
      <w:pPr>
        <w:spacing w:line="360" w:lineRule="auto"/>
        <w:jc w:val="both"/>
        <w:rPr>
          <w:rFonts w:ascii="Arial" w:hAnsi="Arial" w:cs="Arial"/>
          <w:b/>
          <w:bCs/>
          <w:i/>
          <w:iCs/>
        </w:rPr>
      </w:pPr>
      <w:r w:rsidRPr="002E400F">
        <w:rPr>
          <w:rFonts w:ascii="Arial" w:hAnsi="Arial" w:cs="Arial"/>
          <w:bCs/>
          <w:i/>
          <w:iCs/>
          <w:sz w:val="20"/>
          <w:szCs w:val="20"/>
        </w:rPr>
        <w:t xml:space="preserve">Light blue </w:t>
      </w:r>
      <w:r>
        <w:rPr>
          <w:rFonts w:ascii="Arial" w:hAnsi="Arial" w:cs="Arial"/>
          <w:bCs/>
          <w:i/>
          <w:iCs/>
          <w:sz w:val="20"/>
          <w:szCs w:val="20"/>
        </w:rPr>
        <w:t>reflects the 20</w:t>
      </w:r>
      <w:r w:rsidR="00BB2A9A">
        <w:rPr>
          <w:rFonts w:ascii="Arial" w:hAnsi="Arial" w:cs="Arial"/>
          <w:bCs/>
          <w:i/>
          <w:iCs/>
          <w:sz w:val="20"/>
          <w:szCs w:val="20"/>
        </w:rPr>
        <w:t>19</w:t>
      </w:r>
      <w:r>
        <w:rPr>
          <w:rFonts w:ascii="Arial" w:hAnsi="Arial" w:cs="Arial"/>
          <w:bCs/>
          <w:i/>
          <w:iCs/>
          <w:sz w:val="20"/>
          <w:szCs w:val="20"/>
        </w:rPr>
        <w:t>/2</w:t>
      </w:r>
      <w:r w:rsidR="00BB2A9A">
        <w:rPr>
          <w:rFonts w:ascii="Arial" w:hAnsi="Arial" w:cs="Arial"/>
          <w:bCs/>
          <w:i/>
          <w:iCs/>
          <w:sz w:val="20"/>
          <w:szCs w:val="20"/>
        </w:rPr>
        <w:t>0</w:t>
      </w:r>
      <w:r>
        <w:rPr>
          <w:rFonts w:ascii="Arial" w:hAnsi="Arial" w:cs="Arial"/>
          <w:bCs/>
          <w:i/>
          <w:iCs/>
          <w:sz w:val="20"/>
          <w:szCs w:val="20"/>
        </w:rPr>
        <w:t xml:space="preserve"> FY for number of verdict cases finalised per month. The dark blue information reflects the previous 201</w:t>
      </w:r>
      <w:r w:rsidR="00BB2A9A">
        <w:rPr>
          <w:rFonts w:ascii="Arial" w:hAnsi="Arial" w:cs="Arial"/>
          <w:bCs/>
          <w:i/>
          <w:iCs/>
          <w:sz w:val="20"/>
          <w:szCs w:val="20"/>
        </w:rPr>
        <w:t>8</w:t>
      </w:r>
      <w:r>
        <w:rPr>
          <w:rFonts w:ascii="Arial" w:hAnsi="Arial" w:cs="Arial"/>
          <w:bCs/>
          <w:i/>
          <w:iCs/>
          <w:sz w:val="20"/>
          <w:szCs w:val="20"/>
        </w:rPr>
        <w:t>/20</w:t>
      </w:r>
      <w:r w:rsidR="00BB2A9A">
        <w:rPr>
          <w:rFonts w:ascii="Arial" w:hAnsi="Arial" w:cs="Arial"/>
          <w:bCs/>
          <w:i/>
          <w:iCs/>
          <w:sz w:val="20"/>
          <w:szCs w:val="20"/>
        </w:rPr>
        <w:t>19</w:t>
      </w:r>
      <w:r>
        <w:rPr>
          <w:rFonts w:ascii="Arial" w:hAnsi="Arial" w:cs="Arial"/>
          <w:bCs/>
          <w:i/>
          <w:iCs/>
          <w:sz w:val="20"/>
          <w:szCs w:val="20"/>
        </w:rPr>
        <w:t xml:space="preserve"> FY.</w:t>
      </w:r>
    </w:p>
    <w:tbl>
      <w:tblPr>
        <w:tblW w:w="0" w:type="dxa"/>
        <w:tblCellMar>
          <w:top w:w="15" w:type="dxa"/>
          <w:left w:w="15" w:type="dxa"/>
          <w:bottom w:w="15" w:type="dxa"/>
          <w:right w:w="15" w:type="dxa"/>
        </w:tblCellMar>
        <w:tblLook w:val="04A0"/>
      </w:tblPr>
      <w:tblGrid>
        <w:gridCol w:w="9026"/>
      </w:tblGrid>
      <w:tr w:rsidR="00162F55" w:rsidTr="00162F55">
        <w:tc>
          <w:tcPr>
            <w:tcW w:w="0" w:type="auto"/>
            <w:shd w:val="clear" w:color="auto" w:fill="auto"/>
            <w:tcMar>
              <w:top w:w="0" w:type="dxa"/>
              <w:left w:w="0" w:type="dxa"/>
              <w:bottom w:w="0" w:type="dxa"/>
              <w:right w:w="0" w:type="dxa"/>
            </w:tcMar>
            <w:vAlign w:val="center"/>
            <w:hideMark/>
          </w:tcPr>
          <w:p w:rsidR="00162F55" w:rsidRDefault="001A25E1">
            <w:pPr>
              <w:rPr>
                <w:rFonts w:ascii="Segoe UI" w:hAnsi="Segoe UI" w:cs="Segoe UI"/>
                <w:color w:val="605E5C"/>
                <w:sz w:val="18"/>
                <w:szCs w:val="18"/>
              </w:rPr>
            </w:pPr>
            <w:r>
              <w:rPr>
                <w:rFonts w:ascii="Arial" w:hAnsi="Arial" w:cs="Arial"/>
                <w:noProof/>
              </w:rPr>
              <w:drawing>
                <wp:inline distT="0" distB="0" distL="0" distR="0">
                  <wp:extent cx="5734050" cy="2581275"/>
                  <wp:effectExtent l="1905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34050" cy="2581275"/>
                          </a:xfrm>
                          <a:prstGeom prst="rect">
                            <a:avLst/>
                          </a:prstGeom>
                          <a:noFill/>
                          <a:ln w="9525">
                            <a:noFill/>
                            <a:miter lim="800000"/>
                            <a:headEnd/>
                            <a:tailEnd/>
                          </a:ln>
                        </pic:spPr>
                      </pic:pic>
                    </a:graphicData>
                  </a:graphic>
                </wp:inline>
              </w:drawing>
            </w:r>
          </w:p>
        </w:tc>
      </w:tr>
      <w:tr w:rsidR="00162F55" w:rsidTr="00162F55">
        <w:tc>
          <w:tcPr>
            <w:tcW w:w="0" w:type="auto"/>
            <w:shd w:val="clear" w:color="auto" w:fill="auto"/>
            <w:tcMar>
              <w:top w:w="0" w:type="dxa"/>
              <w:left w:w="0" w:type="dxa"/>
              <w:bottom w:w="0" w:type="dxa"/>
              <w:right w:w="0" w:type="dxa"/>
            </w:tcMar>
            <w:vAlign w:val="center"/>
            <w:hideMark/>
          </w:tcPr>
          <w:p w:rsidR="00162F55" w:rsidRDefault="00162F55">
            <w:pPr>
              <w:rPr>
                <w:rFonts w:ascii="Segoe UI" w:hAnsi="Segoe UI" w:cs="Segoe UI"/>
                <w:color w:val="605E5C"/>
                <w:sz w:val="18"/>
                <w:szCs w:val="18"/>
              </w:rPr>
            </w:pPr>
          </w:p>
        </w:tc>
      </w:tr>
    </w:tbl>
    <w:p w:rsidR="0000381F" w:rsidRDefault="0000381F" w:rsidP="00162F55">
      <w:pPr>
        <w:spacing w:line="360" w:lineRule="auto"/>
        <w:jc w:val="both"/>
        <w:rPr>
          <w:rFonts w:ascii="Arial" w:hAnsi="Arial" w:cs="Arial"/>
          <w:b/>
          <w:bCs/>
          <w:i/>
          <w:iCs/>
        </w:rPr>
      </w:pPr>
    </w:p>
    <w:p w:rsidR="00162F55" w:rsidRPr="00D14D32" w:rsidRDefault="00162F55" w:rsidP="00162F55">
      <w:pPr>
        <w:spacing w:line="360" w:lineRule="auto"/>
        <w:jc w:val="both"/>
        <w:rPr>
          <w:rFonts w:ascii="Arial" w:hAnsi="Arial" w:cs="Arial"/>
          <w:b/>
          <w:bCs/>
          <w:i/>
          <w:iCs/>
        </w:rPr>
      </w:pPr>
      <w:r w:rsidRPr="00D14D32">
        <w:rPr>
          <w:rFonts w:ascii="Arial" w:hAnsi="Arial" w:cs="Arial"/>
          <w:b/>
          <w:bCs/>
          <w:i/>
          <w:iCs/>
        </w:rPr>
        <w:t xml:space="preserve">Figure </w:t>
      </w:r>
      <w:r>
        <w:rPr>
          <w:rFonts w:ascii="Arial" w:hAnsi="Arial" w:cs="Arial"/>
          <w:b/>
          <w:bCs/>
          <w:i/>
          <w:iCs/>
        </w:rPr>
        <w:t>4: Verdicts Apr 18- Mar 19 compared to Apr 19 – Mar 20 in RC</w:t>
      </w:r>
    </w:p>
    <w:tbl>
      <w:tblPr>
        <w:tblW w:w="0" w:type="dxa"/>
        <w:tblCellMar>
          <w:top w:w="15" w:type="dxa"/>
          <w:left w:w="15" w:type="dxa"/>
          <w:bottom w:w="15" w:type="dxa"/>
          <w:right w:w="15" w:type="dxa"/>
        </w:tblCellMar>
        <w:tblLook w:val="04A0"/>
      </w:tblPr>
      <w:tblGrid>
        <w:gridCol w:w="9026"/>
      </w:tblGrid>
      <w:tr w:rsidR="00162F55" w:rsidTr="00162F55">
        <w:tc>
          <w:tcPr>
            <w:tcW w:w="0" w:type="auto"/>
            <w:shd w:val="clear" w:color="auto" w:fill="auto"/>
            <w:tcMar>
              <w:top w:w="0" w:type="dxa"/>
              <w:left w:w="0" w:type="dxa"/>
              <w:bottom w:w="0" w:type="dxa"/>
              <w:right w:w="0" w:type="dxa"/>
            </w:tcMar>
            <w:vAlign w:val="center"/>
            <w:hideMark/>
          </w:tcPr>
          <w:p w:rsidR="00162F55" w:rsidRDefault="001A25E1">
            <w:pPr>
              <w:rPr>
                <w:rFonts w:ascii="Segoe UI" w:hAnsi="Segoe UI" w:cs="Segoe UI"/>
                <w:color w:val="605E5C"/>
                <w:sz w:val="18"/>
                <w:szCs w:val="18"/>
              </w:rPr>
            </w:pPr>
            <w:r>
              <w:rPr>
                <w:rFonts w:ascii="Arial" w:hAnsi="Arial" w:cs="Arial"/>
                <w:noProof/>
              </w:rPr>
              <w:drawing>
                <wp:inline distT="0" distB="0" distL="0" distR="0">
                  <wp:extent cx="5734050" cy="2733675"/>
                  <wp:effectExtent l="1905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4050" cy="2733675"/>
                          </a:xfrm>
                          <a:prstGeom prst="rect">
                            <a:avLst/>
                          </a:prstGeom>
                          <a:noFill/>
                          <a:ln w="9525">
                            <a:noFill/>
                            <a:miter lim="800000"/>
                            <a:headEnd/>
                            <a:tailEnd/>
                          </a:ln>
                        </pic:spPr>
                      </pic:pic>
                    </a:graphicData>
                  </a:graphic>
                </wp:inline>
              </w:drawing>
            </w:r>
          </w:p>
        </w:tc>
      </w:tr>
      <w:tr w:rsidR="00162F55" w:rsidTr="00162F55">
        <w:tc>
          <w:tcPr>
            <w:tcW w:w="0" w:type="auto"/>
            <w:shd w:val="clear" w:color="auto" w:fill="auto"/>
            <w:tcMar>
              <w:top w:w="0" w:type="dxa"/>
              <w:left w:w="0" w:type="dxa"/>
              <w:bottom w:w="0" w:type="dxa"/>
              <w:right w:w="0" w:type="dxa"/>
            </w:tcMar>
            <w:vAlign w:val="center"/>
            <w:hideMark/>
          </w:tcPr>
          <w:p w:rsidR="00162F55" w:rsidRDefault="00162F55">
            <w:pPr>
              <w:rPr>
                <w:rFonts w:ascii="Segoe UI" w:hAnsi="Segoe UI" w:cs="Segoe UI"/>
                <w:color w:val="605E5C"/>
                <w:sz w:val="18"/>
                <w:szCs w:val="18"/>
              </w:rPr>
            </w:pPr>
          </w:p>
        </w:tc>
      </w:tr>
    </w:tbl>
    <w:p w:rsidR="00113AFE" w:rsidRDefault="00113AFE" w:rsidP="00113AFE">
      <w:pPr>
        <w:pStyle w:val="ListParagraph"/>
        <w:spacing w:line="360" w:lineRule="auto"/>
        <w:ind w:left="360"/>
        <w:jc w:val="both"/>
        <w:rPr>
          <w:rFonts w:ascii="Arial" w:hAnsi="Arial" w:cs="Arial"/>
          <w:sz w:val="24"/>
        </w:rPr>
      </w:pPr>
    </w:p>
    <w:p w:rsidR="000D000A" w:rsidRDefault="00162F55" w:rsidP="00FD0743">
      <w:pPr>
        <w:pStyle w:val="ListParagraph"/>
        <w:numPr>
          <w:ilvl w:val="0"/>
          <w:numId w:val="4"/>
        </w:numPr>
        <w:spacing w:line="360" w:lineRule="auto"/>
        <w:jc w:val="both"/>
        <w:rPr>
          <w:rFonts w:ascii="Arial" w:hAnsi="Arial" w:cs="Arial"/>
          <w:sz w:val="24"/>
        </w:rPr>
      </w:pPr>
      <w:r w:rsidRPr="000D000A">
        <w:rPr>
          <w:rFonts w:ascii="Arial" w:hAnsi="Arial" w:cs="Arial"/>
          <w:sz w:val="24"/>
        </w:rPr>
        <w:t xml:space="preserve">The number of convictions resulting from the verdict cases are depicted in Figures 5 and </w:t>
      </w:r>
      <w:r w:rsidR="00FD0743" w:rsidRPr="000D000A">
        <w:rPr>
          <w:rFonts w:ascii="Arial" w:hAnsi="Arial" w:cs="Arial"/>
          <w:sz w:val="24"/>
        </w:rPr>
        <w:t xml:space="preserve">6 </w:t>
      </w:r>
      <w:r w:rsidRPr="000D000A">
        <w:rPr>
          <w:rFonts w:ascii="Arial" w:hAnsi="Arial" w:cs="Arial"/>
          <w:sz w:val="24"/>
        </w:rPr>
        <w:t>for the period April 2020 to March 2021; respectively for the District court and the Regional court. The conviction rates during this period for the District court was 77.9% and in the Regional court 77.3%.</w:t>
      </w:r>
    </w:p>
    <w:p w:rsidR="000D000A" w:rsidRDefault="000D000A" w:rsidP="000D000A">
      <w:pPr>
        <w:pStyle w:val="ListParagraph"/>
        <w:spacing w:line="360" w:lineRule="auto"/>
        <w:ind w:left="360"/>
        <w:jc w:val="both"/>
        <w:rPr>
          <w:rFonts w:ascii="Arial" w:hAnsi="Arial" w:cs="Arial"/>
          <w:sz w:val="24"/>
        </w:rPr>
      </w:pPr>
    </w:p>
    <w:p w:rsidR="00FD0743" w:rsidRPr="000D000A" w:rsidRDefault="00FD0743" w:rsidP="000D000A">
      <w:pPr>
        <w:pStyle w:val="ListParagraph"/>
        <w:spacing w:line="360" w:lineRule="auto"/>
        <w:ind w:left="360"/>
        <w:jc w:val="both"/>
        <w:rPr>
          <w:rFonts w:ascii="Arial" w:hAnsi="Arial" w:cs="Arial"/>
          <w:sz w:val="24"/>
        </w:rPr>
      </w:pPr>
      <w:r w:rsidRPr="000D000A">
        <w:rPr>
          <w:rFonts w:ascii="Arial" w:hAnsi="Arial" w:cs="Arial"/>
          <w:sz w:val="24"/>
        </w:rPr>
        <w:t>The number of convictions resulting from the verdict cases are depicted in Figures 7 and 8 for the period April 2019 to March 2020; respectively for the District court and the Regional court. The conviction rates during this period for the District court was 76.2% and in the Regional court 80.0%.</w:t>
      </w:r>
    </w:p>
    <w:p w:rsidR="00162F55" w:rsidRPr="00D14D32" w:rsidRDefault="00162F55" w:rsidP="00162F55">
      <w:pPr>
        <w:spacing w:line="360" w:lineRule="auto"/>
        <w:jc w:val="both"/>
        <w:rPr>
          <w:rFonts w:ascii="Arial" w:hAnsi="Arial" w:cs="Arial"/>
          <w:b/>
          <w:bCs/>
          <w:i/>
          <w:iCs/>
        </w:rPr>
      </w:pPr>
      <w:r w:rsidRPr="00D14D32">
        <w:rPr>
          <w:rFonts w:ascii="Arial" w:hAnsi="Arial" w:cs="Arial"/>
          <w:b/>
          <w:bCs/>
          <w:i/>
          <w:iCs/>
        </w:rPr>
        <w:t xml:space="preserve">Figure </w:t>
      </w:r>
      <w:r>
        <w:rPr>
          <w:rFonts w:ascii="Arial" w:hAnsi="Arial" w:cs="Arial"/>
          <w:b/>
          <w:bCs/>
          <w:i/>
          <w:iCs/>
        </w:rPr>
        <w:t>5: Verdicts b</w:t>
      </w:r>
      <w:r w:rsidR="00BC3A2D">
        <w:rPr>
          <w:rFonts w:ascii="Arial" w:hAnsi="Arial" w:cs="Arial"/>
          <w:b/>
          <w:bCs/>
          <w:i/>
          <w:iCs/>
        </w:rPr>
        <w:t>r</w:t>
      </w:r>
      <w:r>
        <w:rPr>
          <w:rFonts w:ascii="Arial" w:hAnsi="Arial" w:cs="Arial"/>
          <w:b/>
          <w:bCs/>
          <w:i/>
          <w:iCs/>
        </w:rPr>
        <w:t>eakdown for Apr 20- Mar 21 in DC</w:t>
      </w:r>
    </w:p>
    <w:tbl>
      <w:tblPr>
        <w:tblW w:w="9010" w:type="dxa"/>
        <w:tblCellMar>
          <w:top w:w="15" w:type="dxa"/>
          <w:left w:w="15" w:type="dxa"/>
          <w:bottom w:w="15" w:type="dxa"/>
          <w:right w:w="15" w:type="dxa"/>
        </w:tblCellMar>
        <w:tblLook w:val="04A0"/>
      </w:tblPr>
      <w:tblGrid>
        <w:gridCol w:w="9010"/>
      </w:tblGrid>
      <w:tr w:rsidR="00162F55" w:rsidTr="00FD0743">
        <w:trPr>
          <w:trHeight w:val="5339"/>
        </w:trPr>
        <w:tc>
          <w:tcPr>
            <w:tcW w:w="0" w:type="auto"/>
            <w:shd w:val="clear" w:color="auto" w:fill="auto"/>
            <w:tcMar>
              <w:top w:w="0" w:type="dxa"/>
              <w:left w:w="0" w:type="dxa"/>
              <w:bottom w:w="0" w:type="dxa"/>
              <w:right w:w="0" w:type="dxa"/>
            </w:tcMar>
            <w:vAlign w:val="center"/>
            <w:hideMark/>
          </w:tcPr>
          <w:p w:rsidR="00162F55" w:rsidRDefault="001A25E1">
            <w:pPr>
              <w:rPr>
                <w:rFonts w:ascii="Segoe UI" w:hAnsi="Segoe UI" w:cs="Segoe UI"/>
                <w:color w:val="605E5C"/>
                <w:sz w:val="18"/>
                <w:szCs w:val="18"/>
              </w:rPr>
            </w:pPr>
            <w:r>
              <w:rPr>
                <w:rFonts w:ascii="Arial" w:hAnsi="Arial" w:cs="Arial"/>
                <w:noProof/>
              </w:rPr>
              <w:drawing>
                <wp:inline distT="0" distB="0" distL="0" distR="0">
                  <wp:extent cx="5133975" cy="3228975"/>
                  <wp:effectExtent l="19050" t="0" r="9525" b="0"/>
                  <wp:docPr id="5"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133975" cy="3228975"/>
                          </a:xfrm>
                          <a:prstGeom prst="rect">
                            <a:avLst/>
                          </a:prstGeom>
                          <a:noFill/>
                          <a:ln w="9525">
                            <a:noFill/>
                            <a:miter lim="800000"/>
                            <a:headEnd/>
                            <a:tailEnd/>
                          </a:ln>
                        </pic:spPr>
                      </pic:pic>
                    </a:graphicData>
                  </a:graphic>
                </wp:inline>
              </w:drawing>
            </w:r>
          </w:p>
        </w:tc>
      </w:tr>
    </w:tbl>
    <w:p w:rsidR="00162F55" w:rsidRPr="00D14D32" w:rsidRDefault="00162F55" w:rsidP="00162F55">
      <w:pPr>
        <w:spacing w:line="360" w:lineRule="auto"/>
        <w:jc w:val="both"/>
        <w:rPr>
          <w:rFonts w:ascii="Arial" w:hAnsi="Arial" w:cs="Arial"/>
          <w:b/>
          <w:bCs/>
          <w:i/>
          <w:iCs/>
        </w:rPr>
      </w:pPr>
      <w:r w:rsidRPr="00D14D32">
        <w:rPr>
          <w:rFonts w:ascii="Arial" w:hAnsi="Arial" w:cs="Arial"/>
          <w:b/>
          <w:bCs/>
          <w:i/>
          <w:iCs/>
        </w:rPr>
        <w:t xml:space="preserve">Figure </w:t>
      </w:r>
      <w:r>
        <w:rPr>
          <w:rFonts w:ascii="Arial" w:hAnsi="Arial" w:cs="Arial"/>
          <w:b/>
          <w:bCs/>
          <w:i/>
          <w:iCs/>
        </w:rPr>
        <w:t>6: Verdicts b</w:t>
      </w:r>
      <w:r w:rsidR="00BC3A2D">
        <w:rPr>
          <w:rFonts w:ascii="Arial" w:hAnsi="Arial" w:cs="Arial"/>
          <w:b/>
          <w:bCs/>
          <w:i/>
          <w:iCs/>
        </w:rPr>
        <w:t>r</w:t>
      </w:r>
      <w:r>
        <w:rPr>
          <w:rFonts w:ascii="Arial" w:hAnsi="Arial" w:cs="Arial"/>
          <w:b/>
          <w:bCs/>
          <w:i/>
          <w:iCs/>
        </w:rPr>
        <w:t>eakdown for Apr 20 - Mar 21 in RC</w:t>
      </w:r>
    </w:p>
    <w:tbl>
      <w:tblPr>
        <w:tblW w:w="8289" w:type="dxa"/>
        <w:tblCellMar>
          <w:top w:w="15" w:type="dxa"/>
          <w:left w:w="15" w:type="dxa"/>
          <w:bottom w:w="15" w:type="dxa"/>
          <w:right w:w="15" w:type="dxa"/>
        </w:tblCellMar>
        <w:tblLook w:val="04A0"/>
      </w:tblPr>
      <w:tblGrid>
        <w:gridCol w:w="8289"/>
      </w:tblGrid>
      <w:tr w:rsidR="00162F55" w:rsidTr="00FD0743">
        <w:trPr>
          <w:trHeight w:val="4780"/>
        </w:trPr>
        <w:tc>
          <w:tcPr>
            <w:tcW w:w="0" w:type="auto"/>
            <w:shd w:val="clear" w:color="auto" w:fill="auto"/>
            <w:tcMar>
              <w:top w:w="0" w:type="dxa"/>
              <w:left w:w="0" w:type="dxa"/>
              <w:bottom w:w="0" w:type="dxa"/>
              <w:right w:w="0" w:type="dxa"/>
            </w:tcMar>
            <w:vAlign w:val="center"/>
            <w:hideMark/>
          </w:tcPr>
          <w:p w:rsidR="00162F55" w:rsidRDefault="001A25E1">
            <w:pPr>
              <w:rPr>
                <w:rFonts w:ascii="Segoe UI" w:hAnsi="Segoe UI" w:cs="Segoe UI"/>
                <w:color w:val="605E5C"/>
                <w:sz w:val="18"/>
                <w:szCs w:val="18"/>
              </w:rPr>
            </w:pPr>
            <w:r>
              <w:rPr>
                <w:rFonts w:ascii="Arial" w:hAnsi="Arial" w:cs="Arial"/>
                <w:noProof/>
              </w:rPr>
              <w:drawing>
                <wp:inline distT="0" distB="0" distL="0" distR="0">
                  <wp:extent cx="4762500" cy="2305050"/>
                  <wp:effectExtent l="19050" t="0" r="0" b="0"/>
                  <wp:docPr id="6"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762500" cy="2305050"/>
                          </a:xfrm>
                          <a:prstGeom prst="rect">
                            <a:avLst/>
                          </a:prstGeom>
                          <a:noFill/>
                          <a:ln w="9525">
                            <a:noFill/>
                            <a:miter lim="800000"/>
                            <a:headEnd/>
                            <a:tailEnd/>
                          </a:ln>
                        </pic:spPr>
                      </pic:pic>
                    </a:graphicData>
                  </a:graphic>
                </wp:inline>
              </w:drawing>
            </w:r>
          </w:p>
        </w:tc>
      </w:tr>
    </w:tbl>
    <w:p w:rsidR="00113AFE" w:rsidRDefault="00113AFE" w:rsidP="00162F55">
      <w:pPr>
        <w:spacing w:line="360" w:lineRule="auto"/>
        <w:jc w:val="both"/>
        <w:rPr>
          <w:rFonts w:ascii="Arial" w:hAnsi="Arial" w:cs="Arial"/>
          <w:b/>
          <w:bCs/>
          <w:i/>
          <w:iCs/>
        </w:rPr>
      </w:pPr>
    </w:p>
    <w:p w:rsidR="00113AFE" w:rsidRDefault="00113AFE" w:rsidP="00162F55">
      <w:pPr>
        <w:spacing w:line="360" w:lineRule="auto"/>
        <w:jc w:val="both"/>
        <w:rPr>
          <w:rFonts w:ascii="Arial" w:hAnsi="Arial" w:cs="Arial"/>
          <w:b/>
          <w:bCs/>
          <w:i/>
          <w:iCs/>
        </w:rPr>
      </w:pPr>
    </w:p>
    <w:p w:rsidR="00113AFE" w:rsidRDefault="00113AFE" w:rsidP="00162F55">
      <w:pPr>
        <w:spacing w:line="360" w:lineRule="auto"/>
        <w:jc w:val="both"/>
        <w:rPr>
          <w:rFonts w:ascii="Arial" w:hAnsi="Arial" w:cs="Arial"/>
          <w:b/>
          <w:bCs/>
          <w:i/>
          <w:iCs/>
        </w:rPr>
      </w:pPr>
    </w:p>
    <w:p w:rsidR="00162F55" w:rsidRPr="00D14D32" w:rsidRDefault="00162F55" w:rsidP="00162F55">
      <w:pPr>
        <w:spacing w:line="360" w:lineRule="auto"/>
        <w:jc w:val="both"/>
        <w:rPr>
          <w:rFonts w:ascii="Arial" w:hAnsi="Arial" w:cs="Arial"/>
          <w:b/>
          <w:bCs/>
          <w:i/>
          <w:iCs/>
        </w:rPr>
      </w:pPr>
      <w:r w:rsidRPr="00D14D32">
        <w:rPr>
          <w:rFonts w:ascii="Arial" w:hAnsi="Arial" w:cs="Arial"/>
          <w:b/>
          <w:bCs/>
          <w:i/>
          <w:iCs/>
        </w:rPr>
        <w:t xml:space="preserve">Figure </w:t>
      </w:r>
      <w:r>
        <w:rPr>
          <w:rFonts w:ascii="Arial" w:hAnsi="Arial" w:cs="Arial"/>
          <w:b/>
          <w:bCs/>
          <w:i/>
          <w:iCs/>
        </w:rPr>
        <w:t>7: Verdicts b</w:t>
      </w:r>
      <w:r w:rsidR="00BC3A2D">
        <w:rPr>
          <w:rFonts w:ascii="Arial" w:hAnsi="Arial" w:cs="Arial"/>
          <w:b/>
          <w:bCs/>
          <w:i/>
          <w:iCs/>
        </w:rPr>
        <w:t>r</w:t>
      </w:r>
      <w:r>
        <w:rPr>
          <w:rFonts w:ascii="Arial" w:hAnsi="Arial" w:cs="Arial"/>
          <w:b/>
          <w:bCs/>
          <w:i/>
          <w:iCs/>
        </w:rPr>
        <w:t>eakdown for Apr 19- Mar 20 in DC</w:t>
      </w:r>
    </w:p>
    <w:tbl>
      <w:tblPr>
        <w:tblW w:w="0" w:type="dxa"/>
        <w:tblCellMar>
          <w:top w:w="15" w:type="dxa"/>
          <w:left w:w="15" w:type="dxa"/>
          <w:bottom w:w="15" w:type="dxa"/>
          <w:right w:w="15" w:type="dxa"/>
        </w:tblCellMar>
        <w:tblLook w:val="04A0"/>
      </w:tblPr>
      <w:tblGrid>
        <w:gridCol w:w="7830"/>
      </w:tblGrid>
      <w:tr w:rsidR="00162F55" w:rsidTr="00162F55">
        <w:tc>
          <w:tcPr>
            <w:tcW w:w="0" w:type="auto"/>
            <w:shd w:val="clear" w:color="auto" w:fill="auto"/>
            <w:tcMar>
              <w:top w:w="0" w:type="dxa"/>
              <w:left w:w="0" w:type="dxa"/>
              <w:bottom w:w="0" w:type="dxa"/>
              <w:right w:w="0" w:type="dxa"/>
            </w:tcMar>
            <w:vAlign w:val="center"/>
            <w:hideMark/>
          </w:tcPr>
          <w:p w:rsidR="00162F55" w:rsidRDefault="001A25E1">
            <w:pPr>
              <w:rPr>
                <w:rFonts w:ascii="Segoe UI" w:hAnsi="Segoe UI" w:cs="Segoe UI"/>
                <w:color w:val="605E5C"/>
                <w:sz w:val="18"/>
                <w:szCs w:val="18"/>
              </w:rPr>
            </w:pPr>
            <w:r>
              <w:rPr>
                <w:rFonts w:ascii="Arial" w:hAnsi="Arial" w:cs="Arial"/>
                <w:noProof/>
              </w:rPr>
              <w:drawing>
                <wp:inline distT="0" distB="0" distL="0" distR="0">
                  <wp:extent cx="4943475" cy="3114675"/>
                  <wp:effectExtent l="19050" t="0" r="9525" b="0"/>
                  <wp:docPr id="7"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43475" cy="3114675"/>
                          </a:xfrm>
                          <a:prstGeom prst="rect">
                            <a:avLst/>
                          </a:prstGeom>
                          <a:noFill/>
                          <a:ln w="9525">
                            <a:noFill/>
                            <a:miter lim="800000"/>
                            <a:headEnd/>
                            <a:tailEnd/>
                          </a:ln>
                        </pic:spPr>
                      </pic:pic>
                    </a:graphicData>
                  </a:graphic>
                </wp:inline>
              </w:drawing>
            </w:r>
          </w:p>
        </w:tc>
      </w:tr>
      <w:tr w:rsidR="00162F55" w:rsidTr="00162F55">
        <w:tc>
          <w:tcPr>
            <w:tcW w:w="0" w:type="auto"/>
            <w:shd w:val="clear" w:color="auto" w:fill="auto"/>
            <w:tcMar>
              <w:top w:w="0" w:type="dxa"/>
              <w:left w:w="0" w:type="dxa"/>
              <w:bottom w:w="0" w:type="dxa"/>
              <w:right w:w="0" w:type="dxa"/>
            </w:tcMar>
            <w:vAlign w:val="center"/>
            <w:hideMark/>
          </w:tcPr>
          <w:p w:rsidR="00162F55" w:rsidRDefault="00162F55">
            <w:pPr>
              <w:rPr>
                <w:rFonts w:ascii="Segoe UI" w:hAnsi="Segoe UI" w:cs="Segoe UI"/>
                <w:color w:val="605E5C"/>
                <w:sz w:val="18"/>
                <w:szCs w:val="18"/>
              </w:rPr>
            </w:pPr>
          </w:p>
        </w:tc>
      </w:tr>
    </w:tbl>
    <w:p w:rsidR="00162F55" w:rsidRDefault="00162F55" w:rsidP="00162F55">
      <w:pPr>
        <w:spacing w:line="360" w:lineRule="auto"/>
        <w:rPr>
          <w:rFonts w:ascii="Arial" w:hAnsi="Arial" w:cs="Arial"/>
        </w:rPr>
      </w:pPr>
    </w:p>
    <w:p w:rsidR="000D000A" w:rsidRDefault="000D000A" w:rsidP="00162F55">
      <w:pPr>
        <w:spacing w:line="360" w:lineRule="auto"/>
        <w:jc w:val="both"/>
        <w:rPr>
          <w:rFonts w:ascii="Arial" w:hAnsi="Arial" w:cs="Arial"/>
          <w:b/>
          <w:bCs/>
          <w:i/>
          <w:iCs/>
        </w:rPr>
      </w:pPr>
    </w:p>
    <w:p w:rsidR="00162F55" w:rsidRPr="00D14D32" w:rsidRDefault="00162F55" w:rsidP="00162F55">
      <w:pPr>
        <w:spacing w:line="360" w:lineRule="auto"/>
        <w:jc w:val="both"/>
        <w:rPr>
          <w:rFonts w:ascii="Arial" w:hAnsi="Arial" w:cs="Arial"/>
          <w:b/>
          <w:bCs/>
          <w:i/>
          <w:iCs/>
        </w:rPr>
      </w:pPr>
      <w:r w:rsidRPr="00D14D32">
        <w:rPr>
          <w:rFonts w:ascii="Arial" w:hAnsi="Arial" w:cs="Arial"/>
          <w:b/>
          <w:bCs/>
          <w:i/>
          <w:iCs/>
        </w:rPr>
        <w:t xml:space="preserve">Figure </w:t>
      </w:r>
      <w:r>
        <w:rPr>
          <w:rFonts w:ascii="Arial" w:hAnsi="Arial" w:cs="Arial"/>
          <w:b/>
          <w:bCs/>
          <w:i/>
          <w:iCs/>
        </w:rPr>
        <w:t>8: Verdicts b</w:t>
      </w:r>
      <w:r w:rsidR="00BC3A2D">
        <w:rPr>
          <w:rFonts w:ascii="Arial" w:hAnsi="Arial" w:cs="Arial"/>
          <w:b/>
          <w:bCs/>
          <w:i/>
          <w:iCs/>
        </w:rPr>
        <w:t>r</w:t>
      </w:r>
      <w:r>
        <w:rPr>
          <w:rFonts w:ascii="Arial" w:hAnsi="Arial" w:cs="Arial"/>
          <w:b/>
          <w:bCs/>
          <w:i/>
          <w:iCs/>
        </w:rPr>
        <w:t>eakdown for Apr 19- Mar 20 in RC</w:t>
      </w:r>
    </w:p>
    <w:p w:rsidR="00162F55" w:rsidRDefault="00162F55" w:rsidP="00162F55">
      <w:pPr>
        <w:spacing w:line="360" w:lineRule="auto"/>
        <w:rPr>
          <w:rFonts w:ascii="Arial" w:hAnsi="Arial" w:cs="Arial"/>
        </w:rPr>
      </w:pPr>
    </w:p>
    <w:tbl>
      <w:tblPr>
        <w:tblW w:w="0" w:type="dxa"/>
        <w:tblCellMar>
          <w:top w:w="15" w:type="dxa"/>
          <w:left w:w="15" w:type="dxa"/>
          <w:bottom w:w="15" w:type="dxa"/>
          <w:right w:w="15" w:type="dxa"/>
        </w:tblCellMar>
        <w:tblLook w:val="04A0"/>
      </w:tblPr>
      <w:tblGrid>
        <w:gridCol w:w="7770"/>
      </w:tblGrid>
      <w:tr w:rsidR="00162F55" w:rsidTr="00162F55">
        <w:tc>
          <w:tcPr>
            <w:tcW w:w="0" w:type="auto"/>
            <w:shd w:val="clear" w:color="auto" w:fill="auto"/>
            <w:tcMar>
              <w:top w:w="0" w:type="dxa"/>
              <w:left w:w="0" w:type="dxa"/>
              <w:bottom w:w="0" w:type="dxa"/>
              <w:right w:w="0" w:type="dxa"/>
            </w:tcMar>
            <w:vAlign w:val="center"/>
            <w:hideMark/>
          </w:tcPr>
          <w:p w:rsidR="00162F55" w:rsidRDefault="001A25E1">
            <w:pPr>
              <w:rPr>
                <w:rFonts w:ascii="Segoe UI" w:hAnsi="Segoe UI" w:cs="Segoe UI"/>
                <w:color w:val="605E5C"/>
                <w:sz w:val="18"/>
                <w:szCs w:val="18"/>
              </w:rPr>
            </w:pPr>
            <w:r>
              <w:rPr>
                <w:rFonts w:ascii="Arial" w:hAnsi="Arial" w:cs="Arial"/>
                <w:noProof/>
              </w:rPr>
              <w:drawing>
                <wp:inline distT="0" distB="0" distL="0" distR="0">
                  <wp:extent cx="4914900" cy="3095625"/>
                  <wp:effectExtent l="19050" t="0" r="0" b="0"/>
                  <wp:docPr id="8"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914900" cy="3095625"/>
                          </a:xfrm>
                          <a:prstGeom prst="rect">
                            <a:avLst/>
                          </a:prstGeom>
                          <a:noFill/>
                          <a:ln w="9525">
                            <a:noFill/>
                            <a:miter lim="800000"/>
                            <a:headEnd/>
                            <a:tailEnd/>
                          </a:ln>
                        </pic:spPr>
                      </pic:pic>
                    </a:graphicData>
                  </a:graphic>
                </wp:inline>
              </w:drawing>
            </w:r>
          </w:p>
        </w:tc>
      </w:tr>
      <w:tr w:rsidR="00162F55" w:rsidTr="00162F55">
        <w:tc>
          <w:tcPr>
            <w:tcW w:w="0" w:type="auto"/>
            <w:shd w:val="clear" w:color="auto" w:fill="auto"/>
            <w:tcMar>
              <w:top w:w="0" w:type="dxa"/>
              <w:left w:w="0" w:type="dxa"/>
              <w:bottom w:w="0" w:type="dxa"/>
              <w:right w:w="0" w:type="dxa"/>
            </w:tcMar>
            <w:vAlign w:val="center"/>
            <w:hideMark/>
          </w:tcPr>
          <w:p w:rsidR="00162F55" w:rsidRDefault="00162F55">
            <w:pPr>
              <w:rPr>
                <w:rFonts w:ascii="Segoe UI" w:hAnsi="Segoe UI" w:cs="Segoe UI"/>
                <w:color w:val="605E5C"/>
                <w:sz w:val="18"/>
                <w:szCs w:val="18"/>
              </w:rPr>
            </w:pPr>
          </w:p>
        </w:tc>
      </w:tr>
    </w:tbl>
    <w:p w:rsidR="00162F55" w:rsidRPr="00162F55" w:rsidRDefault="00162F55" w:rsidP="00162F55">
      <w:pPr>
        <w:spacing w:line="360" w:lineRule="auto"/>
        <w:rPr>
          <w:rFonts w:ascii="Arial" w:hAnsi="Arial" w:cs="Arial"/>
        </w:rPr>
      </w:pPr>
    </w:p>
    <w:sectPr w:rsidR="00162F55" w:rsidRPr="00162F5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7F" w:rsidRDefault="00E4027F" w:rsidP="004B2A8F">
      <w:r>
        <w:separator/>
      </w:r>
    </w:p>
  </w:endnote>
  <w:endnote w:type="continuationSeparator" w:id="0">
    <w:p w:rsidR="00E4027F" w:rsidRDefault="00E4027F" w:rsidP="004B2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8F" w:rsidRDefault="004B2A8F">
    <w:pPr>
      <w:pStyle w:val="Footer"/>
      <w:jc w:val="right"/>
    </w:pPr>
    <w:fldSimple w:instr=" PAGE   \* MERGEFORMAT ">
      <w:r w:rsidR="001A25E1">
        <w:rPr>
          <w:noProof/>
        </w:rPr>
        <w:t>1</w:t>
      </w:r>
    </w:fldSimple>
  </w:p>
  <w:p w:rsidR="004B2A8F" w:rsidRDefault="004B2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7F" w:rsidRDefault="00E4027F" w:rsidP="004B2A8F">
      <w:r>
        <w:separator/>
      </w:r>
    </w:p>
  </w:footnote>
  <w:footnote w:type="continuationSeparator" w:id="0">
    <w:p w:rsidR="00E4027F" w:rsidRDefault="00E4027F" w:rsidP="004B2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7C2F"/>
    <w:multiLevelType w:val="hybridMultilevel"/>
    <w:tmpl w:val="150E2A6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8955D90"/>
    <w:multiLevelType w:val="hybridMultilevel"/>
    <w:tmpl w:val="E0D00712"/>
    <w:lvl w:ilvl="0" w:tplc="71AAEF8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D7A5BD3"/>
    <w:multiLevelType w:val="hybridMultilevel"/>
    <w:tmpl w:val="094AB57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C0D50EF"/>
    <w:multiLevelType w:val="hybridMultilevel"/>
    <w:tmpl w:val="6A9E8BCC"/>
    <w:lvl w:ilvl="0" w:tplc="284AEEA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28A2"/>
    <w:rsid w:val="0000381F"/>
    <w:rsid w:val="00010F47"/>
    <w:rsid w:val="000D000A"/>
    <w:rsid w:val="000D3B7F"/>
    <w:rsid w:val="00113AFE"/>
    <w:rsid w:val="00153BB3"/>
    <w:rsid w:val="00162F55"/>
    <w:rsid w:val="001A25E1"/>
    <w:rsid w:val="001E6856"/>
    <w:rsid w:val="00217270"/>
    <w:rsid w:val="0029165A"/>
    <w:rsid w:val="002E400F"/>
    <w:rsid w:val="00380BE3"/>
    <w:rsid w:val="0042609F"/>
    <w:rsid w:val="00433323"/>
    <w:rsid w:val="004A6AD5"/>
    <w:rsid w:val="004B2A8F"/>
    <w:rsid w:val="00565193"/>
    <w:rsid w:val="005B60D4"/>
    <w:rsid w:val="005E7D5F"/>
    <w:rsid w:val="006302CA"/>
    <w:rsid w:val="0068650C"/>
    <w:rsid w:val="00714BFC"/>
    <w:rsid w:val="008B4078"/>
    <w:rsid w:val="00920B42"/>
    <w:rsid w:val="009576A1"/>
    <w:rsid w:val="00A47D07"/>
    <w:rsid w:val="00AA7D7E"/>
    <w:rsid w:val="00AB0058"/>
    <w:rsid w:val="00AB0448"/>
    <w:rsid w:val="00AE393E"/>
    <w:rsid w:val="00BB2A9A"/>
    <w:rsid w:val="00BC3A2D"/>
    <w:rsid w:val="00D14D32"/>
    <w:rsid w:val="00D82D67"/>
    <w:rsid w:val="00DF0A50"/>
    <w:rsid w:val="00E4027F"/>
    <w:rsid w:val="00E708B4"/>
    <w:rsid w:val="00F228A2"/>
    <w:rsid w:val="00F317B9"/>
    <w:rsid w:val="00FD074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55"/>
    <w:rPr>
      <w:rFonts w:ascii="Times New Roman" w:eastAsia="Times New Roman" w:hAnsi="Times New Roman"/>
      <w:sz w:val="24"/>
      <w:szCs w:val="24"/>
    </w:rPr>
  </w:style>
  <w:style w:type="paragraph" w:styleId="Heading1">
    <w:name w:val="heading 1"/>
    <w:basedOn w:val="Normal"/>
    <w:link w:val="Heading1Char"/>
    <w:uiPriority w:val="9"/>
    <w:qFormat/>
    <w:rsid w:val="005E7D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B9"/>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5E7D5F"/>
    <w:rPr>
      <w:rFonts w:ascii="Times New Roman" w:eastAsia="Times New Roman" w:hAnsi="Times New Roman" w:cs="Times New Roman"/>
      <w:b/>
      <w:bCs/>
      <w:kern w:val="36"/>
      <w:sz w:val="48"/>
      <w:szCs w:val="48"/>
      <w:lang w:eastAsia="en-ZA"/>
    </w:rPr>
  </w:style>
  <w:style w:type="character" w:styleId="Hyperlink">
    <w:name w:val="Hyperlink"/>
    <w:uiPriority w:val="99"/>
    <w:semiHidden/>
    <w:unhideWhenUsed/>
    <w:rsid w:val="005E7D5F"/>
    <w:rPr>
      <w:color w:val="0000FF"/>
      <w:u w:val="single"/>
    </w:rPr>
  </w:style>
  <w:style w:type="paragraph" w:styleId="Header">
    <w:name w:val="header"/>
    <w:basedOn w:val="Normal"/>
    <w:link w:val="HeaderChar"/>
    <w:uiPriority w:val="99"/>
    <w:unhideWhenUsed/>
    <w:rsid w:val="004B2A8F"/>
    <w:pPr>
      <w:tabs>
        <w:tab w:val="center" w:pos="4513"/>
        <w:tab w:val="right" w:pos="9026"/>
      </w:tabs>
    </w:pPr>
  </w:style>
  <w:style w:type="character" w:customStyle="1" w:styleId="HeaderChar">
    <w:name w:val="Header Char"/>
    <w:link w:val="Header"/>
    <w:uiPriority w:val="99"/>
    <w:rsid w:val="004B2A8F"/>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4B2A8F"/>
    <w:pPr>
      <w:tabs>
        <w:tab w:val="center" w:pos="4513"/>
        <w:tab w:val="right" w:pos="9026"/>
      </w:tabs>
    </w:pPr>
  </w:style>
  <w:style w:type="character" w:customStyle="1" w:styleId="FooterChar">
    <w:name w:val="Footer Char"/>
    <w:link w:val="Footer"/>
    <w:uiPriority w:val="99"/>
    <w:rsid w:val="004B2A8F"/>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49619065">
      <w:bodyDiv w:val="1"/>
      <w:marLeft w:val="0"/>
      <w:marRight w:val="0"/>
      <w:marTop w:val="0"/>
      <w:marBottom w:val="0"/>
      <w:divBdr>
        <w:top w:val="none" w:sz="0" w:space="0" w:color="auto"/>
        <w:left w:val="none" w:sz="0" w:space="0" w:color="auto"/>
        <w:bottom w:val="none" w:sz="0" w:space="0" w:color="auto"/>
        <w:right w:val="none" w:sz="0" w:space="0" w:color="auto"/>
      </w:divBdr>
    </w:div>
    <w:div w:id="83302955">
      <w:bodyDiv w:val="1"/>
      <w:marLeft w:val="0"/>
      <w:marRight w:val="0"/>
      <w:marTop w:val="0"/>
      <w:marBottom w:val="0"/>
      <w:divBdr>
        <w:top w:val="none" w:sz="0" w:space="0" w:color="auto"/>
        <w:left w:val="none" w:sz="0" w:space="0" w:color="auto"/>
        <w:bottom w:val="none" w:sz="0" w:space="0" w:color="auto"/>
        <w:right w:val="none" w:sz="0" w:space="0" w:color="auto"/>
      </w:divBdr>
    </w:div>
    <w:div w:id="200434933">
      <w:bodyDiv w:val="1"/>
      <w:marLeft w:val="0"/>
      <w:marRight w:val="0"/>
      <w:marTop w:val="0"/>
      <w:marBottom w:val="0"/>
      <w:divBdr>
        <w:top w:val="none" w:sz="0" w:space="0" w:color="auto"/>
        <w:left w:val="none" w:sz="0" w:space="0" w:color="auto"/>
        <w:bottom w:val="none" w:sz="0" w:space="0" w:color="auto"/>
        <w:right w:val="none" w:sz="0" w:space="0" w:color="auto"/>
      </w:divBdr>
    </w:div>
    <w:div w:id="352534154">
      <w:bodyDiv w:val="1"/>
      <w:marLeft w:val="0"/>
      <w:marRight w:val="0"/>
      <w:marTop w:val="0"/>
      <w:marBottom w:val="0"/>
      <w:divBdr>
        <w:top w:val="none" w:sz="0" w:space="0" w:color="auto"/>
        <w:left w:val="none" w:sz="0" w:space="0" w:color="auto"/>
        <w:bottom w:val="none" w:sz="0" w:space="0" w:color="auto"/>
        <w:right w:val="none" w:sz="0" w:space="0" w:color="auto"/>
      </w:divBdr>
    </w:div>
    <w:div w:id="424152048">
      <w:bodyDiv w:val="1"/>
      <w:marLeft w:val="0"/>
      <w:marRight w:val="0"/>
      <w:marTop w:val="0"/>
      <w:marBottom w:val="0"/>
      <w:divBdr>
        <w:top w:val="none" w:sz="0" w:space="0" w:color="auto"/>
        <w:left w:val="none" w:sz="0" w:space="0" w:color="auto"/>
        <w:bottom w:val="none" w:sz="0" w:space="0" w:color="auto"/>
        <w:right w:val="none" w:sz="0" w:space="0" w:color="auto"/>
      </w:divBdr>
    </w:div>
    <w:div w:id="443110104">
      <w:bodyDiv w:val="1"/>
      <w:marLeft w:val="0"/>
      <w:marRight w:val="0"/>
      <w:marTop w:val="0"/>
      <w:marBottom w:val="0"/>
      <w:divBdr>
        <w:top w:val="none" w:sz="0" w:space="0" w:color="auto"/>
        <w:left w:val="none" w:sz="0" w:space="0" w:color="auto"/>
        <w:bottom w:val="none" w:sz="0" w:space="0" w:color="auto"/>
        <w:right w:val="none" w:sz="0" w:space="0" w:color="auto"/>
      </w:divBdr>
    </w:div>
    <w:div w:id="699666334">
      <w:bodyDiv w:val="1"/>
      <w:marLeft w:val="0"/>
      <w:marRight w:val="0"/>
      <w:marTop w:val="0"/>
      <w:marBottom w:val="0"/>
      <w:divBdr>
        <w:top w:val="none" w:sz="0" w:space="0" w:color="auto"/>
        <w:left w:val="none" w:sz="0" w:space="0" w:color="auto"/>
        <w:bottom w:val="none" w:sz="0" w:space="0" w:color="auto"/>
        <w:right w:val="none" w:sz="0" w:space="0" w:color="auto"/>
      </w:divBdr>
    </w:div>
    <w:div w:id="1583488613">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21018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powerbi.com/MobileRedirect.html?action=OpenReport&amp;groupObjectId=a718c380-8231-44e2-aa89-0c472b16d0f1&amp;reportObjectId=10925246-0c70-463a-91ca-5757a325960d&amp;ctid=fe797821-586d-4735-a218-5224508e48b8&amp;reportPage=ReportSection5e1fe02c71b3067060e9&amp;pbi_source=copyvisualimage"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4455</CharactersWithSpaces>
  <SharedDoc>false</SharedDoc>
  <HLinks>
    <vt:vector size="48" baseType="variant">
      <vt:variant>
        <vt:i4>7274556</vt:i4>
      </vt:variant>
      <vt:variant>
        <vt:i4>21</vt:i4>
      </vt:variant>
      <vt:variant>
        <vt:i4>0</vt:i4>
      </vt:variant>
      <vt:variant>
        <vt:i4>5</vt:i4>
      </vt:variant>
      <vt:variant>
        <vt:lpwstr>https://app.powerbi.com/MobileRedirect.html?action=OpenReport&amp;groupObjectId=a718c380-8231-44e2-aa89-0c472b16d0f1&amp;reportObjectId=10925246-0c70-463a-91ca-5757a325960d&amp;ctid=fe797821-586d-4735-a218-5224508e48b8&amp;reportPage=ReportSection5e1fe02c71b3067060e9&amp;pbi_source=copyvisualimage</vt:lpwstr>
      </vt:variant>
      <vt:variant>
        <vt:lpwstr/>
      </vt:variant>
      <vt:variant>
        <vt:i4>7274556</vt:i4>
      </vt:variant>
      <vt:variant>
        <vt:i4>18</vt:i4>
      </vt:variant>
      <vt:variant>
        <vt:i4>0</vt:i4>
      </vt:variant>
      <vt:variant>
        <vt:i4>5</vt:i4>
      </vt:variant>
      <vt:variant>
        <vt:lpwstr>https://app.powerbi.com/MobileRedirect.html?action=OpenReport&amp;groupObjectId=a718c380-8231-44e2-aa89-0c472b16d0f1&amp;reportObjectId=10925246-0c70-463a-91ca-5757a325960d&amp;ctid=fe797821-586d-4735-a218-5224508e48b8&amp;reportPage=ReportSection5e1fe02c71b3067060e9&amp;pbi_source=copyvisualimage</vt:lpwstr>
      </vt:variant>
      <vt:variant>
        <vt:lpwstr/>
      </vt:variant>
      <vt:variant>
        <vt:i4>7274556</vt:i4>
      </vt:variant>
      <vt:variant>
        <vt:i4>15</vt:i4>
      </vt:variant>
      <vt:variant>
        <vt:i4>0</vt:i4>
      </vt:variant>
      <vt:variant>
        <vt:i4>5</vt:i4>
      </vt:variant>
      <vt:variant>
        <vt:lpwstr>https://app.powerbi.com/MobileRedirect.html?action=OpenReport&amp;groupObjectId=a718c380-8231-44e2-aa89-0c472b16d0f1&amp;reportObjectId=10925246-0c70-463a-91ca-5757a325960d&amp;ctid=fe797821-586d-4735-a218-5224508e48b8&amp;reportPage=ReportSection5e1fe02c71b3067060e9&amp;pbi_source=copyvisualimage</vt:lpwstr>
      </vt:variant>
      <vt:variant>
        <vt:lpwstr/>
      </vt:variant>
      <vt:variant>
        <vt:i4>7274556</vt:i4>
      </vt:variant>
      <vt:variant>
        <vt:i4>12</vt:i4>
      </vt:variant>
      <vt:variant>
        <vt:i4>0</vt:i4>
      </vt:variant>
      <vt:variant>
        <vt:i4>5</vt:i4>
      </vt:variant>
      <vt:variant>
        <vt:lpwstr>https://app.powerbi.com/MobileRedirect.html?action=OpenReport&amp;groupObjectId=a718c380-8231-44e2-aa89-0c472b16d0f1&amp;reportObjectId=10925246-0c70-463a-91ca-5757a325960d&amp;ctid=fe797821-586d-4735-a218-5224508e48b8&amp;reportPage=ReportSection5e1fe02c71b3067060e9&amp;pbi_source=copyvisualimage</vt:lpwstr>
      </vt:variant>
      <vt:variant>
        <vt:lpwstr/>
      </vt:variant>
      <vt:variant>
        <vt:i4>7274556</vt:i4>
      </vt:variant>
      <vt:variant>
        <vt:i4>9</vt:i4>
      </vt:variant>
      <vt:variant>
        <vt:i4>0</vt:i4>
      </vt:variant>
      <vt:variant>
        <vt:i4>5</vt:i4>
      </vt:variant>
      <vt:variant>
        <vt:lpwstr>https://app.powerbi.com/MobileRedirect.html?action=OpenReport&amp;groupObjectId=a718c380-8231-44e2-aa89-0c472b16d0f1&amp;reportObjectId=10925246-0c70-463a-91ca-5757a325960d&amp;ctid=fe797821-586d-4735-a218-5224508e48b8&amp;reportPage=ReportSection5e1fe02c71b3067060e9&amp;pbi_source=copyvisualimage</vt:lpwstr>
      </vt:variant>
      <vt:variant>
        <vt:lpwstr/>
      </vt:variant>
      <vt:variant>
        <vt:i4>7274556</vt:i4>
      </vt:variant>
      <vt:variant>
        <vt:i4>6</vt:i4>
      </vt:variant>
      <vt:variant>
        <vt:i4>0</vt:i4>
      </vt:variant>
      <vt:variant>
        <vt:i4>5</vt:i4>
      </vt:variant>
      <vt:variant>
        <vt:lpwstr>https://app.powerbi.com/MobileRedirect.html?action=OpenReport&amp;groupObjectId=a718c380-8231-44e2-aa89-0c472b16d0f1&amp;reportObjectId=10925246-0c70-463a-91ca-5757a325960d&amp;ctid=fe797821-586d-4735-a218-5224508e48b8&amp;reportPage=ReportSection5e1fe02c71b3067060e9&amp;pbi_source=copyvisualimage</vt:lpwstr>
      </vt:variant>
      <vt:variant>
        <vt:lpwstr/>
      </vt:variant>
      <vt:variant>
        <vt:i4>7274556</vt:i4>
      </vt:variant>
      <vt:variant>
        <vt:i4>3</vt:i4>
      </vt:variant>
      <vt:variant>
        <vt:i4>0</vt:i4>
      </vt:variant>
      <vt:variant>
        <vt:i4>5</vt:i4>
      </vt:variant>
      <vt:variant>
        <vt:lpwstr>https://app.powerbi.com/MobileRedirect.html?action=OpenReport&amp;groupObjectId=a718c380-8231-44e2-aa89-0c472b16d0f1&amp;reportObjectId=10925246-0c70-463a-91ca-5757a325960d&amp;ctid=fe797821-586d-4735-a218-5224508e48b8&amp;reportPage=ReportSection5e1fe02c71b3067060e9&amp;pbi_source=copyvisualimage</vt:lpwstr>
      </vt:variant>
      <vt:variant>
        <vt:lpwstr/>
      </vt:variant>
      <vt:variant>
        <vt:i4>7274556</vt:i4>
      </vt:variant>
      <vt:variant>
        <vt:i4>0</vt:i4>
      </vt:variant>
      <vt:variant>
        <vt:i4>0</vt:i4>
      </vt:variant>
      <vt:variant>
        <vt:i4>5</vt:i4>
      </vt:variant>
      <vt:variant>
        <vt:lpwstr>https://app.powerbi.com/MobileRedirect.html?action=OpenReport&amp;groupObjectId=a718c380-8231-44e2-aa89-0c472b16d0f1&amp;reportObjectId=10925246-0c70-463a-91ca-5757a325960d&amp;ctid=fe797821-586d-4735-a218-5224508e48b8&amp;reportPage=ReportSection5e1fe02c71b3067060e9&amp;pbi_source=copyvisualim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Schutte (JHT)</dc:creator>
  <cp:lastModifiedBy>USER</cp:lastModifiedBy>
  <cp:revision>2</cp:revision>
  <dcterms:created xsi:type="dcterms:W3CDTF">2021-07-09T14:20:00Z</dcterms:created>
  <dcterms:modified xsi:type="dcterms:W3CDTF">2021-07-09T14:20:00Z</dcterms:modified>
</cp:coreProperties>
</file>