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DA42EE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42EE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DA42EE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42EE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DA42EE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42EE">
        <w:rPr>
          <w:rFonts w:ascii="Arial" w:hAnsi="Arial" w:cs="Arial"/>
          <w:b/>
          <w:sz w:val="24"/>
          <w:szCs w:val="24"/>
        </w:rPr>
        <w:t>WRITTEN REPLY</w:t>
      </w:r>
    </w:p>
    <w:p w:rsidR="006C090A" w:rsidRPr="00DA42E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6C090A" w:rsidRPr="000F41A6" w:rsidRDefault="006C090A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b/>
          <w:sz w:val="24"/>
          <w:szCs w:val="24"/>
        </w:rPr>
        <w:t xml:space="preserve">QUESTION NO: </w:t>
      </w:r>
      <w:r w:rsidR="00C316B0" w:rsidRPr="000F41A6">
        <w:rPr>
          <w:rFonts w:ascii="Arial" w:hAnsi="Arial" w:cs="Arial"/>
          <w:b/>
          <w:sz w:val="24"/>
          <w:szCs w:val="24"/>
        </w:rPr>
        <w:t>90</w:t>
      </w:r>
      <w:r w:rsidR="00977CF6" w:rsidRPr="000F41A6">
        <w:rPr>
          <w:rFonts w:ascii="Arial" w:hAnsi="Arial" w:cs="Arial"/>
          <w:b/>
          <w:sz w:val="24"/>
          <w:szCs w:val="24"/>
        </w:rPr>
        <w:t>3</w:t>
      </w:r>
    </w:p>
    <w:p w:rsidR="00DA42EE" w:rsidRDefault="00DA42EE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0F41A6" w:rsidRDefault="006C090A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b/>
          <w:sz w:val="24"/>
          <w:szCs w:val="24"/>
        </w:rPr>
        <w:t>DATE OF PUBLICATION:</w:t>
      </w:r>
      <w:r w:rsidR="00D22D1A">
        <w:rPr>
          <w:rFonts w:ascii="Arial" w:hAnsi="Arial" w:cs="Arial"/>
          <w:b/>
          <w:sz w:val="24"/>
          <w:szCs w:val="24"/>
        </w:rPr>
        <w:t xml:space="preserve"> 23 March 2018</w:t>
      </w:r>
      <w:r w:rsidR="00DA42EE">
        <w:rPr>
          <w:rFonts w:ascii="Arial" w:hAnsi="Arial" w:cs="Arial"/>
          <w:b/>
          <w:sz w:val="24"/>
          <w:szCs w:val="24"/>
        </w:rPr>
        <w:t xml:space="preserve"> </w:t>
      </w:r>
      <w:r w:rsidRPr="000F41A6">
        <w:rPr>
          <w:rFonts w:ascii="Arial" w:hAnsi="Arial" w:cs="Arial"/>
          <w:b/>
          <w:sz w:val="24"/>
          <w:szCs w:val="24"/>
        </w:rPr>
        <w:t xml:space="preserve">  </w:t>
      </w:r>
    </w:p>
    <w:p w:rsidR="00DA42EE" w:rsidRDefault="00DA42EE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0F41A6" w:rsidRDefault="006C090A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b/>
          <w:sz w:val="24"/>
          <w:szCs w:val="24"/>
        </w:rPr>
        <w:t>QUESTION PAPER NO:</w:t>
      </w:r>
      <w:r w:rsidR="00D22D1A">
        <w:rPr>
          <w:rFonts w:ascii="Arial" w:hAnsi="Arial" w:cs="Arial"/>
          <w:b/>
          <w:sz w:val="24"/>
          <w:szCs w:val="24"/>
        </w:rPr>
        <w:t xml:space="preserve"> 09</w:t>
      </w:r>
    </w:p>
    <w:p w:rsidR="00DA42EE" w:rsidRDefault="00DA42EE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</w:p>
    <w:p w:rsidR="006C090A" w:rsidRPr="000F41A6" w:rsidRDefault="006C090A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C090A" w:rsidRPr="000F41A6" w:rsidRDefault="006C090A" w:rsidP="000F41A6">
      <w:pPr>
        <w:tabs>
          <w:tab w:val="left" w:pos="7020"/>
        </w:tabs>
        <w:rPr>
          <w:rFonts w:ascii="Arial" w:hAnsi="Arial" w:cs="Arial"/>
          <w:b/>
          <w:sz w:val="24"/>
          <w:szCs w:val="24"/>
          <w:u w:val="single"/>
        </w:rPr>
      </w:pPr>
    </w:p>
    <w:p w:rsidR="00DB1861" w:rsidRPr="000F41A6" w:rsidRDefault="00320273" w:rsidP="000F41A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b/>
          <w:sz w:val="24"/>
          <w:szCs w:val="24"/>
        </w:rPr>
        <w:t>M</w:t>
      </w:r>
      <w:r w:rsidR="00FC2423" w:rsidRPr="000F41A6">
        <w:rPr>
          <w:rFonts w:ascii="Arial" w:hAnsi="Arial" w:cs="Arial"/>
          <w:b/>
          <w:sz w:val="24"/>
          <w:szCs w:val="24"/>
        </w:rPr>
        <w:t>s V Ketabahle</w:t>
      </w:r>
      <w:r w:rsidR="001B427A" w:rsidRPr="000F41A6">
        <w:rPr>
          <w:rFonts w:ascii="Arial" w:hAnsi="Arial" w:cs="Arial"/>
          <w:sz w:val="24"/>
          <w:szCs w:val="24"/>
        </w:rPr>
        <w:t xml:space="preserve"> </w:t>
      </w:r>
      <w:r w:rsidR="001C722C" w:rsidRPr="000F41A6">
        <w:rPr>
          <w:rFonts w:ascii="Arial" w:hAnsi="Arial" w:cs="Arial"/>
          <w:b/>
          <w:sz w:val="24"/>
          <w:szCs w:val="24"/>
        </w:rPr>
        <w:t>(</w:t>
      </w:r>
      <w:r w:rsidR="00FC2423" w:rsidRPr="000F41A6">
        <w:rPr>
          <w:rFonts w:ascii="Arial" w:hAnsi="Arial" w:cs="Arial"/>
          <w:b/>
          <w:sz w:val="24"/>
          <w:szCs w:val="24"/>
        </w:rPr>
        <w:t>EFF</w:t>
      </w:r>
      <w:r w:rsidR="001C722C" w:rsidRPr="000F41A6">
        <w:rPr>
          <w:rFonts w:ascii="Arial" w:hAnsi="Arial" w:cs="Arial"/>
          <w:b/>
          <w:sz w:val="24"/>
          <w:szCs w:val="24"/>
        </w:rPr>
        <w:t>)</w:t>
      </w:r>
      <w:r w:rsidR="00DB1861" w:rsidRPr="000F41A6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:rsidR="006C090A" w:rsidRPr="000F41A6" w:rsidRDefault="006C090A" w:rsidP="000F41A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FC2423" w:rsidRPr="000F41A6" w:rsidRDefault="00FC2423" w:rsidP="00055B06">
      <w:pPr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>Does the Post Bank have a banking licence; if not, (a) has the Post Bank applied for a banking licence and (b) how long will it take to complete the process of approving the application;</w:t>
      </w:r>
    </w:p>
    <w:p w:rsidR="000F41A6" w:rsidRPr="000F41A6" w:rsidRDefault="000F41A6" w:rsidP="000F41A6">
      <w:pPr>
        <w:tabs>
          <w:tab w:val="left" w:pos="180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A42EE" w:rsidRDefault="00FC2423" w:rsidP="00055B06">
      <w:pPr>
        <w:numPr>
          <w:ilvl w:val="0"/>
          <w:numId w:val="1"/>
        </w:num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>If an application was already submitted, (a) how long ago was the application submitted and (b) what has been completed for the application already?</w:t>
      </w:r>
    </w:p>
    <w:p w:rsidR="00DA42EE" w:rsidRDefault="00DA42EE" w:rsidP="00DA42EE">
      <w:pPr>
        <w:pStyle w:val="ColorfulList-Accent1"/>
        <w:rPr>
          <w:rFonts w:ascii="Arial" w:hAnsi="Arial" w:cs="Arial"/>
          <w:szCs w:val="24"/>
        </w:rPr>
      </w:pPr>
    </w:p>
    <w:p w:rsidR="00C7673A" w:rsidRPr="000F41A6" w:rsidRDefault="00FC2423" w:rsidP="00DA42EE">
      <w:pPr>
        <w:tabs>
          <w:tab w:val="left" w:pos="180"/>
        </w:tabs>
        <w:jc w:val="right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 xml:space="preserve"> </w:t>
      </w:r>
      <w:r w:rsidR="001B427A" w:rsidRPr="000F41A6">
        <w:rPr>
          <w:rFonts w:ascii="Arial" w:hAnsi="Arial" w:cs="Arial"/>
          <w:b/>
          <w:sz w:val="24"/>
          <w:szCs w:val="24"/>
        </w:rPr>
        <w:t>NW</w:t>
      </w:r>
      <w:r w:rsidR="00D22D1A">
        <w:rPr>
          <w:rFonts w:ascii="Arial" w:hAnsi="Arial" w:cs="Arial"/>
          <w:b/>
          <w:sz w:val="24"/>
          <w:szCs w:val="24"/>
        </w:rPr>
        <w:t>985</w:t>
      </w:r>
      <w:r w:rsidR="001B427A" w:rsidRPr="000F41A6">
        <w:rPr>
          <w:rFonts w:ascii="Arial" w:hAnsi="Arial" w:cs="Arial"/>
          <w:b/>
          <w:sz w:val="24"/>
          <w:szCs w:val="24"/>
        </w:rPr>
        <w:t>E</w:t>
      </w:r>
    </w:p>
    <w:p w:rsidR="001B427A" w:rsidRPr="000F41A6" w:rsidRDefault="001B427A" w:rsidP="000F41A6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0F41A6" w:rsidRDefault="000F41A6" w:rsidP="000F41A6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6C090A" w:rsidRDefault="004C58F4" w:rsidP="000F41A6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 w:rsidRPr="000F41A6">
        <w:rPr>
          <w:rFonts w:ascii="Arial" w:hAnsi="Arial" w:cs="Arial"/>
          <w:b/>
          <w:sz w:val="24"/>
          <w:szCs w:val="24"/>
        </w:rPr>
        <w:t>REPLY:</w:t>
      </w:r>
    </w:p>
    <w:p w:rsidR="00D22D1A" w:rsidRDefault="00D22D1A" w:rsidP="000F41A6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D22D1A" w:rsidRPr="000F41A6" w:rsidRDefault="00D22D1A" w:rsidP="000A0050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have been informed by the SOUTH AFRICAN POST OFFICE (SAPO) as follows:</w:t>
      </w:r>
    </w:p>
    <w:p w:rsidR="00D601BD" w:rsidRPr="000F41A6" w:rsidRDefault="00D601BD" w:rsidP="000A0050">
      <w:pPr>
        <w:tabs>
          <w:tab w:val="left" w:pos="180"/>
        </w:tabs>
        <w:jc w:val="both"/>
        <w:rPr>
          <w:rFonts w:ascii="Arial" w:hAnsi="Arial" w:cs="Arial"/>
          <w:b/>
          <w:sz w:val="24"/>
          <w:szCs w:val="24"/>
        </w:rPr>
      </w:pPr>
    </w:p>
    <w:p w:rsidR="008C1B9B" w:rsidRPr="000F41A6" w:rsidRDefault="00F42A3C" w:rsidP="00055B06">
      <w:pPr>
        <w:numPr>
          <w:ilvl w:val="0"/>
          <w:numId w:val="2"/>
        </w:numPr>
        <w:tabs>
          <w:tab w:val="left" w:pos="142"/>
        </w:tabs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The </w:t>
      </w:r>
      <w:r w:rsidR="001F4432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South African Postbank Limited “Postbank” does no</w:t>
      </w: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t have a banking license but it has been</w:t>
      </w:r>
      <w:r w:rsidR="001F4432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exempted from the provisions of the Banks Act as a deposit-taking institution.</w:t>
      </w:r>
    </w:p>
    <w:p w:rsidR="008C1B9B" w:rsidRPr="000F41A6" w:rsidRDefault="008C1B9B" w:rsidP="00A03B63">
      <w:pPr>
        <w:numPr>
          <w:ilvl w:val="0"/>
          <w:numId w:val="3"/>
        </w:numPr>
        <w:tabs>
          <w:tab w:val="left" w:pos="142"/>
        </w:tabs>
        <w:spacing w:before="100" w:beforeAutospacing="1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 </w:t>
      </w:r>
      <w:r w:rsidR="00F42A3C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Yes</w:t>
      </w:r>
      <w:r w:rsidR="00C20E5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ab/>
        <w:t xml:space="preserve"> </w:t>
      </w: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br/>
      </w:r>
    </w:p>
    <w:p w:rsidR="00121DBE" w:rsidRPr="000F41A6" w:rsidRDefault="00121DBE" w:rsidP="00A03B63">
      <w:pPr>
        <w:numPr>
          <w:ilvl w:val="0"/>
          <w:numId w:val="3"/>
        </w:numPr>
        <w:tabs>
          <w:tab w:val="left" w:pos="709"/>
        </w:tabs>
        <w:spacing w:before="100" w:beforeAutospacing="1" w:line="360" w:lineRule="auto"/>
        <w:ind w:left="851" w:hanging="567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The </w:t>
      </w:r>
      <w:r w:rsidR="001122B2">
        <w:rPr>
          <w:rFonts w:ascii="Arial" w:eastAsia="Calibri" w:hAnsi="Arial" w:cs="Arial"/>
          <w:color w:val="000000"/>
          <w:sz w:val="24"/>
          <w:szCs w:val="24"/>
          <w:lang w:eastAsia="en-ZA"/>
        </w:rPr>
        <w:t>timeframe to grant the banking license is determined by the South African Reserve Bank (SARB) and there is no prescribed period in which to grant the license.</w:t>
      </w:r>
    </w:p>
    <w:p w:rsidR="00C20E5A" w:rsidRPr="000F41A6" w:rsidRDefault="00C20E5A" w:rsidP="00A03B63">
      <w:pPr>
        <w:numPr>
          <w:ilvl w:val="0"/>
          <w:numId w:val="2"/>
        </w:numPr>
        <w:spacing w:before="100" w:beforeAutospacing="1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There are two layers to the ban</w:t>
      </w:r>
      <w:r w:rsidR="009E07F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king license application </w:t>
      </w:r>
      <w:r w:rsidR="00016A8E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process and the applications for both layers have already been submitted to the SARB.</w:t>
      </w:r>
    </w:p>
    <w:p w:rsidR="000F41A6" w:rsidRPr="000F41A6" w:rsidRDefault="000F41A6" w:rsidP="00A03B63">
      <w:pPr>
        <w:spacing w:line="360" w:lineRule="auto"/>
        <w:ind w:left="851" w:right="77"/>
        <w:contextualSpacing/>
        <w:jc w:val="both"/>
        <w:rPr>
          <w:rFonts w:ascii="Arial" w:hAnsi="Arial" w:cs="Arial"/>
          <w:sz w:val="24"/>
          <w:szCs w:val="24"/>
        </w:rPr>
      </w:pPr>
    </w:p>
    <w:p w:rsidR="00DA42EE" w:rsidRDefault="00016A8E" w:rsidP="00A03B63">
      <w:pPr>
        <w:numPr>
          <w:ilvl w:val="0"/>
          <w:numId w:val="4"/>
        </w:numPr>
        <w:spacing w:line="360" w:lineRule="auto"/>
        <w:ind w:left="851" w:right="77" w:hanging="491"/>
        <w:contextualSpacing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lastRenderedPageBreak/>
        <w:t xml:space="preserve">   </w:t>
      </w:r>
      <w:r w:rsid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T</w:t>
      </w:r>
      <w:r w:rsidR="00C20E5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he first layer entailed</w:t>
      </w:r>
      <w:r w:rsidR="008C1B9B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the lodgement of the application with the SARB for authorisation to establish the bank </w:t>
      </w: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as required </w:t>
      </w:r>
      <w:r w:rsidR="008C1B9B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in terms of section 12 of the Banks Act</w:t>
      </w:r>
      <w:r w:rsidR="00EB4C02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on 05 September 2013</w:t>
      </w:r>
      <w:r w:rsidR="009E07F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. T</w:t>
      </w:r>
      <w:r w:rsidR="00C20E5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he au</w:t>
      </w:r>
      <w:r w:rsidR="009E07F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thorisation was granted to SAPO on 04 July 2016 wherein </w:t>
      </w: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Postbank was</w:t>
      </w:r>
      <w:r w:rsidR="00C20E5A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</w:t>
      </w:r>
      <w:r w:rsidR="009E07FA" w:rsidRPr="000F41A6">
        <w:rPr>
          <w:rFonts w:ascii="Arial" w:hAnsi="Arial" w:cs="Arial"/>
          <w:sz w:val="24"/>
          <w:szCs w:val="24"/>
        </w:rPr>
        <w:t xml:space="preserve">given a maximum of 12 months </w:t>
      </w:r>
      <w:r w:rsidR="00EB4C02" w:rsidRPr="000F41A6">
        <w:rPr>
          <w:rFonts w:ascii="Arial" w:hAnsi="Arial" w:cs="Arial"/>
          <w:sz w:val="24"/>
          <w:szCs w:val="24"/>
        </w:rPr>
        <w:t xml:space="preserve">(1 year) </w:t>
      </w:r>
      <w:r w:rsidR="009E07FA" w:rsidRPr="000F41A6">
        <w:rPr>
          <w:rFonts w:ascii="Arial" w:hAnsi="Arial" w:cs="Arial"/>
          <w:sz w:val="24"/>
          <w:szCs w:val="24"/>
        </w:rPr>
        <w:t xml:space="preserve">to comply with the </w:t>
      </w:r>
      <w:r w:rsidR="00CA462D">
        <w:rPr>
          <w:rFonts w:ascii="Arial" w:hAnsi="Arial" w:cs="Arial"/>
          <w:sz w:val="24"/>
          <w:szCs w:val="24"/>
        </w:rPr>
        <w:t>set</w:t>
      </w:r>
      <w:r w:rsidR="009E07FA" w:rsidRPr="000F41A6">
        <w:rPr>
          <w:rFonts w:ascii="Arial" w:hAnsi="Arial" w:cs="Arial"/>
          <w:sz w:val="24"/>
          <w:szCs w:val="24"/>
        </w:rPr>
        <w:t xml:space="preserve"> conditions </w:t>
      </w:r>
      <w:r w:rsidRPr="000F41A6">
        <w:rPr>
          <w:rFonts w:ascii="Arial" w:hAnsi="Arial" w:cs="Arial"/>
          <w:sz w:val="24"/>
          <w:szCs w:val="24"/>
        </w:rPr>
        <w:t xml:space="preserve">before it could </w:t>
      </w:r>
      <w:r w:rsidR="009E07FA" w:rsidRPr="000F41A6">
        <w:rPr>
          <w:rFonts w:ascii="Arial" w:hAnsi="Arial" w:cs="Arial"/>
          <w:sz w:val="24"/>
          <w:szCs w:val="24"/>
        </w:rPr>
        <w:t xml:space="preserve">accordingly submit an application for the banking licence. The </w:t>
      </w:r>
      <w:r w:rsidR="00CA462D">
        <w:rPr>
          <w:rFonts w:ascii="Arial" w:hAnsi="Arial" w:cs="Arial"/>
          <w:sz w:val="24"/>
          <w:szCs w:val="24"/>
        </w:rPr>
        <w:t xml:space="preserve">set </w:t>
      </w:r>
      <w:r w:rsidR="009E07FA" w:rsidRPr="000F41A6">
        <w:rPr>
          <w:rFonts w:ascii="Arial" w:hAnsi="Arial" w:cs="Arial"/>
          <w:sz w:val="24"/>
          <w:szCs w:val="24"/>
        </w:rPr>
        <w:t xml:space="preserve">conditions were duly met within the </w:t>
      </w:r>
      <w:r w:rsidRPr="000F41A6">
        <w:rPr>
          <w:rFonts w:ascii="Arial" w:hAnsi="Arial" w:cs="Arial"/>
          <w:sz w:val="24"/>
          <w:szCs w:val="24"/>
        </w:rPr>
        <w:t>set timelines</w:t>
      </w:r>
      <w:r w:rsidR="006922D9">
        <w:rPr>
          <w:rFonts w:ascii="Arial" w:hAnsi="Arial" w:cs="Arial"/>
          <w:sz w:val="24"/>
          <w:szCs w:val="24"/>
        </w:rPr>
        <w:t xml:space="preserve">. The </w:t>
      </w:r>
      <w:r w:rsidR="009E07FA" w:rsidRPr="000F41A6">
        <w:rPr>
          <w:rFonts w:ascii="Arial" w:hAnsi="Arial" w:cs="Arial"/>
          <w:sz w:val="24"/>
          <w:szCs w:val="24"/>
        </w:rPr>
        <w:t>a</w:t>
      </w:r>
      <w:r w:rsidR="009E07FA" w:rsidRPr="000F41A6">
        <w:rPr>
          <w:rStyle w:val="s11"/>
          <w:rFonts w:ascii="Arial" w:hAnsi="Arial" w:cs="Arial"/>
          <w:sz w:val="24"/>
          <w:szCs w:val="24"/>
        </w:rPr>
        <w:t xml:space="preserve">ctual application to register Postbank as a bank </w:t>
      </w:r>
      <w:r w:rsidR="000F41A6">
        <w:rPr>
          <w:rStyle w:val="s11"/>
          <w:rFonts w:ascii="Arial" w:hAnsi="Arial" w:cs="Arial"/>
          <w:sz w:val="24"/>
          <w:szCs w:val="24"/>
        </w:rPr>
        <w:t>wa</w:t>
      </w:r>
      <w:r w:rsidR="006922D9">
        <w:rPr>
          <w:rStyle w:val="s11"/>
          <w:rFonts w:ascii="Arial" w:hAnsi="Arial" w:cs="Arial"/>
          <w:sz w:val="24"/>
          <w:szCs w:val="24"/>
        </w:rPr>
        <w:t>s</w:t>
      </w:r>
      <w:r w:rsidR="000F41A6">
        <w:rPr>
          <w:rStyle w:val="s11"/>
          <w:rFonts w:ascii="Arial" w:hAnsi="Arial" w:cs="Arial"/>
          <w:sz w:val="24"/>
          <w:szCs w:val="24"/>
        </w:rPr>
        <w:t xml:space="preserve"> then lodged with </w:t>
      </w:r>
      <w:r w:rsidR="009E07FA" w:rsidRPr="000F41A6">
        <w:rPr>
          <w:rStyle w:val="s11"/>
          <w:rFonts w:ascii="Arial" w:hAnsi="Arial" w:cs="Arial"/>
          <w:sz w:val="24"/>
          <w:szCs w:val="24"/>
        </w:rPr>
        <w:t xml:space="preserve">the SARB on 26 June 2017 </w:t>
      </w:r>
      <w:r w:rsidRPr="000F41A6">
        <w:rPr>
          <w:rStyle w:val="s11"/>
          <w:rFonts w:ascii="Arial" w:hAnsi="Arial" w:cs="Arial"/>
          <w:sz w:val="24"/>
          <w:szCs w:val="24"/>
        </w:rPr>
        <w:t xml:space="preserve">(ahead of 3 July 2017 deadline) </w:t>
      </w:r>
      <w:r w:rsidR="009E07FA" w:rsidRPr="000F41A6">
        <w:rPr>
          <w:rStyle w:val="s11"/>
          <w:rFonts w:ascii="Arial" w:hAnsi="Arial" w:cs="Arial"/>
          <w:sz w:val="24"/>
          <w:szCs w:val="24"/>
        </w:rPr>
        <w:t xml:space="preserve">in terms of </w:t>
      </w:r>
      <w:r w:rsidR="009E07FA" w:rsidRPr="000F41A6">
        <w:rPr>
          <w:rFonts w:ascii="Arial" w:hAnsi="Arial" w:cs="Arial"/>
          <w:sz w:val="24"/>
          <w:szCs w:val="24"/>
        </w:rPr>
        <w:t>section 16 of the Banks Act</w:t>
      </w:r>
      <w:r w:rsidR="000F41A6">
        <w:rPr>
          <w:rFonts w:ascii="Arial" w:hAnsi="Arial" w:cs="Arial"/>
          <w:sz w:val="24"/>
          <w:szCs w:val="24"/>
        </w:rPr>
        <w:t xml:space="preserve">. </w:t>
      </w:r>
    </w:p>
    <w:p w:rsidR="00016A8E" w:rsidRPr="000F41A6" w:rsidRDefault="00016A8E" w:rsidP="00A03B63">
      <w:pPr>
        <w:spacing w:line="360" w:lineRule="auto"/>
        <w:ind w:left="360" w:right="77"/>
        <w:contextualSpacing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 xml:space="preserve">  </w:t>
      </w:r>
    </w:p>
    <w:p w:rsidR="00016A8E" w:rsidRPr="000F41A6" w:rsidRDefault="00016A8E" w:rsidP="00E0478F">
      <w:pPr>
        <w:numPr>
          <w:ilvl w:val="0"/>
          <w:numId w:val="4"/>
        </w:numPr>
        <w:spacing w:line="276" w:lineRule="auto"/>
        <w:ind w:left="426" w:right="-450" w:hanging="66"/>
        <w:contextualSpacing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  <w:r w:rsidR="00F22BFF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Achievements </w:t>
      </w: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to-date:</w:t>
      </w:r>
    </w:p>
    <w:p w:rsidR="00F22BFF" w:rsidRPr="000F41A6" w:rsidRDefault="00016A8E" w:rsidP="00E0478F">
      <w:pPr>
        <w:spacing w:before="100" w:beforeAutospacing="1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 xml:space="preserve">A critical milestone was achieved </w:t>
      </w:r>
      <w:r w:rsidR="0091600B" w:rsidRPr="000F41A6">
        <w:rPr>
          <w:rFonts w:ascii="Arial" w:hAnsi="Arial" w:cs="Arial"/>
          <w:sz w:val="24"/>
          <w:szCs w:val="24"/>
        </w:rPr>
        <w:t>when SAPO</w:t>
      </w:r>
      <w:r w:rsidRPr="000F41A6">
        <w:rPr>
          <w:rFonts w:ascii="Arial" w:hAnsi="Arial" w:cs="Arial"/>
          <w:sz w:val="24"/>
          <w:szCs w:val="24"/>
        </w:rPr>
        <w:t xml:space="preserve"> was granted approval in terms of the Banks Act to establish a Bank and was given a maximum of 12 months to comply with the conditions and accordingly submit an application for the banking licence.</w:t>
      </w:r>
      <w:r w:rsidR="0091600B" w:rsidRPr="000F41A6">
        <w:rPr>
          <w:rFonts w:ascii="Arial" w:hAnsi="Arial" w:cs="Arial"/>
          <w:sz w:val="24"/>
          <w:szCs w:val="24"/>
        </w:rPr>
        <w:t xml:space="preserve"> The met conditions included:</w:t>
      </w:r>
    </w:p>
    <w:p w:rsidR="000F41A6" w:rsidRPr="000F41A6" w:rsidRDefault="000F41A6" w:rsidP="00E0478F">
      <w:pPr>
        <w:tabs>
          <w:tab w:val="left" w:pos="360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0F41A6" w:rsidRPr="000F41A6" w:rsidRDefault="00F22BFF" w:rsidP="00E0478F">
      <w:pPr>
        <w:numPr>
          <w:ilvl w:val="0"/>
          <w:numId w:val="5"/>
        </w:numPr>
        <w:tabs>
          <w:tab w:val="left" w:pos="360"/>
        </w:tabs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Minister’s determination of the split of Assets &amp; Liabilities between SAPO and Postbank based on completion of independent audits.</w:t>
      </w:r>
      <w:r w:rsid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ab/>
      </w:r>
      <w:r w:rsid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br/>
      </w:r>
    </w:p>
    <w:p w:rsidR="000F41A6" w:rsidRPr="000F41A6" w:rsidRDefault="00F22BFF" w:rsidP="00E0478F">
      <w:pPr>
        <w:numPr>
          <w:ilvl w:val="0"/>
          <w:numId w:val="5"/>
        </w:numPr>
        <w:tabs>
          <w:tab w:val="left" w:pos="360"/>
        </w:tabs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>Submission of the five-year financial forecasts for Postbank to the SARB.</w:t>
      </w:r>
    </w:p>
    <w:p w:rsidR="000F41A6" w:rsidRPr="000F41A6" w:rsidRDefault="000F41A6" w:rsidP="00E0478F">
      <w:pPr>
        <w:tabs>
          <w:tab w:val="left" w:pos="360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F22BFF" w:rsidRPr="000F41A6" w:rsidRDefault="006922D9" w:rsidP="00E0478F">
      <w:pPr>
        <w:numPr>
          <w:ilvl w:val="0"/>
          <w:numId w:val="5"/>
        </w:numPr>
        <w:tabs>
          <w:tab w:val="left" w:pos="360"/>
        </w:tabs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>Minister’s a</w:t>
      </w:r>
      <w:r w:rsidR="00F22BFF" w:rsidRPr="000F41A6"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ppointment of the initial Postbank Board: </w:t>
      </w:r>
      <w:r w:rsidR="00F22BFF" w:rsidRPr="000F41A6">
        <w:rPr>
          <w:rFonts w:ascii="Arial" w:hAnsi="Arial" w:cs="Arial"/>
          <w:sz w:val="24"/>
          <w:szCs w:val="24"/>
        </w:rPr>
        <w:t>Initial Postbank Board appointed on 01 April 2017 following completion of:</w:t>
      </w:r>
    </w:p>
    <w:p w:rsidR="00633E47" w:rsidRDefault="00F22BFF" w:rsidP="00E0478F">
      <w:pPr>
        <w:numPr>
          <w:ilvl w:val="2"/>
          <w:numId w:val="6"/>
        </w:numPr>
        <w:tabs>
          <w:tab w:val="left" w:pos="360"/>
        </w:tabs>
        <w:spacing w:line="276" w:lineRule="auto"/>
        <w:ind w:left="1702" w:hanging="284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 xml:space="preserve">Onerous bank regulatory assessments processes: Fit and proper assessments </w:t>
      </w:r>
      <w:r w:rsidR="006922D9">
        <w:rPr>
          <w:rFonts w:ascii="Arial" w:hAnsi="Arial" w:cs="Arial"/>
          <w:sz w:val="24"/>
          <w:szCs w:val="24"/>
        </w:rPr>
        <w:t xml:space="preserve">of the prospective board members conducted </w:t>
      </w:r>
      <w:r w:rsidRPr="000F41A6">
        <w:rPr>
          <w:rFonts w:ascii="Arial" w:hAnsi="Arial" w:cs="Arial"/>
          <w:sz w:val="24"/>
          <w:szCs w:val="24"/>
        </w:rPr>
        <w:t>by both the independent auditors and the SARB</w:t>
      </w:r>
      <w:r w:rsidR="000A0050">
        <w:rPr>
          <w:rFonts w:ascii="Arial" w:hAnsi="Arial" w:cs="Arial"/>
          <w:sz w:val="24"/>
          <w:szCs w:val="24"/>
        </w:rPr>
        <w:t>;</w:t>
      </w:r>
    </w:p>
    <w:p w:rsidR="000A0050" w:rsidRDefault="000A0050" w:rsidP="00E0478F">
      <w:pPr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33E47" w:rsidRDefault="00F22BFF" w:rsidP="00E0478F">
      <w:pPr>
        <w:numPr>
          <w:ilvl w:val="2"/>
          <w:numId w:val="6"/>
        </w:numPr>
        <w:tabs>
          <w:tab w:val="left" w:pos="360"/>
        </w:tabs>
        <w:spacing w:line="276" w:lineRule="auto"/>
        <w:ind w:left="1702" w:hanging="284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>Concurrent Ministerial approval process (Telecommunications and Postal Services Minister and the Finance Minister)</w:t>
      </w:r>
      <w:r w:rsidR="000A0050">
        <w:rPr>
          <w:rFonts w:ascii="Arial" w:hAnsi="Arial" w:cs="Arial"/>
          <w:sz w:val="24"/>
          <w:szCs w:val="24"/>
        </w:rPr>
        <w:t>; and</w:t>
      </w:r>
    </w:p>
    <w:p w:rsidR="000A0050" w:rsidRDefault="000A0050" w:rsidP="00E0478F">
      <w:pPr>
        <w:pStyle w:val="ColorfulList-Accent1"/>
        <w:spacing w:line="276" w:lineRule="auto"/>
        <w:rPr>
          <w:rFonts w:ascii="Arial" w:hAnsi="Arial" w:cs="Arial"/>
          <w:szCs w:val="24"/>
        </w:rPr>
      </w:pPr>
    </w:p>
    <w:p w:rsidR="00633E47" w:rsidRDefault="00F22BFF" w:rsidP="00E0478F">
      <w:pPr>
        <w:numPr>
          <w:ilvl w:val="2"/>
          <w:numId w:val="6"/>
        </w:numPr>
        <w:tabs>
          <w:tab w:val="left" w:pos="360"/>
        </w:tabs>
        <w:spacing w:line="276" w:lineRule="auto"/>
        <w:ind w:left="1702" w:hanging="284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>Cabinet approval process</w:t>
      </w:r>
      <w:r w:rsidR="000A0050">
        <w:rPr>
          <w:rFonts w:ascii="Arial" w:hAnsi="Arial" w:cs="Arial"/>
          <w:sz w:val="24"/>
          <w:szCs w:val="24"/>
        </w:rPr>
        <w:t>.</w:t>
      </w:r>
    </w:p>
    <w:p w:rsidR="000A0050" w:rsidRPr="000F41A6" w:rsidRDefault="000A0050" w:rsidP="00E0478F">
      <w:pPr>
        <w:tabs>
          <w:tab w:val="left" w:pos="360"/>
        </w:tabs>
        <w:spacing w:line="276" w:lineRule="auto"/>
        <w:ind w:left="1418"/>
        <w:jc w:val="both"/>
        <w:rPr>
          <w:rFonts w:ascii="Arial" w:hAnsi="Arial" w:cs="Arial"/>
          <w:sz w:val="24"/>
          <w:szCs w:val="24"/>
        </w:rPr>
      </w:pPr>
    </w:p>
    <w:p w:rsidR="00633E47" w:rsidRDefault="00633E47" w:rsidP="00E0478F">
      <w:pPr>
        <w:numPr>
          <w:ilvl w:val="0"/>
          <w:numId w:val="5"/>
        </w:numPr>
        <w:tabs>
          <w:tab w:val="left" w:pos="360"/>
        </w:tabs>
        <w:spacing w:line="276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F41A6">
        <w:rPr>
          <w:rFonts w:ascii="Arial" w:hAnsi="Arial" w:cs="Arial"/>
          <w:sz w:val="24"/>
          <w:szCs w:val="24"/>
        </w:rPr>
        <w:t>T</w:t>
      </w:r>
      <w:r w:rsidR="00F22BFF" w:rsidRPr="000F41A6">
        <w:rPr>
          <w:rFonts w:ascii="Arial" w:hAnsi="Arial" w:cs="Arial"/>
          <w:sz w:val="24"/>
          <w:szCs w:val="24"/>
        </w:rPr>
        <w:t xml:space="preserve">he appointment of the initial Board enabled the incorporation of the Postbank Company with the </w:t>
      </w:r>
      <w:hyperlink r:id="rId7" w:history="1">
        <w:r w:rsidR="00F22BFF" w:rsidRPr="000F41A6">
          <w:rPr>
            <w:rFonts w:ascii="Arial" w:hAnsi="Arial" w:cs="Arial"/>
            <w:sz w:val="24"/>
            <w:szCs w:val="24"/>
          </w:rPr>
          <w:t>Companies and Intellectual Property Commission</w:t>
        </w:r>
      </w:hyperlink>
      <w:r w:rsidR="00F22BFF" w:rsidRPr="000F41A6">
        <w:rPr>
          <w:rFonts w:ascii="Arial" w:hAnsi="Arial" w:cs="Arial"/>
          <w:sz w:val="24"/>
          <w:szCs w:val="24"/>
        </w:rPr>
        <w:t xml:space="preserve"> (CIPC) on 19 April 2017</w:t>
      </w:r>
    </w:p>
    <w:p w:rsidR="000A0050" w:rsidRPr="000F41A6" w:rsidRDefault="000A0050" w:rsidP="00E0478F">
      <w:pPr>
        <w:spacing w:line="276" w:lineRule="auto"/>
        <w:ind w:left="1974"/>
        <w:jc w:val="both"/>
        <w:rPr>
          <w:rFonts w:ascii="Arial" w:hAnsi="Arial" w:cs="Arial"/>
          <w:sz w:val="24"/>
          <w:szCs w:val="24"/>
        </w:rPr>
      </w:pPr>
    </w:p>
    <w:p w:rsidR="00280481" w:rsidRDefault="00F22BFF" w:rsidP="00E0478F">
      <w:pPr>
        <w:spacing w:line="276" w:lineRule="auto"/>
        <w:ind w:left="1418"/>
        <w:jc w:val="both"/>
        <w:rPr>
          <w:rFonts w:ascii="Arial" w:eastAsia="Arial Unicode MS" w:hAnsi="Arial" w:cs="Arial"/>
          <w:sz w:val="24"/>
          <w:szCs w:val="24"/>
        </w:rPr>
      </w:pPr>
      <w:r w:rsidRPr="000F41A6">
        <w:rPr>
          <w:rFonts w:ascii="Arial" w:eastAsia="Arial Unicode MS" w:hAnsi="Arial" w:cs="Arial"/>
          <w:sz w:val="24"/>
          <w:szCs w:val="24"/>
        </w:rPr>
        <w:t>SARB is busy adjudicating on the actual</w:t>
      </w:r>
      <w:r w:rsidR="00633E47" w:rsidRPr="000F41A6">
        <w:rPr>
          <w:rFonts w:ascii="Arial" w:eastAsia="Arial Unicode MS" w:hAnsi="Arial" w:cs="Arial"/>
          <w:sz w:val="24"/>
          <w:szCs w:val="24"/>
        </w:rPr>
        <w:t xml:space="preserve"> banking</w:t>
      </w:r>
      <w:r w:rsidRPr="000F41A6">
        <w:rPr>
          <w:rFonts w:ascii="Arial" w:eastAsia="Arial Unicode MS" w:hAnsi="Arial" w:cs="Arial"/>
          <w:sz w:val="24"/>
          <w:szCs w:val="24"/>
        </w:rPr>
        <w:t xml:space="preserve"> application</w:t>
      </w:r>
      <w:r w:rsidR="00633E47" w:rsidRPr="000F41A6">
        <w:rPr>
          <w:rFonts w:ascii="Arial" w:eastAsia="Arial Unicode MS" w:hAnsi="Arial" w:cs="Arial"/>
          <w:sz w:val="24"/>
          <w:szCs w:val="24"/>
        </w:rPr>
        <w:t xml:space="preserve">.  </w:t>
      </w:r>
      <w:r w:rsidR="00B8227B" w:rsidRPr="000F41A6">
        <w:rPr>
          <w:rFonts w:ascii="Arial" w:eastAsia="Arial Unicode MS" w:hAnsi="Arial" w:cs="Arial"/>
          <w:sz w:val="24"/>
          <w:szCs w:val="24"/>
        </w:rPr>
        <w:t>Parallel</w:t>
      </w:r>
      <w:r w:rsidR="006922D9">
        <w:rPr>
          <w:rFonts w:ascii="Arial" w:eastAsia="Arial Unicode MS" w:hAnsi="Arial" w:cs="Arial"/>
          <w:sz w:val="24"/>
          <w:szCs w:val="24"/>
        </w:rPr>
        <w:t xml:space="preserve"> to </w:t>
      </w:r>
      <w:r w:rsidR="00B8227B" w:rsidRPr="000F41A6">
        <w:rPr>
          <w:rFonts w:ascii="Arial" w:eastAsia="Arial Unicode MS" w:hAnsi="Arial" w:cs="Arial"/>
          <w:sz w:val="24"/>
          <w:szCs w:val="24"/>
        </w:rPr>
        <w:t>adjudication process, the Department of Telecommunications and Postal Services, the National Treasury and SAPO have been working together to address some of key challenges</w:t>
      </w:r>
      <w:r w:rsidR="00280481" w:rsidRPr="000F41A6">
        <w:rPr>
          <w:rFonts w:ascii="Arial" w:eastAsia="Arial Unicode MS" w:hAnsi="Arial" w:cs="Arial"/>
          <w:sz w:val="24"/>
          <w:szCs w:val="24"/>
        </w:rPr>
        <w:t>. These</w:t>
      </w:r>
      <w:r w:rsidR="00B8227B" w:rsidRPr="000F41A6">
        <w:rPr>
          <w:rFonts w:ascii="Arial" w:eastAsia="Arial Unicode MS" w:hAnsi="Arial" w:cs="Arial"/>
          <w:sz w:val="24"/>
          <w:szCs w:val="24"/>
        </w:rPr>
        <w:t xml:space="preserve"> </w:t>
      </w:r>
      <w:r w:rsidR="00280481" w:rsidRPr="000F41A6">
        <w:rPr>
          <w:rFonts w:ascii="Arial" w:eastAsia="Arial Unicode MS" w:hAnsi="Arial" w:cs="Arial"/>
          <w:sz w:val="24"/>
          <w:szCs w:val="24"/>
        </w:rPr>
        <w:t>involve:</w:t>
      </w:r>
    </w:p>
    <w:p w:rsidR="000A0050" w:rsidRPr="000F41A6" w:rsidRDefault="000A0050" w:rsidP="00E0478F">
      <w:pPr>
        <w:spacing w:line="276" w:lineRule="auto"/>
        <w:ind w:left="1418"/>
        <w:jc w:val="both"/>
        <w:rPr>
          <w:rFonts w:ascii="Arial" w:eastAsia="Arial Unicode MS" w:hAnsi="Arial" w:cs="Arial"/>
          <w:sz w:val="24"/>
          <w:szCs w:val="24"/>
        </w:rPr>
      </w:pPr>
    </w:p>
    <w:p w:rsidR="00280481" w:rsidRPr="000F41A6" w:rsidRDefault="00280481" w:rsidP="00E0478F">
      <w:pPr>
        <w:numPr>
          <w:ilvl w:val="0"/>
          <w:numId w:val="7"/>
        </w:numPr>
        <w:spacing w:after="160" w:line="276" w:lineRule="auto"/>
        <w:ind w:left="1701" w:hanging="283"/>
        <w:jc w:val="both"/>
        <w:rPr>
          <w:rFonts w:ascii="Arial" w:eastAsia="Arial Unicode MS" w:hAnsi="Arial" w:cs="Arial"/>
          <w:sz w:val="24"/>
          <w:szCs w:val="24"/>
        </w:rPr>
      </w:pPr>
      <w:r w:rsidRPr="000F41A6">
        <w:rPr>
          <w:rFonts w:ascii="Arial" w:eastAsia="Arial Unicode MS" w:hAnsi="Arial" w:cs="Arial"/>
          <w:sz w:val="24"/>
          <w:szCs w:val="24"/>
        </w:rPr>
        <w:t xml:space="preserve">Agreeing on the optimal </w:t>
      </w:r>
      <w:r w:rsidR="00B8227B" w:rsidRPr="000F41A6">
        <w:rPr>
          <w:rFonts w:ascii="Arial" w:eastAsia="Arial Unicode MS" w:hAnsi="Arial" w:cs="Arial"/>
          <w:sz w:val="24"/>
          <w:szCs w:val="24"/>
        </w:rPr>
        <w:t xml:space="preserve">bank controlling company structure </w:t>
      </w:r>
      <w:r w:rsidRPr="000F41A6">
        <w:rPr>
          <w:rFonts w:ascii="Arial" w:eastAsia="Arial Unicode MS" w:hAnsi="Arial" w:cs="Arial"/>
          <w:sz w:val="24"/>
          <w:szCs w:val="24"/>
        </w:rPr>
        <w:t>for Postbank.</w:t>
      </w:r>
    </w:p>
    <w:p w:rsidR="00280481" w:rsidRPr="000F41A6" w:rsidRDefault="00280481" w:rsidP="00E0478F">
      <w:pPr>
        <w:numPr>
          <w:ilvl w:val="0"/>
          <w:numId w:val="7"/>
        </w:numPr>
        <w:spacing w:after="160" w:line="276" w:lineRule="auto"/>
        <w:ind w:left="1701" w:hanging="283"/>
        <w:jc w:val="both"/>
        <w:rPr>
          <w:rFonts w:ascii="Arial" w:eastAsia="Arial Unicode MS" w:hAnsi="Arial" w:cs="Arial"/>
          <w:sz w:val="24"/>
          <w:szCs w:val="24"/>
        </w:rPr>
      </w:pPr>
      <w:r w:rsidRPr="000F41A6">
        <w:rPr>
          <w:rFonts w:ascii="Arial" w:eastAsia="Arial Unicode MS" w:hAnsi="Arial" w:cs="Arial"/>
          <w:sz w:val="24"/>
          <w:szCs w:val="24"/>
        </w:rPr>
        <w:t>A</w:t>
      </w:r>
      <w:r w:rsidR="00B8227B" w:rsidRPr="000F41A6">
        <w:rPr>
          <w:rFonts w:ascii="Arial" w:eastAsia="Arial Unicode MS" w:hAnsi="Arial" w:cs="Arial"/>
          <w:sz w:val="24"/>
          <w:szCs w:val="24"/>
        </w:rPr>
        <w:t xml:space="preserve">lignment of the Banks Act with the Companies Act </w:t>
      </w:r>
      <w:r w:rsidRPr="000F41A6">
        <w:rPr>
          <w:rFonts w:ascii="Arial" w:eastAsia="Arial Unicode MS" w:hAnsi="Arial" w:cs="Arial"/>
          <w:sz w:val="24"/>
          <w:szCs w:val="24"/>
        </w:rPr>
        <w:t xml:space="preserve">to enable state owned entities [Postbank and its bank controlling company (BCC)] </w:t>
      </w:r>
      <w:r w:rsidR="000F41A6">
        <w:rPr>
          <w:rFonts w:ascii="Arial" w:eastAsia="Arial Unicode MS" w:hAnsi="Arial" w:cs="Arial"/>
          <w:sz w:val="24"/>
          <w:szCs w:val="24"/>
        </w:rPr>
        <w:t xml:space="preserve">to be </w:t>
      </w:r>
      <w:r w:rsidRPr="000F41A6">
        <w:rPr>
          <w:rFonts w:ascii="Arial" w:eastAsia="Arial Unicode MS" w:hAnsi="Arial" w:cs="Arial"/>
          <w:sz w:val="24"/>
          <w:szCs w:val="24"/>
        </w:rPr>
        <w:t xml:space="preserve">registered as a </w:t>
      </w:r>
      <w:r w:rsidR="006922D9">
        <w:rPr>
          <w:rFonts w:ascii="Arial" w:eastAsia="Arial Unicode MS" w:hAnsi="Arial" w:cs="Arial"/>
          <w:sz w:val="24"/>
          <w:szCs w:val="24"/>
        </w:rPr>
        <w:t>bank</w:t>
      </w:r>
      <w:r w:rsidRPr="000F41A6">
        <w:rPr>
          <w:rFonts w:ascii="Arial" w:eastAsia="Arial Unicode MS" w:hAnsi="Arial" w:cs="Arial"/>
          <w:sz w:val="24"/>
          <w:szCs w:val="24"/>
        </w:rPr>
        <w:t xml:space="preserve"> and BCC respectively.</w:t>
      </w:r>
    </w:p>
    <w:p w:rsidR="00E0478F" w:rsidRDefault="00E0478F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A03B63">
        <w:rPr>
          <w:rFonts w:ascii="Arial" w:hAnsi="Arial" w:cs="Arial"/>
          <w:b/>
          <w:sz w:val="24"/>
          <w:szCs w:val="24"/>
        </w:rPr>
        <w:t>Approved/ not approved</w:t>
      </w: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A03B63">
        <w:rPr>
          <w:rFonts w:ascii="Arial" w:hAnsi="Arial" w:cs="Arial"/>
          <w:b/>
          <w:sz w:val="24"/>
          <w:szCs w:val="24"/>
        </w:rPr>
        <w:t xml:space="preserve">Dr Siyabonga </w:t>
      </w:r>
      <w:proofErr w:type="spellStart"/>
      <w:r w:rsidRPr="00A03B63">
        <w:rPr>
          <w:rFonts w:ascii="Arial" w:hAnsi="Arial" w:cs="Arial"/>
          <w:b/>
          <w:sz w:val="24"/>
          <w:szCs w:val="24"/>
        </w:rPr>
        <w:t>Cwele</w:t>
      </w:r>
      <w:proofErr w:type="spellEnd"/>
      <w:r w:rsidRPr="00A03B63">
        <w:rPr>
          <w:rFonts w:ascii="Arial" w:hAnsi="Arial" w:cs="Arial"/>
          <w:b/>
          <w:sz w:val="24"/>
          <w:szCs w:val="24"/>
        </w:rPr>
        <w:t>, MP</w:t>
      </w: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A03B63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:rsidR="00A03B63" w:rsidRPr="00A03B63" w:rsidRDefault="00A03B63" w:rsidP="00A03B63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A03B63">
        <w:rPr>
          <w:rFonts w:ascii="Arial" w:hAnsi="Arial" w:cs="Arial"/>
          <w:b/>
          <w:sz w:val="24"/>
          <w:szCs w:val="24"/>
        </w:rPr>
        <w:t xml:space="preserve">Date:  </w:t>
      </w:r>
    </w:p>
    <w:p w:rsidR="008E5265" w:rsidRPr="00280481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280481" w:rsidSect="000A0DB6">
      <w:headerReference w:type="even" r:id="rId8"/>
      <w:headerReference w:type="default" r:id="rId9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FE" w:rsidRDefault="00524AFE">
      <w:r>
        <w:separator/>
      </w:r>
    </w:p>
  </w:endnote>
  <w:endnote w:type="continuationSeparator" w:id="0">
    <w:p w:rsidR="00524AFE" w:rsidRDefault="0052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FE" w:rsidRDefault="00524AFE">
      <w:r>
        <w:separator/>
      </w:r>
    </w:p>
  </w:footnote>
  <w:footnote w:type="continuationSeparator" w:id="0">
    <w:p w:rsidR="00524AFE" w:rsidRDefault="0052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68" w:rsidRDefault="00973C68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C68" w:rsidRDefault="00973C68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68" w:rsidRDefault="00973C68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847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9203DC"/>
    <w:multiLevelType w:val="hybridMultilevel"/>
    <w:tmpl w:val="FF32A726"/>
    <w:lvl w:ilvl="0" w:tplc="C57826F0">
      <w:start w:val="1"/>
      <w:numFmt w:val="lowerRoman"/>
      <w:lvlText w:val="(%1)"/>
      <w:lvlJc w:val="left"/>
      <w:pPr>
        <w:ind w:left="2694" w:hanging="720"/>
      </w:pPr>
      <w:rPr>
        <w:rFonts w:hint="default"/>
        <w:b w:val="0"/>
        <w:i w:val="0"/>
        <w:color w:val="000000"/>
      </w:rPr>
    </w:lvl>
    <w:lvl w:ilvl="1" w:tplc="1C090019">
      <w:start w:val="1"/>
      <w:numFmt w:val="lowerLetter"/>
      <w:lvlText w:val="%2."/>
      <w:lvlJc w:val="left"/>
      <w:pPr>
        <w:ind w:left="3054" w:hanging="360"/>
      </w:pPr>
    </w:lvl>
    <w:lvl w:ilvl="2" w:tplc="1C09001B" w:tentative="1">
      <w:start w:val="1"/>
      <w:numFmt w:val="lowerRoman"/>
      <w:lvlText w:val="%3."/>
      <w:lvlJc w:val="right"/>
      <w:pPr>
        <w:ind w:left="3774" w:hanging="180"/>
      </w:pPr>
    </w:lvl>
    <w:lvl w:ilvl="3" w:tplc="1C09000F" w:tentative="1">
      <w:start w:val="1"/>
      <w:numFmt w:val="decimal"/>
      <w:lvlText w:val="%4."/>
      <w:lvlJc w:val="left"/>
      <w:pPr>
        <w:ind w:left="4494" w:hanging="360"/>
      </w:pPr>
    </w:lvl>
    <w:lvl w:ilvl="4" w:tplc="1C090019" w:tentative="1">
      <w:start w:val="1"/>
      <w:numFmt w:val="lowerLetter"/>
      <w:lvlText w:val="%5."/>
      <w:lvlJc w:val="left"/>
      <w:pPr>
        <w:ind w:left="5214" w:hanging="360"/>
      </w:pPr>
    </w:lvl>
    <w:lvl w:ilvl="5" w:tplc="1C09001B" w:tentative="1">
      <w:start w:val="1"/>
      <w:numFmt w:val="lowerRoman"/>
      <w:lvlText w:val="%6."/>
      <w:lvlJc w:val="right"/>
      <w:pPr>
        <w:ind w:left="5934" w:hanging="180"/>
      </w:pPr>
    </w:lvl>
    <w:lvl w:ilvl="6" w:tplc="1C09000F" w:tentative="1">
      <w:start w:val="1"/>
      <w:numFmt w:val="decimal"/>
      <w:lvlText w:val="%7."/>
      <w:lvlJc w:val="left"/>
      <w:pPr>
        <w:ind w:left="6654" w:hanging="360"/>
      </w:pPr>
    </w:lvl>
    <w:lvl w:ilvl="7" w:tplc="1C090019" w:tentative="1">
      <w:start w:val="1"/>
      <w:numFmt w:val="lowerLetter"/>
      <w:lvlText w:val="%8."/>
      <w:lvlJc w:val="left"/>
      <w:pPr>
        <w:ind w:left="7374" w:hanging="360"/>
      </w:pPr>
    </w:lvl>
    <w:lvl w:ilvl="8" w:tplc="1C09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2">
    <w:nsid w:val="116B59F5"/>
    <w:multiLevelType w:val="hybridMultilevel"/>
    <w:tmpl w:val="B3BEEE54"/>
    <w:lvl w:ilvl="0" w:tplc="F984076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EE11E9"/>
    <w:multiLevelType w:val="hybridMultilevel"/>
    <w:tmpl w:val="B35E96E6"/>
    <w:lvl w:ilvl="0" w:tplc="6D12D7C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27257"/>
    <w:multiLevelType w:val="hybridMultilevel"/>
    <w:tmpl w:val="6F72C7C0"/>
    <w:lvl w:ilvl="0" w:tplc="CE3A150A">
      <w:start w:val="1"/>
      <w:numFmt w:val="lowerLetter"/>
      <w:lvlText w:val="(%1)"/>
      <w:lvlJc w:val="left"/>
      <w:pPr>
        <w:ind w:left="1212" w:hanging="852"/>
      </w:pPr>
      <w:rPr>
        <w:rFonts w:eastAsia="Calibri"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0641"/>
    <w:multiLevelType w:val="hybridMultilevel"/>
    <w:tmpl w:val="BA085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10DD9"/>
    <w:multiLevelType w:val="hybridMultilevel"/>
    <w:tmpl w:val="8CA63F5A"/>
    <w:lvl w:ilvl="0" w:tplc="D1009C2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312F6"/>
    <w:multiLevelType w:val="hybridMultilevel"/>
    <w:tmpl w:val="42B8E18C"/>
    <w:lvl w:ilvl="0" w:tplc="1C090005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705" w:hanging="360"/>
      </w:pPr>
    </w:lvl>
    <w:lvl w:ilvl="2" w:tplc="1C09001B" w:tentative="1">
      <w:start w:val="1"/>
      <w:numFmt w:val="lowerRoman"/>
      <w:lvlText w:val="%3."/>
      <w:lvlJc w:val="right"/>
      <w:pPr>
        <w:ind w:left="3425" w:hanging="180"/>
      </w:pPr>
    </w:lvl>
    <w:lvl w:ilvl="3" w:tplc="1C09000F" w:tentative="1">
      <w:start w:val="1"/>
      <w:numFmt w:val="decimal"/>
      <w:lvlText w:val="%4."/>
      <w:lvlJc w:val="left"/>
      <w:pPr>
        <w:ind w:left="4145" w:hanging="360"/>
      </w:pPr>
    </w:lvl>
    <w:lvl w:ilvl="4" w:tplc="1C090019" w:tentative="1">
      <w:start w:val="1"/>
      <w:numFmt w:val="lowerLetter"/>
      <w:lvlText w:val="%5."/>
      <w:lvlJc w:val="left"/>
      <w:pPr>
        <w:ind w:left="4865" w:hanging="360"/>
      </w:pPr>
    </w:lvl>
    <w:lvl w:ilvl="5" w:tplc="1C09001B" w:tentative="1">
      <w:start w:val="1"/>
      <w:numFmt w:val="lowerRoman"/>
      <w:lvlText w:val="%6."/>
      <w:lvlJc w:val="right"/>
      <w:pPr>
        <w:ind w:left="5585" w:hanging="180"/>
      </w:pPr>
    </w:lvl>
    <w:lvl w:ilvl="6" w:tplc="1C09000F" w:tentative="1">
      <w:start w:val="1"/>
      <w:numFmt w:val="decimal"/>
      <w:lvlText w:val="%7."/>
      <w:lvlJc w:val="left"/>
      <w:pPr>
        <w:ind w:left="6305" w:hanging="360"/>
      </w:pPr>
    </w:lvl>
    <w:lvl w:ilvl="7" w:tplc="1C090019" w:tentative="1">
      <w:start w:val="1"/>
      <w:numFmt w:val="lowerLetter"/>
      <w:lvlText w:val="%8."/>
      <w:lvlJc w:val="left"/>
      <w:pPr>
        <w:ind w:left="7025" w:hanging="360"/>
      </w:pPr>
    </w:lvl>
    <w:lvl w:ilvl="8" w:tplc="1C09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6A8E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55B06"/>
    <w:rsid w:val="00060D56"/>
    <w:rsid w:val="00061B0B"/>
    <w:rsid w:val="00065548"/>
    <w:rsid w:val="00083307"/>
    <w:rsid w:val="000940BB"/>
    <w:rsid w:val="000974E2"/>
    <w:rsid w:val="000A0050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6DA9"/>
    <w:rsid w:val="000D788E"/>
    <w:rsid w:val="000E0154"/>
    <w:rsid w:val="000E0870"/>
    <w:rsid w:val="000E4A33"/>
    <w:rsid w:val="000E695A"/>
    <w:rsid w:val="000E7470"/>
    <w:rsid w:val="000F3AC8"/>
    <w:rsid w:val="000F41A6"/>
    <w:rsid w:val="0010096B"/>
    <w:rsid w:val="001122B2"/>
    <w:rsid w:val="00120BC0"/>
    <w:rsid w:val="00121DBE"/>
    <w:rsid w:val="001245F8"/>
    <w:rsid w:val="00125A35"/>
    <w:rsid w:val="00126108"/>
    <w:rsid w:val="00134B64"/>
    <w:rsid w:val="0014239F"/>
    <w:rsid w:val="00157292"/>
    <w:rsid w:val="00157A33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50DD"/>
    <w:rsid w:val="00196B51"/>
    <w:rsid w:val="001A65F7"/>
    <w:rsid w:val="001B427A"/>
    <w:rsid w:val="001B6272"/>
    <w:rsid w:val="001C0B3A"/>
    <w:rsid w:val="001C1AEF"/>
    <w:rsid w:val="001C722C"/>
    <w:rsid w:val="001C7AD4"/>
    <w:rsid w:val="001D4E3E"/>
    <w:rsid w:val="001D5342"/>
    <w:rsid w:val="001D7389"/>
    <w:rsid w:val="001F3E80"/>
    <w:rsid w:val="001F4432"/>
    <w:rsid w:val="00202885"/>
    <w:rsid w:val="002055F9"/>
    <w:rsid w:val="0020747B"/>
    <w:rsid w:val="00207C1A"/>
    <w:rsid w:val="00211547"/>
    <w:rsid w:val="00214E46"/>
    <w:rsid w:val="0022139D"/>
    <w:rsid w:val="00221695"/>
    <w:rsid w:val="00237BF7"/>
    <w:rsid w:val="00245701"/>
    <w:rsid w:val="00254101"/>
    <w:rsid w:val="002565B8"/>
    <w:rsid w:val="00272F92"/>
    <w:rsid w:val="00276E53"/>
    <w:rsid w:val="00280060"/>
    <w:rsid w:val="00280481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273"/>
    <w:rsid w:val="0032060C"/>
    <w:rsid w:val="00322095"/>
    <w:rsid w:val="0032278F"/>
    <w:rsid w:val="00326D96"/>
    <w:rsid w:val="00331057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6944"/>
    <w:rsid w:val="003E0412"/>
    <w:rsid w:val="003E16BF"/>
    <w:rsid w:val="003E7C7C"/>
    <w:rsid w:val="003F3263"/>
    <w:rsid w:val="00402865"/>
    <w:rsid w:val="00405C17"/>
    <w:rsid w:val="004063D9"/>
    <w:rsid w:val="0041438D"/>
    <w:rsid w:val="004143ED"/>
    <w:rsid w:val="00415F82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4E7EBB"/>
    <w:rsid w:val="00500640"/>
    <w:rsid w:val="0051065A"/>
    <w:rsid w:val="00520940"/>
    <w:rsid w:val="00524AFE"/>
    <w:rsid w:val="00533571"/>
    <w:rsid w:val="00540F2C"/>
    <w:rsid w:val="00542BB1"/>
    <w:rsid w:val="00547EE0"/>
    <w:rsid w:val="00555111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16DC"/>
    <w:rsid w:val="005A3B8A"/>
    <w:rsid w:val="005A5F82"/>
    <w:rsid w:val="005B0466"/>
    <w:rsid w:val="005B084C"/>
    <w:rsid w:val="005B17D5"/>
    <w:rsid w:val="005B5B32"/>
    <w:rsid w:val="005B5E37"/>
    <w:rsid w:val="005C1C5C"/>
    <w:rsid w:val="005E38EA"/>
    <w:rsid w:val="005E4B32"/>
    <w:rsid w:val="005F07FA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DF3"/>
    <w:rsid w:val="00617091"/>
    <w:rsid w:val="0062274A"/>
    <w:rsid w:val="00626FB5"/>
    <w:rsid w:val="00633E47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922D9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F243A"/>
    <w:rsid w:val="006F65F8"/>
    <w:rsid w:val="00701519"/>
    <w:rsid w:val="00702A51"/>
    <w:rsid w:val="00714768"/>
    <w:rsid w:val="0071742C"/>
    <w:rsid w:val="00725F73"/>
    <w:rsid w:val="00727891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7F3112"/>
    <w:rsid w:val="00801B08"/>
    <w:rsid w:val="00802A0E"/>
    <w:rsid w:val="0080343C"/>
    <w:rsid w:val="008130F3"/>
    <w:rsid w:val="00822FA5"/>
    <w:rsid w:val="008260B8"/>
    <w:rsid w:val="0083450B"/>
    <w:rsid w:val="00836E2C"/>
    <w:rsid w:val="008377F0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5646"/>
    <w:rsid w:val="008B6F97"/>
    <w:rsid w:val="008C1B9B"/>
    <w:rsid w:val="008D117F"/>
    <w:rsid w:val="008D5265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600B"/>
    <w:rsid w:val="009175C1"/>
    <w:rsid w:val="00930938"/>
    <w:rsid w:val="009313C9"/>
    <w:rsid w:val="009317AD"/>
    <w:rsid w:val="0094143D"/>
    <w:rsid w:val="00945395"/>
    <w:rsid w:val="00946D78"/>
    <w:rsid w:val="00957CAA"/>
    <w:rsid w:val="0096048C"/>
    <w:rsid w:val="00973C68"/>
    <w:rsid w:val="00973CE2"/>
    <w:rsid w:val="0097435C"/>
    <w:rsid w:val="009751C0"/>
    <w:rsid w:val="009752B6"/>
    <w:rsid w:val="00975379"/>
    <w:rsid w:val="00977CF6"/>
    <w:rsid w:val="00991862"/>
    <w:rsid w:val="009A3C54"/>
    <w:rsid w:val="009B7B70"/>
    <w:rsid w:val="009C265C"/>
    <w:rsid w:val="009C5A3F"/>
    <w:rsid w:val="009C662E"/>
    <w:rsid w:val="009D098E"/>
    <w:rsid w:val="009D379F"/>
    <w:rsid w:val="009D5279"/>
    <w:rsid w:val="009D673A"/>
    <w:rsid w:val="009E07FA"/>
    <w:rsid w:val="009E0E61"/>
    <w:rsid w:val="009E736C"/>
    <w:rsid w:val="009F7692"/>
    <w:rsid w:val="00A03B63"/>
    <w:rsid w:val="00A03C58"/>
    <w:rsid w:val="00A12E51"/>
    <w:rsid w:val="00A20479"/>
    <w:rsid w:val="00A23D3D"/>
    <w:rsid w:val="00A2515B"/>
    <w:rsid w:val="00A25727"/>
    <w:rsid w:val="00A348BA"/>
    <w:rsid w:val="00A35472"/>
    <w:rsid w:val="00A3686A"/>
    <w:rsid w:val="00A40C84"/>
    <w:rsid w:val="00A42190"/>
    <w:rsid w:val="00A44383"/>
    <w:rsid w:val="00A46BE9"/>
    <w:rsid w:val="00A47652"/>
    <w:rsid w:val="00A514E8"/>
    <w:rsid w:val="00A57135"/>
    <w:rsid w:val="00A6067D"/>
    <w:rsid w:val="00A606BE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B28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395F"/>
    <w:rsid w:val="00AE4797"/>
    <w:rsid w:val="00AE5E13"/>
    <w:rsid w:val="00AE6CE4"/>
    <w:rsid w:val="00B06DE1"/>
    <w:rsid w:val="00B10FFB"/>
    <w:rsid w:val="00B11A66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EA0"/>
    <w:rsid w:val="00B74C57"/>
    <w:rsid w:val="00B75528"/>
    <w:rsid w:val="00B8227B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C03670"/>
    <w:rsid w:val="00C20E5A"/>
    <w:rsid w:val="00C26DD8"/>
    <w:rsid w:val="00C316B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5AF7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462D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2D1A"/>
    <w:rsid w:val="00D278B7"/>
    <w:rsid w:val="00D34632"/>
    <w:rsid w:val="00D3625E"/>
    <w:rsid w:val="00D3648A"/>
    <w:rsid w:val="00D4166B"/>
    <w:rsid w:val="00D47D19"/>
    <w:rsid w:val="00D56E2E"/>
    <w:rsid w:val="00D601BD"/>
    <w:rsid w:val="00D630BD"/>
    <w:rsid w:val="00D73E10"/>
    <w:rsid w:val="00D740EE"/>
    <w:rsid w:val="00D75899"/>
    <w:rsid w:val="00D76911"/>
    <w:rsid w:val="00D82FCA"/>
    <w:rsid w:val="00D86BF2"/>
    <w:rsid w:val="00D86E81"/>
    <w:rsid w:val="00D90BE5"/>
    <w:rsid w:val="00D97CD2"/>
    <w:rsid w:val="00DA0726"/>
    <w:rsid w:val="00DA42EE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78F"/>
    <w:rsid w:val="00E04B51"/>
    <w:rsid w:val="00E05624"/>
    <w:rsid w:val="00E05E93"/>
    <w:rsid w:val="00E062C2"/>
    <w:rsid w:val="00E13EDA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C02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22BFF"/>
    <w:rsid w:val="00F30EBC"/>
    <w:rsid w:val="00F31A64"/>
    <w:rsid w:val="00F35B85"/>
    <w:rsid w:val="00F36FBB"/>
    <w:rsid w:val="00F37A43"/>
    <w:rsid w:val="00F41D72"/>
    <w:rsid w:val="00F42A3C"/>
    <w:rsid w:val="00F44355"/>
    <w:rsid w:val="00F51459"/>
    <w:rsid w:val="00F55FAB"/>
    <w:rsid w:val="00F62A8B"/>
    <w:rsid w:val="00F7248C"/>
    <w:rsid w:val="00F74559"/>
    <w:rsid w:val="00F86ACF"/>
    <w:rsid w:val="00F90890"/>
    <w:rsid w:val="00F924C2"/>
    <w:rsid w:val="00F92E02"/>
    <w:rsid w:val="00F93538"/>
    <w:rsid w:val="00F939FE"/>
    <w:rsid w:val="00F9453D"/>
    <w:rsid w:val="00FB124B"/>
    <w:rsid w:val="00FB303F"/>
    <w:rsid w:val="00FC20F7"/>
    <w:rsid w:val="00FC2423"/>
    <w:rsid w:val="00FD39B1"/>
    <w:rsid w:val="00FE607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ColorfulList-Accent1">
    <w:name w:val="Colorful List Accent 1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character" w:customStyle="1" w:styleId="s11">
    <w:name w:val="s11"/>
    <w:rsid w:val="009E0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pc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3598</CharactersWithSpaces>
  <SharedDoc>false</SharedDoc>
  <HLinks>
    <vt:vector size="6" baseType="variant">
      <vt:variant>
        <vt:i4>2883702</vt:i4>
      </vt:variant>
      <vt:variant>
        <vt:i4>0</vt:i4>
      </vt:variant>
      <vt:variant>
        <vt:i4>0</vt:i4>
      </vt:variant>
      <vt:variant>
        <vt:i4>5</vt:i4>
      </vt:variant>
      <vt:variant>
        <vt:lpwstr>http://www.cipc.co.za/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2018-04-20T07:12:00Z</cp:lastPrinted>
  <dcterms:created xsi:type="dcterms:W3CDTF">2018-05-04T10:11:00Z</dcterms:created>
  <dcterms:modified xsi:type="dcterms:W3CDTF">2018-05-04T10:11:00Z</dcterms:modified>
</cp:coreProperties>
</file>