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12" w:rsidRPr="00F70D12" w:rsidRDefault="0073712E">
      <w:pPr>
        <w:rPr>
          <w:b/>
        </w:rPr>
      </w:pPr>
      <w:r w:rsidRPr="00F70D12">
        <w:rPr>
          <w:b/>
        </w:rPr>
        <w:t xml:space="preserve">National Assembly </w:t>
      </w:r>
      <w:bookmarkStart w:id="0" w:name="_GoBack"/>
      <w:bookmarkEnd w:id="0"/>
    </w:p>
    <w:p w:rsidR="0073712E" w:rsidRPr="00F70D12" w:rsidRDefault="0073712E">
      <w:pPr>
        <w:rPr>
          <w:b/>
        </w:rPr>
      </w:pPr>
      <w:r w:rsidRPr="00F70D12">
        <w:rPr>
          <w:b/>
        </w:rPr>
        <w:t>Question No: 903</w:t>
      </w:r>
    </w:p>
    <w:p w:rsidR="0073712E" w:rsidRPr="00F70D12" w:rsidRDefault="0073712E">
      <w:pPr>
        <w:rPr>
          <w:b/>
        </w:rPr>
      </w:pPr>
      <w:r w:rsidRPr="00F70D12">
        <w:rPr>
          <w:b/>
        </w:rPr>
        <w:t xml:space="preserve">903.   Mr M H </w:t>
      </w:r>
      <w:proofErr w:type="spellStart"/>
      <w:r w:rsidRPr="00F70D12">
        <w:rPr>
          <w:b/>
        </w:rPr>
        <w:t>Hoosen</w:t>
      </w:r>
      <w:proofErr w:type="spellEnd"/>
      <w:r w:rsidRPr="00F70D12">
        <w:rPr>
          <w:b/>
        </w:rPr>
        <w:t xml:space="preserve"> (DA) to ask the Minister of Transport:</w:t>
      </w:r>
    </w:p>
    <w:p w:rsidR="0073712E" w:rsidRDefault="0073712E"/>
    <w:p w:rsidR="00BF7F14" w:rsidRDefault="0073712E" w:rsidP="00BF7F14">
      <w:pPr>
        <w:pStyle w:val="ListParagraph"/>
        <w:ind w:left="1212"/>
        <w:jc w:val="both"/>
      </w:pPr>
      <w:r>
        <w:t>Whether the Rail Safety Regulator has any debt that has remained unpaid for 30 days or more; if so, (a) what (</w:t>
      </w:r>
      <w:proofErr w:type="spellStart"/>
      <w:r>
        <w:t>i</w:t>
      </w:r>
      <w:proofErr w:type="spellEnd"/>
      <w:r>
        <w:t>) are the details of these debts, (ii) are the reasons for non-payment</w:t>
      </w:r>
      <w:r w:rsidR="00BF7F14">
        <w:t xml:space="preserve"> in each case, (b) on what date will each debt be settled and (c) what (</w:t>
      </w:r>
      <w:proofErr w:type="spellStart"/>
      <w:r w:rsidR="00BF7F14">
        <w:t>i</w:t>
      </w:r>
      <w:proofErr w:type="spellEnd"/>
      <w:r w:rsidR="00BF7F14">
        <w:t>) processes, (ii) and (iii) mechanisms are in place to ensure that payments are made on time?</w:t>
      </w:r>
      <w:r>
        <w:t xml:space="preserve">     </w:t>
      </w:r>
    </w:p>
    <w:p w:rsidR="00BF7F14" w:rsidRPr="00F70D12" w:rsidRDefault="00BF7F14" w:rsidP="00BF7F14">
      <w:pPr>
        <w:pStyle w:val="ListParagraph"/>
        <w:ind w:left="1212"/>
        <w:jc w:val="both"/>
        <w:rPr>
          <w:b/>
        </w:rPr>
      </w:pPr>
    </w:p>
    <w:p w:rsidR="00BF7F14" w:rsidRPr="00F70D12" w:rsidRDefault="00BF7F14" w:rsidP="00BF7F14">
      <w:pPr>
        <w:pStyle w:val="ListParagraph"/>
        <w:ind w:left="1212"/>
        <w:jc w:val="both"/>
        <w:rPr>
          <w:b/>
        </w:rPr>
      </w:pPr>
      <w:r w:rsidRPr="00F70D12">
        <w:rPr>
          <w:b/>
        </w:rPr>
        <w:t>NW972E</w:t>
      </w:r>
    </w:p>
    <w:p w:rsidR="00BF7F14" w:rsidRDefault="00BF7F14" w:rsidP="00BF7F14">
      <w:pPr>
        <w:pStyle w:val="ListParagraph"/>
        <w:ind w:left="1212"/>
      </w:pPr>
    </w:p>
    <w:p w:rsidR="00BF7F14" w:rsidRPr="00F70D12" w:rsidRDefault="00BF7F14" w:rsidP="00BF7F14">
      <w:pPr>
        <w:pStyle w:val="ListParagraph"/>
        <w:ind w:left="1212"/>
        <w:rPr>
          <w:b/>
        </w:rPr>
      </w:pPr>
      <w:r w:rsidRPr="00F70D12">
        <w:rPr>
          <w:b/>
        </w:rPr>
        <w:t>Railway Safety Regulator (RSR)</w:t>
      </w:r>
      <w:r w:rsidR="0073712E" w:rsidRPr="00F70D12">
        <w:rPr>
          <w:b/>
        </w:rPr>
        <w:t xml:space="preserve"> </w:t>
      </w:r>
    </w:p>
    <w:p w:rsidR="00BF7F14" w:rsidRDefault="00BF7F14" w:rsidP="00BF7F14">
      <w:pPr>
        <w:pStyle w:val="ListParagraph"/>
        <w:ind w:left="1212"/>
      </w:pPr>
    </w:p>
    <w:p w:rsidR="00BF7F14" w:rsidRDefault="00BF7F14" w:rsidP="00BF7F14">
      <w:pPr>
        <w:pStyle w:val="ListParagraph"/>
        <w:ind w:left="1212"/>
      </w:pPr>
      <w:r>
        <w:t xml:space="preserve">Yes, the Railway Safety Regulator (RSR) had unpaid debts for 30 days and more at 31 March 2017. </w:t>
      </w:r>
    </w:p>
    <w:p w:rsidR="00BF7F14" w:rsidRDefault="00D14691" w:rsidP="00F70D12">
      <w:pPr>
        <w:pStyle w:val="ListParagraph"/>
        <w:numPr>
          <w:ilvl w:val="0"/>
          <w:numId w:val="3"/>
        </w:numPr>
      </w:pPr>
      <w:r>
        <w:t>(</w:t>
      </w:r>
      <w:proofErr w:type="spellStart"/>
      <w:r>
        <w:t>i</w:t>
      </w:r>
      <w:proofErr w:type="spellEnd"/>
      <w:r>
        <w:t>)</w:t>
      </w:r>
      <w:r w:rsidR="0073712E">
        <w:t xml:space="preserve">                            </w:t>
      </w:r>
    </w:p>
    <w:p w:rsidR="00BF7F14" w:rsidRDefault="00BF7F14" w:rsidP="00BF7F14">
      <w:pPr>
        <w:pStyle w:val="ListParagraph"/>
        <w:ind w:left="1572"/>
      </w:pPr>
    </w:p>
    <w:tbl>
      <w:tblPr>
        <w:tblStyle w:val="TableGrid"/>
        <w:tblpPr w:leftFromText="180" w:rightFromText="180" w:vertAnchor="text" w:horzAnchor="margin" w:tblpXSpec="center" w:tblpY="73"/>
        <w:tblW w:w="0" w:type="auto"/>
        <w:tblLook w:val="04A0" w:firstRow="1" w:lastRow="0" w:firstColumn="1" w:lastColumn="0" w:noHBand="0" w:noVBand="1"/>
      </w:tblPr>
      <w:tblGrid>
        <w:gridCol w:w="3648"/>
        <w:gridCol w:w="2791"/>
      </w:tblGrid>
      <w:tr w:rsidR="008B0183" w:rsidRPr="008B0183" w:rsidTr="008B0183">
        <w:trPr>
          <w:trHeight w:val="288"/>
        </w:trPr>
        <w:tc>
          <w:tcPr>
            <w:tcW w:w="3648" w:type="dxa"/>
            <w:hideMark/>
          </w:tcPr>
          <w:p w:rsidR="008B0183" w:rsidRPr="00962428" w:rsidRDefault="008B0183" w:rsidP="00962428">
            <w:pPr>
              <w:rPr>
                <w:b/>
                <w:sz w:val="24"/>
                <w:szCs w:val="24"/>
              </w:rPr>
            </w:pPr>
            <w:r w:rsidRPr="00962428">
              <w:rPr>
                <w:b/>
                <w:sz w:val="24"/>
                <w:szCs w:val="24"/>
              </w:rPr>
              <w:t>Supplier</w:t>
            </w:r>
          </w:p>
        </w:tc>
        <w:tc>
          <w:tcPr>
            <w:tcW w:w="2791" w:type="dxa"/>
            <w:hideMark/>
          </w:tcPr>
          <w:p w:rsidR="008B0183" w:rsidRPr="00962428" w:rsidRDefault="008B0183" w:rsidP="00962428">
            <w:pPr>
              <w:rPr>
                <w:b/>
                <w:sz w:val="24"/>
                <w:szCs w:val="24"/>
              </w:rPr>
            </w:pPr>
            <w:r w:rsidRPr="00962428">
              <w:rPr>
                <w:b/>
                <w:sz w:val="24"/>
                <w:szCs w:val="24"/>
              </w:rPr>
              <w:t>Amount</w:t>
            </w:r>
          </w:p>
        </w:tc>
      </w:tr>
      <w:tr w:rsidR="008B0183" w:rsidRPr="008B0183" w:rsidTr="008B0183">
        <w:trPr>
          <w:trHeight w:val="324"/>
        </w:trPr>
        <w:tc>
          <w:tcPr>
            <w:tcW w:w="3648" w:type="dxa"/>
            <w:hideMark/>
          </w:tcPr>
          <w:p w:rsidR="008B0183" w:rsidRPr="008B0183" w:rsidRDefault="008B0183" w:rsidP="00962428">
            <w:r w:rsidRPr="008B0183">
              <w:t>21</w:t>
            </w:r>
            <w:r w:rsidRPr="008B0183">
              <w:rPr>
                <w:vertAlign w:val="superscript"/>
              </w:rPr>
              <w:t>st</w:t>
            </w:r>
            <w:r w:rsidRPr="008B0183">
              <w:t xml:space="preserve"> Century Pay Solutions Group</w:t>
            </w:r>
          </w:p>
        </w:tc>
        <w:tc>
          <w:tcPr>
            <w:tcW w:w="2791" w:type="dxa"/>
            <w:hideMark/>
          </w:tcPr>
          <w:p w:rsidR="008B0183" w:rsidRPr="008B0183" w:rsidRDefault="008B0183" w:rsidP="008B0183">
            <w:pPr>
              <w:pStyle w:val="ListParagraph"/>
              <w:ind w:left="1572"/>
            </w:pPr>
            <w:r w:rsidRPr="008B0183">
              <w:t xml:space="preserve">            7,410.00</w:t>
            </w:r>
          </w:p>
        </w:tc>
      </w:tr>
      <w:tr w:rsidR="008B0183" w:rsidRPr="008B0183" w:rsidTr="008B0183">
        <w:trPr>
          <w:trHeight w:val="288"/>
        </w:trPr>
        <w:tc>
          <w:tcPr>
            <w:tcW w:w="3648" w:type="dxa"/>
            <w:hideMark/>
          </w:tcPr>
          <w:p w:rsidR="008B0183" w:rsidRPr="008B0183" w:rsidRDefault="008B0183" w:rsidP="00962428">
            <w:pPr>
              <w:jc w:val="both"/>
            </w:pPr>
            <w:r w:rsidRPr="00962428">
              <w:t>Armani Office</w:t>
            </w:r>
            <w:r w:rsidRPr="008B0183">
              <w:t xml:space="preserve"> Supplies</w:t>
            </w:r>
          </w:p>
        </w:tc>
        <w:tc>
          <w:tcPr>
            <w:tcW w:w="2791" w:type="dxa"/>
            <w:hideMark/>
          </w:tcPr>
          <w:p w:rsidR="008B0183" w:rsidRPr="008B0183" w:rsidRDefault="008B0183" w:rsidP="008B0183">
            <w:pPr>
              <w:pStyle w:val="ListParagraph"/>
              <w:ind w:left="1572"/>
            </w:pPr>
            <w:r w:rsidRPr="008B0183">
              <w:t xml:space="preserve">             7,530.40</w:t>
            </w:r>
          </w:p>
        </w:tc>
      </w:tr>
      <w:tr w:rsidR="008B0183" w:rsidRPr="008B0183" w:rsidTr="008B0183">
        <w:trPr>
          <w:trHeight w:val="288"/>
        </w:trPr>
        <w:tc>
          <w:tcPr>
            <w:tcW w:w="3648" w:type="dxa"/>
            <w:hideMark/>
          </w:tcPr>
          <w:p w:rsidR="008B0183" w:rsidRPr="008B0183" w:rsidRDefault="008B0183" w:rsidP="00962428">
            <w:pPr>
              <w:jc w:val="both"/>
            </w:pPr>
            <w:proofErr w:type="spellStart"/>
            <w:r w:rsidRPr="008B0183">
              <w:t>Baupa</w:t>
            </w:r>
            <w:proofErr w:type="spellEnd"/>
            <w:r w:rsidRPr="008B0183">
              <w:t xml:space="preserve"> Trading </w:t>
            </w:r>
            <w:proofErr w:type="spellStart"/>
            <w:r w:rsidRPr="008B0183">
              <w:t>Enteprise</w:t>
            </w:r>
            <w:proofErr w:type="spellEnd"/>
          </w:p>
        </w:tc>
        <w:tc>
          <w:tcPr>
            <w:tcW w:w="2791" w:type="dxa"/>
            <w:hideMark/>
          </w:tcPr>
          <w:p w:rsidR="008B0183" w:rsidRPr="008B0183" w:rsidRDefault="008B0183" w:rsidP="008B0183">
            <w:pPr>
              <w:pStyle w:val="ListParagraph"/>
              <w:ind w:left="1572"/>
            </w:pPr>
            <w:r w:rsidRPr="008B0183">
              <w:t xml:space="preserve">           50,200.00</w:t>
            </w:r>
          </w:p>
        </w:tc>
      </w:tr>
      <w:tr w:rsidR="008B0183" w:rsidRPr="008B0183" w:rsidTr="008B0183">
        <w:trPr>
          <w:trHeight w:val="288"/>
        </w:trPr>
        <w:tc>
          <w:tcPr>
            <w:tcW w:w="3648" w:type="dxa"/>
            <w:hideMark/>
          </w:tcPr>
          <w:p w:rsidR="008B0183" w:rsidRPr="008B0183" w:rsidRDefault="008B0183" w:rsidP="00962428">
            <w:pPr>
              <w:jc w:val="both"/>
            </w:pPr>
            <w:proofErr w:type="spellStart"/>
            <w:r w:rsidRPr="008B0183">
              <w:t>Enovative</w:t>
            </w:r>
            <w:proofErr w:type="spellEnd"/>
            <w:r w:rsidRPr="008B0183">
              <w:t xml:space="preserve"> Technologies Africa</w:t>
            </w:r>
          </w:p>
        </w:tc>
        <w:tc>
          <w:tcPr>
            <w:tcW w:w="2791" w:type="dxa"/>
            <w:hideMark/>
          </w:tcPr>
          <w:p w:rsidR="008B0183" w:rsidRPr="008B0183" w:rsidRDefault="008B0183" w:rsidP="008B0183">
            <w:pPr>
              <w:pStyle w:val="ListParagraph"/>
              <w:ind w:left="1572"/>
            </w:pPr>
            <w:r w:rsidRPr="008B0183">
              <w:t xml:space="preserve">           24,582.96</w:t>
            </w:r>
          </w:p>
        </w:tc>
      </w:tr>
      <w:tr w:rsidR="008B0183" w:rsidRPr="008B0183" w:rsidTr="008B0183">
        <w:trPr>
          <w:trHeight w:val="288"/>
        </w:trPr>
        <w:tc>
          <w:tcPr>
            <w:tcW w:w="3648" w:type="dxa"/>
            <w:hideMark/>
          </w:tcPr>
          <w:p w:rsidR="008B0183" w:rsidRPr="008B0183" w:rsidRDefault="008B0183" w:rsidP="00962428">
            <w:pPr>
              <w:jc w:val="both"/>
            </w:pPr>
            <w:r w:rsidRPr="008B0183">
              <w:t>GIBB Engineering &amp; Science</w:t>
            </w:r>
          </w:p>
        </w:tc>
        <w:tc>
          <w:tcPr>
            <w:tcW w:w="2791" w:type="dxa"/>
            <w:hideMark/>
          </w:tcPr>
          <w:p w:rsidR="008B0183" w:rsidRPr="008B0183" w:rsidRDefault="008B0183" w:rsidP="008B0183">
            <w:pPr>
              <w:pStyle w:val="ListParagraph"/>
              <w:ind w:left="1572"/>
            </w:pPr>
            <w:r w:rsidRPr="008B0183">
              <w:t xml:space="preserve">         224,093.10</w:t>
            </w:r>
          </w:p>
        </w:tc>
      </w:tr>
      <w:tr w:rsidR="008B0183" w:rsidRPr="008B0183" w:rsidTr="008B0183">
        <w:trPr>
          <w:trHeight w:val="288"/>
        </w:trPr>
        <w:tc>
          <w:tcPr>
            <w:tcW w:w="3648" w:type="dxa"/>
            <w:hideMark/>
          </w:tcPr>
          <w:p w:rsidR="008B0183" w:rsidRPr="008B0183" w:rsidRDefault="008B0183" w:rsidP="00962428">
            <w:pPr>
              <w:jc w:val="both"/>
            </w:pPr>
            <w:proofErr w:type="spellStart"/>
            <w:r w:rsidRPr="008B0183">
              <w:t>Khula</w:t>
            </w:r>
            <w:proofErr w:type="spellEnd"/>
            <w:r w:rsidRPr="008B0183">
              <w:t xml:space="preserve"> Fleet Solutions</w:t>
            </w:r>
          </w:p>
        </w:tc>
        <w:tc>
          <w:tcPr>
            <w:tcW w:w="2791" w:type="dxa"/>
            <w:hideMark/>
          </w:tcPr>
          <w:p w:rsidR="008B0183" w:rsidRPr="008B0183" w:rsidRDefault="008B0183" w:rsidP="008B0183">
            <w:pPr>
              <w:pStyle w:val="ListParagraph"/>
              <w:ind w:left="1572"/>
            </w:pPr>
            <w:r w:rsidRPr="008B0183">
              <w:t xml:space="preserve">         328,885.90</w:t>
            </w:r>
          </w:p>
        </w:tc>
      </w:tr>
      <w:tr w:rsidR="008B0183" w:rsidRPr="008B0183" w:rsidTr="008B0183">
        <w:trPr>
          <w:trHeight w:val="288"/>
        </w:trPr>
        <w:tc>
          <w:tcPr>
            <w:tcW w:w="3648" w:type="dxa"/>
            <w:hideMark/>
          </w:tcPr>
          <w:p w:rsidR="008B0183" w:rsidRPr="008B0183" w:rsidRDefault="008B0183" w:rsidP="00962428">
            <w:pPr>
              <w:jc w:val="both"/>
            </w:pPr>
            <w:proofErr w:type="spellStart"/>
            <w:r w:rsidRPr="008B0183">
              <w:t>Metrofile</w:t>
            </w:r>
            <w:proofErr w:type="spellEnd"/>
          </w:p>
        </w:tc>
        <w:tc>
          <w:tcPr>
            <w:tcW w:w="2791" w:type="dxa"/>
            <w:hideMark/>
          </w:tcPr>
          <w:p w:rsidR="008B0183" w:rsidRPr="008B0183" w:rsidRDefault="008B0183" w:rsidP="008B0183">
            <w:pPr>
              <w:pStyle w:val="ListParagraph"/>
              <w:ind w:left="1572"/>
            </w:pPr>
            <w:r w:rsidRPr="008B0183">
              <w:t xml:space="preserve">             5,677.31</w:t>
            </w:r>
          </w:p>
        </w:tc>
      </w:tr>
      <w:tr w:rsidR="008B0183" w:rsidRPr="008B0183" w:rsidTr="008B0183">
        <w:trPr>
          <w:trHeight w:val="288"/>
        </w:trPr>
        <w:tc>
          <w:tcPr>
            <w:tcW w:w="3648" w:type="dxa"/>
            <w:hideMark/>
          </w:tcPr>
          <w:p w:rsidR="008B0183" w:rsidRPr="008B0183" w:rsidRDefault="008B0183" w:rsidP="00962428">
            <w:pPr>
              <w:jc w:val="both"/>
            </w:pPr>
            <w:r w:rsidRPr="008B0183">
              <w:t>Times Media</w:t>
            </w:r>
          </w:p>
        </w:tc>
        <w:tc>
          <w:tcPr>
            <w:tcW w:w="2791" w:type="dxa"/>
            <w:hideMark/>
          </w:tcPr>
          <w:p w:rsidR="008B0183" w:rsidRPr="008B0183" w:rsidRDefault="008B0183" w:rsidP="008B0183">
            <w:pPr>
              <w:pStyle w:val="ListParagraph"/>
              <w:ind w:left="1572"/>
            </w:pPr>
            <w:r w:rsidRPr="008B0183">
              <w:t xml:space="preserve">           37,613.16</w:t>
            </w:r>
          </w:p>
        </w:tc>
      </w:tr>
      <w:tr w:rsidR="008B0183" w:rsidRPr="008B0183" w:rsidTr="008B0183">
        <w:trPr>
          <w:trHeight w:val="288"/>
        </w:trPr>
        <w:tc>
          <w:tcPr>
            <w:tcW w:w="3648" w:type="dxa"/>
            <w:hideMark/>
          </w:tcPr>
          <w:p w:rsidR="008B0183" w:rsidRPr="008B0183" w:rsidRDefault="008B0183" w:rsidP="00962428">
            <w:pPr>
              <w:jc w:val="both"/>
            </w:pPr>
            <w:proofErr w:type="spellStart"/>
            <w:r w:rsidRPr="008B0183">
              <w:t>Vox</w:t>
            </w:r>
            <w:proofErr w:type="spellEnd"/>
            <w:r w:rsidRPr="008B0183">
              <w:t xml:space="preserve"> Telecommunications (Pty)</w:t>
            </w:r>
          </w:p>
        </w:tc>
        <w:tc>
          <w:tcPr>
            <w:tcW w:w="2791" w:type="dxa"/>
            <w:hideMark/>
          </w:tcPr>
          <w:p w:rsidR="008B0183" w:rsidRPr="008B0183" w:rsidRDefault="008B0183" w:rsidP="008B0183">
            <w:pPr>
              <w:pStyle w:val="ListParagraph"/>
              <w:ind w:left="1572"/>
            </w:pPr>
            <w:r w:rsidRPr="008B0183">
              <w:t xml:space="preserve">         111,670.18</w:t>
            </w:r>
          </w:p>
        </w:tc>
      </w:tr>
      <w:tr w:rsidR="008B0183" w:rsidRPr="008B0183" w:rsidTr="008B0183">
        <w:trPr>
          <w:trHeight w:val="288"/>
        </w:trPr>
        <w:tc>
          <w:tcPr>
            <w:tcW w:w="3648" w:type="dxa"/>
            <w:hideMark/>
          </w:tcPr>
          <w:p w:rsidR="008B0183" w:rsidRPr="008B0183" w:rsidRDefault="008B0183" w:rsidP="00962428">
            <w:pPr>
              <w:jc w:val="both"/>
            </w:pPr>
            <w:proofErr w:type="spellStart"/>
            <w:r w:rsidRPr="008B0183">
              <w:t>Vukile</w:t>
            </w:r>
            <w:proofErr w:type="spellEnd"/>
            <w:r w:rsidRPr="008B0183">
              <w:t xml:space="preserve"> Property Fund Ltd</w:t>
            </w:r>
          </w:p>
        </w:tc>
        <w:tc>
          <w:tcPr>
            <w:tcW w:w="2791" w:type="dxa"/>
            <w:hideMark/>
          </w:tcPr>
          <w:p w:rsidR="008B0183" w:rsidRPr="008B0183" w:rsidRDefault="008B0183" w:rsidP="008B0183">
            <w:pPr>
              <w:pStyle w:val="ListParagraph"/>
              <w:ind w:left="1572"/>
            </w:pPr>
            <w:r w:rsidRPr="008B0183">
              <w:t xml:space="preserve">           54,060.71</w:t>
            </w:r>
          </w:p>
        </w:tc>
      </w:tr>
      <w:tr w:rsidR="008B0183" w:rsidRPr="008B0183" w:rsidTr="008B0183">
        <w:trPr>
          <w:trHeight w:val="288"/>
        </w:trPr>
        <w:tc>
          <w:tcPr>
            <w:tcW w:w="3648" w:type="dxa"/>
            <w:hideMark/>
          </w:tcPr>
          <w:p w:rsidR="008B0183" w:rsidRPr="008B0183" w:rsidRDefault="008B0183" w:rsidP="00962428">
            <w:pPr>
              <w:jc w:val="both"/>
            </w:pPr>
            <w:r w:rsidRPr="008B0183">
              <w:t>Work dynamics (</w:t>
            </w:r>
            <w:proofErr w:type="spellStart"/>
            <w:r w:rsidRPr="008B0183">
              <w:t>pty</w:t>
            </w:r>
            <w:proofErr w:type="spellEnd"/>
            <w:r w:rsidRPr="008B0183">
              <w:t>) Ltd)</w:t>
            </w:r>
          </w:p>
        </w:tc>
        <w:tc>
          <w:tcPr>
            <w:tcW w:w="2791" w:type="dxa"/>
            <w:hideMark/>
          </w:tcPr>
          <w:p w:rsidR="008B0183" w:rsidRPr="008B0183" w:rsidRDefault="008B0183" w:rsidP="008B0183">
            <w:pPr>
              <w:pStyle w:val="ListParagraph"/>
              <w:ind w:left="1572"/>
            </w:pPr>
            <w:r w:rsidRPr="008B0183">
              <w:t xml:space="preserve">           79,800.00</w:t>
            </w:r>
          </w:p>
        </w:tc>
      </w:tr>
      <w:tr w:rsidR="008B0183" w:rsidRPr="008B0183" w:rsidTr="008B0183">
        <w:trPr>
          <w:trHeight w:val="288"/>
        </w:trPr>
        <w:tc>
          <w:tcPr>
            <w:tcW w:w="3648" w:type="dxa"/>
            <w:hideMark/>
          </w:tcPr>
          <w:p w:rsidR="008B0183" w:rsidRPr="008B0183" w:rsidRDefault="008B0183" w:rsidP="00962428">
            <w:pPr>
              <w:jc w:val="both"/>
            </w:pPr>
            <w:r w:rsidRPr="008B0183">
              <w:t>YSA Developments Leadership</w:t>
            </w:r>
          </w:p>
        </w:tc>
        <w:tc>
          <w:tcPr>
            <w:tcW w:w="2791" w:type="dxa"/>
            <w:hideMark/>
          </w:tcPr>
          <w:p w:rsidR="008B0183" w:rsidRPr="008B0183" w:rsidRDefault="008B0183" w:rsidP="008B0183">
            <w:pPr>
              <w:pStyle w:val="ListParagraph"/>
              <w:ind w:left="1572"/>
            </w:pPr>
            <w:r w:rsidRPr="008B0183">
              <w:t xml:space="preserve">         229,647.81</w:t>
            </w:r>
          </w:p>
        </w:tc>
      </w:tr>
    </w:tbl>
    <w:p w:rsidR="008B0183" w:rsidRDefault="008B0183" w:rsidP="00BF7F14">
      <w:pPr>
        <w:pStyle w:val="ListParagraph"/>
        <w:ind w:left="1572"/>
      </w:pPr>
    </w:p>
    <w:p w:rsidR="008B0183" w:rsidRDefault="008B0183" w:rsidP="00BF7F14">
      <w:pPr>
        <w:pStyle w:val="ListParagraph"/>
        <w:ind w:left="1572"/>
      </w:pPr>
    </w:p>
    <w:p w:rsidR="008B0183" w:rsidRDefault="008B0183" w:rsidP="00BF7F14">
      <w:pPr>
        <w:pStyle w:val="ListParagraph"/>
        <w:ind w:left="1572"/>
      </w:pPr>
    </w:p>
    <w:p w:rsidR="008B0183" w:rsidRDefault="008B0183" w:rsidP="008B0183"/>
    <w:p w:rsidR="00BF7F14" w:rsidRDefault="00BF7F14" w:rsidP="00BF7F14">
      <w:pPr>
        <w:pStyle w:val="ListParagraph"/>
        <w:ind w:left="1572"/>
      </w:pPr>
    </w:p>
    <w:p w:rsidR="00962428" w:rsidRDefault="00962428" w:rsidP="00BF7F14">
      <w:pPr>
        <w:pStyle w:val="ListParagraph"/>
        <w:ind w:left="1572"/>
      </w:pPr>
    </w:p>
    <w:p w:rsidR="00962428" w:rsidRDefault="00962428" w:rsidP="00BF7F14">
      <w:pPr>
        <w:pStyle w:val="ListParagraph"/>
        <w:ind w:left="1572"/>
      </w:pPr>
    </w:p>
    <w:p w:rsidR="00962428" w:rsidRDefault="00962428" w:rsidP="00BF7F14">
      <w:pPr>
        <w:pStyle w:val="ListParagraph"/>
        <w:ind w:left="1572"/>
      </w:pPr>
    </w:p>
    <w:p w:rsidR="00962428" w:rsidRDefault="00962428" w:rsidP="00BF7F14">
      <w:pPr>
        <w:pStyle w:val="ListParagraph"/>
        <w:ind w:left="1572"/>
      </w:pPr>
    </w:p>
    <w:p w:rsidR="00962428" w:rsidRDefault="00962428" w:rsidP="00BF7F14">
      <w:pPr>
        <w:pStyle w:val="ListParagraph"/>
        <w:ind w:left="1572"/>
      </w:pPr>
    </w:p>
    <w:p w:rsidR="00962428" w:rsidRDefault="00962428" w:rsidP="00BF7F14">
      <w:pPr>
        <w:pStyle w:val="ListParagraph"/>
        <w:ind w:left="1572"/>
      </w:pPr>
    </w:p>
    <w:p w:rsidR="00962428" w:rsidRDefault="00962428" w:rsidP="00BF7F14">
      <w:pPr>
        <w:pStyle w:val="ListParagraph"/>
        <w:ind w:left="1572"/>
      </w:pPr>
    </w:p>
    <w:p w:rsidR="00962428" w:rsidRDefault="00962428" w:rsidP="00BF7F14">
      <w:pPr>
        <w:pStyle w:val="ListParagraph"/>
        <w:ind w:left="1572"/>
      </w:pPr>
    </w:p>
    <w:p w:rsidR="00962428" w:rsidRDefault="00962428" w:rsidP="00BF7F14">
      <w:pPr>
        <w:pStyle w:val="ListParagraph"/>
        <w:ind w:left="1572"/>
      </w:pPr>
    </w:p>
    <w:p w:rsidR="00962428" w:rsidRDefault="00962428" w:rsidP="00BF7F14">
      <w:pPr>
        <w:pStyle w:val="ListParagraph"/>
        <w:ind w:left="1572"/>
      </w:pPr>
    </w:p>
    <w:p w:rsidR="00962428" w:rsidRDefault="00962428" w:rsidP="00BF7F14">
      <w:pPr>
        <w:pStyle w:val="ListParagraph"/>
        <w:ind w:left="1572"/>
      </w:pPr>
    </w:p>
    <w:p w:rsidR="00962428" w:rsidRDefault="00962428" w:rsidP="00BF7F14">
      <w:pPr>
        <w:pStyle w:val="ListParagraph"/>
        <w:ind w:left="1572"/>
      </w:pPr>
    </w:p>
    <w:p w:rsidR="00962428" w:rsidRDefault="00962428" w:rsidP="00BF7F14">
      <w:pPr>
        <w:pStyle w:val="ListParagraph"/>
        <w:ind w:left="1572"/>
      </w:pPr>
    </w:p>
    <w:p w:rsidR="00962428" w:rsidRDefault="00962428" w:rsidP="00BF7F14">
      <w:pPr>
        <w:pStyle w:val="ListParagraph"/>
        <w:ind w:left="1572"/>
      </w:pPr>
    </w:p>
    <w:p w:rsidR="00962428" w:rsidRDefault="00962428" w:rsidP="00BF7F14">
      <w:pPr>
        <w:pStyle w:val="ListParagraph"/>
        <w:ind w:left="1572"/>
      </w:pPr>
    </w:p>
    <w:p w:rsidR="00962428" w:rsidRDefault="00962428" w:rsidP="00BF7F14">
      <w:pPr>
        <w:pStyle w:val="ListParagraph"/>
        <w:ind w:left="1572"/>
      </w:pPr>
    </w:p>
    <w:p w:rsidR="00962428" w:rsidRDefault="00962428" w:rsidP="00BF7F14">
      <w:pPr>
        <w:pStyle w:val="ListParagraph"/>
        <w:ind w:left="1572"/>
      </w:pPr>
    </w:p>
    <w:p w:rsidR="00962428" w:rsidRDefault="00962428" w:rsidP="00BF7F14">
      <w:pPr>
        <w:pStyle w:val="ListParagraph"/>
        <w:ind w:left="1572"/>
      </w:pPr>
    </w:p>
    <w:p w:rsidR="00962428" w:rsidRDefault="00962428" w:rsidP="00BF7F14">
      <w:pPr>
        <w:pStyle w:val="ListParagraph"/>
        <w:ind w:left="1572"/>
      </w:pPr>
      <w:r>
        <w:t xml:space="preserve">                                                                                                   1,161,171.53</w:t>
      </w:r>
    </w:p>
    <w:p w:rsidR="00962428" w:rsidRDefault="00962428" w:rsidP="00BF7F14">
      <w:pPr>
        <w:pStyle w:val="ListParagraph"/>
        <w:ind w:left="1572"/>
      </w:pPr>
    </w:p>
    <w:p w:rsidR="00962428" w:rsidRDefault="00962428" w:rsidP="00BF7F14">
      <w:pPr>
        <w:pStyle w:val="ListParagraph"/>
        <w:ind w:left="1572"/>
      </w:pPr>
      <w:r>
        <w:t>ii) Inadequate cash, Delays In collections of debtors.</w:t>
      </w:r>
    </w:p>
    <w:p w:rsidR="00962428" w:rsidRDefault="00962428" w:rsidP="00F70D12">
      <w:pPr>
        <w:pStyle w:val="ListParagraph"/>
        <w:numPr>
          <w:ilvl w:val="0"/>
          <w:numId w:val="3"/>
        </w:numPr>
      </w:pPr>
      <w:r>
        <w:lastRenderedPageBreak/>
        <w:t>April 2017</w:t>
      </w:r>
    </w:p>
    <w:p w:rsidR="00962428" w:rsidRDefault="00D14691" w:rsidP="00F70D12">
      <w:pPr>
        <w:pStyle w:val="ListParagraph"/>
        <w:numPr>
          <w:ilvl w:val="0"/>
          <w:numId w:val="3"/>
        </w:numPr>
      </w:pPr>
      <w:r>
        <w:t xml:space="preserve"> (</w:t>
      </w:r>
      <w:proofErr w:type="spellStart"/>
      <w:r>
        <w:t>i</w:t>
      </w:r>
      <w:proofErr w:type="spellEnd"/>
      <w:r>
        <w:t>) T</w:t>
      </w:r>
      <w:r w:rsidR="00962428">
        <w:t xml:space="preserve">o improve cash flow, operators are required </w:t>
      </w:r>
      <w:r w:rsidR="00B72B45">
        <w:t>to apply for renewal of their permit three months before expiry of their permits. This allows safety assessment to take place bef</w:t>
      </w:r>
      <w:r>
        <w:t>ore the expiry of the permit. Afte</w:t>
      </w:r>
      <w:r w:rsidR="00B72B45">
        <w:t>r the assessment has been completed, an invoice is issued to the operator. This process ensures that revenue is generated and collected in time.</w:t>
      </w:r>
    </w:p>
    <w:p w:rsidR="00F70D12" w:rsidRDefault="00F70D12" w:rsidP="00F70D12">
      <w:pPr>
        <w:pStyle w:val="ListParagraph"/>
        <w:ind w:left="1572"/>
      </w:pPr>
    </w:p>
    <w:p w:rsidR="00B72B45" w:rsidRDefault="00B72B45" w:rsidP="00B72B45">
      <w:pPr>
        <w:pStyle w:val="ListParagraph"/>
        <w:ind w:left="1572"/>
      </w:pPr>
      <w:r>
        <w:t xml:space="preserve">(ii) According to (RSR) debtors Management Policy, debtors must be collected within 30 days of </w:t>
      </w:r>
      <w:r w:rsidR="00D14691">
        <w:t>issuing an</w:t>
      </w:r>
      <w:r>
        <w:t xml:space="preserve"> invoice. After operators have been invoiced, regular follow up is made with the debtors to ensure that payment is received.</w:t>
      </w:r>
    </w:p>
    <w:p w:rsidR="00B72B45" w:rsidRDefault="00B72B45" w:rsidP="00B72B45">
      <w:pPr>
        <w:pStyle w:val="ListParagraph"/>
        <w:ind w:left="1572"/>
      </w:pPr>
    </w:p>
    <w:p w:rsidR="00B72B45" w:rsidRDefault="00B72B45" w:rsidP="00B72B45">
      <w:pPr>
        <w:pStyle w:val="ListParagraph"/>
        <w:ind w:left="1572"/>
      </w:pPr>
      <w:r>
        <w:t xml:space="preserve">(iii) Communication with debtors takes place through telephone, email and by sending statement of accounts. This is done </w:t>
      </w:r>
      <w:r w:rsidR="00D14691">
        <w:t xml:space="preserve">to ensure that cash flow of the organisation is improved so that creditors could be paid within 30 days </w:t>
      </w:r>
    </w:p>
    <w:p w:rsidR="00962428" w:rsidRDefault="00962428" w:rsidP="00BF7F14">
      <w:pPr>
        <w:pStyle w:val="ListParagraph"/>
        <w:ind w:left="1572"/>
      </w:pPr>
    </w:p>
    <w:sectPr w:rsidR="00962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6BF" w:rsidRDefault="009A06BF" w:rsidP="003D3BF4">
      <w:pPr>
        <w:spacing w:after="0" w:line="240" w:lineRule="auto"/>
      </w:pPr>
      <w:r>
        <w:separator/>
      </w:r>
    </w:p>
  </w:endnote>
  <w:endnote w:type="continuationSeparator" w:id="0">
    <w:p w:rsidR="009A06BF" w:rsidRDefault="009A06BF" w:rsidP="003D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6BF" w:rsidRDefault="009A06BF" w:rsidP="003D3BF4">
      <w:pPr>
        <w:spacing w:after="0" w:line="240" w:lineRule="auto"/>
      </w:pPr>
      <w:r>
        <w:separator/>
      </w:r>
    </w:p>
  </w:footnote>
  <w:footnote w:type="continuationSeparator" w:id="0">
    <w:p w:rsidR="009A06BF" w:rsidRDefault="009A06BF" w:rsidP="003D3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C4BEB"/>
    <w:multiLevelType w:val="hybridMultilevel"/>
    <w:tmpl w:val="6212D718"/>
    <w:lvl w:ilvl="0" w:tplc="1C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28BE3CD2"/>
    <w:multiLevelType w:val="hybridMultilevel"/>
    <w:tmpl w:val="4684AEE2"/>
    <w:lvl w:ilvl="0" w:tplc="65D636F8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92" w:hanging="360"/>
      </w:pPr>
    </w:lvl>
    <w:lvl w:ilvl="2" w:tplc="1C09001B" w:tentative="1">
      <w:start w:val="1"/>
      <w:numFmt w:val="lowerRoman"/>
      <w:lvlText w:val="%3."/>
      <w:lvlJc w:val="right"/>
      <w:pPr>
        <w:ind w:left="3012" w:hanging="180"/>
      </w:pPr>
    </w:lvl>
    <w:lvl w:ilvl="3" w:tplc="1C09000F" w:tentative="1">
      <w:start w:val="1"/>
      <w:numFmt w:val="decimal"/>
      <w:lvlText w:val="%4."/>
      <w:lvlJc w:val="left"/>
      <w:pPr>
        <w:ind w:left="3732" w:hanging="360"/>
      </w:pPr>
    </w:lvl>
    <w:lvl w:ilvl="4" w:tplc="1C090019" w:tentative="1">
      <w:start w:val="1"/>
      <w:numFmt w:val="lowerLetter"/>
      <w:lvlText w:val="%5."/>
      <w:lvlJc w:val="left"/>
      <w:pPr>
        <w:ind w:left="4452" w:hanging="360"/>
      </w:pPr>
    </w:lvl>
    <w:lvl w:ilvl="5" w:tplc="1C09001B" w:tentative="1">
      <w:start w:val="1"/>
      <w:numFmt w:val="lowerRoman"/>
      <w:lvlText w:val="%6."/>
      <w:lvlJc w:val="right"/>
      <w:pPr>
        <w:ind w:left="5172" w:hanging="180"/>
      </w:pPr>
    </w:lvl>
    <w:lvl w:ilvl="6" w:tplc="1C09000F" w:tentative="1">
      <w:start w:val="1"/>
      <w:numFmt w:val="decimal"/>
      <w:lvlText w:val="%7."/>
      <w:lvlJc w:val="left"/>
      <w:pPr>
        <w:ind w:left="5892" w:hanging="360"/>
      </w:pPr>
    </w:lvl>
    <w:lvl w:ilvl="7" w:tplc="1C090019" w:tentative="1">
      <w:start w:val="1"/>
      <w:numFmt w:val="lowerLetter"/>
      <w:lvlText w:val="%8."/>
      <w:lvlJc w:val="left"/>
      <w:pPr>
        <w:ind w:left="6612" w:hanging="360"/>
      </w:pPr>
    </w:lvl>
    <w:lvl w:ilvl="8" w:tplc="1C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2B6862C7"/>
    <w:multiLevelType w:val="hybridMultilevel"/>
    <w:tmpl w:val="2886DFC6"/>
    <w:lvl w:ilvl="0" w:tplc="569AE420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92" w:hanging="360"/>
      </w:pPr>
    </w:lvl>
    <w:lvl w:ilvl="2" w:tplc="1C09001B" w:tentative="1">
      <w:start w:val="1"/>
      <w:numFmt w:val="lowerRoman"/>
      <w:lvlText w:val="%3."/>
      <w:lvlJc w:val="right"/>
      <w:pPr>
        <w:ind w:left="3012" w:hanging="180"/>
      </w:pPr>
    </w:lvl>
    <w:lvl w:ilvl="3" w:tplc="1C09000F" w:tentative="1">
      <w:start w:val="1"/>
      <w:numFmt w:val="decimal"/>
      <w:lvlText w:val="%4."/>
      <w:lvlJc w:val="left"/>
      <w:pPr>
        <w:ind w:left="3732" w:hanging="360"/>
      </w:pPr>
    </w:lvl>
    <w:lvl w:ilvl="4" w:tplc="1C090019" w:tentative="1">
      <w:start w:val="1"/>
      <w:numFmt w:val="lowerLetter"/>
      <w:lvlText w:val="%5."/>
      <w:lvlJc w:val="left"/>
      <w:pPr>
        <w:ind w:left="4452" w:hanging="360"/>
      </w:pPr>
    </w:lvl>
    <w:lvl w:ilvl="5" w:tplc="1C09001B" w:tentative="1">
      <w:start w:val="1"/>
      <w:numFmt w:val="lowerRoman"/>
      <w:lvlText w:val="%6."/>
      <w:lvlJc w:val="right"/>
      <w:pPr>
        <w:ind w:left="5172" w:hanging="180"/>
      </w:pPr>
    </w:lvl>
    <w:lvl w:ilvl="6" w:tplc="1C09000F" w:tentative="1">
      <w:start w:val="1"/>
      <w:numFmt w:val="decimal"/>
      <w:lvlText w:val="%7."/>
      <w:lvlJc w:val="left"/>
      <w:pPr>
        <w:ind w:left="5892" w:hanging="360"/>
      </w:pPr>
    </w:lvl>
    <w:lvl w:ilvl="7" w:tplc="1C090019" w:tentative="1">
      <w:start w:val="1"/>
      <w:numFmt w:val="lowerLetter"/>
      <w:lvlText w:val="%8."/>
      <w:lvlJc w:val="left"/>
      <w:pPr>
        <w:ind w:left="6612" w:hanging="360"/>
      </w:pPr>
    </w:lvl>
    <w:lvl w:ilvl="8" w:tplc="1C0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2E"/>
    <w:rsid w:val="000411B6"/>
    <w:rsid w:val="003D3BF4"/>
    <w:rsid w:val="0073712E"/>
    <w:rsid w:val="007D7079"/>
    <w:rsid w:val="008B0183"/>
    <w:rsid w:val="00962428"/>
    <w:rsid w:val="009A06BF"/>
    <w:rsid w:val="00B72B45"/>
    <w:rsid w:val="00BF2004"/>
    <w:rsid w:val="00BF7F14"/>
    <w:rsid w:val="00D14691"/>
    <w:rsid w:val="00E72F57"/>
    <w:rsid w:val="00F70D12"/>
    <w:rsid w:val="00F9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C65DBE4-3F4F-411A-BC47-8779F3FB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F14"/>
    <w:pPr>
      <w:ind w:left="720"/>
      <w:contextualSpacing/>
    </w:pPr>
  </w:style>
  <w:style w:type="table" w:styleId="TableGrid">
    <w:name w:val="Table Grid"/>
    <w:basedOn w:val="TableNormal"/>
    <w:uiPriority w:val="39"/>
    <w:rsid w:val="00BF7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3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BF4"/>
  </w:style>
  <w:style w:type="paragraph" w:styleId="Footer">
    <w:name w:val="footer"/>
    <w:basedOn w:val="Normal"/>
    <w:link w:val="FooterChar"/>
    <w:uiPriority w:val="99"/>
    <w:unhideWhenUsed/>
    <w:rsid w:val="003D3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KEER</dc:creator>
  <cp:keywords/>
  <dc:description/>
  <cp:lastModifiedBy>MR KEER</cp:lastModifiedBy>
  <cp:revision>2</cp:revision>
  <dcterms:created xsi:type="dcterms:W3CDTF">2017-04-14T15:38:00Z</dcterms:created>
  <dcterms:modified xsi:type="dcterms:W3CDTF">2017-04-14T15:38:00Z</dcterms:modified>
</cp:coreProperties>
</file>