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4C11" w14:textId="77777777" w:rsidR="00B05CA7" w:rsidRPr="00BF349B" w:rsidRDefault="00B05CA7" w:rsidP="00E53BF6">
      <w:pPr>
        <w:spacing w:after="0" w:line="240" w:lineRule="auto"/>
        <w:rPr>
          <w:rFonts w:ascii="Arial" w:hAnsi="Arial" w:cs="Arial"/>
          <w:b/>
          <w:sz w:val="24"/>
          <w:szCs w:val="24"/>
          <w:lang w:val="fr-FR"/>
        </w:rPr>
      </w:pPr>
    </w:p>
    <w:p w14:paraId="2F5CD715" w14:textId="77777777" w:rsidR="00314530" w:rsidRPr="00BF349B" w:rsidRDefault="00314530" w:rsidP="00E81167">
      <w:pPr>
        <w:spacing w:after="0" w:line="240" w:lineRule="auto"/>
        <w:jc w:val="both"/>
        <w:rPr>
          <w:rFonts w:ascii="Arial" w:hAnsi="Arial" w:cs="Arial"/>
          <w:sz w:val="24"/>
          <w:szCs w:val="24"/>
        </w:rPr>
      </w:pPr>
    </w:p>
    <w:p w14:paraId="17B40F3B" w14:textId="77777777"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71B912A9" w14:textId="77777777" w:rsidR="000B3AB2" w:rsidRPr="002A6081" w:rsidRDefault="00942E6F" w:rsidP="000B3AB2">
      <w:pPr>
        <w:spacing w:after="267" w:line="249" w:lineRule="auto"/>
        <w:rPr>
          <w:rFonts w:ascii="Arial" w:hAnsi="Arial" w:cs="Arial"/>
          <w:b/>
        </w:rPr>
      </w:pPr>
      <w:r>
        <w:rPr>
          <w:rFonts w:ascii="Arial" w:hAnsi="Arial" w:cs="Arial"/>
          <w:b/>
          <w:lang w:val="en-ZA" w:eastAsia="x-none"/>
        </w:rPr>
        <w:t xml:space="preserve">Question No: </w:t>
      </w:r>
      <w:r w:rsidR="002A6081" w:rsidRPr="002A6081">
        <w:rPr>
          <w:rFonts w:ascii="Arial" w:hAnsi="Arial" w:cs="Arial"/>
          <w:b/>
        </w:rPr>
        <w:t>90</w:t>
      </w:r>
      <w:r w:rsidR="006D07AF">
        <w:rPr>
          <w:rFonts w:ascii="Arial" w:hAnsi="Arial" w:cs="Arial"/>
          <w:b/>
        </w:rPr>
        <w:t>2</w:t>
      </w:r>
      <w:r w:rsidR="000B3AB2" w:rsidRPr="002A6081">
        <w:rPr>
          <w:rFonts w:ascii="Arial" w:hAnsi="Arial" w:cs="Arial"/>
          <w:b/>
        </w:rPr>
        <w:tab/>
      </w:r>
    </w:p>
    <w:p w14:paraId="640DE17E" w14:textId="77777777" w:rsidR="006D07AF" w:rsidRPr="006D07AF" w:rsidRDefault="008500DE" w:rsidP="006D07AF">
      <w:pPr>
        <w:spacing w:after="267" w:line="249" w:lineRule="auto"/>
        <w:ind w:left="818" w:hanging="720"/>
        <w:rPr>
          <w:rFonts w:ascii="Arial" w:hAnsi="Arial" w:cs="Arial"/>
          <w:b/>
          <w:noProof/>
          <w:lang w:val="af-ZA"/>
        </w:rPr>
      </w:pPr>
      <w:r>
        <w:rPr>
          <w:rFonts w:ascii="Arial" w:hAnsi="Arial" w:cs="Arial"/>
          <w:b/>
          <w:noProof/>
          <w:lang w:val="af-ZA"/>
        </w:rPr>
        <w:t>902.</w:t>
      </w:r>
      <w:r>
        <w:rPr>
          <w:rFonts w:ascii="Arial" w:hAnsi="Arial" w:cs="Arial"/>
          <w:b/>
          <w:noProof/>
          <w:lang w:val="af-ZA"/>
        </w:rPr>
        <w:tab/>
        <w:t>Mr T Z  Hadebe</w:t>
      </w:r>
      <w:r w:rsidR="006D07AF" w:rsidRPr="006D07AF">
        <w:rPr>
          <w:rFonts w:ascii="Arial" w:hAnsi="Arial" w:cs="Arial"/>
          <w:b/>
          <w:noProof/>
          <w:lang w:val="af-ZA"/>
        </w:rPr>
        <w:t xml:space="preserve"> (DA) to ask the Minister of Transport:</w:t>
      </w:r>
    </w:p>
    <w:p w14:paraId="0390819C" w14:textId="09179182" w:rsidR="006D07AF" w:rsidRPr="006D07AF" w:rsidRDefault="006D07AF" w:rsidP="0015527F">
      <w:pPr>
        <w:spacing w:after="0"/>
        <w:jc w:val="both"/>
        <w:rPr>
          <w:rFonts w:ascii="Arial" w:hAnsi="Arial" w:cs="Arial"/>
        </w:rPr>
      </w:pPr>
      <w:r w:rsidRPr="006D07AF">
        <w:rPr>
          <w:rFonts w:ascii="Arial" w:hAnsi="Arial" w:cs="Arial"/>
        </w:rPr>
        <w:t>Whether the Road Traffic Management Corporation has any debt that has remained unpaid for 30 days or more; if so, (a) what (i) are the details of these debts, (ii) are the reasons for non-payment in each case, (b) on what date will each debt be settled and (c) what (i) processes, (ii) procedures and (iii) mechanisms are in place to ensure that payments are made on time?</w:t>
      </w:r>
      <w:bookmarkStart w:id="0" w:name="_GoBack"/>
      <w:bookmarkEnd w:id="0"/>
      <w:r w:rsidR="0015527F">
        <w:rPr>
          <w:rFonts w:ascii="Arial" w:hAnsi="Arial" w:cs="Arial"/>
        </w:rPr>
        <w:tab/>
      </w:r>
      <w:r w:rsidR="0015527F">
        <w:rPr>
          <w:rFonts w:ascii="Arial" w:hAnsi="Arial" w:cs="Arial"/>
        </w:rPr>
        <w:tab/>
      </w:r>
      <w:r w:rsidR="0015527F">
        <w:rPr>
          <w:rFonts w:ascii="Arial" w:hAnsi="Arial" w:cs="Arial"/>
        </w:rPr>
        <w:tab/>
      </w:r>
      <w:r w:rsidRPr="006D07AF">
        <w:rPr>
          <w:rFonts w:ascii="Arial" w:hAnsi="Arial" w:cs="Arial"/>
          <w:noProof/>
          <w:lang w:val="af-ZA"/>
        </w:rPr>
        <w:t>NW971E</w:t>
      </w:r>
    </w:p>
    <w:p w14:paraId="59C8E130" w14:textId="77777777" w:rsidR="00CA442F" w:rsidRDefault="00CA442F" w:rsidP="0015527F">
      <w:pPr>
        <w:spacing w:after="0"/>
        <w:rPr>
          <w:rFonts w:ascii="Arial" w:hAnsi="Arial" w:cs="Arial"/>
        </w:rPr>
      </w:pP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p>
    <w:p w14:paraId="0A73CC07" w14:textId="77777777" w:rsidR="0015527F" w:rsidRDefault="000B3AB2" w:rsidP="0015527F">
      <w:pPr>
        <w:spacing w:after="0"/>
        <w:rPr>
          <w:rFonts w:ascii="Arial" w:hAnsi="Arial" w:cs="Arial"/>
          <w:b/>
          <w:lang w:val="en-ZA" w:eastAsia="x-none"/>
        </w:rPr>
      </w:pPr>
      <w:r w:rsidRPr="00CA442F">
        <w:rPr>
          <w:rFonts w:ascii="Arial" w:hAnsi="Arial" w:cs="Arial"/>
          <w:b/>
          <w:lang w:val="en-ZA" w:eastAsia="x-none"/>
        </w:rPr>
        <w:t>REPLY</w:t>
      </w:r>
      <w:r w:rsidR="0015527F" w:rsidRPr="0015527F">
        <w:rPr>
          <w:rFonts w:ascii="Arial" w:hAnsi="Arial" w:cs="Arial"/>
          <w:b/>
          <w:lang w:val="en-ZA" w:eastAsia="x-none"/>
        </w:rPr>
        <w:t xml:space="preserve"> </w:t>
      </w:r>
    </w:p>
    <w:p w14:paraId="1766D700" w14:textId="77777777" w:rsidR="000B05C3" w:rsidRDefault="000B05C3" w:rsidP="0015527F">
      <w:pPr>
        <w:spacing w:after="0"/>
        <w:rPr>
          <w:rFonts w:ascii="Arial" w:hAnsi="Arial" w:cs="Arial"/>
          <w:b/>
          <w:lang w:val="en-ZA" w:eastAsia="x-none"/>
        </w:rPr>
      </w:pPr>
    </w:p>
    <w:p w14:paraId="5F52E627" w14:textId="77777777" w:rsidR="0015527F" w:rsidRDefault="0015527F" w:rsidP="000B05C3">
      <w:pPr>
        <w:pStyle w:val="ListParagraph"/>
        <w:numPr>
          <w:ilvl w:val="0"/>
          <w:numId w:val="12"/>
        </w:numPr>
        <w:tabs>
          <w:tab w:val="left" w:pos="567"/>
        </w:tabs>
        <w:spacing w:after="0"/>
        <w:ind w:left="567" w:hanging="567"/>
        <w:rPr>
          <w:rFonts w:ascii="Arial" w:hAnsi="Arial" w:cs="Arial"/>
        </w:rPr>
      </w:pPr>
      <w:r w:rsidRPr="000B05C3">
        <w:rPr>
          <w:rFonts w:ascii="Arial" w:hAnsi="Arial" w:cs="Arial"/>
        </w:rPr>
        <w:t xml:space="preserve">(i) are the details of these debts, </w:t>
      </w:r>
    </w:p>
    <w:tbl>
      <w:tblPr>
        <w:tblStyle w:val="TableGrid"/>
        <w:tblW w:w="0" w:type="auto"/>
        <w:tblInd w:w="567" w:type="dxa"/>
        <w:tblLook w:val="04A0" w:firstRow="1" w:lastRow="0" w:firstColumn="1" w:lastColumn="0" w:noHBand="0" w:noVBand="1"/>
      </w:tblPr>
      <w:tblGrid>
        <w:gridCol w:w="1651"/>
        <w:gridCol w:w="1830"/>
        <w:gridCol w:w="1896"/>
        <w:gridCol w:w="1933"/>
        <w:gridCol w:w="2013"/>
      </w:tblGrid>
      <w:tr w:rsidR="00B07E8A" w14:paraId="2DAB831F" w14:textId="77777777" w:rsidTr="00B07E8A">
        <w:tc>
          <w:tcPr>
            <w:tcW w:w="1651" w:type="dxa"/>
          </w:tcPr>
          <w:p w14:paraId="0A544721" w14:textId="77777777" w:rsidR="00B07E8A" w:rsidRPr="00EB4E9A" w:rsidRDefault="00B07E8A" w:rsidP="006562B9">
            <w:pPr>
              <w:pStyle w:val="ListParagraph"/>
              <w:tabs>
                <w:tab w:val="left" w:pos="567"/>
              </w:tabs>
              <w:ind w:left="0"/>
              <w:rPr>
                <w:rFonts w:ascii="Arial" w:hAnsi="Arial" w:cs="Arial"/>
                <w:b/>
              </w:rPr>
            </w:pPr>
            <w:r w:rsidRPr="00EB4E9A">
              <w:rPr>
                <w:rFonts w:ascii="Arial" w:hAnsi="Arial" w:cs="Arial"/>
                <w:b/>
              </w:rPr>
              <w:t xml:space="preserve">Service provider / </w:t>
            </w:r>
            <w:r w:rsidR="00EB4E9A" w:rsidRPr="00EB4E9A">
              <w:rPr>
                <w:rFonts w:ascii="Arial" w:hAnsi="Arial" w:cs="Arial"/>
                <w:b/>
              </w:rPr>
              <w:t>Invoice holder</w:t>
            </w:r>
          </w:p>
        </w:tc>
        <w:tc>
          <w:tcPr>
            <w:tcW w:w="1830" w:type="dxa"/>
          </w:tcPr>
          <w:p w14:paraId="5E39721C" w14:textId="77777777" w:rsidR="00B07E8A" w:rsidRPr="00EB4E9A" w:rsidRDefault="00B07E8A" w:rsidP="00B07E8A">
            <w:pPr>
              <w:pStyle w:val="ListParagraph"/>
              <w:tabs>
                <w:tab w:val="left" w:pos="567"/>
              </w:tabs>
              <w:ind w:left="0"/>
              <w:rPr>
                <w:rFonts w:ascii="Arial" w:hAnsi="Arial" w:cs="Arial"/>
                <w:b/>
              </w:rPr>
            </w:pPr>
            <w:r w:rsidRPr="00EB4E9A">
              <w:rPr>
                <w:rFonts w:ascii="Arial" w:hAnsi="Arial" w:cs="Arial"/>
                <w:b/>
              </w:rPr>
              <w:t xml:space="preserve">Invoice number </w:t>
            </w:r>
          </w:p>
        </w:tc>
        <w:tc>
          <w:tcPr>
            <w:tcW w:w="1896" w:type="dxa"/>
          </w:tcPr>
          <w:p w14:paraId="5CDB940E" w14:textId="77777777" w:rsidR="00B07E8A" w:rsidRPr="00EB4E9A" w:rsidRDefault="00B07E8A" w:rsidP="006562B9">
            <w:pPr>
              <w:pStyle w:val="ListParagraph"/>
              <w:tabs>
                <w:tab w:val="left" w:pos="567"/>
              </w:tabs>
              <w:ind w:left="0"/>
              <w:rPr>
                <w:rFonts w:ascii="Arial" w:hAnsi="Arial" w:cs="Arial"/>
                <w:b/>
              </w:rPr>
            </w:pPr>
            <w:r w:rsidRPr="00EB4E9A">
              <w:rPr>
                <w:rFonts w:ascii="Arial" w:hAnsi="Arial" w:cs="Arial"/>
                <w:b/>
              </w:rPr>
              <w:t>Invoice dates</w:t>
            </w:r>
          </w:p>
        </w:tc>
        <w:tc>
          <w:tcPr>
            <w:tcW w:w="1933" w:type="dxa"/>
          </w:tcPr>
          <w:p w14:paraId="6ECBCEE6" w14:textId="77777777" w:rsidR="00B07E8A" w:rsidRPr="00EB4E9A" w:rsidRDefault="00B07E8A" w:rsidP="006562B9">
            <w:pPr>
              <w:pStyle w:val="ListParagraph"/>
              <w:tabs>
                <w:tab w:val="left" w:pos="567"/>
              </w:tabs>
              <w:ind w:left="0"/>
              <w:rPr>
                <w:rFonts w:ascii="Arial" w:hAnsi="Arial" w:cs="Arial"/>
                <w:b/>
              </w:rPr>
            </w:pPr>
            <w:r w:rsidRPr="00EB4E9A">
              <w:rPr>
                <w:rFonts w:ascii="Arial" w:hAnsi="Arial" w:cs="Arial"/>
                <w:b/>
              </w:rPr>
              <w:t xml:space="preserve">Reason for non-payment </w:t>
            </w:r>
          </w:p>
        </w:tc>
        <w:tc>
          <w:tcPr>
            <w:tcW w:w="2013" w:type="dxa"/>
          </w:tcPr>
          <w:p w14:paraId="1BCD4A63" w14:textId="77777777" w:rsidR="00B07E8A" w:rsidRPr="00EB4E9A" w:rsidRDefault="00B07E8A" w:rsidP="006562B9">
            <w:pPr>
              <w:pStyle w:val="ListParagraph"/>
              <w:tabs>
                <w:tab w:val="left" w:pos="567"/>
              </w:tabs>
              <w:ind w:left="0"/>
              <w:rPr>
                <w:rFonts w:ascii="Arial" w:hAnsi="Arial" w:cs="Arial"/>
                <w:b/>
              </w:rPr>
            </w:pPr>
            <w:r w:rsidRPr="00EB4E9A">
              <w:rPr>
                <w:rFonts w:ascii="Arial" w:hAnsi="Arial" w:cs="Arial"/>
                <w:b/>
              </w:rPr>
              <w:t>Settlement date</w:t>
            </w:r>
          </w:p>
        </w:tc>
      </w:tr>
      <w:tr w:rsidR="00B07E8A" w14:paraId="7801505F" w14:textId="77777777" w:rsidTr="00B07E8A">
        <w:tc>
          <w:tcPr>
            <w:tcW w:w="1651" w:type="dxa"/>
          </w:tcPr>
          <w:p w14:paraId="27D1F6DC" w14:textId="77777777" w:rsidR="00B07E8A" w:rsidRDefault="00CD7F61" w:rsidP="006562B9">
            <w:pPr>
              <w:pStyle w:val="ListParagraph"/>
              <w:tabs>
                <w:tab w:val="left" w:pos="567"/>
              </w:tabs>
              <w:ind w:left="0"/>
              <w:rPr>
                <w:rFonts w:ascii="Arial" w:hAnsi="Arial" w:cs="Arial"/>
              </w:rPr>
            </w:pPr>
            <w:r>
              <w:rPr>
                <w:rFonts w:ascii="Arial" w:hAnsi="Arial" w:cs="Arial"/>
              </w:rPr>
              <w:t>Putco Mafani</w:t>
            </w:r>
            <w:r w:rsidR="00D44E8C">
              <w:rPr>
                <w:rFonts w:ascii="Arial" w:hAnsi="Arial" w:cs="Arial"/>
              </w:rPr>
              <w:t xml:space="preserve"> Consulting</w:t>
            </w:r>
          </w:p>
        </w:tc>
        <w:tc>
          <w:tcPr>
            <w:tcW w:w="1830" w:type="dxa"/>
          </w:tcPr>
          <w:p w14:paraId="3CF80B0C" w14:textId="77777777" w:rsidR="00B07E8A" w:rsidRDefault="00CD7F61" w:rsidP="006562B9">
            <w:pPr>
              <w:pStyle w:val="ListParagraph"/>
              <w:tabs>
                <w:tab w:val="left" w:pos="567"/>
              </w:tabs>
              <w:ind w:left="0"/>
              <w:rPr>
                <w:rFonts w:ascii="Arial" w:hAnsi="Arial" w:cs="Arial"/>
              </w:rPr>
            </w:pPr>
            <w:r>
              <w:rPr>
                <w:rFonts w:ascii="Arial" w:hAnsi="Arial" w:cs="Arial"/>
              </w:rPr>
              <w:t>INV2016-09-06</w:t>
            </w:r>
          </w:p>
        </w:tc>
        <w:tc>
          <w:tcPr>
            <w:tcW w:w="1896" w:type="dxa"/>
          </w:tcPr>
          <w:p w14:paraId="12CC9CE2" w14:textId="77777777" w:rsidR="00B07E8A" w:rsidRDefault="00CD7F61" w:rsidP="006562B9">
            <w:pPr>
              <w:pStyle w:val="ListParagraph"/>
              <w:tabs>
                <w:tab w:val="left" w:pos="567"/>
              </w:tabs>
              <w:ind w:left="0"/>
              <w:rPr>
                <w:rFonts w:ascii="Arial" w:hAnsi="Arial" w:cs="Arial"/>
              </w:rPr>
            </w:pPr>
            <w:r>
              <w:rPr>
                <w:rFonts w:ascii="Arial" w:hAnsi="Arial" w:cs="Arial"/>
              </w:rPr>
              <w:t>06-09-2016</w:t>
            </w:r>
          </w:p>
        </w:tc>
        <w:tc>
          <w:tcPr>
            <w:tcW w:w="1933" w:type="dxa"/>
          </w:tcPr>
          <w:p w14:paraId="4EAB558E" w14:textId="77777777" w:rsidR="003A5429" w:rsidRPr="003A5429" w:rsidRDefault="003A5429" w:rsidP="003A5429">
            <w:pPr>
              <w:rPr>
                <w:rFonts w:ascii="Arial" w:hAnsi="Arial" w:cs="Arial"/>
                <w:color w:val="000000" w:themeColor="text1"/>
              </w:rPr>
            </w:pPr>
            <w:r w:rsidRPr="003A5429">
              <w:rPr>
                <w:rFonts w:ascii="Arial" w:hAnsi="Arial" w:cs="Arial"/>
                <w:color w:val="000000" w:themeColor="text1"/>
              </w:rPr>
              <w:t xml:space="preserve">This matter has been referred to the Legal unit as there is a contractual disagreement. </w:t>
            </w:r>
          </w:p>
          <w:p w14:paraId="1DFDFF0E" w14:textId="77777777" w:rsidR="00B07E8A" w:rsidRDefault="00B07E8A" w:rsidP="006562B9">
            <w:pPr>
              <w:pStyle w:val="ListParagraph"/>
              <w:tabs>
                <w:tab w:val="left" w:pos="567"/>
              </w:tabs>
              <w:ind w:left="0"/>
              <w:rPr>
                <w:rFonts w:ascii="Arial" w:hAnsi="Arial" w:cs="Arial"/>
              </w:rPr>
            </w:pPr>
          </w:p>
        </w:tc>
        <w:tc>
          <w:tcPr>
            <w:tcW w:w="2013" w:type="dxa"/>
          </w:tcPr>
          <w:p w14:paraId="342E8717" w14:textId="77777777" w:rsidR="00B07E8A" w:rsidRDefault="00D44E8C" w:rsidP="006562B9">
            <w:pPr>
              <w:pStyle w:val="ListParagraph"/>
              <w:tabs>
                <w:tab w:val="left" w:pos="567"/>
              </w:tabs>
              <w:ind w:left="0"/>
              <w:rPr>
                <w:rFonts w:ascii="Arial" w:hAnsi="Arial" w:cs="Arial"/>
              </w:rPr>
            </w:pPr>
            <w:r>
              <w:rPr>
                <w:rFonts w:ascii="Arial" w:hAnsi="Arial" w:cs="Arial"/>
              </w:rPr>
              <w:t>Once agreement is reached</w:t>
            </w:r>
          </w:p>
        </w:tc>
      </w:tr>
      <w:tr w:rsidR="00B07E8A" w14:paraId="50C88D69" w14:textId="77777777" w:rsidTr="00B07E8A">
        <w:tc>
          <w:tcPr>
            <w:tcW w:w="1651" w:type="dxa"/>
          </w:tcPr>
          <w:p w14:paraId="6575569A" w14:textId="77777777" w:rsidR="00B07E8A" w:rsidRDefault="00CD7F61" w:rsidP="006562B9">
            <w:pPr>
              <w:pStyle w:val="ListParagraph"/>
              <w:tabs>
                <w:tab w:val="left" w:pos="567"/>
              </w:tabs>
              <w:ind w:left="0"/>
              <w:rPr>
                <w:rFonts w:ascii="Arial" w:hAnsi="Arial" w:cs="Arial"/>
              </w:rPr>
            </w:pPr>
            <w:r>
              <w:rPr>
                <w:rFonts w:ascii="Arial" w:hAnsi="Arial" w:cs="Arial"/>
              </w:rPr>
              <w:t>Nexus Travel</w:t>
            </w:r>
          </w:p>
        </w:tc>
        <w:tc>
          <w:tcPr>
            <w:tcW w:w="1830" w:type="dxa"/>
          </w:tcPr>
          <w:p w14:paraId="61884928" w14:textId="77777777" w:rsidR="00B07E8A" w:rsidRDefault="003A5429" w:rsidP="006562B9">
            <w:pPr>
              <w:pStyle w:val="ListParagraph"/>
              <w:tabs>
                <w:tab w:val="left" w:pos="567"/>
              </w:tabs>
              <w:ind w:left="0"/>
              <w:rPr>
                <w:rFonts w:ascii="Arial" w:hAnsi="Arial" w:cs="Arial"/>
              </w:rPr>
            </w:pPr>
            <w:r>
              <w:rPr>
                <w:rFonts w:ascii="Arial" w:hAnsi="Arial" w:cs="Arial"/>
              </w:rPr>
              <w:t>INV082193 to INV0920319</w:t>
            </w:r>
          </w:p>
        </w:tc>
        <w:tc>
          <w:tcPr>
            <w:tcW w:w="1896" w:type="dxa"/>
          </w:tcPr>
          <w:p w14:paraId="446B5CFF" w14:textId="77777777" w:rsidR="00B07E8A" w:rsidRDefault="003A5429" w:rsidP="006562B9">
            <w:pPr>
              <w:pStyle w:val="ListParagraph"/>
              <w:tabs>
                <w:tab w:val="left" w:pos="567"/>
              </w:tabs>
              <w:ind w:left="0"/>
              <w:rPr>
                <w:rFonts w:ascii="Arial" w:hAnsi="Arial" w:cs="Arial"/>
              </w:rPr>
            </w:pPr>
            <w:r>
              <w:rPr>
                <w:rFonts w:ascii="Arial" w:hAnsi="Arial" w:cs="Arial"/>
              </w:rPr>
              <w:t>29-01-2016 to 15-09-2016</w:t>
            </w:r>
          </w:p>
        </w:tc>
        <w:tc>
          <w:tcPr>
            <w:tcW w:w="1933" w:type="dxa"/>
          </w:tcPr>
          <w:p w14:paraId="65DB77D4" w14:textId="77777777" w:rsidR="00B07E8A" w:rsidRDefault="00D44E8C" w:rsidP="00D44E8C">
            <w:pPr>
              <w:rPr>
                <w:rFonts w:ascii="Arial" w:hAnsi="Arial" w:cs="Arial"/>
              </w:rPr>
            </w:pPr>
            <w:r>
              <w:rPr>
                <w:rFonts w:ascii="Arial" w:hAnsi="Arial" w:cs="Arial"/>
                <w:color w:val="000000" w:themeColor="text1"/>
              </w:rPr>
              <w:t xml:space="preserve">There was dispute  on  charges for </w:t>
            </w:r>
            <w:r w:rsidR="003A5429" w:rsidRPr="003A5429">
              <w:rPr>
                <w:rFonts w:ascii="Arial" w:hAnsi="Arial" w:cs="Arial"/>
                <w:color w:val="000000" w:themeColor="text1"/>
              </w:rPr>
              <w:t>accomm</w:t>
            </w:r>
            <w:r>
              <w:rPr>
                <w:rFonts w:ascii="Arial" w:hAnsi="Arial" w:cs="Arial"/>
                <w:color w:val="000000" w:themeColor="text1"/>
              </w:rPr>
              <w:t xml:space="preserve">odation and conference fees </w:t>
            </w:r>
          </w:p>
        </w:tc>
        <w:tc>
          <w:tcPr>
            <w:tcW w:w="2013" w:type="dxa"/>
          </w:tcPr>
          <w:p w14:paraId="2F90EE03" w14:textId="77777777" w:rsidR="003A5429" w:rsidRPr="003A5429" w:rsidRDefault="003A5429" w:rsidP="003A5429">
            <w:pPr>
              <w:rPr>
                <w:rFonts w:ascii="Arial" w:hAnsi="Arial" w:cs="Arial"/>
                <w:color w:val="000000" w:themeColor="text1"/>
              </w:rPr>
            </w:pPr>
            <w:r>
              <w:rPr>
                <w:rFonts w:ascii="Arial" w:hAnsi="Arial" w:cs="Arial"/>
                <w:color w:val="000000" w:themeColor="text1"/>
              </w:rPr>
              <w:t>RTMC</w:t>
            </w:r>
            <w:r w:rsidR="00FB0FF2">
              <w:rPr>
                <w:rFonts w:ascii="Arial" w:hAnsi="Arial" w:cs="Arial"/>
                <w:color w:val="000000" w:themeColor="text1"/>
              </w:rPr>
              <w:t xml:space="preserve"> has</w:t>
            </w:r>
            <w:r w:rsidRPr="003A5429">
              <w:rPr>
                <w:rFonts w:ascii="Arial" w:hAnsi="Arial" w:cs="Arial"/>
                <w:color w:val="000000" w:themeColor="text1"/>
              </w:rPr>
              <w:t xml:space="preserve"> agreed on a settlement of R151 005.74 which was PAID in March. The balance of R557 990.74 will be reversed.</w:t>
            </w:r>
          </w:p>
          <w:p w14:paraId="6607B571" w14:textId="77777777" w:rsidR="00B07E8A" w:rsidRDefault="00B07E8A" w:rsidP="006562B9">
            <w:pPr>
              <w:pStyle w:val="ListParagraph"/>
              <w:tabs>
                <w:tab w:val="left" w:pos="567"/>
              </w:tabs>
              <w:ind w:left="0"/>
              <w:rPr>
                <w:rFonts w:ascii="Arial" w:hAnsi="Arial" w:cs="Arial"/>
              </w:rPr>
            </w:pPr>
          </w:p>
        </w:tc>
      </w:tr>
    </w:tbl>
    <w:p w14:paraId="38E5DB6C" w14:textId="77777777" w:rsidR="006562B9" w:rsidRPr="000B05C3" w:rsidRDefault="006562B9" w:rsidP="006562B9">
      <w:pPr>
        <w:pStyle w:val="ListParagraph"/>
        <w:tabs>
          <w:tab w:val="left" w:pos="567"/>
        </w:tabs>
        <w:spacing w:after="0"/>
        <w:ind w:left="567"/>
        <w:rPr>
          <w:rFonts w:ascii="Arial" w:hAnsi="Arial" w:cs="Arial"/>
        </w:rPr>
      </w:pPr>
    </w:p>
    <w:p w14:paraId="651F95C0" w14:textId="77777777" w:rsidR="0015527F" w:rsidRPr="008438EB" w:rsidRDefault="000B05C3" w:rsidP="000B05C3">
      <w:pPr>
        <w:spacing w:after="0"/>
        <w:ind w:firstLine="567"/>
        <w:rPr>
          <w:rFonts w:ascii="Arial" w:hAnsi="Arial" w:cs="Arial"/>
        </w:rPr>
      </w:pPr>
      <w:r>
        <w:rPr>
          <w:rFonts w:ascii="Arial" w:hAnsi="Arial" w:cs="Arial"/>
        </w:rPr>
        <w:t>The RTMC has</w:t>
      </w:r>
      <w:r w:rsidR="0015527F" w:rsidRPr="008438EB">
        <w:rPr>
          <w:rFonts w:ascii="Arial" w:hAnsi="Arial" w:cs="Arial"/>
        </w:rPr>
        <w:t xml:space="preserve"> two debts over 30 days:</w:t>
      </w:r>
    </w:p>
    <w:p w14:paraId="07C0C696" w14:textId="77777777" w:rsidR="000B05C3" w:rsidRDefault="0015527F" w:rsidP="000B05C3">
      <w:pPr>
        <w:pStyle w:val="ListParagraph"/>
        <w:numPr>
          <w:ilvl w:val="0"/>
          <w:numId w:val="10"/>
        </w:numPr>
        <w:spacing w:after="0"/>
        <w:ind w:left="851" w:hanging="284"/>
        <w:rPr>
          <w:rFonts w:ascii="Arial" w:hAnsi="Arial" w:cs="Arial"/>
        </w:rPr>
      </w:pPr>
      <w:r w:rsidRPr="000B05C3">
        <w:rPr>
          <w:rFonts w:ascii="Arial" w:hAnsi="Arial" w:cs="Arial"/>
        </w:rPr>
        <w:t>Putco Mafani Consulting – R20</w:t>
      </w:r>
      <w:r w:rsidR="000B05C3">
        <w:rPr>
          <w:rFonts w:ascii="Arial" w:hAnsi="Arial" w:cs="Arial"/>
        </w:rPr>
        <w:t> </w:t>
      </w:r>
      <w:r w:rsidRPr="000B05C3">
        <w:rPr>
          <w:rFonts w:ascii="Arial" w:hAnsi="Arial" w:cs="Arial"/>
        </w:rPr>
        <w:t>000</w:t>
      </w:r>
    </w:p>
    <w:p w14:paraId="098F282F" w14:textId="77777777" w:rsidR="0015527F" w:rsidRPr="000B05C3" w:rsidRDefault="0015527F" w:rsidP="000B05C3">
      <w:pPr>
        <w:pStyle w:val="ListParagraph"/>
        <w:numPr>
          <w:ilvl w:val="0"/>
          <w:numId w:val="10"/>
        </w:numPr>
        <w:spacing w:after="0"/>
        <w:ind w:left="851" w:hanging="284"/>
        <w:rPr>
          <w:rFonts w:ascii="Arial" w:hAnsi="Arial" w:cs="Arial"/>
        </w:rPr>
      </w:pPr>
      <w:r w:rsidRPr="000B05C3">
        <w:rPr>
          <w:rFonts w:ascii="Arial" w:hAnsi="Arial" w:cs="Arial"/>
        </w:rPr>
        <w:t>Nexus Travel - R728 996.46</w:t>
      </w:r>
    </w:p>
    <w:p w14:paraId="540555AF" w14:textId="77777777" w:rsidR="0015527F" w:rsidRPr="008438EB" w:rsidRDefault="0015527F" w:rsidP="0015527F">
      <w:pPr>
        <w:spacing w:after="0"/>
        <w:rPr>
          <w:rFonts w:ascii="Arial" w:hAnsi="Arial" w:cs="Arial"/>
        </w:rPr>
      </w:pPr>
    </w:p>
    <w:p w14:paraId="6BB506C5" w14:textId="77777777" w:rsidR="0015527F" w:rsidRDefault="0015527F" w:rsidP="00B33CFE">
      <w:pPr>
        <w:spacing w:after="0"/>
        <w:ind w:firstLine="567"/>
        <w:rPr>
          <w:rFonts w:ascii="Arial" w:hAnsi="Arial" w:cs="Arial"/>
        </w:rPr>
      </w:pPr>
      <w:r w:rsidRPr="00B33CFE">
        <w:rPr>
          <w:rFonts w:ascii="Arial" w:hAnsi="Arial" w:cs="Arial"/>
        </w:rPr>
        <w:t>(ii) what are the reasons for non-payment in each case,</w:t>
      </w:r>
    </w:p>
    <w:p w14:paraId="1AD1987F" w14:textId="77777777" w:rsidR="006562B9" w:rsidRPr="00B33CFE" w:rsidRDefault="006562B9" w:rsidP="00B33CFE">
      <w:pPr>
        <w:spacing w:after="0"/>
        <w:ind w:firstLine="567"/>
        <w:rPr>
          <w:rFonts w:ascii="Arial" w:hAnsi="Arial" w:cs="Arial"/>
        </w:rPr>
      </w:pPr>
    </w:p>
    <w:p w14:paraId="75D40D63" w14:textId="77777777" w:rsidR="0015527F" w:rsidRPr="008438EB" w:rsidRDefault="0015527F" w:rsidP="00B33CFE">
      <w:pPr>
        <w:pStyle w:val="ListParagraph"/>
        <w:numPr>
          <w:ilvl w:val="0"/>
          <w:numId w:val="11"/>
        </w:numPr>
        <w:spacing w:after="0"/>
        <w:ind w:left="851" w:hanging="284"/>
        <w:rPr>
          <w:rFonts w:ascii="Arial" w:hAnsi="Arial" w:cs="Arial"/>
          <w:color w:val="000000" w:themeColor="text1"/>
        </w:rPr>
      </w:pPr>
      <w:r w:rsidRPr="008438EB">
        <w:rPr>
          <w:rFonts w:ascii="Arial" w:hAnsi="Arial" w:cs="Arial"/>
          <w:color w:val="000000" w:themeColor="text1"/>
        </w:rPr>
        <w:t xml:space="preserve">Nexus </w:t>
      </w:r>
      <w:r w:rsidR="00D13AF1">
        <w:rPr>
          <w:rFonts w:ascii="Arial" w:hAnsi="Arial" w:cs="Arial"/>
          <w:color w:val="000000" w:themeColor="text1"/>
        </w:rPr>
        <w:t>T</w:t>
      </w:r>
      <w:r w:rsidR="008500DE">
        <w:rPr>
          <w:rFonts w:ascii="Arial" w:hAnsi="Arial" w:cs="Arial"/>
          <w:color w:val="000000" w:themeColor="text1"/>
        </w:rPr>
        <w:t>ravel – Nexus overcharged RTMC</w:t>
      </w:r>
      <w:r w:rsidRPr="008438EB">
        <w:rPr>
          <w:rFonts w:ascii="Arial" w:hAnsi="Arial" w:cs="Arial"/>
          <w:color w:val="000000" w:themeColor="text1"/>
        </w:rPr>
        <w:t xml:space="preserve"> on the accommodation and conference fees and we have agreed on a settlement of R151</w:t>
      </w:r>
      <w:r w:rsidR="00FB0FF2">
        <w:rPr>
          <w:rFonts w:ascii="Arial" w:hAnsi="Arial" w:cs="Arial"/>
          <w:color w:val="000000" w:themeColor="text1"/>
        </w:rPr>
        <w:t xml:space="preserve"> </w:t>
      </w:r>
      <w:r w:rsidRPr="008438EB">
        <w:rPr>
          <w:rFonts w:ascii="Arial" w:hAnsi="Arial" w:cs="Arial"/>
          <w:color w:val="000000" w:themeColor="text1"/>
        </w:rPr>
        <w:t>005.74 which was PAID in March. The balance of R557 990.74 will be reversed.</w:t>
      </w:r>
    </w:p>
    <w:p w14:paraId="63127338" w14:textId="77777777" w:rsidR="0015527F" w:rsidRPr="008438EB" w:rsidRDefault="0015527F" w:rsidP="00B33CFE">
      <w:pPr>
        <w:pStyle w:val="ListParagraph"/>
        <w:numPr>
          <w:ilvl w:val="0"/>
          <w:numId w:val="11"/>
        </w:numPr>
        <w:spacing w:after="0"/>
        <w:ind w:left="851" w:hanging="284"/>
        <w:rPr>
          <w:rFonts w:ascii="Arial" w:hAnsi="Arial" w:cs="Arial"/>
          <w:color w:val="000000" w:themeColor="text1"/>
        </w:rPr>
      </w:pPr>
      <w:r w:rsidRPr="008438EB">
        <w:rPr>
          <w:rFonts w:ascii="Arial" w:hAnsi="Arial" w:cs="Arial"/>
          <w:color w:val="000000" w:themeColor="text1"/>
        </w:rPr>
        <w:t>Putco Mafani Consulting – This matter has been referred to the Legal unit as</w:t>
      </w:r>
      <w:r>
        <w:rPr>
          <w:rFonts w:ascii="Arial" w:hAnsi="Arial" w:cs="Arial"/>
          <w:color w:val="000000" w:themeColor="text1"/>
        </w:rPr>
        <w:t xml:space="preserve"> there is a contractual disagreement.</w:t>
      </w:r>
      <w:r w:rsidRPr="008438EB">
        <w:rPr>
          <w:rFonts w:ascii="Arial" w:hAnsi="Arial" w:cs="Arial"/>
          <w:color w:val="000000" w:themeColor="text1"/>
        </w:rPr>
        <w:t xml:space="preserve"> </w:t>
      </w:r>
    </w:p>
    <w:p w14:paraId="55DB06AE" w14:textId="77777777" w:rsidR="00F45A4A" w:rsidRDefault="00F45A4A" w:rsidP="0015527F">
      <w:pPr>
        <w:spacing w:after="0"/>
        <w:rPr>
          <w:rFonts w:ascii="Arial" w:hAnsi="Arial" w:cs="Arial"/>
          <w:color w:val="000000" w:themeColor="text1"/>
        </w:rPr>
      </w:pPr>
    </w:p>
    <w:p w14:paraId="4E9C2B29" w14:textId="77777777" w:rsidR="0015527F" w:rsidRPr="00F45A4A" w:rsidRDefault="00D13AF1" w:rsidP="00F45A4A">
      <w:pPr>
        <w:pStyle w:val="ListParagraph"/>
        <w:numPr>
          <w:ilvl w:val="0"/>
          <w:numId w:val="12"/>
        </w:numPr>
        <w:spacing w:after="0"/>
        <w:ind w:left="567" w:hanging="567"/>
        <w:rPr>
          <w:rFonts w:ascii="Arial" w:hAnsi="Arial" w:cs="Arial"/>
        </w:rPr>
      </w:pPr>
      <w:r>
        <w:rPr>
          <w:rFonts w:ascii="Arial" w:hAnsi="Arial" w:cs="Arial"/>
        </w:rPr>
        <w:t xml:space="preserve">Nexus Travel </w:t>
      </w:r>
      <w:r w:rsidR="0015527F" w:rsidRPr="00F45A4A">
        <w:rPr>
          <w:rFonts w:ascii="Arial" w:hAnsi="Arial" w:cs="Arial"/>
        </w:rPr>
        <w:t>has been paid already during the last</w:t>
      </w:r>
      <w:r>
        <w:rPr>
          <w:rFonts w:ascii="Arial" w:hAnsi="Arial" w:cs="Arial"/>
        </w:rPr>
        <w:t xml:space="preserve"> week of March and Putco Mafani Consulting will depend</w:t>
      </w:r>
      <w:r w:rsidR="0015527F" w:rsidRPr="00F45A4A">
        <w:rPr>
          <w:rFonts w:ascii="Arial" w:hAnsi="Arial" w:cs="Arial"/>
        </w:rPr>
        <w:t xml:space="preserve"> on the outcome of the advice from Legal unit.</w:t>
      </w:r>
    </w:p>
    <w:p w14:paraId="58309797" w14:textId="77777777" w:rsidR="0015527F" w:rsidRPr="008438EB" w:rsidRDefault="0015527F" w:rsidP="0015527F">
      <w:pPr>
        <w:spacing w:after="0"/>
        <w:rPr>
          <w:rFonts w:ascii="Arial" w:hAnsi="Arial" w:cs="Arial"/>
        </w:rPr>
      </w:pPr>
    </w:p>
    <w:p w14:paraId="5B345192" w14:textId="77777777" w:rsidR="0015527F" w:rsidRDefault="0015527F" w:rsidP="006562B9">
      <w:pPr>
        <w:pStyle w:val="ListParagraph"/>
        <w:numPr>
          <w:ilvl w:val="0"/>
          <w:numId w:val="12"/>
        </w:numPr>
        <w:tabs>
          <w:tab w:val="left" w:pos="567"/>
        </w:tabs>
        <w:spacing w:after="0"/>
        <w:ind w:left="567" w:hanging="567"/>
        <w:rPr>
          <w:rFonts w:ascii="Arial" w:hAnsi="Arial" w:cs="Arial"/>
        </w:rPr>
      </w:pPr>
      <w:r w:rsidRPr="006562B9">
        <w:rPr>
          <w:rFonts w:ascii="Arial" w:hAnsi="Arial" w:cs="Arial"/>
        </w:rPr>
        <w:t>(i) processes, (ii) procedures and (iii) mechanisms are in place to ensure that payments are made on time?</w:t>
      </w:r>
    </w:p>
    <w:p w14:paraId="012A4674" w14:textId="77777777" w:rsidR="006562B9" w:rsidRPr="006562B9" w:rsidRDefault="006562B9" w:rsidP="006562B9">
      <w:pPr>
        <w:pStyle w:val="ListParagraph"/>
        <w:tabs>
          <w:tab w:val="left" w:pos="567"/>
        </w:tabs>
        <w:spacing w:after="0"/>
        <w:ind w:left="567"/>
        <w:rPr>
          <w:rFonts w:ascii="Arial" w:hAnsi="Arial" w:cs="Arial"/>
        </w:rPr>
      </w:pPr>
    </w:p>
    <w:p w14:paraId="4DDD7FA5" w14:textId="77777777" w:rsidR="0015527F" w:rsidRDefault="0015527F" w:rsidP="006562B9">
      <w:pPr>
        <w:spacing w:after="0"/>
        <w:ind w:left="567"/>
        <w:rPr>
          <w:rFonts w:ascii="Arial" w:hAnsi="Arial" w:cs="Arial"/>
          <w:lang w:val="en-ZA" w:eastAsia="x-none"/>
        </w:rPr>
      </w:pPr>
      <w:r w:rsidRPr="008438EB">
        <w:rPr>
          <w:rFonts w:ascii="Arial" w:hAnsi="Arial" w:cs="Arial"/>
          <w:lang w:val="en-ZA" w:eastAsia="x-none"/>
        </w:rPr>
        <w:t xml:space="preserve">The Corporation pays creditors on a weekly basis and has no history of long overdue debts. The preliminary </w:t>
      </w:r>
      <w:r w:rsidR="008500DE">
        <w:rPr>
          <w:rFonts w:ascii="Arial" w:hAnsi="Arial" w:cs="Arial"/>
          <w:lang w:val="en-ZA" w:eastAsia="x-none"/>
        </w:rPr>
        <w:t>creditors’</w:t>
      </w:r>
      <w:r>
        <w:rPr>
          <w:rFonts w:ascii="Arial" w:hAnsi="Arial" w:cs="Arial"/>
          <w:lang w:val="en-ZA" w:eastAsia="x-none"/>
        </w:rPr>
        <w:t xml:space="preserve"> age analysis for M</w:t>
      </w:r>
      <w:r w:rsidRPr="008438EB">
        <w:rPr>
          <w:rFonts w:ascii="Arial" w:hAnsi="Arial" w:cs="Arial"/>
          <w:lang w:val="en-ZA" w:eastAsia="x-none"/>
        </w:rPr>
        <w:t>arch 2017, indicates that only 0.03%</w:t>
      </w:r>
      <w:r w:rsidR="00D13AF1">
        <w:rPr>
          <w:rFonts w:ascii="Arial" w:hAnsi="Arial" w:cs="Arial"/>
          <w:lang w:val="en-ZA" w:eastAsia="x-none"/>
        </w:rPr>
        <w:t xml:space="preserve"> of creditors were over 30 days</w:t>
      </w:r>
      <w:r w:rsidR="00FB0FF2">
        <w:rPr>
          <w:rFonts w:ascii="Arial" w:hAnsi="Arial" w:cs="Arial"/>
          <w:lang w:val="en-ZA" w:eastAsia="x-none"/>
        </w:rPr>
        <w:t>; and it</w:t>
      </w:r>
      <w:r w:rsidR="008500DE">
        <w:rPr>
          <w:rFonts w:ascii="Arial" w:hAnsi="Arial" w:cs="Arial"/>
          <w:lang w:val="en-ZA" w:eastAsia="x-none"/>
        </w:rPr>
        <w:t xml:space="preserve"> was o</w:t>
      </w:r>
      <w:r w:rsidRPr="008438EB">
        <w:rPr>
          <w:rFonts w:ascii="Arial" w:hAnsi="Arial" w:cs="Arial"/>
          <w:lang w:val="en-ZA" w:eastAsia="x-none"/>
        </w:rPr>
        <w:t>nly two suppliers.</w:t>
      </w:r>
      <w:r>
        <w:rPr>
          <w:rFonts w:ascii="Arial" w:hAnsi="Arial" w:cs="Arial"/>
          <w:lang w:val="en-ZA" w:eastAsia="x-none"/>
        </w:rPr>
        <w:t xml:space="preserve"> </w:t>
      </w:r>
    </w:p>
    <w:p w14:paraId="4576BCED" w14:textId="77777777" w:rsidR="0015527F" w:rsidRPr="008438EB" w:rsidRDefault="0015527F" w:rsidP="006562B9">
      <w:pPr>
        <w:spacing w:after="0"/>
        <w:ind w:left="567"/>
        <w:rPr>
          <w:rFonts w:ascii="Arial" w:hAnsi="Arial" w:cs="Arial"/>
          <w:lang w:val="en-ZA" w:eastAsia="x-none"/>
        </w:rPr>
      </w:pPr>
      <w:r>
        <w:rPr>
          <w:rFonts w:ascii="Arial" w:hAnsi="Arial" w:cs="Arial"/>
          <w:lang w:val="en-ZA" w:eastAsia="x-none"/>
        </w:rPr>
        <w:t xml:space="preserve">When invoices are received, they are </w:t>
      </w:r>
      <w:r w:rsidR="00D13AF1">
        <w:rPr>
          <w:rFonts w:ascii="Arial" w:hAnsi="Arial" w:cs="Arial"/>
          <w:lang w:val="en-ZA" w:eastAsia="x-none"/>
        </w:rPr>
        <w:t xml:space="preserve">recorded in a register for follow up, </w:t>
      </w:r>
      <w:r>
        <w:rPr>
          <w:rFonts w:ascii="Arial" w:hAnsi="Arial" w:cs="Arial"/>
          <w:lang w:val="en-ZA" w:eastAsia="x-none"/>
        </w:rPr>
        <w:t>sent to programme managers for sign off and paid promptly. Where there is a delay, Logistics Management follows up with programme managers.</w:t>
      </w:r>
    </w:p>
    <w:p w14:paraId="773AA92F" w14:textId="77777777" w:rsidR="008B43BE" w:rsidRPr="00CA442F" w:rsidRDefault="008B43BE" w:rsidP="00CA442F">
      <w:pPr>
        <w:spacing w:line="240" w:lineRule="auto"/>
        <w:rPr>
          <w:rFonts w:ascii="Arial" w:hAnsi="Arial" w:cs="Arial"/>
          <w:b/>
          <w:lang w:val="en-ZA" w:eastAsia="x-none"/>
        </w:rPr>
      </w:pPr>
    </w:p>
    <w:sectPr w:rsidR="008B43BE" w:rsidRPr="00CA442F" w:rsidSect="0015527F">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AADE" w14:textId="77777777" w:rsidR="002139FA" w:rsidRDefault="002139FA" w:rsidP="00DB1508">
      <w:pPr>
        <w:spacing w:after="0" w:line="240" w:lineRule="auto"/>
      </w:pPr>
      <w:r>
        <w:separator/>
      </w:r>
    </w:p>
  </w:endnote>
  <w:endnote w:type="continuationSeparator" w:id="0">
    <w:p w14:paraId="3C2D0D58" w14:textId="77777777" w:rsidR="002139FA" w:rsidRDefault="002139F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96F28" w14:textId="77777777" w:rsidR="002139FA" w:rsidRDefault="002139FA" w:rsidP="00DB1508">
      <w:pPr>
        <w:spacing w:after="0" w:line="240" w:lineRule="auto"/>
      </w:pPr>
      <w:r>
        <w:separator/>
      </w:r>
    </w:p>
  </w:footnote>
  <w:footnote w:type="continuationSeparator" w:id="0">
    <w:p w14:paraId="2EEAEB43" w14:textId="77777777" w:rsidR="002139FA" w:rsidRDefault="002139F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071C9"/>
    <w:multiLevelType w:val="hybridMultilevel"/>
    <w:tmpl w:val="76A4F0DE"/>
    <w:lvl w:ilvl="0" w:tplc="137256C0">
      <w:start w:val="1"/>
      <w:numFmt w:val="lowerLetter"/>
      <w:lvlText w:val="(%1)"/>
      <w:lvlJc w:val="left"/>
      <w:pPr>
        <w:ind w:left="1288" w:hanging="36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545187"/>
    <w:multiLevelType w:val="hybridMultilevel"/>
    <w:tmpl w:val="0B5AEFFC"/>
    <w:lvl w:ilvl="0" w:tplc="CE10DA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33A48"/>
    <w:multiLevelType w:val="hybridMultilevel"/>
    <w:tmpl w:val="39E09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F1F181B"/>
    <w:multiLevelType w:val="hybridMultilevel"/>
    <w:tmpl w:val="3F5AC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6"/>
  </w:num>
  <w:num w:numId="6">
    <w:abstractNumId w:val="2"/>
  </w:num>
  <w:num w:numId="7">
    <w:abstractNumId w:val="5"/>
  </w:num>
  <w:num w:numId="8">
    <w:abstractNumId w:val="4"/>
  </w:num>
  <w:num w:numId="9">
    <w:abstractNumId w:val="7"/>
  </w:num>
  <w:num w:numId="10">
    <w:abstractNumId w:val="11"/>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B05C3"/>
    <w:rsid w:val="000B3AB2"/>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527F"/>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139FA"/>
    <w:rsid w:val="00220C71"/>
    <w:rsid w:val="002422DA"/>
    <w:rsid w:val="00247ECC"/>
    <w:rsid w:val="00251BC9"/>
    <w:rsid w:val="0025261D"/>
    <w:rsid w:val="00253BA7"/>
    <w:rsid w:val="00261077"/>
    <w:rsid w:val="00261D30"/>
    <w:rsid w:val="002800B5"/>
    <w:rsid w:val="002838E4"/>
    <w:rsid w:val="00286F8A"/>
    <w:rsid w:val="002956D0"/>
    <w:rsid w:val="002A0033"/>
    <w:rsid w:val="002A3694"/>
    <w:rsid w:val="002A6081"/>
    <w:rsid w:val="002A6B00"/>
    <w:rsid w:val="002B3082"/>
    <w:rsid w:val="002C441D"/>
    <w:rsid w:val="002C4526"/>
    <w:rsid w:val="002D4348"/>
    <w:rsid w:val="002E0B34"/>
    <w:rsid w:val="002E1F7C"/>
    <w:rsid w:val="002E404E"/>
    <w:rsid w:val="002E4BF3"/>
    <w:rsid w:val="002F324E"/>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0A80"/>
    <w:rsid w:val="003A196A"/>
    <w:rsid w:val="003A4A56"/>
    <w:rsid w:val="003A5429"/>
    <w:rsid w:val="003B15B6"/>
    <w:rsid w:val="003C53EF"/>
    <w:rsid w:val="003C785A"/>
    <w:rsid w:val="003D7ABC"/>
    <w:rsid w:val="003F2838"/>
    <w:rsid w:val="003F7CE2"/>
    <w:rsid w:val="004016C1"/>
    <w:rsid w:val="0040578A"/>
    <w:rsid w:val="0040684E"/>
    <w:rsid w:val="00420BFA"/>
    <w:rsid w:val="00422CB0"/>
    <w:rsid w:val="0042351F"/>
    <w:rsid w:val="00423E34"/>
    <w:rsid w:val="004253F6"/>
    <w:rsid w:val="00430277"/>
    <w:rsid w:val="0043571E"/>
    <w:rsid w:val="00451494"/>
    <w:rsid w:val="00460FD2"/>
    <w:rsid w:val="0046282B"/>
    <w:rsid w:val="004679CC"/>
    <w:rsid w:val="0047634E"/>
    <w:rsid w:val="004813B8"/>
    <w:rsid w:val="00493015"/>
    <w:rsid w:val="00495833"/>
    <w:rsid w:val="00497DE0"/>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24B0"/>
    <w:rsid w:val="0054378D"/>
    <w:rsid w:val="00555FE7"/>
    <w:rsid w:val="00562AC9"/>
    <w:rsid w:val="0056444A"/>
    <w:rsid w:val="00566CB8"/>
    <w:rsid w:val="00567B24"/>
    <w:rsid w:val="00572AAB"/>
    <w:rsid w:val="00574F3A"/>
    <w:rsid w:val="00576A85"/>
    <w:rsid w:val="0057794C"/>
    <w:rsid w:val="00582974"/>
    <w:rsid w:val="00583FAC"/>
    <w:rsid w:val="005841AE"/>
    <w:rsid w:val="00591EAA"/>
    <w:rsid w:val="00593859"/>
    <w:rsid w:val="0059674B"/>
    <w:rsid w:val="005A0E7A"/>
    <w:rsid w:val="005D5448"/>
    <w:rsid w:val="005E123E"/>
    <w:rsid w:val="005F20B1"/>
    <w:rsid w:val="005F3F35"/>
    <w:rsid w:val="005F630B"/>
    <w:rsid w:val="006009A0"/>
    <w:rsid w:val="00604285"/>
    <w:rsid w:val="0061275F"/>
    <w:rsid w:val="006140CA"/>
    <w:rsid w:val="00617B5C"/>
    <w:rsid w:val="00637B39"/>
    <w:rsid w:val="006562B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07AF"/>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5A2"/>
    <w:rsid w:val="00845BE5"/>
    <w:rsid w:val="008500DE"/>
    <w:rsid w:val="00850363"/>
    <w:rsid w:val="00850CC7"/>
    <w:rsid w:val="008513C3"/>
    <w:rsid w:val="00856F99"/>
    <w:rsid w:val="0086133C"/>
    <w:rsid w:val="008A3260"/>
    <w:rsid w:val="008A52D5"/>
    <w:rsid w:val="008B2E50"/>
    <w:rsid w:val="008B43BE"/>
    <w:rsid w:val="008B4716"/>
    <w:rsid w:val="008C0374"/>
    <w:rsid w:val="008C2235"/>
    <w:rsid w:val="008C2F92"/>
    <w:rsid w:val="008C6FC1"/>
    <w:rsid w:val="008E13A6"/>
    <w:rsid w:val="008F0979"/>
    <w:rsid w:val="0090647F"/>
    <w:rsid w:val="009070FF"/>
    <w:rsid w:val="00913EED"/>
    <w:rsid w:val="00916A9F"/>
    <w:rsid w:val="00916CE7"/>
    <w:rsid w:val="009222A7"/>
    <w:rsid w:val="00922AB6"/>
    <w:rsid w:val="00926370"/>
    <w:rsid w:val="00926938"/>
    <w:rsid w:val="0093674F"/>
    <w:rsid w:val="009405C3"/>
    <w:rsid w:val="00941DB4"/>
    <w:rsid w:val="00942E6F"/>
    <w:rsid w:val="00945835"/>
    <w:rsid w:val="009533AA"/>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3C1F"/>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7E8A"/>
    <w:rsid w:val="00B1547F"/>
    <w:rsid w:val="00B177F2"/>
    <w:rsid w:val="00B21162"/>
    <w:rsid w:val="00B21C1C"/>
    <w:rsid w:val="00B31016"/>
    <w:rsid w:val="00B32459"/>
    <w:rsid w:val="00B33CFE"/>
    <w:rsid w:val="00B37E26"/>
    <w:rsid w:val="00B40FCE"/>
    <w:rsid w:val="00B433E2"/>
    <w:rsid w:val="00B47C13"/>
    <w:rsid w:val="00B56227"/>
    <w:rsid w:val="00B66DDB"/>
    <w:rsid w:val="00B75F59"/>
    <w:rsid w:val="00B874D7"/>
    <w:rsid w:val="00B90502"/>
    <w:rsid w:val="00B91AB1"/>
    <w:rsid w:val="00B93309"/>
    <w:rsid w:val="00B95F63"/>
    <w:rsid w:val="00BA3834"/>
    <w:rsid w:val="00BA4847"/>
    <w:rsid w:val="00BB5EA4"/>
    <w:rsid w:val="00BC06BD"/>
    <w:rsid w:val="00BC2F3F"/>
    <w:rsid w:val="00BC4189"/>
    <w:rsid w:val="00BD65B7"/>
    <w:rsid w:val="00BE0C5A"/>
    <w:rsid w:val="00BF0FEA"/>
    <w:rsid w:val="00BF349B"/>
    <w:rsid w:val="00BF68B6"/>
    <w:rsid w:val="00BF69C4"/>
    <w:rsid w:val="00C01BD0"/>
    <w:rsid w:val="00C202CB"/>
    <w:rsid w:val="00C33C1E"/>
    <w:rsid w:val="00C50D10"/>
    <w:rsid w:val="00C52170"/>
    <w:rsid w:val="00C6207A"/>
    <w:rsid w:val="00C62268"/>
    <w:rsid w:val="00C64770"/>
    <w:rsid w:val="00C731ED"/>
    <w:rsid w:val="00C92817"/>
    <w:rsid w:val="00CA3593"/>
    <w:rsid w:val="00CA442F"/>
    <w:rsid w:val="00CB640B"/>
    <w:rsid w:val="00CC164A"/>
    <w:rsid w:val="00CD7F61"/>
    <w:rsid w:val="00CE1573"/>
    <w:rsid w:val="00CE54D8"/>
    <w:rsid w:val="00CF5BC7"/>
    <w:rsid w:val="00D12E4F"/>
    <w:rsid w:val="00D13AF1"/>
    <w:rsid w:val="00D222DF"/>
    <w:rsid w:val="00D444E5"/>
    <w:rsid w:val="00D44E8C"/>
    <w:rsid w:val="00D74AD1"/>
    <w:rsid w:val="00D76056"/>
    <w:rsid w:val="00D82AB0"/>
    <w:rsid w:val="00D92CFD"/>
    <w:rsid w:val="00D92F30"/>
    <w:rsid w:val="00DA1E37"/>
    <w:rsid w:val="00DB104B"/>
    <w:rsid w:val="00DB1508"/>
    <w:rsid w:val="00DD3A8F"/>
    <w:rsid w:val="00DD4D78"/>
    <w:rsid w:val="00DE5D58"/>
    <w:rsid w:val="00DF129E"/>
    <w:rsid w:val="00DF6F27"/>
    <w:rsid w:val="00E00BA3"/>
    <w:rsid w:val="00E07ADA"/>
    <w:rsid w:val="00E1610F"/>
    <w:rsid w:val="00E16B9F"/>
    <w:rsid w:val="00E24CB8"/>
    <w:rsid w:val="00E26225"/>
    <w:rsid w:val="00E31BF8"/>
    <w:rsid w:val="00E37C58"/>
    <w:rsid w:val="00E42375"/>
    <w:rsid w:val="00E4370C"/>
    <w:rsid w:val="00E458BE"/>
    <w:rsid w:val="00E53BF6"/>
    <w:rsid w:val="00E57A4E"/>
    <w:rsid w:val="00E6154F"/>
    <w:rsid w:val="00E642B9"/>
    <w:rsid w:val="00E676A3"/>
    <w:rsid w:val="00E74736"/>
    <w:rsid w:val="00E80B27"/>
    <w:rsid w:val="00E81167"/>
    <w:rsid w:val="00E83B34"/>
    <w:rsid w:val="00E91A0D"/>
    <w:rsid w:val="00EB1C6C"/>
    <w:rsid w:val="00EB4E9A"/>
    <w:rsid w:val="00EB53F1"/>
    <w:rsid w:val="00EC4D69"/>
    <w:rsid w:val="00EC68CF"/>
    <w:rsid w:val="00ED4839"/>
    <w:rsid w:val="00EF5FED"/>
    <w:rsid w:val="00EF7862"/>
    <w:rsid w:val="00F00B6B"/>
    <w:rsid w:val="00F25A2B"/>
    <w:rsid w:val="00F32213"/>
    <w:rsid w:val="00F33DA9"/>
    <w:rsid w:val="00F401E2"/>
    <w:rsid w:val="00F41319"/>
    <w:rsid w:val="00F45A4A"/>
    <w:rsid w:val="00F526AD"/>
    <w:rsid w:val="00F54D10"/>
    <w:rsid w:val="00F5526F"/>
    <w:rsid w:val="00F65142"/>
    <w:rsid w:val="00F806FE"/>
    <w:rsid w:val="00F80B01"/>
    <w:rsid w:val="00F83C35"/>
    <w:rsid w:val="00F86A5F"/>
    <w:rsid w:val="00F91072"/>
    <w:rsid w:val="00F920A1"/>
    <w:rsid w:val="00FA3CC6"/>
    <w:rsid w:val="00FA6022"/>
    <w:rsid w:val="00FB0FF2"/>
    <w:rsid w:val="00FB42CC"/>
    <w:rsid w:val="00FD3185"/>
    <w:rsid w:val="00FD4C2F"/>
    <w:rsid w:val="00FD7E9F"/>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BB715"/>
  <w15:docId w15:val="{1AE6B694-468D-41BB-9562-E7EBB7DF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DACA-9AB4-4227-BE92-FB3E5B62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3</cp:revision>
  <cp:lastPrinted>2017-04-04T09:47:00Z</cp:lastPrinted>
  <dcterms:created xsi:type="dcterms:W3CDTF">2017-04-07T10:51:00Z</dcterms:created>
  <dcterms:modified xsi:type="dcterms:W3CDTF">2017-04-07T10:52:00Z</dcterms:modified>
</cp:coreProperties>
</file>