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A84BA" w14:textId="77777777" w:rsidR="00B05CA7" w:rsidRPr="00BF349B" w:rsidRDefault="00B05CA7" w:rsidP="00E53BF6">
      <w:pPr>
        <w:spacing w:after="0" w:line="240" w:lineRule="auto"/>
        <w:rPr>
          <w:rFonts w:ascii="Arial" w:hAnsi="Arial" w:cs="Arial"/>
          <w:b/>
          <w:sz w:val="24"/>
          <w:szCs w:val="24"/>
          <w:lang w:val="fr-FR"/>
        </w:rPr>
      </w:pPr>
      <w:bookmarkStart w:id="0" w:name="_GoBack"/>
      <w:bookmarkEnd w:id="0"/>
    </w:p>
    <w:p w14:paraId="3CD2BF65" w14:textId="77777777" w:rsidR="00314530" w:rsidRDefault="00314530" w:rsidP="00E81167">
      <w:pPr>
        <w:spacing w:after="0" w:line="240" w:lineRule="auto"/>
        <w:jc w:val="both"/>
        <w:rPr>
          <w:rFonts w:ascii="Arial" w:hAnsi="Arial" w:cs="Arial"/>
          <w:sz w:val="24"/>
          <w:szCs w:val="24"/>
        </w:rPr>
      </w:pPr>
    </w:p>
    <w:p w14:paraId="7C0547C6" w14:textId="77777777" w:rsidR="001D774B" w:rsidRPr="00BF349B" w:rsidRDefault="001D774B" w:rsidP="00E81167">
      <w:pPr>
        <w:spacing w:after="0" w:line="240" w:lineRule="auto"/>
        <w:jc w:val="both"/>
        <w:rPr>
          <w:rFonts w:ascii="Arial" w:hAnsi="Arial" w:cs="Arial"/>
          <w:sz w:val="24"/>
          <w:szCs w:val="24"/>
        </w:rPr>
      </w:pPr>
    </w:p>
    <w:p w14:paraId="719F7F12" w14:textId="77777777"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0EDAD765" w14:textId="77777777" w:rsidR="000B3AB2" w:rsidRDefault="00942E6F" w:rsidP="000B3AB2">
      <w:pPr>
        <w:spacing w:after="267" w:line="249" w:lineRule="auto"/>
        <w:rPr>
          <w:rFonts w:ascii="Times New Roman" w:hAnsi="Times New Roman" w:cs="Times New Roman"/>
          <w:b/>
          <w:sz w:val="24"/>
          <w:szCs w:val="24"/>
        </w:rPr>
      </w:pPr>
      <w:r>
        <w:rPr>
          <w:rFonts w:ascii="Arial" w:hAnsi="Arial" w:cs="Arial"/>
          <w:b/>
          <w:lang w:val="en-ZA" w:eastAsia="x-none"/>
        </w:rPr>
        <w:t xml:space="preserve">Question No: </w:t>
      </w:r>
      <w:r w:rsidR="00CA442F">
        <w:rPr>
          <w:rFonts w:ascii="Arial" w:hAnsi="Arial" w:cs="Arial"/>
          <w:b/>
        </w:rPr>
        <w:t>899</w:t>
      </w:r>
      <w:r w:rsidR="000B3AB2" w:rsidRPr="000B3AB2">
        <w:rPr>
          <w:rFonts w:ascii="Arial" w:hAnsi="Arial" w:cs="Arial"/>
          <w:b/>
        </w:rPr>
        <w:tab/>
      </w:r>
    </w:p>
    <w:p w14:paraId="7C85E8EC" w14:textId="77777777" w:rsidR="00CA442F" w:rsidRPr="00EF3370" w:rsidRDefault="00CA442F" w:rsidP="00EF3370">
      <w:pPr>
        <w:spacing w:after="267"/>
        <w:ind w:left="818" w:hanging="720"/>
        <w:jc w:val="both"/>
        <w:rPr>
          <w:rFonts w:ascii="Arial" w:hAnsi="Arial" w:cs="Arial"/>
          <w:b/>
          <w:sz w:val="24"/>
          <w:szCs w:val="24"/>
        </w:rPr>
      </w:pPr>
      <w:r w:rsidRPr="00EF3370">
        <w:rPr>
          <w:rFonts w:ascii="Arial" w:hAnsi="Arial" w:cs="Arial"/>
          <w:b/>
          <w:sz w:val="24"/>
          <w:szCs w:val="24"/>
        </w:rPr>
        <w:t>899.</w:t>
      </w:r>
      <w:r w:rsidRPr="00EF3370">
        <w:rPr>
          <w:rFonts w:ascii="Arial" w:hAnsi="Arial" w:cs="Arial"/>
          <w:b/>
          <w:sz w:val="24"/>
          <w:szCs w:val="24"/>
        </w:rPr>
        <w:tab/>
        <w:t>Mr T Z Hadebe (DA) to ask the Minister of Transport:</w:t>
      </w:r>
    </w:p>
    <w:p w14:paraId="38459E85" w14:textId="77777777" w:rsidR="00CA442F" w:rsidRDefault="00CA442F" w:rsidP="00EF3370">
      <w:pPr>
        <w:jc w:val="both"/>
        <w:rPr>
          <w:rFonts w:ascii="Arial" w:hAnsi="Arial" w:cs="Arial"/>
          <w:sz w:val="24"/>
          <w:szCs w:val="24"/>
        </w:rPr>
      </w:pPr>
      <w:r w:rsidRPr="00EF3370">
        <w:rPr>
          <w:rFonts w:ascii="Arial" w:hAnsi="Arial" w:cs="Arial"/>
          <w:sz w:val="24"/>
          <w:szCs w:val="24"/>
        </w:rPr>
        <w:t>Whether the Road Accident Fund has any debt that has remained unpaid for 30 days or more; if so, (a) what (i) are the details of these debts, (ii) are the reasons for non-payment in each case, (b) on what date will each debt be settled and (c) what (i) processes, (ii) procedures and (iii) mechanisms are in place to ensure tha</w:t>
      </w:r>
      <w:r w:rsidR="00EF3370">
        <w:rPr>
          <w:rFonts w:ascii="Arial" w:hAnsi="Arial" w:cs="Arial"/>
          <w:sz w:val="24"/>
          <w:szCs w:val="24"/>
        </w:rPr>
        <w:t>t payments are made on time?</w:t>
      </w:r>
      <w:r w:rsidR="00EF3370">
        <w:rPr>
          <w:rFonts w:ascii="Arial" w:hAnsi="Arial" w:cs="Arial"/>
          <w:sz w:val="24"/>
          <w:szCs w:val="24"/>
        </w:rPr>
        <w:tab/>
      </w:r>
      <w:r w:rsidR="00EF3370">
        <w:rPr>
          <w:rFonts w:ascii="Arial" w:hAnsi="Arial" w:cs="Arial"/>
          <w:sz w:val="24"/>
          <w:szCs w:val="24"/>
        </w:rPr>
        <w:tab/>
      </w:r>
      <w:r w:rsidRPr="00EF3370">
        <w:rPr>
          <w:rFonts w:ascii="Arial" w:hAnsi="Arial" w:cs="Arial"/>
          <w:sz w:val="24"/>
          <w:szCs w:val="24"/>
        </w:rPr>
        <w:tab/>
      </w:r>
      <w:r w:rsidRPr="00EF3370">
        <w:rPr>
          <w:rFonts w:ascii="Arial" w:hAnsi="Arial" w:cs="Arial"/>
          <w:sz w:val="24"/>
          <w:szCs w:val="24"/>
        </w:rPr>
        <w:tab/>
      </w:r>
      <w:r w:rsidRPr="00EF3370">
        <w:rPr>
          <w:rFonts w:ascii="Arial" w:hAnsi="Arial" w:cs="Arial"/>
          <w:sz w:val="24"/>
          <w:szCs w:val="24"/>
        </w:rPr>
        <w:tab/>
      </w:r>
      <w:r w:rsidRPr="00EF3370">
        <w:rPr>
          <w:rFonts w:ascii="Arial" w:hAnsi="Arial" w:cs="Arial"/>
          <w:sz w:val="24"/>
          <w:szCs w:val="24"/>
        </w:rPr>
        <w:tab/>
      </w:r>
    </w:p>
    <w:p w14:paraId="61DF26A9" w14:textId="77777777" w:rsidR="001D774B" w:rsidRPr="00EF3370" w:rsidRDefault="001D774B" w:rsidP="00EF3370">
      <w:pPr>
        <w:jc w:val="both"/>
        <w:rPr>
          <w:rFonts w:ascii="Arial" w:hAnsi="Arial" w:cs="Arial"/>
          <w:sz w:val="24"/>
          <w:szCs w:val="24"/>
        </w:rPr>
      </w:pPr>
    </w:p>
    <w:p w14:paraId="48DB1323" w14:textId="77777777" w:rsidR="008B43BE" w:rsidRPr="00EF3370" w:rsidRDefault="000B3AB2" w:rsidP="00EF3370">
      <w:pPr>
        <w:jc w:val="both"/>
        <w:rPr>
          <w:rFonts w:ascii="Arial" w:hAnsi="Arial" w:cs="Arial"/>
          <w:b/>
          <w:sz w:val="24"/>
          <w:szCs w:val="24"/>
          <w:lang w:val="en-ZA" w:eastAsia="x-none"/>
        </w:rPr>
      </w:pPr>
      <w:r w:rsidRPr="00EF3370">
        <w:rPr>
          <w:rFonts w:ascii="Arial" w:hAnsi="Arial" w:cs="Arial"/>
          <w:b/>
          <w:sz w:val="24"/>
          <w:szCs w:val="24"/>
          <w:lang w:val="en-ZA" w:eastAsia="x-none"/>
        </w:rPr>
        <w:t>REPLY</w:t>
      </w:r>
    </w:p>
    <w:p w14:paraId="1779F537" w14:textId="77777777" w:rsidR="001E613C" w:rsidRPr="00EF3370" w:rsidRDefault="0010024E" w:rsidP="00EF3370">
      <w:pPr>
        <w:jc w:val="both"/>
        <w:rPr>
          <w:rFonts w:ascii="Arial" w:hAnsi="Arial" w:cs="Arial"/>
          <w:sz w:val="24"/>
          <w:szCs w:val="24"/>
        </w:rPr>
      </w:pPr>
      <w:r w:rsidRPr="00EF3370">
        <w:rPr>
          <w:rFonts w:ascii="Arial" w:hAnsi="Arial" w:cs="Arial"/>
          <w:sz w:val="24"/>
          <w:szCs w:val="24"/>
        </w:rPr>
        <w:t xml:space="preserve">On 28 February 2017 the </w:t>
      </w:r>
      <w:r w:rsidR="007259A9" w:rsidRPr="00EF3370">
        <w:rPr>
          <w:rFonts w:ascii="Arial" w:hAnsi="Arial" w:cs="Arial"/>
          <w:sz w:val="24"/>
          <w:szCs w:val="24"/>
        </w:rPr>
        <w:t>Road Accident Fund (</w:t>
      </w:r>
      <w:r w:rsidRPr="00EF3370">
        <w:rPr>
          <w:rFonts w:ascii="Arial" w:hAnsi="Arial" w:cs="Arial"/>
          <w:sz w:val="24"/>
          <w:szCs w:val="24"/>
        </w:rPr>
        <w:t>RAF</w:t>
      </w:r>
      <w:r w:rsidR="007259A9" w:rsidRPr="00EF3370">
        <w:rPr>
          <w:rFonts w:ascii="Arial" w:hAnsi="Arial" w:cs="Arial"/>
          <w:sz w:val="24"/>
          <w:szCs w:val="24"/>
        </w:rPr>
        <w:t>)</w:t>
      </w:r>
      <w:r w:rsidRPr="00EF3370">
        <w:rPr>
          <w:rFonts w:ascii="Arial" w:hAnsi="Arial" w:cs="Arial"/>
          <w:sz w:val="24"/>
          <w:szCs w:val="24"/>
        </w:rPr>
        <w:t xml:space="preserve"> presented its financial position and cash constraints to the Portfolio Committee on Transport (PCoT). This presentation was </w:t>
      </w:r>
      <w:r w:rsidR="00014920" w:rsidRPr="00EF3370">
        <w:rPr>
          <w:rFonts w:ascii="Arial" w:hAnsi="Arial" w:cs="Arial"/>
          <w:sz w:val="24"/>
          <w:szCs w:val="24"/>
        </w:rPr>
        <w:t xml:space="preserve">linked </w:t>
      </w:r>
      <w:r w:rsidRPr="00EF3370">
        <w:rPr>
          <w:rFonts w:ascii="Arial" w:hAnsi="Arial" w:cs="Arial"/>
          <w:sz w:val="24"/>
          <w:szCs w:val="24"/>
        </w:rPr>
        <w:t>to the debts as posed in th</w:t>
      </w:r>
      <w:r w:rsidR="001E613C" w:rsidRPr="00EF3370">
        <w:rPr>
          <w:rFonts w:ascii="Arial" w:hAnsi="Arial" w:cs="Arial"/>
          <w:sz w:val="24"/>
          <w:szCs w:val="24"/>
        </w:rPr>
        <w:t>is</w:t>
      </w:r>
      <w:r w:rsidRPr="00EF3370">
        <w:rPr>
          <w:rFonts w:ascii="Arial" w:hAnsi="Arial" w:cs="Arial"/>
          <w:sz w:val="24"/>
          <w:szCs w:val="24"/>
        </w:rPr>
        <w:t xml:space="preserve"> Parliamentary Question</w:t>
      </w:r>
      <w:r w:rsidR="00014920" w:rsidRPr="00EF3370">
        <w:rPr>
          <w:rFonts w:ascii="Arial" w:hAnsi="Arial" w:cs="Arial"/>
          <w:sz w:val="24"/>
          <w:szCs w:val="24"/>
        </w:rPr>
        <w:t xml:space="preserve"> </w:t>
      </w:r>
      <w:r w:rsidRPr="00EF3370">
        <w:rPr>
          <w:rFonts w:ascii="Arial" w:hAnsi="Arial" w:cs="Arial"/>
          <w:sz w:val="24"/>
          <w:szCs w:val="24"/>
        </w:rPr>
        <w:t>and included reference to the R</w:t>
      </w:r>
      <w:r w:rsidR="007259A9" w:rsidRPr="00EF3370">
        <w:rPr>
          <w:rFonts w:ascii="Arial" w:hAnsi="Arial" w:cs="Arial"/>
          <w:sz w:val="24"/>
          <w:szCs w:val="24"/>
        </w:rPr>
        <w:t>AF</w:t>
      </w:r>
      <w:r w:rsidRPr="00EF3370">
        <w:rPr>
          <w:rFonts w:ascii="Arial" w:hAnsi="Arial" w:cs="Arial"/>
          <w:sz w:val="24"/>
          <w:szCs w:val="24"/>
        </w:rPr>
        <w:t>’s 2013/14,</w:t>
      </w:r>
      <w:r w:rsidR="007259A9" w:rsidRPr="00EF3370">
        <w:rPr>
          <w:rFonts w:ascii="Arial" w:hAnsi="Arial" w:cs="Arial"/>
          <w:sz w:val="24"/>
          <w:szCs w:val="24"/>
        </w:rPr>
        <w:t xml:space="preserve"> </w:t>
      </w:r>
      <w:r w:rsidRPr="00EF3370">
        <w:rPr>
          <w:rFonts w:ascii="Arial" w:hAnsi="Arial" w:cs="Arial"/>
          <w:sz w:val="24"/>
          <w:szCs w:val="24"/>
        </w:rPr>
        <w:t xml:space="preserve">2014/15 and 2015/16 Annual Financial Statements previously presented to PCoT inclusive of the same financial reality. </w:t>
      </w:r>
    </w:p>
    <w:p w14:paraId="3CC10E1B" w14:textId="77777777" w:rsidR="00EF3370" w:rsidRDefault="00EA0F65" w:rsidP="00EF3370">
      <w:pPr>
        <w:spacing w:after="0"/>
        <w:jc w:val="both"/>
        <w:rPr>
          <w:rFonts w:ascii="Arial" w:hAnsi="Arial" w:cs="Arial"/>
          <w:sz w:val="24"/>
          <w:szCs w:val="24"/>
        </w:rPr>
      </w:pPr>
      <w:r w:rsidRPr="00EF3370">
        <w:rPr>
          <w:rFonts w:ascii="Arial" w:hAnsi="Arial" w:cs="Arial"/>
          <w:sz w:val="24"/>
          <w:szCs w:val="24"/>
        </w:rPr>
        <w:t xml:space="preserve">The </w:t>
      </w:r>
      <w:r w:rsidR="00582F29" w:rsidRPr="00EF3370">
        <w:rPr>
          <w:rFonts w:ascii="Arial" w:hAnsi="Arial" w:cs="Arial"/>
          <w:sz w:val="24"/>
          <w:szCs w:val="24"/>
        </w:rPr>
        <w:t xml:space="preserve">RAF </w:t>
      </w:r>
      <w:r w:rsidRPr="00EF3370">
        <w:rPr>
          <w:rFonts w:ascii="Arial" w:hAnsi="Arial" w:cs="Arial"/>
          <w:sz w:val="24"/>
          <w:szCs w:val="24"/>
        </w:rPr>
        <w:t xml:space="preserve">has debt </w:t>
      </w:r>
      <w:r w:rsidR="00AF408B" w:rsidRPr="00EF3370">
        <w:rPr>
          <w:rFonts w:ascii="Arial" w:hAnsi="Arial" w:cs="Arial"/>
          <w:sz w:val="24"/>
          <w:szCs w:val="24"/>
        </w:rPr>
        <w:t>that has remained unpaid for 30 days or more</w:t>
      </w:r>
      <w:r w:rsidR="009206F7">
        <w:rPr>
          <w:rFonts w:ascii="Arial" w:hAnsi="Arial" w:cs="Arial"/>
          <w:sz w:val="24"/>
          <w:szCs w:val="24"/>
        </w:rPr>
        <w:t xml:space="preserve">, </w:t>
      </w:r>
      <w:r w:rsidR="007259A9" w:rsidRPr="00EF3370">
        <w:rPr>
          <w:rFonts w:ascii="Arial" w:hAnsi="Arial" w:cs="Arial"/>
          <w:sz w:val="24"/>
          <w:szCs w:val="24"/>
        </w:rPr>
        <w:t>defined for purposes of this reply as money the RAF is required to pay immediately</w:t>
      </w:r>
      <w:r w:rsidR="005B4F29">
        <w:rPr>
          <w:rFonts w:ascii="Arial" w:hAnsi="Arial" w:cs="Arial"/>
          <w:sz w:val="24"/>
          <w:szCs w:val="24"/>
        </w:rPr>
        <w:t xml:space="preserve"> </w:t>
      </w:r>
      <w:r w:rsidR="005B4F29" w:rsidRPr="00311174">
        <w:rPr>
          <w:rFonts w:ascii="Arial" w:hAnsi="Arial" w:cs="Arial"/>
          <w:sz w:val="24"/>
          <w:szCs w:val="24"/>
        </w:rPr>
        <w:t xml:space="preserve">and </w:t>
      </w:r>
      <w:r w:rsidR="005B4F29" w:rsidRPr="00DD4526">
        <w:rPr>
          <w:rFonts w:ascii="Arial" w:hAnsi="Arial" w:cs="Arial"/>
          <w:sz w:val="24"/>
          <w:szCs w:val="24"/>
        </w:rPr>
        <w:t xml:space="preserve">excludes </w:t>
      </w:r>
      <w:r w:rsidR="00750659" w:rsidRPr="00DD4526">
        <w:rPr>
          <w:rFonts w:ascii="Arial" w:hAnsi="Arial" w:cs="Arial"/>
          <w:sz w:val="24"/>
          <w:szCs w:val="24"/>
        </w:rPr>
        <w:t>borrowings</w:t>
      </w:r>
      <w:r w:rsidR="009206F7" w:rsidRPr="00061ADA">
        <w:rPr>
          <w:rFonts w:ascii="Arial" w:hAnsi="Arial" w:cs="Arial"/>
          <w:sz w:val="24"/>
          <w:szCs w:val="24"/>
        </w:rPr>
        <w:t>.</w:t>
      </w:r>
      <w:r w:rsidR="009206F7">
        <w:rPr>
          <w:rFonts w:ascii="Arial" w:hAnsi="Arial" w:cs="Arial"/>
          <w:sz w:val="24"/>
          <w:szCs w:val="24"/>
        </w:rPr>
        <w:t xml:space="preserve"> To avoid doubt, the RAF has no borrowings; </w:t>
      </w:r>
      <w:r w:rsidRPr="00EF3370">
        <w:rPr>
          <w:rFonts w:ascii="Arial" w:hAnsi="Arial" w:cs="Arial"/>
          <w:sz w:val="24"/>
          <w:szCs w:val="24"/>
        </w:rPr>
        <w:t xml:space="preserve"> </w:t>
      </w:r>
    </w:p>
    <w:p w14:paraId="5546F474" w14:textId="77777777" w:rsidR="00487CAB" w:rsidRPr="00061ADA" w:rsidRDefault="00044A6B" w:rsidP="00061ADA">
      <w:pPr>
        <w:spacing w:after="0"/>
        <w:ind w:left="360"/>
        <w:jc w:val="both"/>
        <w:rPr>
          <w:rFonts w:ascii="Arial" w:hAnsi="Arial" w:cs="Arial"/>
          <w:sz w:val="24"/>
          <w:szCs w:val="24"/>
        </w:rPr>
      </w:pPr>
      <w:r w:rsidRPr="00061ADA">
        <w:rPr>
          <w:rFonts w:ascii="Arial" w:hAnsi="Arial" w:cs="Arial"/>
          <w:sz w:val="24"/>
          <w:szCs w:val="24"/>
        </w:rPr>
        <w:t xml:space="preserve"> </w:t>
      </w:r>
    </w:p>
    <w:p w14:paraId="1E1CED65" w14:textId="77777777" w:rsidR="00EF3370" w:rsidRPr="00044A6B" w:rsidRDefault="00044A6B" w:rsidP="00061ADA">
      <w:pPr>
        <w:jc w:val="both"/>
        <w:rPr>
          <w:rFonts w:ascii="Arial" w:hAnsi="Arial" w:cs="Arial"/>
          <w:sz w:val="24"/>
          <w:szCs w:val="24"/>
        </w:rPr>
      </w:pPr>
      <w:r>
        <w:rPr>
          <w:rFonts w:ascii="Arial" w:hAnsi="Arial" w:cs="Arial"/>
          <w:sz w:val="24"/>
          <w:szCs w:val="24"/>
        </w:rPr>
        <w:t xml:space="preserve">(a)(i) </w:t>
      </w:r>
      <w:r w:rsidR="0059160C" w:rsidRPr="00044A6B">
        <w:rPr>
          <w:rFonts w:ascii="Arial" w:hAnsi="Arial" w:cs="Arial"/>
          <w:sz w:val="24"/>
          <w:szCs w:val="24"/>
        </w:rPr>
        <w:t>debts</w:t>
      </w:r>
      <w:r w:rsidR="001E01D3">
        <w:rPr>
          <w:rFonts w:ascii="Arial" w:hAnsi="Arial" w:cs="Arial"/>
          <w:sz w:val="24"/>
          <w:szCs w:val="24"/>
        </w:rPr>
        <w:t xml:space="preserve"> older than 30 days (</w:t>
      </w:r>
      <w:r w:rsidR="009206F7">
        <w:rPr>
          <w:rFonts w:ascii="Arial" w:hAnsi="Arial" w:cs="Arial"/>
          <w:sz w:val="24"/>
          <w:szCs w:val="24"/>
        </w:rPr>
        <w:t xml:space="preserve">Claims Creditors as at </w:t>
      </w:r>
      <w:r w:rsidR="00BF6862">
        <w:rPr>
          <w:rFonts w:ascii="Arial" w:hAnsi="Arial" w:cs="Arial"/>
          <w:sz w:val="24"/>
          <w:szCs w:val="24"/>
        </w:rPr>
        <w:t xml:space="preserve">4 April 2017 </w:t>
      </w:r>
      <w:r w:rsidR="009206F7">
        <w:rPr>
          <w:rFonts w:ascii="Arial" w:hAnsi="Arial" w:cs="Arial"/>
          <w:sz w:val="24"/>
          <w:szCs w:val="24"/>
        </w:rPr>
        <w:t xml:space="preserve">and Trade Creditors </w:t>
      </w:r>
      <w:r w:rsidR="00732856" w:rsidRPr="00044A6B">
        <w:rPr>
          <w:rFonts w:ascii="Arial" w:hAnsi="Arial" w:cs="Arial"/>
          <w:sz w:val="24"/>
          <w:szCs w:val="24"/>
        </w:rPr>
        <w:t xml:space="preserve">as </w:t>
      </w:r>
      <w:r w:rsidR="00732856" w:rsidRPr="00061ADA">
        <w:rPr>
          <w:rFonts w:ascii="Arial" w:hAnsi="Arial" w:cs="Arial"/>
          <w:sz w:val="24"/>
          <w:szCs w:val="24"/>
        </w:rPr>
        <w:t>at</w:t>
      </w:r>
      <w:r w:rsidR="001E01D3">
        <w:rPr>
          <w:rFonts w:ascii="Arial" w:hAnsi="Arial" w:cs="Arial"/>
          <w:sz w:val="24"/>
          <w:szCs w:val="24"/>
        </w:rPr>
        <w:t xml:space="preserve"> </w:t>
      </w:r>
      <w:r w:rsidR="00732856" w:rsidRPr="00061ADA">
        <w:rPr>
          <w:rFonts w:ascii="Arial" w:hAnsi="Arial" w:cs="Arial"/>
          <w:sz w:val="24"/>
          <w:szCs w:val="24"/>
        </w:rPr>
        <w:t>28 February 2017</w:t>
      </w:r>
      <w:r w:rsidR="001E01D3">
        <w:rPr>
          <w:rFonts w:ascii="Arial" w:hAnsi="Arial" w:cs="Arial"/>
          <w:sz w:val="24"/>
          <w:szCs w:val="24"/>
        </w:rPr>
        <w:t>)</w:t>
      </w:r>
      <w:r w:rsidR="009206F7">
        <w:rPr>
          <w:rFonts w:ascii="Arial" w:hAnsi="Arial" w:cs="Arial"/>
          <w:sz w:val="24"/>
          <w:szCs w:val="24"/>
        </w:rPr>
        <w:t xml:space="preserve"> </w:t>
      </w:r>
      <w:r w:rsidR="001E01D3">
        <w:rPr>
          <w:rFonts w:ascii="Arial" w:hAnsi="Arial" w:cs="Arial"/>
          <w:sz w:val="24"/>
          <w:szCs w:val="24"/>
        </w:rPr>
        <w:t xml:space="preserve">comprise of a </w:t>
      </w:r>
      <w:r w:rsidR="00C7145F" w:rsidRPr="00061ADA">
        <w:rPr>
          <w:rFonts w:ascii="Arial" w:hAnsi="Arial" w:cs="Arial"/>
          <w:sz w:val="24"/>
          <w:szCs w:val="24"/>
        </w:rPr>
        <w:t xml:space="preserve">total of </w:t>
      </w:r>
      <w:r w:rsidR="00C964AF" w:rsidRPr="00061ADA">
        <w:rPr>
          <w:rFonts w:ascii="Arial" w:hAnsi="Arial" w:cs="Arial"/>
          <w:sz w:val="24"/>
          <w:szCs w:val="24"/>
        </w:rPr>
        <w:t>14</w:t>
      </w:r>
      <w:r w:rsidR="002D6844">
        <w:rPr>
          <w:rFonts w:ascii="Arial" w:hAnsi="Arial" w:cs="Arial"/>
          <w:sz w:val="24"/>
          <w:szCs w:val="24"/>
        </w:rPr>
        <w:t xml:space="preserve"> </w:t>
      </w:r>
      <w:r w:rsidR="00C964AF" w:rsidRPr="00061ADA">
        <w:rPr>
          <w:rFonts w:ascii="Arial" w:hAnsi="Arial" w:cs="Arial"/>
          <w:sz w:val="24"/>
          <w:szCs w:val="24"/>
        </w:rPr>
        <w:t>555</w:t>
      </w:r>
      <w:r w:rsidR="00C7145F" w:rsidRPr="00061ADA">
        <w:rPr>
          <w:rFonts w:ascii="Arial" w:hAnsi="Arial" w:cs="Arial"/>
          <w:sz w:val="24"/>
          <w:szCs w:val="24"/>
        </w:rPr>
        <w:t xml:space="preserve"> individual</w:t>
      </w:r>
      <w:r w:rsidR="00C7145F" w:rsidRPr="00044A6B">
        <w:rPr>
          <w:rFonts w:ascii="Arial" w:hAnsi="Arial" w:cs="Arial"/>
          <w:sz w:val="24"/>
          <w:szCs w:val="24"/>
        </w:rPr>
        <w:t xml:space="preserve"> debts</w:t>
      </w:r>
      <w:r w:rsidR="001E01D3">
        <w:rPr>
          <w:rFonts w:ascii="Arial" w:hAnsi="Arial" w:cs="Arial"/>
          <w:sz w:val="24"/>
          <w:szCs w:val="24"/>
        </w:rPr>
        <w:t xml:space="preserve"> </w:t>
      </w:r>
      <w:r w:rsidR="00C7145F" w:rsidRPr="00044A6B">
        <w:rPr>
          <w:rFonts w:ascii="Arial" w:hAnsi="Arial" w:cs="Arial"/>
          <w:sz w:val="24"/>
          <w:szCs w:val="24"/>
        </w:rPr>
        <w:t xml:space="preserve">with a combined value of </w:t>
      </w:r>
      <w:r w:rsidR="001E01D3">
        <w:rPr>
          <w:rFonts w:ascii="Arial" w:hAnsi="Arial" w:cs="Arial"/>
          <w:sz w:val="24"/>
          <w:szCs w:val="24"/>
        </w:rPr>
        <w:t xml:space="preserve">    </w:t>
      </w:r>
      <w:r w:rsidR="002D6844">
        <w:rPr>
          <w:rFonts w:ascii="Arial" w:hAnsi="Arial" w:cs="Arial"/>
          <w:sz w:val="24"/>
          <w:szCs w:val="24"/>
        </w:rPr>
        <w:t xml:space="preserve">      </w:t>
      </w:r>
      <w:r w:rsidR="00DB0C24">
        <w:rPr>
          <w:rFonts w:ascii="Arial" w:hAnsi="Arial" w:cs="Arial"/>
          <w:sz w:val="24"/>
          <w:szCs w:val="24"/>
        </w:rPr>
        <w:t xml:space="preserve">  </w:t>
      </w:r>
      <w:r w:rsidR="00C7145F" w:rsidRPr="00044A6B">
        <w:rPr>
          <w:rFonts w:ascii="Arial" w:hAnsi="Arial" w:cs="Arial"/>
          <w:sz w:val="24"/>
          <w:szCs w:val="24"/>
        </w:rPr>
        <w:t xml:space="preserve">R </w:t>
      </w:r>
      <w:r w:rsidR="002D6844">
        <w:rPr>
          <w:rFonts w:ascii="Arial" w:hAnsi="Arial" w:cs="Arial"/>
          <w:sz w:val="24"/>
          <w:szCs w:val="24"/>
        </w:rPr>
        <w:t xml:space="preserve">5.5 </w:t>
      </w:r>
      <w:r w:rsidR="00C7145F" w:rsidRPr="00044A6B">
        <w:rPr>
          <w:rFonts w:ascii="Arial" w:hAnsi="Arial" w:cs="Arial"/>
          <w:sz w:val="24"/>
          <w:szCs w:val="24"/>
        </w:rPr>
        <w:t>billion</w:t>
      </w:r>
      <w:r w:rsidR="003329CD">
        <w:rPr>
          <w:rFonts w:ascii="Arial" w:hAnsi="Arial" w:cs="Arial"/>
          <w:sz w:val="24"/>
          <w:szCs w:val="24"/>
        </w:rPr>
        <w:t>,</w:t>
      </w:r>
      <w:r w:rsidR="00C7145F" w:rsidRPr="00044A6B">
        <w:rPr>
          <w:rFonts w:ascii="Arial" w:hAnsi="Arial" w:cs="Arial"/>
          <w:sz w:val="24"/>
          <w:szCs w:val="24"/>
        </w:rPr>
        <w:t xml:space="preserve"> </w:t>
      </w:r>
      <w:r w:rsidR="003329CD">
        <w:rPr>
          <w:rFonts w:ascii="Arial" w:hAnsi="Arial" w:cs="Arial"/>
          <w:sz w:val="24"/>
          <w:szCs w:val="24"/>
        </w:rPr>
        <w:t xml:space="preserve">which </w:t>
      </w:r>
      <w:r w:rsidR="00C74630">
        <w:rPr>
          <w:rFonts w:ascii="Arial" w:hAnsi="Arial" w:cs="Arial"/>
          <w:sz w:val="24"/>
          <w:szCs w:val="24"/>
        </w:rPr>
        <w:t xml:space="preserve">are </w:t>
      </w:r>
      <w:r w:rsidR="003329CD">
        <w:rPr>
          <w:rFonts w:ascii="Arial" w:hAnsi="Arial" w:cs="Arial"/>
          <w:sz w:val="24"/>
          <w:szCs w:val="24"/>
        </w:rPr>
        <w:t xml:space="preserve">debts processed for payment </w:t>
      </w:r>
      <w:r w:rsidR="00C7145F" w:rsidRPr="00044A6B">
        <w:rPr>
          <w:rFonts w:ascii="Arial" w:hAnsi="Arial" w:cs="Arial"/>
          <w:sz w:val="24"/>
          <w:szCs w:val="24"/>
        </w:rPr>
        <w:t xml:space="preserve">but </w:t>
      </w:r>
      <w:r w:rsidR="00C74630">
        <w:rPr>
          <w:rFonts w:ascii="Arial" w:hAnsi="Arial" w:cs="Arial"/>
          <w:sz w:val="24"/>
          <w:szCs w:val="24"/>
        </w:rPr>
        <w:t xml:space="preserve">have </w:t>
      </w:r>
      <w:r w:rsidR="00C7145F" w:rsidRPr="00044A6B">
        <w:rPr>
          <w:rFonts w:ascii="Arial" w:hAnsi="Arial" w:cs="Arial"/>
          <w:sz w:val="24"/>
          <w:szCs w:val="24"/>
        </w:rPr>
        <w:t xml:space="preserve">not yet </w:t>
      </w:r>
      <w:r w:rsidR="00C74630">
        <w:rPr>
          <w:rFonts w:ascii="Arial" w:hAnsi="Arial" w:cs="Arial"/>
          <w:sz w:val="24"/>
          <w:szCs w:val="24"/>
        </w:rPr>
        <w:t xml:space="preserve">been </w:t>
      </w:r>
      <w:r w:rsidR="00C7145F" w:rsidRPr="00044A6B">
        <w:rPr>
          <w:rFonts w:ascii="Arial" w:hAnsi="Arial" w:cs="Arial"/>
          <w:sz w:val="24"/>
          <w:szCs w:val="24"/>
        </w:rPr>
        <w:t>paid</w:t>
      </w:r>
      <w:r w:rsidR="001E01D3">
        <w:rPr>
          <w:rFonts w:ascii="Arial" w:hAnsi="Arial" w:cs="Arial"/>
          <w:sz w:val="24"/>
          <w:szCs w:val="24"/>
        </w:rPr>
        <w:t>. I</w:t>
      </w:r>
      <w:r w:rsidR="0059160C" w:rsidRPr="00044A6B">
        <w:rPr>
          <w:rFonts w:ascii="Arial" w:hAnsi="Arial" w:cs="Arial"/>
          <w:sz w:val="24"/>
          <w:szCs w:val="24"/>
        </w:rPr>
        <w:t xml:space="preserve">n respect of Claims Creditors </w:t>
      </w:r>
      <w:r w:rsidR="001E01D3">
        <w:rPr>
          <w:rFonts w:ascii="Arial" w:hAnsi="Arial" w:cs="Arial"/>
          <w:sz w:val="24"/>
          <w:szCs w:val="24"/>
        </w:rPr>
        <w:t>(</w:t>
      </w:r>
      <w:r w:rsidR="00931FF6" w:rsidRPr="00044A6B">
        <w:rPr>
          <w:rFonts w:ascii="Arial" w:hAnsi="Arial" w:cs="Arial"/>
          <w:sz w:val="24"/>
          <w:szCs w:val="24"/>
        </w:rPr>
        <w:t xml:space="preserve">payments due in </w:t>
      </w:r>
      <w:r w:rsidR="00C74630">
        <w:rPr>
          <w:rFonts w:ascii="Arial" w:hAnsi="Arial" w:cs="Arial"/>
          <w:sz w:val="24"/>
          <w:szCs w:val="24"/>
        </w:rPr>
        <w:t xml:space="preserve">relation to </w:t>
      </w:r>
      <w:r w:rsidR="00931FF6" w:rsidRPr="00044A6B">
        <w:rPr>
          <w:rFonts w:ascii="Arial" w:hAnsi="Arial" w:cs="Arial"/>
          <w:sz w:val="24"/>
          <w:szCs w:val="24"/>
        </w:rPr>
        <w:t>claims made under the Road Accident Fund Act, No. 56 of 1996</w:t>
      </w:r>
      <w:r w:rsidR="00351772">
        <w:rPr>
          <w:rFonts w:ascii="Arial" w:hAnsi="Arial" w:cs="Arial"/>
          <w:sz w:val="24"/>
          <w:szCs w:val="24"/>
        </w:rPr>
        <w:t>)</w:t>
      </w:r>
      <w:r w:rsidR="00927191">
        <w:rPr>
          <w:rFonts w:ascii="Arial" w:hAnsi="Arial" w:cs="Arial"/>
          <w:sz w:val="24"/>
          <w:szCs w:val="24"/>
        </w:rPr>
        <w:t xml:space="preserve"> (Act)</w:t>
      </w:r>
      <w:r w:rsidR="00931FF6" w:rsidRPr="00044A6B">
        <w:rPr>
          <w:rFonts w:ascii="Arial" w:hAnsi="Arial" w:cs="Arial"/>
          <w:sz w:val="24"/>
          <w:szCs w:val="24"/>
        </w:rPr>
        <w:t xml:space="preserve">, </w:t>
      </w:r>
      <w:r w:rsidR="00C7145F" w:rsidRPr="00044A6B">
        <w:rPr>
          <w:rFonts w:ascii="Arial" w:hAnsi="Arial" w:cs="Arial"/>
          <w:sz w:val="24"/>
          <w:szCs w:val="24"/>
        </w:rPr>
        <w:t xml:space="preserve">the </w:t>
      </w:r>
      <w:r w:rsidR="001E01D3">
        <w:rPr>
          <w:rFonts w:ascii="Arial" w:hAnsi="Arial" w:cs="Arial"/>
          <w:sz w:val="24"/>
          <w:szCs w:val="24"/>
        </w:rPr>
        <w:t xml:space="preserve">details of the debts </w:t>
      </w:r>
      <w:r w:rsidR="00903B57">
        <w:rPr>
          <w:rFonts w:ascii="Arial" w:hAnsi="Arial" w:cs="Arial"/>
          <w:sz w:val="24"/>
          <w:szCs w:val="24"/>
        </w:rPr>
        <w:t xml:space="preserve">are </w:t>
      </w:r>
      <w:r w:rsidR="001E01D3">
        <w:rPr>
          <w:rFonts w:ascii="Arial" w:hAnsi="Arial" w:cs="Arial"/>
          <w:sz w:val="24"/>
          <w:szCs w:val="24"/>
        </w:rPr>
        <w:t xml:space="preserve">set out in the </w:t>
      </w:r>
      <w:r w:rsidR="00C7145F" w:rsidRPr="00044A6B">
        <w:rPr>
          <w:rFonts w:ascii="Arial" w:hAnsi="Arial" w:cs="Arial"/>
          <w:sz w:val="24"/>
          <w:szCs w:val="24"/>
        </w:rPr>
        <w:t>table below</w:t>
      </w:r>
      <w:r w:rsidR="00931FF6" w:rsidRPr="00044A6B">
        <w:rPr>
          <w:rFonts w:ascii="Arial" w:hAnsi="Arial" w:cs="Arial"/>
          <w:sz w:val="24"/>
          <w:szCs w:val="24"/>
        </w:rPr>
        <w:t>:</w:t>
      </w:r>
    </w:p>
    <w:p w14:paraId="56CBFAB4" w14:textId="77777777" w:rsidR="008E4B0B" w:rsidRDefault="008E4B0B" w:rsidP="00061ADA">
      <w:pPr>
        <w:spacing w:after="0"/>
        <w:ind w:left="1260" w:hanging="90"/>
        <w:jc w:val="both"/>
        <w:rPr>
          <w:rFonts w:ascii="Arial" w:hAnsi="Arial" w:cs="Arial"/>
          <w:sz w:val="24"/>
          <w:szCs w:val="24"/>
        </w:rPr>
      </w:pPr>
    </w:p>
    <w:tbl>
      <w:tblPr>
        <w:tblStyle w:val="TableGrid"/>
        <w:tblW w:w="10080" w:type="dxa"/>
        <w:tblInd w:w="-5" w:type="dxa"/>
        <w:tblLook w:val="04A0" w:firstRow="1" w:lastRow="0" w:firstColumn="1" w:lastColumn="0" w:noHBand="0" w:noVBand="1"/>
      </w:tblPr>
      <w:tblGrid>
        <w:gridCol w:w="3420"/>
        <w:gridCol w:w="2430"/>
        <w:gridCol w:w="2340"/>
        <w:gridCol w:w="1890"/>
      </w:tblGrid>
      <w:tr w:rsidR="00DD4526" w:rsidRPr="008F4EBA" w14:paraId="038A337C" w14:textId="77777777" w:rsidTr="00DD4526">
        <w:tc>
          <w:tcPr>
            <w:tcW w:w="3420" w:type="dxa"/>
          </w:tcPr>
          <w:p w14:paraId="6A5DC260" w14:textId="77777777" w:rsidR="00DD4526" w:rsidRPr="00061ADA" w:rsidRDefault="00DD4526" w:rsidP="00061ADA">
            <w:pPr>
              <w:pStyle w:val="ListParagraph"/>
              <w:tabs>
                <w:tab w:val="left" w:pos="567"/>
              </w:tabs>
              <w:ind w:left="0"/>
              <w:jc w:val="center"/>
              <w:rPr>
                <w:rFonts w:ascii="Arial" w:hAnsi="Arial" w:cs="Arial"/>
                <w:b/>
                <w:sz w:val="24"/>
                <w:szCs w:val="24"/>
              </w:rPr>
            </w:pPr>
            <w:r w:rsidRPr="00061ADA">
              <w:rPr>
                <w:rFonts w:ascii="Arial" w:hAnsi="Arial" w:cs="Arial"/>
                <w:b/>
                <w:sz w:val="24"/>
                <w:szCs w:val="24"/>
              </w:rPr>
              <w:t>Claim Creditor Category</w:t>
            </w:r>
          </w:p>
        </w:tc>
        <w:tc>
          <w:tcPr>
            <w:tcW w:w="2430" w:type="dxa"/>
          </w:tcPr>
          <w:p w14:paraId="29F6C7CD" w14:textId="77777777" w:rsidR="00DD4526" w:rsidRPr="00061ADA" w:rsidRDefault="00DD4526" w:rsidP="00061ADA">
            <w:pPr>
              <w:pStyle w:val="ListParagraph"/>
              <w:tabs>
                <w:tab w:val="left" w:pos="567"/>
              </w:tabs>
              <w:ind w:left="0"/>
              <w:jc w:val="center"/>
              <w:rPr>
                <w:rFonts w:ascii="Arial" w:hAnsi="Arial" w:cs="Arial"/>
                <w:b/>
                <w:sz w:val="24"/>
                <w:szCs w:val="24"/>
              </w:rPr>
            </w:pPr>
            <w:r w:rsidRPr="00061ADA">
              <w:rPr>
                <w:rFonts w:ascii="Arial" w:hAnsi="Arial" w:cs="Arial"/>
                <w:b/>
                <w:sz w:val="24"/>
                <w:szCs w:val="24"/>
              </w:rPr>
              <w:t>Number of Claims Creditors</w:t>
            </w:r>
          </w:p>
        </w:tc>
        <w:tc>
          <w:tcPr>
            <w:tcW w:w="2340" w:type="dxa"/>
          </w:tcPr>
          <w:p w14:paraId="7B5BBEAA" w14:textId="77777777" w:rsidR="00DD4526" w:rsidRPr="00061ADA" w:rsidRDefault="00DD4526" w:rsidP="00061ADA">
            <w:pPr>
              <w:pStyle w:val="ListParagraph"/>
              <w:tabs>
                <w:tab w:val="left" w:pos="567"/>
              </w:tabs>
              <w:ind w:left="0"/>
              <w:jc w:val="center"/>
              <w:rPr>
                <w:rFonts w:ascii="Arial" w:hAnsi="Arial" w:cs="Arial"/>
                <w:b/>
                <w:sz w:val="24"/>
                <w:szCs w:val="24"/>
              </w:rPr>
            </w:pPr>
            <w:r w:rsidRPr="00061ADA">
              <w:rPr>
                <w:rFonts w:ascii="Arial" w:hAnsi="Arial" w:cs="Arial"/>
                <w:b/>
                <w:sz w:val="24"/>
                <w:szCs w:val="24"/>
              </w:rPr>
              <w:t>Value in Rand</w:t>
            </w:r>
          </w:p>
        </w:tc>
        <w:tc>
          <w:tcPr>
            <w:tcW w:w="1890" w:type="dxa"/>
          </w:tcPr>
          <w:p w14:paraId="09AE6CA2" w14:textId="77777777" w:rsidR="00DD4526" w:rsidRPr="00061ADA" w:rsidRDefault="00DD4526" w:rsidP="00903B57">
            <w:pPr>
              <w:pStyle w:val="ListParagraph"/>
              <w:tabs>
                <w:tab w:val="left" w:pos="567"/>
              </w:tabs>
              <w:ind w:left="0"/>
              <w:jc w:val="center"/>
              <w:rPr>
                <w:rFonts w:ascii="Arial" w:hAnsi="Arial" w:cs="Arial"/>
                <w:b/>
                <w:sz w:val="24"/>
                <w:szCs w:val="24"/>
              </w:rPr>
            </w:pPr>
            <w:r w:rsidRPr="00061ADA">
              <w:rPr>
                <w:rFonts w:ascii="Arial" w:hAnsi="Arial" w:cs="Arial"/>
                <w:b/>
                <w:sz w:val="24"/>
                <w:szCs w:val="24"/>
              </w:rPr>
              <w:t>Payment Date</w:t>
            </w:r>
          </w:p>
        </w:tc>
      </w:tr>
      <w:tr w:rsidR="00DD4526" w14:paraId="2625C212" w14:textId="77777777" w:rsidTr="00DD4526">
        <w:tc>
          <w:tcPr>
            <w:tcW w:w="3420" w:type="dxa"/>
          </w:tcPr>
          <w:p w14:paraId="67E5CB1A" w14:textId="77777777" w:rsidR="00DD4526" w:rsidRDefault="00DD4526" w:rsidP="008E4B0B">
            <w:pPr>
              <w:jc w:val="both"/>
              <w:rPr>
                <w:rFonts w:ascii="Arial" w:hAnsi="Arial" w:cs="Arial"/>
                <w:sz w:val="24"/>
                <w:szCs w:val="24"/>
              </w:rPr>
            </w:pPr>
            <w:r w:rsidRPr="00061ADA">
              <w:rPr>
                <w:rFonts w:ascii="Arial" w:hAnsi="Arial" w:cs="Arial"/>
                <w:sz w:val="24"/>
                <w:szCs w:val="24"/>
              </w:rPr>
              <w:t xml:space="preserve">Claimant </w:t>
            </w:r>
            <w:r>
              <w:rPr>
                <w:rFonts w:ascii="Arial" w:hAnsi="Arial" w:cs="Arial"/>
                <w:sz w:val="24"/>
                <w:szCs w:val="24"/>
              </w:rPr>
              <w:t>c</w:t>
            </w:r>
            <w:r w:rsidRPr="00061ADA">
              <w:rPr>
                <w:rFonts w:ascii="Arial" w:hAnsi="Arial" w:cs="Arial"/>
                <w:sz w:val="24"/>
                <w:szCs w:val="24"/>
              </w:rPr>
              <w:t>reditors - capital</w:t>
            </w:r>
          </w:p>
        </w:tc>
        <w:tc>
          <w:tcPr>
            <w:tcW w:w="2430" w:type="dxa"/>
            <w:vAlign w:val="bottom"/>
          </w:tcPr>
          <w:p w14:paraId="75AD80FB" w14:textId="77777777" w:rsidR="00DD4526" w:rsidRDefault="00DD4526" w:rsidP="00061ADA">
            <w:pPr>
              <w:jc w:val="center"/>
              <w:rPr>
                <w:rFonts w:ascii="Arial" w:hAnsi="Arial" w:cs="Arial"/>
                <w:sz w:val="24"/>
                <w:szCs w:val="24"/>
              </w:rPr>
            </w:pPr>
            <w:r w:rsidRPr="00061ADA">
              <w:rPr>
                <w:rFonts w:ascii="Arial" w:hAnsi="Arial" w:cs="Arial"/>
                <w:sz w:val="24"/>
                <w:szCs w:val="24"/>
              </w:rPr>
              <w:t>5 198</w:t>
            </w:r>
          </w:p>
        </w:tc>
        <w:tc>
          <w:tcPr>
            <w:tcW w:w="2340" w:type="dxa"/>
            <w:vAlign w:val="bottom"/>
          </w:tcPr>
          <w:p w14:paraId="1C3A038A" w14:textId="77777777" w:rsidR="00DD4526" w:rsidRDefault="00DD4526" w:rsidP="00061ADA">
            <w:pPr>
              <w:jc w:val="center"/>
              <w:rPr>
                <w:rFonts w:ascii="Arial" w:hAnsi="Arial" w:cs="Arial"/>
                <w:sz w:val="24"/>
                <w:szCs w:val="24"/>
              </w:rPr>
            </w:pPr>
            <w:r>
              <w:rPr>
                <w:rFonts w:ascii="Arial" w:hAnsi="Arial" w:cs="Arial"/>
                <w:sz w:val="24"/>
                <w:szCs w:val="24"/>
              </w:rPr>
              <w:t xml:space="preserve">R </w:t>
            </w:r>
            <w:r w:rsidRPr="00061ADA">
              <w:rPr>
                <w:rFonts w:ascii="Arial" w:hAnsi="Arial" w:cs="Arial"/>
                <w:sz w:val="24"/>
                <w:szCs w:val="24"/>
              </w:rPr>
              <w:t>3 960 543 951</w:t>
            </w:r>
          </w:p>
        </w:tc>
        <w:tc>
          <w:tcPr>
            <w:tcW w:w="1890" w:type="dxa"/>
            <w:vMerge w:val="restart"/>
            <w:vAlign w:val="center"/>
          </w:tcPr>
          <w:p w14:paraId="78A67D67" w14:textId="77777777" w:rsidR="00DD4526" w:rsidRPr="00061ADA" w:rsidRDefault="00DD4526" w:rsidP="00061ADA">
            <w:pPr>
              <w:jc w:val="center"/>
              <w:rPr>
                <w:rFonts w:ascii="Arial" w:hAnsi="Arial" w:cs="Arial"/>
                <w:sz w:val="24"/>
                <w:szCs w:val="24"/>
              </w:rPr>
            </w:pPr>
            <w:r w:rsidRPr="00061ADA">
              <w:rPr>
                <w:rFonts w:ascii="Arial" w:hAnsi="Arial" w:cs="Arial"/>
                <w:sz w:val="24"/>
                <w:szCs w:val="24"/>
              </w:rPr>
              <w:t xml:space="preserve">Less than 180 days from date of payment request as per the RAF’s Cash Management </w:t>
            </w:r>
            <w:r>
              <w:rPr>
                <w:rFonts w:ascii="Arial" w:hAnsi="Arial" w:cs="Arial"/>
                <w:sz w:val="24"/>
                <w:szCs w:val="24"/>
              </w:rPr>
              <w:t>P</w:t>
            </w:r>
            <w:r w:rsidRPr="00061ADA">
              <w:rPr>
                <w:rFonts w:ascii="Arial" w:hAnsi="Arial" w:cs="Arial"/>
                <w:sz w:val="24"/>
                <w:szCs w:val="24"/>
              </w:rPr>
              <w:t>lan</w:t>
            </w:r>
          </w:p>
        </w:tc>
      </w:tr>
      <w:tr w:rsidR="00DD4526" w14:paraId="0191481B" w14:textId="77777777" w:rsidTr="00DD4526">
        <w:tc>
          <w:tcPr>
            <w:tcW w:w="3420" w:type="dxa"/>
          </w:tcPr>
          <w:p w14:paraId="1192E483" w14:textId="77777777" w:rsidR="00DD4526" w:rsidRDefault="00DD4526" w:rsidP="008E4B0B">
            <w:pPr>
              <w:jc w:val="both"/>
              <w:rPr>
                <w:rFonts w:ascii="Arial" w:hAnsi="Arial" w:cs="Arial"/>
                <w:sz w:val="24"/>
                <w:szCs w:val="24"/>
              </w:rPr>
            </w:pPr>
            <w:r w:rsidRPr="00061ADA">
              <w:rPr>
                <w:rFonts w:ascii="Arial" w:hAnsi="Arial" w:cs="Arial"/>
                <w:sz w:val="24"/>
                <w:szCs w:val="24"/>
              </w:rPr>
              <w:t>Claimant creditors - cost</w:t>
            </w:r>
          </w:p>
        </w:tc>
        <w:tc>
          <w:tcPr>
            <w:tcW w:w="2430" w:type="dxa"/>
            <w:vAlign w:val="bottom"/>
          </w:tcPr>
          <w:p w14:paraId="4B55435D" w14:textId="77777777" w:rsidR="00DD4526" w:rsidRDefault="00DD4526" w:rsidP="00061ADA">
            <w:pPr>
              <w:jc w:val="center"/>
              <w:rPr>
                <w:rFonts w:ascii="Arial" w:hAnsi="Arial" w:cs="Arial"/>
                <w:sz w:val="24"/>
                <w:szCs w:val="24"/>
              </w:rPr>
            </w:pPr>
            <w:r w:rsidRPr="00061ADA">
              <w:rPr>
                <w:rFonts w:ascii="Arial" w:hAnsi="Arial" w:cs="Arial"/>
                <w:sz w:val="24"/>
                <w:szCs w:val="24"/>
              </w:rPr>
              <w:t>3 792</w:t>
            </w:r>
          </w:p>
        </w:tc>
        <w:tc>
          <w:tcPr>
            <w:tcW w:w="2340" w:type="dxa"/>
            <w:vAlign w:val="bottom"/>
          </w:tcPr>
          <w:p w14:paraId="21063575" w14:textId="77777777" w:rsidR="00DD4526" w:rsidRDefault="00DD4526" w:rsidP="00061ADA">
            <w:pPr>
              <w:jc w:val="center"/>
              <w:rPr>
                <w:rFonts w:ascii="Arial" w:hAnsi="Arial" w:cs="Arial"/>
                <w:sz w:val="24"/>
                <w:szCs w:val="24"/>
              </w:rPr>
            </w:pPr>
            <w:r>
              <w:rPr>
                <w:rFonts w:ascii="Arial" w:hAnsi="Arial" w:cs="Arial"/>
                <w:sz w:val="24"/>
                <w:szCs w:val="24"/>
              </w:rPr>
              <w:t xml:space="preserve">R </w:t>
            </w:r>
            <w:r w:rsidRPr="00061ADA">
              <w:rPr>
                <w:rFonts w:ascii="Arial" w:hAnsi="Arial" w:cs="Arial"/>
                <w:sz w:val="24"/>
                <w:szCs w:val="24"/>
              </w:rPr>
              <w:t>748 282 177</w:t>
            </w:r>
          </w:p>
        </w:tc>
        <w:tc>
          <w:tcPr>
            <w:tcW w:w="1890" w:type="dxa"/>
            <w:vMerge/>
            <w:vAlign w:val="center"/>
          </w:tcPr>
          <w:p w14:paraId="063D87D9" w14:textId="77777777" w:rsidR="00DD4526" w:rsidRPr="00061ADA" w:rsidRDefault="00DD4526">
            <w:pPr>
              <w:jc w:val="right"/>
              <w:rPr>
                <w:rFonts w:ascii="Arial" w:hAnsi="Arial" w:cs="Arial"/>
                <w:sz w:val="24"/>
                <w:szCs w:val="24"/>
              </w:rPr>
            </w:pPr>
          </w:p>
        </w:tc>
      </w:tr>
      <w:tr w:rsidR="00DD4526" w14:paraId="4E9D4C6D" w14:textId="77777777" w:rsidTr="00DD4526">
        <w:tc>
          <w:tcPr>
            <w:tcW w:w="3420" w:type="dxa"/>
          </w:tcPr>
          <w:p w14:paraId="3D87F718" w14:textId="77777777" w:rsidR="00DD4526" w:rsidRDefault="00DD4526" w:rsidP="008E4B0B">
            <w:pPr>
              <w:jc w:val="both"/>
              <w:rPr>
                <w:rFonts w:ascii="Arial" w:hAnsi="Arial" w:cs="Arial"/>
                <w:sz w:val="24"/>
                <w:szCs w:val="24"/>
              </w:rPr>
            </w:pPr>
            <w:r w:rsidRPr="00061ADA">
              <w:rPr>
                <w:rFonts w:ascii="Arial" w:hAnsi="Arial" w:cs="Arial"/>
                <w:sz w:val="24"/>
                <w:szCs w:val="24"/>
              </w:rPr>
              <w:t>Writ creditors (capital and / or costs)</w:t>
            </w:r>
          </w:p>
        </w:tc>
        <w:tc>
          <w:tcPr>
            <w:tcW w:w="2430" w:type="dxa"/>
            <w:vAlign w:val="bottom"/>
          </w:tcPr>
          <w:p w14:paraId="241F31E8" w14:textId="77777777" w:rsidR="00DD4526" w:rsidRDefault="00DD4526" w:rsidP="00061ADA">
            <w:pPr>
              <w:jc w:val="center"/>
              <w:rPr>
                <w:rFonts w:ascii="Arial" w:hAnsi="Arial" w:cs="Arial"/>
                <w:sz w:val="24"/>
                <w:szCs w:val="24"/>
              </w:rPr>
            </w:pPr>
            <w:r w:rsidRPr="00061ADA">
              <w:rPr>
                <w:rFonts w:ascii="Arial" w:hAnsi="Arial" w:cs="Arial"/>
                <w:sz w:val="24"/>
                <w:szCs w:val="24"/>
              </w:rPr>
              <w:t>1 858</w:t>
            </w:r>
          </w:p>
        </w:tc>
        <w:tc>
          <w:tcPr>
            <w:tcW w:w="2340" w:type="dxa"/>
            <w:vAlign w:val="bottom"/>
          </w:tcPr>
          <w:p w14:paraId="5BCA5C95" w14:textId="77777777" w:rsidR="00DD4526" w:rsidRDefault="00DD4526" w:rsidP="00061ADA">
            <w:pPr>
              <w:jc w:val="center"/>
              <w:rPr>
                <w:rFonts w:ascii="Arial" w:hAnsi="Arial" w:cs="Arial"/>
                <w:sz w:val="24"/>
                <w:szCs w:val="24"/>
              </w:rPr>
            </w:pPr>
            <w:r>
              <w:rPr>
                <w:rFonts w:ascii="Arial" w:hAnsi="Arial" w:cs="Arial"/>
                <w:sz w:val="24"/>
                <w:szCs w:val="24"/>
              </w:rPr>
              <w:t xml:space="preserve">R </w:t>
            </w:r>
            <w:r w:rsidRPr="00061ADA">
              <w:rPr>
                <w:rFonts w:ascii="Arial" w:hAnsi="Arial" w:cs="Arial"/>
                <w:sz w:val="24"/>
                <w:szCs w:val="24"/>
              </w:rPr>
              <w:t>783 182 863</w:t>
            </w:r>
          </w:p>
        </w:tc>
        <w:tc>
          <w:tcPr>
            <w:tcW w:w="1890" w:type="dxa"/>
            <w:vMerge/>
            <w:vAlign w:val="center"/>
          </w:tcPr>
          <w:p w14:paraId="7D4EAF05" w14:textId="77777777" w:rsidR="00DD4526" w:rsidRPr="00061ADA" w:rsidRDefault="00DD4526">
            <w:pPr>
              <w:jc w:val="right"/>
              <w:rPr>
                <w:rFonts w:ascii="Arial" w:hAnsi="Arial" w:cs="Arial"/>
                <w:sz w:val="24"/>
                <w:szCs w:val="24"/>
              </w:rPr>
            </w:pPr>
          </w:p>
        </w:tc>
      </w:tr>
      <w:tr w:rsidR="00DD4526" w14:paraId="03D9543D" w14:textId="77777777" w:rsidTr="00DD4526">
        <w:tc>
          <w:tcPr>
            <w:tcW w:w="3420" w:type="dxa"/>
          </w:tcPr>
          <w:p w14:paraId="0389C3F3" w14:textId="77777777" w:rsidR="00DD4526" w:rsidRDefault="00DD4526" w:rsidP="008E4B0B">
            <w:pPr>
              <w:jc w:val="both"/>
              <w:rPr>
                <w:rFonts w:ascii="Arial" w:hAnsi="Arial" w:cs="Arial"/>
                <w:sz w:val="24"/>
                <w:szCs w:val="24"/>
              </w:rPr>
            </w:pPr>
            <w:r w:rsidRPr="00061ADA">
              <w:rPr>
                <w:rFonts w:ascii="Arial" w:hAnsi="Arial" w:cs="Arial"/>
                <w:sz w:val="24"/>
                <w:szCs w:val="24"/>
              </w:rPr>
              <w:t>Supplier creditors</w:t>
            </w:r>
          </w:p>
        </w:tc>
        <w:tc>
          <w:tcPr>
            <w:tcW w:w="2430" w:type="dxa"/>
            <w:vAlign w:val="bottom"/>
          </w:tcPr>
          <w:p w14:paraId="572EE64A" w14:textId="77777777" w:rsidR="00DD4526" w:rsidRDefault="00DD4526" w:rsidP="00061ADA">
            <w:pPr>
              <w:jc w:val="center"/>
              <w:rPr>
                <w:rFonts w:ascii="Arial" w:hAnsi="Arial" w:cs="Arial"/>
                <w:sz w:val="24"/>
                <w:szCs w:val="24"/>
              </w:rPr>
            </w:pPr>
            <w:r w:rsidRPr="00061ADA">
              <w:rPr>
                <w:rFonts w:ascii="Arial" w:hAnsi="Arial" w:cs="Arial"/>
                <w:sz w:val="24"/>
                <w:szCs w:val="24"/>
              </w:rPr>
              <w:t>180</w:t>
            </w:r>
          </w:p>
        </w:tc>
        <w:tc>
          <w:tcPr>
            <w:tcW w:w="2340" w:type="dxa"/>
            <w:vAlign w:val="bottom"/>
          </w:tcPr>
          <w:p w14:paraId="3D459ABF" w14:textId="77777777" w:rsidR="00DD4526" w:rsidRDefault="00DD4526" w:rsidP="00061ADA">
            <w:pPr>
              <w:jc w:val="center"/>
              <w:rPr>
                <w:rFonts w:ascii="Arial" w:hAnsi="Arial" w:cs="Arial"/>
                <w:sz w:val="24"/>
                <w:szCs w:val="24"/>
              </w:rPr>
            </w:pPr>
            <w:r>
              <w:rPr>
                <w:rFonts w:ascii="Arial" w:hAnsi="Arial" w:cs="Arial"/>
                <w:sz w:val="24"/>
                <w:szCs w:val="24"/>
              </w:rPr>
              <w:t xml:space="preserve">R </w:t>
            </w:r>
            <w:r w:rsidRPr="00061ADA">
              <w:rPr>
                <w:rFonts w:ascii="Arial" w:hAnsi="Arial" w:cs="Arial"/>
                <w:sz w:val="24"/>
                <w:szCs w:val="24"/>
              </w:rPr>
              <w:t>2 465 110</w:t>
            </w:r>
          </w:p>
        </w:tc>
        <w:tc>
          <w:tcPr>
            <w:tcW w:w="1890" w:type="dxa"/>
            <w:vMerge/>
            <w:vAlign w:val="center"/>
          </w:tcPr>
          <w:p w14:paraId="324E6083" w14:textId="77777777" w:rsidR="00DD4526" w:rsidRPr="00061ADA" w:rsidRDefault="00DD4526">
            <w:pPr>
              <w:jc w:val="right"/>
              <w:rPr>
                <w:rFonts w:ascii="Arial" w:hAnsi="Arial" w:cs="Arial"/>
                <w:sz w:val="24"/>
                <w:szCs w:val="24"/>
              </w:rPr>
            </w:pPr>
          </w:p>
        </w:tc>
      </w:tr>
      <w:tr w:rsidR="00DD4526" w14:paraId="79254AE5" w14:textId="77777777" w:rsidTr="00DD4526">
        <w:tc>
          <w:tcPr>
            <w:tcW w:w="3420" w:type="dxa"/>
          </w:tcPr>
          <w:p w14:paraId="4381690C" w14:textId="77777777" w:rsidR="00DD4526" w:rsidRDefault="00DD4526" w:rsidP="008E4B0B">
            <w:pPr>
              <w:jc w:val="both"/>
              <w:rPr>
                <w:rFonts w:ascii="Arial" w:hAnsi="Arial" w:cs="Arial"/>
                <w:sz w:val="24"/>
                <w:szCs w:val="24"/>
              </w:rPr>
            </w:pPr>
            <w:r w:rsidRPr="00061ADA">
              <w:rPr>
                <w:rFonts w:ascii="Arial" w:hAnsi="Arial" w:cs="Arial"/>
                <w:sz w:val="24"/>
                <w:szCs w:val="24"/>
              </w:rPr>
              <w:t>Undertaking creditors</w:t>
            </w:r>
          </w:p>
        </w:tc>
        <w:tc>
          <w:tcPr>
            <w:tcW w:w="2430" w:type="dxa"/>
            <w:vAlign w:val="bottom"/>
          </w:tcPr>
          <w:p w14:paraId="56A7D6BC" w14:textId="77777777" w:rsidR="00DD4526" w:rsidRDefault="00DD4526" w:rsidP="00061ADA">
            <w:pPr>
              <w:jc w:val="center"/>
              <w:rPr>
                <w:rFonts w:ascii="Arial" w:hAnsi="Arial" w:cs="Arial"/>
                <w:sz w:val="24"/>
                <w:szCs w:val="24"/>
              </w:rPr>
            </w:pPr>
            <w:r w:rsidRPr="00061ADA">
              <w:rPr>
                <w:rFonts w:ascii="Arial" w:hAnsi="Arial" w:cs="Arial"/>
                <w:sz w:val="24"/>
                <w:szCs w:val="24"/>
              </w:rPr>
              <w:t>199</w:t>
            </w:r>
          </w:p>
        </w:tc>
        <w:tc>
          <w:tcPr>
            <w:tcW w:w="2340" w:type="dxa"/>
            <w:vAlign w:val="bottom"/>
          </w:tcPr>
          <w:p w14:paraId="7FE5E148" w14:textId="77777777" w:rsidR="00DD4526" w:rsidRDefault="00DD4526" w:rsidP="00061ADA">
            <w:pPr>
              <w:jc w:val="center"/>
              <w:rPr>
                <w:rFonts w:ascii="Arial" w:hAnsi="Arial" w:cs="Arial"/>
                <w:sz w:val="24"/>
                <w:szCs w:val="24"/>
              </w:rPr>
            </w:pPr>
            <w:r>
              <w:rPr>
                <w:rFonts w:ascii="Arial" w:hAnsi="Arial" w:cs="Arial"/>
                <w:sz w:val="24"/>
                <w:szCs w:val="24"/>
              </w:rPr>
              <w:t xml:space="preserve">R </w:t>
            </w:r>
            <w:r w:rsidRPr="00061ADA">
              <w:rPr>
                <w:rFonts w:ascii="Arial" w:hAnsi="Arial" w:cs="Arial"/>
                <w:sz w:val="24"/>
                <w:szCs w:val="24"/>
              </w:rPr>
              <w:t>3 100 830</w:t>
            </w:r>
          </w:p>
        </w:tc>
        <w:tc>
          <w:tcPr>
            <w:tcW w:w="1890" w:type="dxa"/>
            <w:vMerge/>
            <w:vAlign w:val="center"/>
          </w:tcPr>
          <w:p w14:paraId="31007215" w14:textId="77777777" w:rsidR="00DD4526" w:rsidRPr="00061ADA" w:rsidRDefault="00DD4526">
            <w:pPr>
              <w:jc w:val="right"/>
              <w:rPr>
                <w:rFonts w:ascii="Arial" w:hAnsi="Arial" w:cs="Arial"/>
                <w:sz w:val="24"/>
                <w:szCs w:val="24"/>
              </w:rPr>
            </w:pPr>
          </w:p>
        </w:tc>
      </w:tr>
      <w:tr w:rsidR="00DD4526" w14:paraId="49A0B7AD" w14:textId="77777777" w:rsidTr="00DD4526">
        <w:tc>
          <w:tcPr>
            <w:tcW w:w="3420" w:type="dxa"/>
          </w:tcPr>
          <w:p w14:paraId="26B72708" w14:textId="77777777" w:rsidR="00DD4526" w:rsidRDefault="00DD4526" w:rsidP="008E4B0B">
            <w:pPr>
              <w:jc w:val="both"/>
              <w:rPr>
                <w:rFonts w:ascii="Arial" w:hAnsi="Arial" w:cs="Arial"/>
                <w:sz w:val="24"/>
                <w:szCs w:val="24"/>
              </w:rPr>
            </w:pPr>
            <w:r w:rsidRPr="00061ADA">
              <w:rPr>
                <w:rFonts w:ascii="Arial" w:hAnsi="Arial" w:cs="Arial"/>
                <w:sz w:val="24"/>
                <w:szCs w:val="24"/>
              </w:rPr>
              <w:t xml:space="preserve">RAF </w:t>
            </w:r>
            <w:r>
              <w:rPr>
                <w:rFonts w:ascii="Arial" w:hAnsi="Arial" w:cs="Arial"/>
                <w:sz w:val="24"/>
                <w:szCs w:val="24"/>
              </w:rPr>
              <w:t>a</w:t>
            </w:r>
            <w:r w:rsidRPr="00061ADA">
              <w:rPr>
                <w:rFonts w:ascii="Arial" w:hAnsi="Arial" w:cs="Arial"/>
                <w:sz w:val="24"/>
                <w:szCs w:val="24"/>
              </w:rPr>
              <w:t>ttorneys, actuaries and other claim operations service providers</w:t>
            </w:r>
          </w:p>
        </w:tc>
        <w:tc>
          <w:tcPr>
            <w:tcW w:w="2430" w:type="dxa"/>
            <w:vAlign w:val="bottom"/>
          </w:tcPr>
          <w:p w14:paraId="5B6130DA" w14:textId="77777777" w:rsidR="00DD4526" w:rsidRDefault="00DD4526" w:rsidP="00061ADA">
            <w:pPr>
              <w:jc w:val="center"/>
              <w:rPr>
                <w:rFonts w:ascii="Arial" w:hAnsi="Arial" w:cs="Arial"/>
                <w:sz w:val="24"/>
                <w:szCs w:val="24"/>
              </w:rPr>
            </w:pPr>
            <w:r w:rsidRPr="00061ADA">
              <w:rPr>
                <w:rFonts w:ascii="Arial" w:hAnsi="Arial" w:cs="Arial"/>
                <w:sz w:val="24"/>
                <w:szCs w:val="24"/>
              </w:rPr>
              <w:t>3 147</w:t>
            </w:r>
          </w:p>
        </w:tc>
        <w:tc>
          <w:tcPr>
            <w:tcW w:w="2340" w:type="dxa"/>
            <w:vAlign w:val="bottom"/>
          </w:tcPr>
          <w:p w14:paraId="3A9BF7F5" w14:textId="77777777" w:rsidR="00DD4526" w:rsidRDefault="00DD4526" w:rsidP="00061ADA">
            <w:pPr>
              <w:jc w:val="center"/>
              <w:rPr>
                <w:rFonts w:ascii="Arial" w:hAnsi="Arial" w:cs="Arial"/>
                <w:sz w:val="24"/>
                <w:szCs w:val="24"/>
              </w:rPr>
            </w:pPr>
            <w:r>
              <w:rPr>
                <w:rFonts w:ascii="Arial" w:hAnsi="Arial" w:cs="Arial"/>
                <w:sz w:val="24"/>
                <w:szCs w:val="24"/>
              </w:rPr>
              <w:t xml:space="preserve">R </w:t>
            </w:r>
            <w:r w:rsidRPr="00061ADA">
              <w:rPr>
                <w:rFonts w:ascii="Arial" w:hAnsi="Arial" w:cs="Arial"/>
                <w:sz w:val="24"/>
                <w:szCs w:val="24"/>
              </w:rPr>
              <w:t>60 009 169</w:t>
            </w:r>
          </w:p>
        </w:tc>
        <w:tc>
          <w:tcPr>
            <w:tcW w:w="1890" w:type="dxa"/>
            <w:vMerge/>
            <w:vAlign w:val="center"/>
          </w:tcPr>
          <w:p w14:paraId="0C8446E7" w14:textId="77777777" w:rsidR="00DD4526" w:rsidRPr="00061ADA" w:rsidRDefault="00DD4526">
            <w:pPr>
              <w:jc w:val="right"/>
              <w:rPr>
                <w:rFonts w:ascii="Arial" w:hAnsi="Arial" w:cs="Arial"/>
                <w:sz w:val="24"/>
                <w:szCs w:val="24"/>
              </w:rPr>
            </w:pPr>
          </w:p>
        </w:tc>
      </w:tr>
    </w:tbl>
    <w:p w14:paraId="35B344AF" w14:textId="77777777" w:rsidR="00931FF6" w:rsidRDefault="00931FF6" w:rsidP="00061ADA">
      <w:pPr>
        <w:spacing w:after="0"/>
        <w:jc w:val="both"/>
        <w:rPr>
          <w:rFonts w:ascii="Arial" w:hAnsi="Arial" w:cs="Arial"/>
          <w:sz w:val="24"/>
          <w:szCs w:val="24"/>
        </w:rPr>
      </w:pPr>
    </w:p>
    <w:p w14:paraId="395EC970" w14:textId="77777777" w:rsidR="00357621" w:rsidRDefault="00357621" w:rsidP="00061ADA">
      <w:pPr>
        <w:spacing w:after="0"/>
        <w:rPr>
          <w:rFonts w:ascii="Arial" w:hAnsi="Arial" w:cs="Arial"/>
          <w:sz w:val="24"/>
          <w:szCs w:val="24"/>
        </w:rPr>
      </w:pPr>
    </w:p>
    <w:p w14:paraId="04629BB1" w14:textId="77777777" w:rsidR="00357621" w:rsidRDefault="00357621" w:rsidP="00061ADA">
      <w:pPr>
        <w:spacing w:after="0"/>
        <w:rPr>
          <w:rFonts w:ascii="Arial" w:hAnsi="Arial" w:cs="Arial"/>
          <w:sz w:val="24"/>
          <w:szCs w:val="24"/>
        </w:rPr>
      </w:pPr>
    </w:p>
    <w:p w14:paraId="55FB8C26" w14:textId="77777777" w:rsidR="00357621" w:rsidRDefault="00357621" w:rsidP="00061ADA">
      <w:pPr>
        <w:spacing w:after="0"/>
        <w:rPr>
          <w:rFonts w:ascii="Arial" w:hAnsi="Arial" w:cs="Arial"/>
          <w:sz w:val="24"/>
          <w:szCs w:val="24"/>
        </w:rPr>
      </w:pPr>
    </w:p>
    <w:p w14:paraId="2E3C6626" w14:textId="77777777" w:rsidR="00DD4526" w:rsidRDefault="00DD4526" w:rsidP="00061ADA">
      <w:pPr>
        <w:spacing w:after="0"/>
        <w:rPr>
          <w:rFonts w:ascii="Arial" w:hAnsi="Arial" w:cs="Arial"/>
          <w:sz w:val="24"/>
          <w:szCs w:val="24"/>
        </w:rPr>
      </w:pPr>
    </w:p>
    <w:p w14:paraId="5E277933" w14:textId="77777777" w:rsidR="00476466" w:rsidRDefault="00476466" w:rsidP="00061ADA">
      <w:pPr>
        <w:spacing w:after="0"/>
        <w:rPr>
          <w:rFonts w:ascii="Arial" w:hAnsi="Arial" w:cs="Arial"/>
          <w:sz w:val="24"/>
          <w:szCs w:val="24"/>
        </w:rPr>
      </w:pPr>
    </w:p>
    <w:p w14:paraId="2B61789D" w14:textId="77777777" w:rsidR="00476466" w:rsidRDefault="00476466" w:rsidP="00061ADA">
      <w:pPr>
        <w:spacing w:after="0"/>
        <w:rPr>
          <w:rFonts w:ascii="Arial" w:hAnsi="Arial" w:cs="Arial"/>
          <w:sz w:val="24"/>
          <w:szCs w:val="24"/>
        </w:rPr>
      </w:pPr>
    </w:p>
    <w:p w14:paraId="555CE5C4" w14:textId="77777777" w:rsidR="00B2561A" w:rsidRDefault="00357621" w:rsidP="00061ADA">
      <w:pPr>
        <w:spacing w:after="0"/>
        <w:rPr>
          <w:rFonts w:ascii="Arial" w:hAnsi="Arial" w:cs="Arial"/>
          <w:sz w:val="24"/>
          <w:szCs w:val="24"/>
        </w:rPr>
      </w:pPr>
      <w:r>
        <w:rPr>
          <w:rFonts w:ascii="Arial" w:hAnsi="Arial" w:cs="Arial"/>
          <w:sz w:val="24"/>
          <w:szCs w:val="24"/>
        </w:rPr>
        <w:t>D</w:t>
      </w:r>
      <w:r w:rsidR="00C7145F">
        <w:rPr>
          <w:rFonts w:ascii="Arial" w:hAnsi="Arial" w:cs="Arial"/>
          <w:sz w:val="24"/>
          <w:szCs w:val="24"/>
        </w:rPr>
        <w:t xml:space="preserve">etails of </w:t>
      </w:r>
      <w:r w:rsidR="00B2561A" w:rsidRPr="009B4AFD">
        <w:rPr>
          <w:rFonts w:ascii="Arial" w:hAnsi="Arial" w:cs="Arial"/>
          <w:sz w:val="24"/>
          <w:szCs w:val="24"/>
        </w:rPr>
        <w:t>debts due to</w:t>
      </w:r>
      <w:r w:rsidR="00B2561A">
        <w:rPr>
          <w:rFonts w:ascii="Arial" w:hAnsi="Arial" w:cs="Arial"/>
          <w:sz w:val="24"/>
          <w:szCs w:val="24"/>
        </w:rPr>
        <w:t xml:space="preserve"> Trade Creditors</w:t>
      </w:r>
      <w:r w:rsidR="00C7145F">
        <w:rPr>
          <w:rFonts w:ascii="Arial" w:hAnsi="Arial" w:cs="Arial"/>
          <w:sz w:val="24"/>
          <w:szCs w:val="24"/>
        </w:rPr>
        <w:t xml:space="preserve"> are captured in the table below</w:t>
      </w:r>
      <w:r w:rsidR="005B4F29">
        <w:rPr>
          <w:rFonts w:ascii="Arial" w:hAnsi="Arial" w:cs="Arial"/>
          <w:sz w:val="24"/>
          <w:szCs w:val="24"/>
        </w:rPr>
        <w:t>:</w:t>
      </w:r>
    </w:p>
    <w:p w14:paraId="67E77C06" w14:textId="77777777" w:rsidR="00B2561A" w:rsidRDefault="00B2561A" w:rsidP="00061ADA">
      <w:pPr>
        <w:spacing w:after="0"/>
        <w:ind w:left="1260"/>
        <w:jc w:val="both"/>
        <w:rPr>
          <w:rFonts w:ascii="Arial" w:hAnsi="Arial" w:cs="Arial"/>
          <w:sz w:val="24"/>
          <w:szCs w:val="24"/>
        </w:rPr>
      </w:pPr>
    </w:p>
    <w:tbl>
      <w:tblPr>
        <w:tblStyle w:val="TableGrid"/>
        <w:tblW w:w="10080" w:type="dxa"/>
        <w:tblInd w:w="-5" w:type="dxa"/>
        <w:tblLayout w:type="fixed"/>
        <w:tblLook w:val="04A0" w:firstRow="1" w:lastRow="0" w:firstColumn="1" w:lastColumn="0" w:noHBand="0" w:noVBand="1"/>
      </w:tblPr>
      <w:tblGrid>
        <w:gridCol w:w="1620"/>
        <w:gridCol w:w="1800"/>
        <w:gridCol w:w="2430"/>
        <w:gridCol w:w="2340"/>
        <w:gridCol w:w="1890"/>
      </w:tblGrid>
      <w:tr w:rsidR="00DD4526" w14:paraId="16C07864" w14:textId="77777777" w:rsidTr="00AC327B">
        <w:tc>
          <w:tcPr>
            <w:tcW w:w="1620" w:type="dxa"/>
          </w:tcPr>
          <w:p w14:paraId="368DDAA1" w14:textId="77777777" w:rsidR="00DD4526" w:rsidRPr="00061ADA" w:rsidRDefault="00DD4526" w:rsidP="00061ADA">
            <w:pPr>
              <w:pStyle w:val="ListParagraph"/>
              <w:tabs>
                <w:tab w:val="left" w:pos="567"/>
              </w:tabs>
              <w:ind w:left="0"/>
              <w:jc w:val="center"/>
              <w:rPr>
                <w:rFonts w:ascii="Arial" w:hAnsi="Arial" w:cs="Arial"/>
                <w:b/>
                <w:sz w:val="24"/>
                <w:szCs w:val="24"/>
              </w:rPr>
            </w:pPr>
            <w:r w:rsidRPr="00061ADA">
              <w:rPr>
                <w:rFonts w:ascii="Arial" w:hAnsi="Arial" w:cs="Arial"/>
                <w:b/>
                <w:sz w:val="24"/>
                <w:szCs w:val="24"/>
              </w:rPr>
              <w:t>Category</w:t>
            </w:r>
          </w:p>
        </w:tc>
        <w:tc>
          <w:tcPr>
            <w:tcW w:w="1800" w:type="dxa"/>
          </w:tcPr>
          <w:p w14:paraId="7B093444" w14:textId="77777777" w:rsidR="00DD4526" w:rsidRPr="00061ADA" w:rsidRDefault="00DD4526" w:rsidP="00061ADA">
            <w:pPr>
              <w:pStyle w:val="ListParagraph"/>
              <w:tabs>
                <w:tab w:val="left" w:pos="567"/>
              </w:tabs>
              <w:ind w:left="0"/>
              <w:jc w:val="center"/>
              <w:rPr>
                <w:rFonts w:ascii="Arial" w:hAnsi="Arial" w:cs="Arial"/>
                <w:b/>
                <w:sz w:val="24"/>
                <w:szCs w:val="24"/>
              </w:rPr>
            </w:pPr>
            <w:r w:rsidRPr="00061ADA">
              <w:rPr>
                <w:rFonts w:ascii="Arial" w:hAnsi="Arial" w:cs="Arial"/>
                <w:b/>
                <w:sz w:val="24"/>
                <w:szCs w:val="24"/>
              </w:rPr>
              <w:t>Number of Trade Creditors</w:t>
            </w:r>
          </w:p>
        </w:tc>
        <w:tc>
          <w:tcPr>
            <w:tcW w:w="2430" w:type="dxa"/>
          </w:tcPr>
          <w:p w14:paraId="2B27167B" w14:textId="77777777" w:rsidR="00DD4526" w:rsidRPr="00061ADA" w:rsidRDefault="00DD4526" w:rsidP="00061ADA">
            <w:pPr>
              <w:pStyle w:val="ListParagraph"/>
              <w:tabs>
                <w:tab w:val="left" w:pos="567"/>
              </w:tabs>
              <w:ind w:left="0"/>
              <w:jc w:val="center"/>
              <w:rPr>
                <w:rFonts w:ascii="Arial" w:hAnsi="Arial" w:cs="Arial"/>
                <w:b/>
                <w:sz w:val="24"/>
                <w:szCs w:val="24"/>
              </w:rPr>
            </w:pPr>
            <w:r w:rsidRPr="00061ADA">
              <w:rPr>
                <w:rFonts w:ascii="Arial" w:hAnsi="Arial" w:cs="Arial"/>
                <w:b/>
                <w:sz w:val="24"/>
                <w:szCs w:val="24"/>
              </w:rPr>
              <w:t>Number of Transactions</w:t>
            </w:r>
          </w:p>
        </w:tc>
        <w:tc>
          <w:tcPr>
            <w:tcW w:w="2340" w:type="dxa"/>
          </w:tcPr>
          <w:p w14:paraId="1596373D" w14:textId="77777777" w:rsidR="00DD4526" w:rsidRPr="00061ADA" w:rsidRDefault="00DD4526" w:rsidP="00061ADA">
            <w:pPr>
              <w:pStyle w:val="ListParagraph"/>
              <w:tabs>
                <w:tab w:val="left" w:pos="567"/>
              </w:tabs>
              <w:ind w:left="0"/>
              <w:jc w:val="center"/>
              <w:rPr>
                <w:rFonts w:ascii="Arial" w:hAnsi="Arial" w:cs="Arial"/>
                <w:b/>
                <w:sz w:val="24"/>
                <w:szCs w:val="24"/>
              </w:rPr>
            </w:pPr>
            <w:r w:rsidRPr="00061ADA">
              <w:rPr>
                <w:rFonts w:ascii="Arial" w:hAnsi="Arial" w:cs="Arial"/>
                <w:b/>
                <w:sz w:val="24"/>
                <w:szCs w:val="24"/>
              </w:rPr>
              <w:t>Value in Rand</w:t>
            </w:r>
          </w:p>
        </w:tc>
        <w:tc>
          <w:tcPr>
            <w:tcW w:w="1890" w:type="dxa"/>
          </w:tcPr>
          <w:p w14:paraId="3ED1EEBC" w14:textId="77777777" w:rsidR="00DD4526" w:rsidRPr="00061ADA" w:rsidRDefault="00DD4526">
            <w:pPr>
              <w:pStyle w:val="ListParagraph"/>
              <w:tabs>
                <w:tab w:val="left" w:pos="567"/>
              </w:tabs>
              <w:ind w:left="0"/>
              <w:jc w:val="center"/>
              <w:rPr>
                <w:rFonts w:ascii="Arial" w:hAnsi="Arial" w:cs="Arial"/>
                <w:b/>
                <w:sz w:val="24"/>
                <w:szCs w:val="24"/>
              </w:rPr>
            </w:pPr>
            <w:r>
              <w:rPr>
                <w:rFonts w:ascii="Arial" w:hAnsi="Arial" w:cs="Arial"/>
                <w:b/>
                <w:sz w:val="24"/>
                <w:szCs w:val="24"/>
              </w:rPr>
              <w:t>Payment Date</w:t>
            </w:r>
          </w:p>
        </w:tc>
      </w:tr>
      <w:tr w:rsidR="00DD4526" w14:paraId="24EF1FE3" w14:textId="77777777" w:rsidTr="00AC327B">
        <w:tc>
          <w:tcPr>
            <w:tcW w:w="1620" w:type="dxa"/>
          </w:tcPr>
          <w:p w14:paraId="70D762DA" w14:textId="77777777" w:rsidR="00DD4526" w:rsidRDefault="00DD4526" w:rsidP="00061ADA">
            <w:pPr>
              <w:rPr>
                <w:rFonts w:ascii="Arial" w:hAnsi="Arial" w:cs="Arial"/>
                <w:sz w:val="24"/>
                <w:szCs w:val="24"/>
              </w:rPr>
            </w:pPr>
            <w:r w:rsidRPr="00061ADA">
              <w:rPr>
                <w:rFonts w:ascii="Arial" w:hAnsi="Arial" w:cs="Arial"/>
                <w:sz w:val="24"/>
                <w:szCs w:val="24"/>
              </w:rPr>
              <w:t>Trade Creditors</w:t>
            </w:r>
          </w:p>
        </w:tc>
        <w:tc>
          <w:tcPr>
            <w:tcW w:w="1800" w:type="dxa"/>
            <w:vAlign w:val="center"/>
          </w:tcPr>
          <w:p w14:paraId="11F82CD3" w14:textId="77777777" w:rsidR="00DD4526" w:rsidRDefault="00DD4526" w:rsidP="00061ADA">
            <w:pPr>
              <w:jc w:val="center"/>
              <w:rPr>
                <w:rFonts w:ascii="Arial" w:hAnsi="Arial" w:cs="Arial"/>
                <w:sz w:val="24"/>
                <w:szCs w:val="24"/>
              </w:rPr>
            </w:pPr>
            <w:r w:rsidRPr="00061ADA">
              <w:rPr>
                <w:rFonts w:ascii="Arial" w:hAnsi="Arial" w:cs="Arial"/>
                <w:sz w:val="24"/>
                <w:szCs w:val="24"/>
              </w:rPr>
              <w:t>17</w:t>
            </w:r>
          </w:p>
        </w:tc>
        <w:tc>
          <w:tcPr>
            <w:tcW w:w="2430" w:type="dxa"/>
            <w:vAlign w:val="center"/>
          </w:tcPr>
          <w:p w14:paraId="78DC5638" w14:textId="77777777" w:rsidR="00DD4526" w:rsidRDefault="00DD4526" w:rsidP="00061ADA">
            <w:pPr>
              <w:jc w:val="center"/>
              <w:rPr>
                <w:rFonts w:ascii="Arial" w:hAnsi="Arial" w:cs="Arial"/>
                <w:sz w:val="24"/>
                <w:szCs w:val="24"/>
              </w:rPr>
            </w:pPr>
            <w:r w:rsidRPr="00061ADA">
              <w:rPr>
                <w:rFonts w:ascii="Arial" w:hAnsi="Arial" w:cs="Arial"/>
                <w:sz w:val="24"/>
                <w:szCs w:val="24"/>
              </w:rPr>
              <w:t>181</w:t>
            </w:r>
          </w:p>
        </w:tc>
        <w:tc>
          <w:tcPr>
            <w:tcW w:w="2340" w:type="dxa"/>
            <w:vAlign w:val="center"/>
          </w:tcPr>
          <w:p w14:paraId="37E48BB2" w14:textId="77777777" w:rsidR="00DD4526" w:rsidRDefault="00DD4526" w:rsidP="00061ADA">
            <w:pPr>
              <w:jc w:val="center"/>
              <w:rPr>
                <w:rFonts w:ascii="Arial" w:hAnsi="Arial" w:cs="Arial"/>
                <w:sz w:val="24"/>
                <w:szCs w:val="24"/>
              </w:rPr>
            </w:pPr>
            <w:r w:rsidRPr="00061ADA">
              <w:rPr>
                <w:rFonts w:ascii="Arial" w:hAnsi="Arial" w:cs="Arial"/>
                <w:sz w:val="24"/>
                <w:szCs w:val="24"/>
              </w:rPr>
              <w:t>R  6 147 178</w:t>
            </w:r>
          </w:p>
        </w:tc>
        <w:tc>
          <w:tcPr>
            <w:tcW w:w="1890" w:type="dxa"/>
            <w:vAlign w:val="center"/>
          </w:tcPr>
          <w:p w14:paraId="55CFEE20" w14:textId="77777777" w:rsidR="00DD4526" w:rsidRDefault="00DD4526">
            <w:pPr>
              <w:jc w:val="center"/>
              <w:rPr>
                <w:rFonts w:ascii="Arial" w:hAnsi="Arial" w:cs="Arial"/>
                <w:sz w:val="24"/>
                <w:szCs w:val="24"/>
              </w:rPr>
            </w:pPr>
            <w:r>
              <w:rPr>
                <w:rFonts w:ascii="Arial" w:hAnsi="Arial" w:cs="Arial"/>
                <w:sz w:val="24"/>
                <w:szCs w:val="24"/>
              </w:rPr>
              <w:t>Dependent on r</w:t>
            </w:r>
            <w:r w:rsidRPr="00061ADA">
              <w:rPr>
                <w:rFonts w:ascii="Arial" w:hAnsi="Arial" w:cs="Arial"/>
                <w:sz w:val="24"/>
                <w:szCs w:val="24"/>
              </w:rPr>
              <w:t xml:space="preserve">econciling </w:t>
            </w:r>
            <w:r>
              <w:rPr>
                <w:rFonts w:ascii="Arial" w:hAnsi="Arial" w:cs="Arial"/>
                <w:sz w:val="24"/>
                <w:szCs w:val="24"/>
              </w:rPr>
              <w:t xml:space="preserve">of </w:t>
            </w:r>
            <w:r w:rsidRPr="00061ADA">
              <w:rPr>
                <w:rFonts w:ascii="Arial" w:hAnsi="Arial" w:cs="Arial"/>
                <w:sz w:val="24"/>
                <w:szCs w:val="24"/>
              </w:rPr>
              <w:t>items</w:t>
            </w:r>
          </w:p>
        </w:tc>
      </w:tr>
    </w:tbl>
    <w:p w14:paraId="04A70E47" w14:textId="77777777" w:rsidR="00B2561A" w:rsidRPr="00061ADA" w:rsidRDefault="00B2561A" w:rsidP="00061ADA">
      <w:pPr>
        <w:spacing w:after="0"/>
        <w:ind w:left="1260"/>
        <w:jc w:val="both"/>
        <w:rPr>
          <w:rFonts w:ascii="Arial" w:hAnsi="Arial" w:cs="Arial"/>
          <w:sz w:val="24"/>
          <w:szCs w:val="24"/>
        </w:rPr>
      </w:pPr>
    </w:p>
    <w:p w14:paraId="17DB5FDC" w14:textId="77777777" w:rsidR="005F5237" w:rsidRPr="00EF3370" w:rsidRDefault="00EA0F65" w:rsidP="00061ADA">
      <w:pPr>
        <w:jc w:val="both"/>
        <w:rPr>
          <w:rFonts w:ascii="Arial" w:hAnsi="Arial" w:cs="Arial"/>
          <w:sz w:val="24"/>
          <w:szCs w:val="24"/>
        </w:rPr>
      </w:pPr>
      <w:r w:rsidRPr="00EF3370">
        <w:rPr>
          <w:rFonts w:ascii="Arial" w:hAnsi="Arial" w:cs="Arial"/>
          <w:sz w:val="24"/>
          <w:szCs w:val="24"/>
        </w:rPr>
        <w:t xml:space="preserve">(ii) the reason for non-payment in </w:t>
      </w:r>
      <w:r w:rsidR="001820D0" w:rsidRPr="00EF3370">
        <w:rPr>
          <w:rFonts w:ascii="Arial" w:hAnsi="Arial" w:cs="Arial"/>
          <w:sz w:val="24"/>
          <w:szCs w:val="24"/>
        </w:rPr>
        <w:t>respect of</w:t>
      </w:r>
      <w:r w:rsidR="00635E58" w:rsidRPr="00EF3370">
        <w:rPr>
          <w:rFonts w:ascii="Arial" w:hAnsi="Arial" w:cs="Arial"/>
          <w:sz w:val="24"/>
          <w:szCs w:val="24"/>
        </w:rPr>
        <w:t xml:space="preserve"> </w:t>
      </w:r>
      <w:r w:rsidRPr="00EF3370">
        <w:rPr>
          <w:rFonts w:ascii="Arial" w:hAnsi="Arial" w:cs="Arial"/>
          <w:sz w:val="24"/>
          <w:szCs w:val="24"/>
        </w:rPr>
        <w:t>each</w:t>
      </w:r>
      <w:r w:rsidR="00834695" w:rsidRPr="00EF3370">
        <w:rPr>
          <w:rFonts w:ascii="Arial" w:hAnsi="Arial" w:cs="Arial"/>
          <w:color w:val="0070C0"/>
          <w:sz w:val="24"/>
          <w:szCs w:val="24"/>
        </w:rPr>
        <w:t xml:space="preserve"> </w:t>
      </w:r>
      <w:r w:rsidR="001820D0" w:rsidRPr="00EF3370">
        <w:rPr>
          <w:rFonts w:ascii="Arial" w:hAnsi="Arial" w:cs="Arial"/>
          <w:sz w:val="24"/>
          <w:szCs w:val="24"/>
        </w:rPr>
        <w:t>C</w:t>
      </w:r>
      <w:r w:rsidR="00834695" w:rsidRPr="00EF3370">
        <w:rPr>
          <w:rFonts w:ascii="Arial" w:hAnsi="Arial" w:cs="Arial"/>
          <w:sz w:val="24"/>
          <w:szCs w:val="24"/>
        </w:rPr>
        <w:t xml:space="preserve">laims </w:t>
      </w:r>
      <w:r w:rsidR="001820D0" w:rsidRPr="00EF3370">
        <w:rPr>
          <w:rFonts w:ascii="Arial" w:hAnsi="Arial" w:cs="Arial"/>
          <w:sz w:val="24"/>
          <w:szCs w:val="24"/>
        </w:rPr>
        <w:t>C</w:t>
      </w:r>
      <w:r w:rsidR="00834695" w:rsidRPr="00EF3370">
        <w:rPr>
          <w:rFonts w:ascii="Arial" w:hAnsi="Arial" w:cs="Arial"/>
          <w:sz w:val="24"/>
          <w:szCs w:val="24"/>
        </w:rPr>
        <w:t>reditor</w:t>
      </w:r>
      <w:r w:rsidRPr="00EF3370">
        <w:rPr>
          <w:rFonts w:ascii="Arial" w:hAnsi="Arial" w:cs="Arial"/>
          <w:sz w:val="24"/>
          <w:szCs w:val="24"/>
        </w:rPr>
        <w:t xml:space="preserve"> is </w:t>
      </w:r>
      <w:r w:rsidR="00006370" w:rsidRPr="00EF3370">
        <w:rPr>
          <w:rFonts w:ascii="Arial" w:hAnsi="Arial" w:cs="Arial"/>
          <w:sz w:val="24"/>
          <w:szCs w:val="24"/>
        </w:rPr>
        <w:t xml:space="preserve">the </w:t>
      </w:r>
      <w:r w:rsidR="00582F29" w:rsidRPr="00EF3370">
        <w:rPr>
          <w:rFonts w:ascii="Arial" w:hAnsi="Arial" w:cs="Arial"/>
          <w:sz w:val="24"/>
          <w:szCs w:val="24"/>
        </w:rPr>
        <w:t xml:space="preserve">lack of cash to make payment </w:t>
      </w:r>
      <w:r w:rsidR="00D85235" w:rsidRPr="00EF3370">
        <w:rPr>
          <w:rFonts w:ascii="Arial" w:hAnsi="Arial" w:cs="Arial"/>
          <w:sz w:val="24"/>
          <w:szCs w:val="24"/>
        </w:rPr>
        <w:t xml:space="preserve">when </w:t>
      </w:r>
      <w:r w:rsidR="00582F29" w:rsidRPr="00EF3370">
        <w:rPr>
          <w:rFonts w:ascii="Arial" w:hAnsi="Arial" w:cs="Arial"/>
          <w:sz w:val="24"/>
          <w:szCs w:val="24"/>
        </w:rPr>
        <w:t xml:space="preserve">due </w:t>
      </w:r>
      <w:r w:rsidR="00D85235" w:rsidRPr="00EF3370">
        <w:rPr>
          <w:rFonts w:ascii="Arial" w:hAnsi="Arial" w:cs="Arial"/>
          <w:sz w:val="24"/>
          <w:szCs w:val="24"/>
        </w:rPr>
        <w:t xml:space="preserve">as a result of the </w:t>
      </w:r>
      <w:r w:rsidR="00006370" w:rsidRPr="00EF3370">
        <w:rPr>
          <w:rFonts w:ascii="Arial" w:hAnsi="Arial" w:cs="Arial"/>
          <w:sz w:val="24"/>
          <w:szCs w:val="24"/>
        </w:rPr>
        <w:t xml:space="preserve">mismatch </w:t>
      </w:r>
      <w:r w:rsidR="00D85235" w:rsidRPr="00EF3370">
        <w:rPr>
          <w:rFonts w:ascii="Arial" w:hAnsi="Arial" w:cs="Arial"/>
          <w:sz w:val="24"/>
          <w:szCs w:val="24"/>
        </w:rPr>
        <w:t xml:space="preserve">between the funding the </w:t>
      </w:r>
      <w:r w:rsidR="00582F29" w:rsidRPr="00EF3370">
        <w:rPr>
          <w:rFonts w:ascii="Arial" w:hAnsi="Arial" w:cs="Arial"/>
          <w:sz w:val="24"/>
          <w:szCs w:val="24"/>
        </w:rPr>
        <w:t xml:space="preserve">RAF </w:t>
      </w:r>
      <w:r w:rsidR="00FA462E" w:rsidRPr="00EF3370">
        <w:rPr>
          <w:rFonts w:ascii="Arial" w:hAnsi="Arial" w:cs="Arial"/>
          <w:sz w:val="24"/>
          <w:szCs w:val="24"/>
        </w:rPr>
        <w:t xml:space="preserve">receives </w:t>
      </w:r>
      <w:r w:rsidR="00FA462E" w:rsidRPr="00EF3370">
        <w:rPr>
          <w:rFonts w:ascii="Arial" w:hAnsi="Arial" w:cs="Arial"/>
          <w:i/>
          <w:sz w:val="24"/>
          <w:szCs w:val="24"/>
        </w:rPr>
        <w:t>via</w:t>
      </w:r>
      <w:r w:rsidR="00582F29" w:rsidRPr="00EF3370">
        <w:rPr>
          <w:rFonts w:ascii="Arial" w:hAnsi="Arial" w:cs="Arial"/>
          <w:sz w:val="24"/>
          <w:szCs w:val="24"/>
        </w:rPr>
        <w:t xml:space="preserve"> the Road Accident Fund Fuel Levy </w:t>
      </w:r>
      <w:r w:rsidR="00FA462E" w:rsidRPr="00EF3370">
        <w:rPr>
          <w:rFonts w:ascii="Arial" w:hAnsi="Arial" w:cs="Arial"/>
          <w:sz w:val="24"/>
          <w:szCs w:val="24"/>
        </w:rPr>
        <w:t>(approximately R</w:t>
      </w:r>
      <w:r w:rsidR="001820D0" w:rsidRPr="00EF3370">
        <w:rPr>
          <w:rFonts w:ascii="Arial" w:hAnsi="Arial" w:cs="Arial"/>
          <w:sz w:val="24"/>
          <w:szCs w:val="24"/>
        </w:rPr>
        <w:t>2.8</w:t>
      </w:r>
      <w:r w:rsidR="00FA462E" w:rsidRPr="00EF3370">
        <w:rPr>
          <w:rFonts w:ascii="Arial" w:hAnsi="Arial" w:cs="Arial"/>
          <w:sz w:val="24"/>
          <w:szCs w:val="24"/>
        </w:rPr>
        <w:t xml:space="preserve"> billion per month</w:t>
      </w:r>
      <w:r w:rsidR="00635E58" w:rsidRPr="00EF3370">
        <w:rPr>
          <w:rFonts w:ascii="Arial" w:hAnsi="Arial" w:cs="Arial"/>
          <w:sz w:val="24"/>
          <w:szCs w:val="24"/>
        </w:rPr>
        <w:t xml:space="preserve">) </w:t>
      </w:r>
      <w:r w:rsidR="00D85235" w:rsidRPr="00EF3370">
        <w:rPr>
          <w:rFonts w:ascii="Arial" w:hAnsi="Arial" w:cs="Arial"/>
          <w:sz w:val="24"/>
          <w:szCs w:val="24"/>
        </w:rPr>
        <w:t xml:space="preserve">and the payments </w:t>
      </w:r>
      <w:r w:rsidR="00635E58" w:rsidRPr="00EF3370">
        <w:rPr>
          <w:rFonts w:ascii="Arial" w:hAnsi="Arial" w:cs="Arial"/>
          <w:sz w:val="24"/>
          <w:szCs w:val="24"/>
        </w:rPr>
        <w:t xml:space="preserve">the RAF </w:t>
      </w:r>
      <w:r w:rsidR="00D85235" w:rsidRPr="00EF3370">
        <w:rPr>
          <w:rFonts w:ascii="Arial" w:hAnsi="Arial" w:cs="Arial"/>
          <w:sz w:val="24"/>
          <w:szCs w:val="24"/>
        </w:rPr>
        <w:t xml:space="preserve">is required to make </w:t>
      </w:r>
      <w:r w:rsidR="00EB39C4" w:rsidRPr="00EF3370">
        <w:rPr>
          <w:rFonts w:ascii="Arial" w:hAnsi="Arial" w:cs="Arial"/>
          <w:sz w:val="24"/>
          <w:szCs w:val="24"/>
        </w:rPr>
        <w:t xml:space="preserve">to </w:t>
      </w:r>
      <w:r w:rsidR="007116BF" w:rsidRPr="00EF3370">
        <w:rPr>
          <w:rFonts w:ascii="Arial" w:hAnsi="Arial" w:cs="Arial"/>
          <w:sz w:val="24"/>
          <w:szCs w:val="24"/>
        </w:rPr>
        <w:t xml:space="preserve">Claims Creditors </w:t>
      </w:r>
      <w:r w:rsidR="00D85235" w:rsidRPr="00EF3370">
        <w:rPr>
          <w:rFonts w:ascii="Arial" w:hAnsi="Arial" w:cs="Arial"/>
          <w:sz w:val="24"/>
          <w:szCs w:val="24"/>
        </w:rPr>
        <w:t>in terms of the Act</w:t>
      </w:r>
      <w:r w:rsidR="00FA462E" w:rsidRPr="00EF3370">
        <w:rPr>
          <w:rFonts w:ascii="Arial" w:hAnsi="Arial" w:cs="Arial"/>
          <w:sz w:val="24"/>
          <w:szCs w:val="24"/>
        </w:rPr>
        <w:t xml:space="preserve"> (approximately R</w:t>
      </w:r>
      <w:r w:rsidR="001820D0" w:rsidRPr="00EF3370">
        <w:rPr>
          <w:rFonts w:ascii="Arial" w:hAnsi="Arial" w:cs="Arial"/>
          <w:sz w:val="24"/>
          <w:szCs w:val="24"/>
        </w:rPr>
        <w:t>3</w:t>
      </w:r>
      <w:r w:rsidR="00FA462E" w:rsidRPr="00EF3370">
        <w:rPr>
          <w:rFonts w:ascii="Arial" w:hAnsi="Arial" w:cs="Arial"/>
          <w:sz w:val="24"/>
          <w:szCs w:val="24"/>
        </w:rPr>
        <w:t xml:space="preserve"> billion per month)</w:t>
      </w:r>
      <w:r w:rsidR="00D85235" w:rsidRPr="00EF3370">
        <w:rPr>
          <w:rFonts w:ascii="Arial" w:hAnsi="Arial" w:cs="Arial"/>
          <w:sz w:val="24"/>
          <w:szCs w:val="24"/>
        </w:rPr>
        <w:t>,</w:t>
      </w:r>
      <w:r w:rsidR="000F5E64" w:rsidRPr="00EF3370">
        <w:rPr>
          <w:rFonts w:ascii="Arial" w:hAnsi="Arial" w:cs="Arial"/>
          <w:sz w:val="24"/>
          <w:szCs w:val="24"/>
        </w:rPr>
        <w:t xml:space="preserve"> </w:t>
      </w:r>
      <w:r w:rsidR="00635E58" w:rsidRPr="00EF3370">
        <w:rPr>
          <w:rFonts w:ascii="Arial" w:hAnsi="Arial" w:cs="Arial"/>
          <w:sz w:val="24"/>
          <w:szCs w:val="24"/>
        </w:rPr>
        <w:t xml:space="preserve">and </w:t>
      </w:r>
      <w:r w:rsidR="000F5E64" w:rsidRPr="00EF3370">
        <w:rPr>
          <w:rFonts w:ascii="Arial" w:hAnsi="Arial" w:cs="Arial"/>
          <w:sz w:val="24"/>
          <w:szCs w:val="24"/>
        </w:rPr>
        <w:t>the reason</w:t>
      </w:r>
      <w:r w:rsidR="001820D0" w:rsidRPr="00EF3370">
        <w:rPr>
          <w:rFonts w:ascii="Arial" w:hAnsi="Arial" w:cs="Arial"/>
          <w:sz w:val="24"/>
          <w:szCs w:val="24"/>
        </w:rPr>
        <w:t>s</w:t>
      </w:r>
      <w:r w:rsidR="000F5E64" w:rsidRPr="00EF3370">
        <w:rPr>
          <w:rFonts w:ascii="Arial" w:hAnsi="Arial" w:cs="Arial"/>
          <w:sz w:val="24"/>
          <w:szCs w:val="24"/>
        </w:rPr>
        <w:t xml:space="preserve"> for non-payment in </w:t>
      </w:r>
      <w:r w:rsidR="001820D0" w:rsidRPr="00EF3370">
        <w:rPr>
          <w:rFonts w:ascii="Arial" w:hAnsi="Arial" w:cs="Arial"/>
          <w:sz w:val="24"/>
          <w:szCs w:val="24"/>
        </w:rPr>
        <w:t xml:space="preserve">respect of </w:t>
      </w:r>
      <w:r w:rsidR="000F5E64" w:rsidRPr="00EF3370">
        <w:rPr>
          <w:rFonts w:ascii="Arial" w:hAnsi="Arial" w:cs="Arial"/>
          <w:sz w:val="24"/>
          <w:szCs w:val="24"/>
        </w:rPr>
        <w:t>each</w:t>
      </w:r>
      <w:r w:rsidR="00635E58" w:rsidRPr="00EF3370">
        <w:rPr>
          <w:rFonts w:ascii="Arial" w:hAnsi="Arial" w:cs="Arial"/>
          <w:sz w:val="24"/>
          <w:szCs w:val="24"/>
        </w:rPr>
        <w:t xml:space="preserve"> </w:t>
      </w:r>
      <w:r w:rsidR="001820D0" w:rsidRPr="00EF3370">
        <w:rPr>
          <w:rFonts w:ascii="Arial" w:hAnsi="Arial" w:cs="Arial"/>
          <w:sz w:val="24"/>
          <w:szCs w:val="24"/>
        </w:rPr>
        <w:t>T</w:t>
      </w:r>
      <w:r w:rsidR="000F5E64" w:rsidRPr="00EF3370">
        <w:rPr>
          <w:rFonts w:ascii="Arial" w:hAnsi="Arial" w:cs="Arial"/>
          <w:sz w:val="24"/>
          <w:szCs w:val="24"/>
        </w:rPr>
        <w:t xml:space="preserve">rade </w:t>
      </w:r>
      <w:r w:rsidR="001820D0" w:rsidRPr="00EF3370">
        <w:rPr>
          <w:rFonts w:ascii="Arial" w:hAnsi="Arial" w:cs="Arial"/>
          <w:sz w:val="24"/>
          <w:szCs w:val="24"/>
        </w:rPr>
        <w:t>C</w:t>
      </w:r>
      <w:r w:rsidR="000F5E64" w:rsidRPr="00EF3370">
        <w:rPr>
          <w:rFonts w:ascii="Arial" w:hAnsi="Arial" w:cs="Arial"/>
          <w:sz w:val="24"/>
          <w:szCs w:val="24"/>
        </w:rPr>
        <w:t xml:space="preserve">reditor </w:t>
      </w:r>
      <w:r w:rsidR="00694EAC" w:rsidRPr="00EF3370">
        <w:rPr>
          <w:rFonts w:ascii="Arial" w:hAnsi="Arial" w:cs="Arial"/>
          <w:sz w:val="24"/>
          <w:szCs w:val="24"/>
        </w:rPr>
        <w:t>is due to engagements in the ordinary course of business with the suppliers of goods and services on items being queried for any number of reasons – also known as reconciling items</w:t>
      </w:r>
      <w:r w:rsidR="003F3E01">
        <w:rPr>
          <w:rFonts w:ascii="Arial" w:hAnsi="Arial" w:cs="Arial"/>
          <w:sz w:val="24"/>
          <w:szCs w:val="24"/>
        </w:rPr>
        <w:t>.</w:t>
      </w:r>
      <w:r w:rsidR="00D85235" w:rsidRPr="00EF3370">
        <w:rPr>
          <w:rFonts w:ascii="Arial" w:hAnsi="Arial" w:cs="Arial"/>
          <w:sz w:val="24"/>
          <w:szCs w:val="24"/>
        </w:rPr>
        <w:t xml:space="preserve"> </w:t>
      </w:r>
    </w:p>
    <w:p w14:paraId="55F938E3" w14:textId="77777777" w:rsidR="005F5237" w:rsidRPr="00EF3370" w:rsidRDefault="00EA0F65" w:rsidP="00061ADA">
      <w:pPr>
        <w:jc w:val="both"/>
        <w:rPr>
          <w:rFonts w:ascii="Arial" w:hAnsi="Arial" w:cs="Arial"/>
          <w:sz w:val="24"/>
          <w:szCs w:val="24"/>
        </w:rPr>
      </w:pPr>
      <w:r w:rsidRPr="00EF3370">
        <w:rPr>
          <w:rFonts w:ascii="Arial" w:hAnsi="Arial" w:cs="Arial"/>
          <w:sz w:val="24"/>
          <w:szCs w:val="24"/>
        </w:rPr>
        <w:t>(b)</w:t>
      </w:r>
      <w:r w:rsidR="00B856CF">
        <w:rPr>
          <w:rFonts w:ascii="Arial" w:hAnsi="Arial" w:cs="Arial"/>
          <w:sz w:val="24"/>
          <w:szCs w:val="24"/>
        </w:rPr>
        <w:t xml:space="preserve"> t</w:t>
      </w:r>
      <w:r w:rsidR="006636BA" w:rsidRPr="00EF3370">
        <w:rPr>
          <w:rFonts w:ascii="Arial" w:hAnsi="Arial" w:cs="Arial"/>
          <w:sz w:val="24"/>
          <w:szCs w:val="24"/>
        </w:rPr>
        <w:t>he RAF implemented a Cash Management Plan</w:t>
      </w:r>
      <w:r w:rsidR="00BD300A" w:rsidRPr="00EF3370">
        <w:rPr>
          <w:rFonts w:ascii="Arial" w:hAnsi="Arial" w:cs="Arial"/>
          <w:sz w:val="24"/>
          <w:szCs w:val="24"/>
        </w:rPr>
        <w:t xml:space="preserve"> </w:t>
      </w:r>
      <w:r w:rsidR="00D05A70" w:rsidRPr="00EF3370">
        <w:rPr>
          <w:rFonts w:ascii="Arial" w:hAnsi="Arial" w:cs="Arial"/>
          <w:sz w:val="24"/>
          <w:szCs w:val="24"/>
        </w:rPr>
        <w:t xml:space="preserve">based on </w:t>
      </w:r>
      <w:r w:rsidR="006636BA" w:rsidRPr="00EF3370">
        <w:rPr>
          <w:rFonts w:ascii="Arial" w:hAnsi="Arial" w:cs="Arial"/>
          <w:sz w:val="24"/>
          <w:szCs w:val="24"/>
        </w:rPr>
        <w:t xml:space="preserve">the RAF’s actuarially determined </w:t>
      </w:r>
      <w:r w:rsidR="00D05A70" w:rsidRPr="00EF3370">
        <w:rPr>
          <w:rFonts w:ascii="Arial" w:hAnsi="Arial" w:cs="Arial"/>
          <w:sz w:val="24"/>
          <w:szCs w:val="24"/>
        </w:rPr>
        <w:t>F</w:t>
      </w:r>
      <w:r w:rsidR="006636BA" w:rsidRPr="00EF3370">
        <w:rPr>
          <w:rFonts w:ascii="Arial" w:hAnsi="Arial" w:cs="Arial"/>
          <w:sz w:val="24"/>
          <w:szCs w:val="24"/>
        </w:rPr>
        <w:t>unding Model, to determine the number of days necessary to effect payment on the basis of the monthly Road Accident Fund Fuel Levy income forecast and the monthly claim settlement patterns and related service level agreements</w:t>
      </w:r>
      <w:r w:rsidR="000B75F5" w:rsidRPr="00EF3370">
        <w:rPr>
          <w:rFonts w:ascii="Arial" w:hAnsi="Arial" w:cs="Arial"/>
          <w:sz w:val="24"/>
          <w:szCs w:val="24"/>
        </w:rPr>
        <w:t xml:space="preserve"> (t</w:t>
      </w:r>
      <w:r w:rsidR="006636BA" w:rsidRPr="00EF3370">
        <w:rPr>
          <w:rFonts w:ascii="Arial" w:hAnsi="Arial" w:cs="Arial"/>
          <w:sz w:val="24"/>
          <w:szCs w:val="24"/>
        </w:rPr>
        <w:t xml:space="preserve">hese calculations are refreshed when circumstances change </w:t>
      </w:r>
      <w:r w:rsidR="00367669" w:rsidRPr="00EF3370">
        <w:rPr>
          <w:rFonts w:ascii="Arial" w:hAnsi="Arial" w:cs="Arial"/>
          <w:sz w:val="24"/>
          <w:szCs w:val="24"/>
        </w:rPr>
        <w:t>materially</w:t>
      </w:r>
      <w:r w:rsidR="00D16CEA" w:rsidRPr="00EF3370">
        <w:rPr>
          <w:rFonts w:ascii="Arial" w:hAnsi="Arial" w:cs="Arial"/>
          <w:sz w:val="24"/>
          <w:szCs w:val="24"/>
        </w:rPr>
        <w:t>,</w:t>
      </w:r>
      <w:r w:rsidR="006636BA" w:rsidRPr="00EF3370">
        <w:rPr>
          <w:rFonts w:ascii="Arial" w:hAnsi="Arial" w:cs="Arial"/>
          <w:sz w:val="24"/>
          <w:szCs w:val="24"/>
        </w:rPr>
        <w:t xml:space="preserve"> or at a minimum once </w:t>
      </w:r>
      <w:r w:rsidR="00D16CEA" w:rsidRPr="00EF3370">
        <w:rPr>
          <w:rFonts w:ascii="Arial" w:hAnsi="Arial" w:cs="Arial"/>
          <w:sz w:val="24"/>
          <w:szCs w:val="24"/>
        </w:rPr>
        <w:t xml:space="preserve">a </w:t>
      </w:r>
      <w:r w:rsidR="006636BA" w:rsidRPr="00EF3370">
        <w:rPr>
          <w:rFonts w:ascii="Arial" w:hAnsi="Arial" w:cs="Arial"/>
          <w:sz w:val="24"/>
          <w:szCs w:val="24"/>
        </w:rPr>
        <w:t>year</w:t>
      </w:r>
      <w:r w:rsidR="000B75F5" w:rsidRPr="00EF3370">
        <w:rPr>
          <w:rFonts w:ascii="Arial" w:hAnsi="Arial" w:cs="Arial"/>
          <w:sz w:val="24"/>
          <w:szCs w:val="24"/>
        </w:rPr>
        <w:t>)</w:t>
      </w:r>
      <w:r w:rsidR="006636BA" w:rsidRPr="00EF3370">
        <w:rPr>
          <w:rFonts w:ascii="Arial" w:hAnsi="Arial" w:cs="Arial"/>
          <w:sz w:val="24"/>
          <w:szCs w:val="24"/>
        </w:rPr>
        <w:t xml:space="preserve">. The key objective </w:t>
      </w:r>
      <w:r w:rsidR="000B75F5" w:rsidRPr="00EF3370">
        <w:rPr>
          <w:rFonts w:ascii="Arial" w:hAnsi="Arial" w:cs="Arial"/>
          <w:sz w:val="24"/>
          <w:szCs w:val="24"/>
        </w:rPr>
        <w:t xml:space="preserve">of the Cash Management Plan </w:t>
      </w:r>
      <w:r w:rsidR="006636BA" w:rsidRPr="00EF3370">
        <w:rPr>
          <w:rFonts w:ascii="Arial" w:hAnsi="Arial" w:cs="Arial"/>
          <w:sz w:val="24"/>
          <w:szCs w:val="24"/>
        </w:rPr>
        <w:t xml:space="preserve">is to ensure the maximum number of payments to all categories of </w:t>
      </w:r>
      <w:r w:rsidR="00D16CEA" w:rsidRPr="00EF3370">
        <w:rPr>
          <w:rFonts w:ascii="Arial" w:hAnsi="Arial" w:cs="Arial"/>
          <w:sz w:val="24"/>
          <w:szCs w:val="24"/>
        </w:rPr>
        <w:t>Claim Creditors and T</w:t>
      </w:r>
      <w:r w:rsidR="006636BA" w:rsidRPr="00EF3370">
        <w:rPr>
          <w:rFonts w:ascii="Arial" w:hAnsi="Arial" w:cs="Arial"/>
          <w:sz w:val="24"/>
          <w:szCs w:val="24"/>
        </w:rPr>
        <w:t xml:space="preserve">rade </w:t>
      </w:r>
      <w:r w:rsidR="00D16CEA" w:rsidRPr="00EF3370">
        <w:rPr>
          <w:rFonts w:ascii="Arial" w:hAnsi="Arial" w:cs="Arial"/>
          <w:sz w:val="24"/>
          <w:szCs w:val="24"/>
        </w:rPr>
        <w:t>C</w:t>
      </w:r>
      <w:r w:rsidR="006636BA" w:rsidRPr="00EF3370">
        <w:rPr>
          <w:rFonts w:ascii="Arial" w:hAnsi="Arial" w:cs="Arial"/>
          <w:sz w:val="24"/>
          <w:szCs w:val="24"/>
        </w:rPr>
        <w:t>reditor</w:t>
      </w:r>
      <w:r w:rsidR="00D16CEA" w:rsidRPr="00EF3370">
        <w:rPr>
          <w:rFonts w:ascii="Arial" w:hAnsi="Arial" w:cs="Arial"/>
          <w:sz w:val="24"/>
          <w:szCs w:val="24"/>
        </w:rPr>
        <w:t>s,</w:t>
      </w:r>
      <w:r w:rsidR="006636BA" w:rsidRPr="00EF3370">
        <w:rPr>
          <w:rFonts w:ascii="Arial" w:hAnsi="Arial" w:cs="Arial"/>
          <w:sz w:val="24"/>
          <w:szCs w:val="24"/>
        </w:rPr>
        <w:t xml:space="preserve"> within the available cash</w:t>
      </w:r>
      <w:r w:rsidR="00B365CF" w:rsidRPr="00EF3370">
        <w:rPr>
          <w:rFonts w:ascii="Arial" w:hAnsi="Arial" w:cs="Arial"/>
          <w:sz w:val="24"/>
          <w:szCs w:val="24"/>
        </w:rPr>
        <w:t xml:space="preserve"> constraints</w:t>
      </w:r>
      <w:r w:rsidR="006636BA" w:rsidRPr="00EF3370">
        <w:rPr>
          <w:rFonts w:ascii="Arial" w:hAnsi="Arial" w:cs="Arial"/>
          <w:sz w:val="24"/>
          <w:szCs w:val="24"/>
        </w:rPr>
        <w:t xml:space="preserve">, noting that there is insufficient cash to settle all </w:t>
      </w:r>
      <w:r w:rsidR="00D05A70" w:rsidRPr="00EF3370">
        <w:rPr>
          <w:rFonts w:ascii="Arial" w:hAnsi="Arial" w:cs="Arial"/>
          <w:sz w:val="24"/>
          <w:szCs w:val="24"/>
        </w:rPr>
        <w:t xml:space="preserve">debts </w:t>
      </w:r>
      <w:r w:rsidR="006636BA" w:rsidRPr="00EF3370">
        <w:rPr>
          <w:rFonts w:ascii="Arial" w:hAnsi="Arial" w:cs="Arial"/>
          <w:sz w:val="24"/>
          <w:szCs w:val="24"/>
        </w:rPr>
        <w:t>which are due for</w:t>
      </w:r>
      <w:r w:rsidR="00D16CEA" w:rsidRPr="00EF3370">
        <w:rPr>
          <w:rFonts w:ascii="Arial" w:hAnsi="Arial" w:cs="Arial"/>
          <w:sz w:val="24"/>
          <w:szCs w:val="24"/>
        </w:rPr>
        <w:t xml:space="preserve"> payment at any point in time. </w:t>
      </w:r>
      <w:r w:rsidR="006636BA" w:rsidRPr="00EF3370">
        <w:rPr>
          <w:rFonts w:ascii="Arial" w:hAnsi="Arial" w:cs="Arial"/>
          <w:sz w:val="24"/>
          <w:szCs w:val="24"/>
        </w:rPr>
        <w:t xml:space="preserve">Currently the maximum payment days </w:t>
      </w:r>
      <w:r w:rsidR="00D16CEA" w:rsidRPr="00EF3370">
        <w:rPr>
          <w:rFonts w:ascii="Arial" w:hAnsi="Arial" w:cs="Arial"/>
          <w:sz w:val="24"/>
          <w:szCs w:val="24"/>
        </w:rPr>
        <w:t>the RAF e</w:t>
      </w:r>
      <w:r w:rsidR="006636BA" w:rsidRPr="00EF3370">
        <w:rPr>
          <w:rFonts w:ascii="Arial" w:hAnsi="Arial" w:cs="Arial"/>
          <w:sz w:val="24"/>
          <w:szCs w:val="24"/>
        </w:rPr>
        <w:t>ndeavor</w:t>
      </w:r>
      <w:r w:rsidR="00D16CEA" w:rsidRPr="00EF3370">
        <w:rPr>
          <w:rFonts w:ascii="Arial" w:hAnsi="Arial" w:cs="Arial"/>
          <w:sz w:val="24"/>
          <w:szCs w:val="24"/>
        </w:rPr>
        <w:t>s</w:t>
      </w:r>
      <w:r w:rsidR="006636BA" w:rsidRPr="00EF3370">
        <w:rPr>
          <w:rFonts w:ascii="Arial" w:hAnsi="Arial" w:cs="Arial"/>
          <w:sz w:val="24"/>
          <w:szCs w:val="24"/>
        </w:rPr>
        <w:t xml:space="preserve"> to honor are 180 days from when the </w:t>
      </w:r>
      <w:r w:rsidR="00B365CF" w:rsidRPr="00EF3370">
        <w:rPr>
          <w:rFonts w:ascii="Arial" w:hAnsi="Arial" w:cs="Arial"/>
          <w:sz w:val="24"/>
          <w:szCs w:val="24"/>
        </w:rPr>
        <w:t>debt w</w:t>
      </w:r>
      <w:r w:rsidR="006636BA" w:rsidRPr="00EF3370">
        <w:rPr>
          <w:rFonts w:ascii="Arial" w:hAnsi="Arial" w:cs="Arial"/>
          <w:sz w:val="24"/>
          <w:szCs w:val="24"/>
        </w:rPr>
        <w:t xml:space="preserve">as </w:t>
      </w:r>
      <w:r w:rsidR="00B365CF" w:rsidRPr="00EF3370">
        <w:rPr>
          <w:rFonts w:ascii="Arial" w:hAnsi="Arial" w:cs="Arial"/>
          <w:sz w:val="24"/>
          <w:szCs w:val="24"/>
        </w:rPr>
        <w:t xml:space="preserve">processed </w:t>
      </w:r>
      <w:r w:rsidR="006636BA" w:rsidRPr="00EF3370">
        <w:rPr>
          <w:rFonts w:ascii="Arial" w:hAnsi="Arial" w:cs="Arial"/>
          <w:sz w:val="24"/>
          <w:szCs w:val="24"/>
        </w:rPr>
        <w:t>for payment.</w:t>
      </w:r>
      <w:r w:rsidR="00EF0660" w:rsidRPr="00EF3370">
        <w:rPr>
          <w:rFonts w:ascii="Arial" w:hAnsi="Arial" w:cs="Arial"/>
          <w:sz w:val="24"/>
          <w:szCs w:val="24"/>
        </w:rPr>
        <w:t xml:space="preserve"> </w:t>
      </w:r>
      <w:r w:rsidR="00CE5F22" w:rsidRPr="00EF3370">
        <w:rPr>
          <w:rFonts w:ascii="Arial" w:hAnsi="Arial" w:cs="Arial"/>
          <w:sz w:val="24"/>
          <w:szCs w:val="24"/>
        </w:rPr>
        <w:t>However, t</w:t>
      </w:r>
      <w:r w:rsidR="00450A5C" w:rsidRPr="00EF3370">
        <w:rPr>
          <w:rFonts w:ascii="Arial" w:hAnsi="Arial" w:cs="Arial"/>
          <w:sz w:val="24"/>
          <w:szCs w:val="24"/>
        </w:rPr>
        <w:t>he</w:t>
      </w:r>
      <w:r w:rsidR="00006370" w:rsidRPr="00EF3370">
        <w:rPr>
          <w:rFonts w:ascii="Arial" w:hAnsi="Arial" w:cs="Arial"/>
          <w:sz w:val="24"/>
          <w:szCs w:val="24"/>
        </w:rPr>
        <w:t xml:space="preserve"> exact </w:t>
      </w:r>
      <w:r w:rsidR="00450A5C" w:rsidRPr="00EF3370">
        <w:rPr>
          <w:rFonts w:ascii="Arial" w:hAnsi="Arial" w:cs="Arial"/>
          <w:sz w:val="24"/>
          <w:szCs w:val="24"/>
        </w:rPr>
        <w:t xml:space="preserve">date of settlement of </w:t>
      </w:r>
      <w:r w:rsidR="001820D0" w:rsidRPr="00EF3370">
        <w:rPr>
          <w:rFonts w:ascii="Arial" w:hAnsi="Arial" w:cs="Arial"/>
          <w:sz w:val="24"/>
          <w:szCs w:val="24"/>
        </w:rPr>
        <w:t>the</w:t>
      </w:r>
      <w:r w:rsidR="00BE7DF9" w:rsidRPr="00EF3370">
        <w:rPr>
          <w:rFonts w:ascii="Arial" w:hAnsi="Arial" w:cs="Arial"/>
          <w:sz w:val="24"/>
          <w:szCs w:val="24"/>
        </w:rPr>
        <w:t xml:space="preserve"> outstanding </w:t>
      </w:r>
      <w:r w:rsidR="001820D0" w:rsidRPr="00EF3370">
        <w:rPr>
          <w:rFonts w:ascii="Arial" w:hAnsi="Arial" w:cs="Arial"/>
          <w:sz w:val="24"/>
          <w:szCs w:val="24"/>
        </w:rPr>
        <w:t>debt</w:t>
      </w:r>
      <w:r w:rsidR="00B43955" w:rsidRPr="00EF3370">
        <w:rPr>
          <w:rFonts w:ascii="Arial" w:hAnsi="Arial" w:cs="Arial"/>
          <w:sz w:val="24"/>
          <w:szCs w:val="24"/>
        </w:rPr>
        <w:t>s</w:t>
      </w:r>
      <w:r w:rsidR="001820D0" w:rsidRPr="00EF3370">
        <w:rPr>
          <w:rFonts w:ascii="Arial" w:hAnsi="Arial" w:cs="Arial"/>
          <w:sz w:val="24"/>
          <w:szCs w:val="24"/>
        </w:rPr>
        <w:t xml:space="preserve"> in respect of </w:t>
      </w:r>
      <w:r w:rsidR="00450A5C" w:rsidRPr="00EF3370">
        <w:rPr>
          <w:rFonts w:ascii="Arial" w:hAnsi="Arial" w:cs="Arial"/>
          <w:sz w:val="24"/>
          <w:szCs w:val="24"/>
        </w:rPr>
        <w:t xml:space="preserve">each </w:t>
      </w:r>
      <w:r w:rsidR="00BE7DF9" w:rsidRPr="00EF3370">
        <w:rPr>
          <w:rFonts w:ascii="Arial" w:hAnsi="Arial" w:cs="Arial"/>
          <w:sz w:val="24"/>
          <w:szCs w:val="24"/>
        </w:rPr>
        <w:t xml:space="preserve">of the </w:t>
      </w:r>
      <w:r w:rsidR="001820D0" w:rsidRPr="00EF3370">
        <w:rPr>
          <w:rFonts w:ascii="Arial" w:hAnsi="Arial" w:cs="Arial"/>
          <w:sz w:val="24"/>
          <w:szCs w:val="24"/>
        </w:rPr>
        <w:t>C</w:t>
      </w:r>
      <w:r w:rsidR="00835571" w:rsidRPr="00EF3370">
        <w:rPr>
          <w:rFonts w:ascii="Arial" w:hAnsi="Arial" w:cs="Arial"/>
          <w:sz w:val="24"/>
          <w:szCs w:val="24"/>
        </w:rPr>
        <w:t>laim</w:t>
      </w:r>
      <w:r w:rsidR="001820D0" w:rsidRPr="00EF3370">
        <w:rPr>
          <w:rFonts w:ascii="Arial" w:hAnsi="Arial" w:cs="Arial"/>
          <w:sz w:val="24"/>
          <w:szCs w:val="24"/>
        </w:rPr>
        <w:t>s</w:t>
      </w:r>
      <w:r w:rsidR="00835571" w:rsidRPr="00EF3370">
        <w:rPr>
          <w:rFonts w:ascii="Arial" w:hAnsi="Arial" w:cs="Arial"/>
          <w:sz w:val="24"/>
          <w:szCs w:val="24"/>
        </w:rPr>
        <w:t xml:space="preserve"> </w:t>
      </w:r>
      <w:r w:rsidR="001820D0" w:rsidRPr="00EF3370">
        <w:rPr>
          <w:rFonts w:ascii="Arial" w:hAnsi="Arial" w:cs="Arial"/>
          <w:sz w:val="24"/>
          <w:szCs w:val="24"/>
        </w:rPr>
        <w:t>C</w:t>
      </w:r>
      <w:r w:rsidR="00835571" w:rsidRPr="00EF3370">
        <w:rPr>
          <w:rFonts w:ascii="Arial" w:hAnsi="Arial" w:cs="Arial"/>
          <w:sz w:val="24"/>
          <w:szCs w:val="24"/>
        </w:rPr>
        <w:t>reditor</w:t>
      </w:r>
      <w:r w:rsidR="00BE7DF9" w:rsidRPr="00EF3370">
        <w:rPr>
          <w:rFonts w:ascii="Arial" w:hAnsi="Arial" w:cs="Arial"/>
          <w:sz w:val="24"/>
          <w:szCs w:val="24"/>
        </w:rPr>
        <w:t>s</w:t>
      </w:r>
      <w:r w:rsidR="00450A5C" w:rsidRPr="00EF3370">
        <w:rPr>
          <w:rFonts w:ascii="Arial" w:hAnsi="Arial" w:cs="Arial"/>
          <w:sz w:val="24"/>
          <w:szCs w:val="24"/>
        </w:rPr>
        <w:t xml:space="preserve"> is </w:t>
      </w:r>
      <w:r w:rsidR="00006370" w:rsidRPr="00EF3370">
        <w:rPr>
          <w:rFonts w:ascii="Arial" w:hAnsi="Arial" w:cs="Arial"/>
          <w:sz w:val="24"/>
          <w:szCs w:val="24"/>
        </w:rPr>
        <w:t xml:space="preserve">unknown as the payment date is dependent on </w:t>
      </w:r>
      <w:r w:rsidR="003679CD" w:rsidRPr="00EF3370">
        <w:rPr>
          <w:rFonts w:ascii="Arial" w:hAnsi="Arial" w:cs="Arial"/>
          <w:sz w:val="24"/>
          <w:szCs w:val="24"/>
        </w:rPr>
        <w:t xml:space="preserve">the category of debt as defined in the Cash Management Plan and </w:t>
      </w:r>
      <w:r w:rsidR="00006370" w:rsidRPr="00EF3370">
        <w:rPr>
          <w:rFonts w:ascii="Arial" w:hAnsi="Arial" w:cs="Arial"/>
          <w:sz w:val="24"/>
          <w:szCs w:val="24"/>
        </w:rPr>
        <w:t>the availab</w:t>
      </w:r>
      <w:r w:rsidR="00B43955" w:rsidRPr="00EF3370">
        <w:rPr>
          <w:rFonts w:ascii="Arial" w:hAnsi="Arial" w:cs="Arial"/>
          <w:sz w:val="24"/>
          <w:szCs w:val="24"/>
        </w:rPr>
        <w:t xml:space="preserve">le </w:t>
      </w:r>
      <w:r w:rsidR="00006370" w:rsidRPr="00EF3370">
        <w:rPr>
          <w:rFonts w:ascii="Arial" w:hAnsi="Arial" w:cs="Arial"/>
          <w:sz w:val="24"/>
          <w:szCs w:val="24"/>
        </w:rPr>
        <w:t>cash to make payment</w:t>
      </w:r>
      <w:r w:rsidR="00BE7DF9" w:rsidRPr="00EF3370">
        <w:rPr>
          <w:rFonts w:ascii="Arial" w:hAnsi="Arial" w:cs="Arial"/>
          <w:sz w:val="24"/>
          <w:szCs w:val="24"/>
        </w:rPr>
        <w:t xml:space="preserve"> (</w:t>
      </w:r>
      <w:r w:rsidR="00B43955" w:rsidRPr="00EF3370">
        <w:rPr>
          <w:rFonts w:ascii="Arial" w:hAnsi="Arial" w:cs="Arial"/>
          <w:sz w:val="24"/>
          <w:szCs w:val="24"/>
        </w:rPr>
        <w:t xml:space="preserve">which is </w:t>
      </w:r>
      <w:r w:rsidR="00367669" w:rsidRPr="00EF3370">
        <w:rPr>
          <w:rFonts w:ascii="Arial" w:hAnsi="Arial" w:cs="Arial"/>
          <w:sz w:val="24"/>
          <w:szCs w:val="24"/>
        </w:rPr>
        <w:t xml:space="preserve">in turn </w:t>
      </w:r>
      <w:r w:rsidR="003679CD" w:rsidRPr="00EF3370">
        <w:rPr>
          <w:rFonts w:ascii="Arial" w:hAnsi="Arial" w:cs="Arial"/>
          <w:sz w:val="24"/>
          <w:szCs w:val="24"/>
        </w:rPr>
        <w:t xml:space="preserve">dependent on the </w:t>
      </w:r>
      <w:r w:rsidR="00006370" w:rsidRPr="00EF3370">
        <w:rPr>
          <w:rFonts w:ascii="Arial" w:hAnsi="Arial" w:cs="Arial"/>
          <w:sz w:val="24"/>
          <w:szCs w:val="24"/>
        </w:rPr>
        <w:t xml:space="preserve">fluctuating </w:t>
      </w:r>
      <w:r w:rsidR="00367669" w:rsidRPr="00EF3370">
        <w:rPr>
          <w:rFonts w:ascii="Arial" w:hAnsi="Arial" w:cs="Arial"/>
          <w:sz w:val="24"/>
          <w:szCs w:val="24"/>
        </w:rPr>
        <w:t xml:space="preserve">monthly </w:t>
      </w:r>
      <w:r w:rsidR="003679CD" w:rsidRPr="00EF3370">
        <w:rPr>
          <w:rFonts w:ascii="Arial" w:hAnsi="Arial" w:cs="Arial"/>
          <w:sz w:val="24"/>
          <w:szCs w:val="24"/>
        </w:rPr>
        <w:t xml:space="preserve">Road Accident Fund Fuel Levy </w:t>
      </w:r>
      <w:r w:rsidR="00FA462E" w:rsidRPr="00EF3370">
        <w:rPr>
          <w:rFonts w:ascii="Arial" w:hAnsi="Arial" w:cs="Arial"/>
          <w:sz w:val="24"/>
          <w:szCs w:val="24"/>
        </w:rPr>
        <w:t>income</w:t>
      </w:r>
      <w:r w:rsidR="00DC4B23" w:rsidRPr="00EF3370">
        <w:rPr>
          <w:rFonts w:ascii="Arial" w:hAnsi="Arial" w:cs="Arial"/>
          <w:sz w:val="24"/>
          <w:szCs w:val="24"/>
        </w:rPr>
        <w:t xml:space="preserve"> and the </w:t>
      </w:r>
      <w:r w:rsidR="00E64D06" w:rsidRPr="00EF3370">
        <w:rPr>
          <w:rFonts w:ascii="Arial" w:hAnsi="Arial" w:cs="Arial"/>
          <w:i/>
          <w:sz w:val="24"/>
          <w:szCs w:val="24"/>
        </w:rPr>
        <w:t>ad hoc</w:t>
      </w:r>
      <w:r w:rsidR="00E64D06" w:rsidRPr="00EF3370">
        <w:rPr>
          <w:rFonts w:ascii="Arial" w:hAnsi="Arial" w:cs="Arial"/>
          <w:sz w:val="24"/>
          <w:szCs w:val="24"/>
        </w:rPr>
        <w:t xml:space="preserve"> recovery of diesel rebates</w:t>
      </w:r>
      <w:r w:rsidR="00BE7DF9" w:rsidRPr="00EF3370">
        <w:rPr>
          <w:rFonts w:ascii="Arial" w:hAnsi="Arial" w:cs="Arial"/>
          <w:sz w:val="24"/>
          <w:szCs w:val="24"/>
        </w:rPr>
        <w:t xml:space="preserve">, </w:t>
      </w:r>
      <w:r w:rsidR="003679CD" w:rsidRPr="00EF3370">
        <w:rPr>
          <w:rFonts w:ascii="Arial" w:hAnsi="Arial" w:cs="Arial"/>
          <w:sz w:val="24"/>
          <w:szCs w:val="24"/>
        </w:rPr>
        <w:t>which reduce the Road Accident Fund Fuel Levy income</w:t>
      </w:r>
      <w:r w:rsidR="00BE7DF9" w:rsidRPr="00EF3370">
        <w:rPr>
          <w:rFonts w:ascii="Arial" w:hAnsi="Arial" w:cs="Arial"/>
          <w:sz w:val="24"/>
          <w:szCs w:val="24"/>
        </w:rPr>
        <w:t>)</w:t>
      </w:r>
      <w:r w:rsidR="003679CD" w:rsidRPr="00EF3370">
        <w:rPr>
          <w:rFonts w:ascii="Arial" w:hAnsi="Arial" w:cs="Arial"/>
          <w:sz w:val="24"/>
          <w:szCs w:val="24"/>
        </w:rPr>
        <w:t>, number of claims settled, number</w:t>
      </w:r>
      <w:r w:rsidR="000538D7" w:rsidRPr="00EF3370">
        <w:rPr>
          <w:rFonts w:ascii="Arial" w:hAnsi="Arial" w:cs="Arial"/>
          <w:sz w:val="24"/>
          <w:szCs w:val="24"/>
        </w:rPr>
        <w:t xml:space="preserve"> of judgments, number of writs</w:t>
      </w:r>
      <w:r w:rsidR="00413D3C" w:rsidRPr="00EF3370">
        <w:rPr>
          <w:rFonts w:ascii="Arial" w:hAnsi="Arial" w:cs="Arial"/>
          <w:sz w:val="24"/>
          <w:szCs w:val="24"/>
        </w:rPr>
        <w:t>, and operational interruption</w:t>
      </w:r>
      <w:r w:rsidR="00367669" w:rsidRPr="00EF3370">
        <w:rPr>
          <w:rFonts w:ascii="Arial" w:hAnsi="Arial" w:cs="Arial"/>
          <w:sz w:val="24"/>
          <w:szCs w:val="24"/>
        </w:rPr>
        <w:t>s</w:t>
      </w:r>
      <w:r w:rsidR="00413D3C" w:rsidRPr="00EF3370">
        <w:rPr>
          <w:rFonts w:ascii="Arial" w:hAnsi="Arial" w:cs="Arial"/>
          <w:sz w:val="24"/>
          <w:szCs w:val="24"/>
        </w:rPr>
        <w:t xml:space="preserve"> as a result of bank account attac</w:t>
      </w:r>
      <w:r w:rsidR="005F5237" w:rsidRPr="00EF3370">
        <w:rPr>
          <w:rFonts w:ascii="Arial" w:hAnsi="Arial" w:cs="Arial"/>
          <w:sz w:val="24"/>
          <w:szCs w:val="24"/>
        </w:rPr>
        <w:t>hments</w:t>
      </w:r>
      <w:r w:rsidR="00EF0660" w:rsidRPr="00EF3370">
        <w:rPr>
          <w:rFonts w:ascii="Arial" w:hAnsi="Arial" w:cs="Arial"/>
          <w:sz w:val="24"/>
          <w:szCs w:val="24"/>
        </w:rPr>
        <w:t xml:space="preserve">. The </w:t>
      </w:r>
      <w:r w:rsidR="00BE7DF9" w:rsidRPr="00EF3370">
        <w:rPr>
          <w:rFonts w:ascii="Arial" w:hAnsi="Arial" w:cs="Arial"/>
          <w:sz w:val="24"/>
          <w:szCs w:val="24"/>
        </w:rPr>
        <w:t xml:space="preserve">exact date of settlement of the outstanding debts in respect of each </w:t>
      </w:r>
      <w:r w:rsidR="00A62FE3" w:rsidRPr="00EF3370">
        <w:rPr>
          <w:rFonts w:ascii="Arial" w:hAnsi="Arial" w:cs="Arial"/>
          <w:sz w:val="24"/>
          <w:szCs w:val="24"/>
        </w:rPr>
        <w:t>Trade Creditor</w:t>
      </w:r>
      <w:r w:rsidR="00BE7DF9" w:rsidRPr="00EF3370">
        <w:rPr>
          <w:rFonts w:ascii="Arial" w:hAnsi="Arial" w:cs="Arial"/>
          <w:sz w:val="24"/>
          <w:szCs w:val="24"/>
        </w:rPr>
        <w:t xml:space="preserve"> </w:t>
      </w:r>
      <w:r w:rsidR="00835571" w:rsidRPr="00EF3370">
        <w:rPr>
          <w:rFonts w:ascii="Arial" w:hAnsi="Arial" w:cs="Arial"/>
          <w:sz w:val="24"/>
          <w:szCs w:val="24"/>
        </w:rPr>
        <w:t xml:space="preserve">is unknown </w:t>
      </w:r>
      <w:r w:rsidR="00D92AE4" w:rsidRPr="00EF3370">
        <w:rPr>
          <w:rFonts w:ascii="Arial" w:hAnsi="Arial" w:cs="Arial"/>
          <w:sz w:val="24"/>
          <w:szCs w:val="24"/>
        </w:rPr>
        <w:t xml:space="preserve">because of the dependency on the </w:t>
      </w:r>
      <w:r w:rsidR="00CE5F22" w:rsidRPr="00EF3370">
        <w:rPr>
          <w:rFonts w:ascii="Arial" w:hAnsi="Arial" w:cs="Arial"/>
          <w:sz w:val="24"/>
          <w:szCs w:val="24"/>
        </w:rPr>
        <w:t>reconciling of items</w:t>
      </w:r>
      <w:r w:rsidR="00377396">
        <w:rPr>
          <w:rFonts w:ascii="Arial" w:hAnsi="Arial" w:cs="Arial"/>
          <w:sz w:val="24"/>
          <w:szCs w:val="24"/>
        </w:rPr>
        <w:t>.</w:t>
      </w:r>
      <w:r w:rsidR="00A66D52" w:rsidRPr="00EF3370">
        <w:rPr>
          <w:rFonts w:ascii="Arial" w:hAnsi="Arial" w:cs="Arial"/>
          <w:sz w:val="24"/>
          <w:szCs w:val="24"/>
        </w:rPr>
        <w:t xml:space="preserve"> </w:t>
      </w:r>
    </w:p>
    <w:p w14:paraId="55083E9F" w14:textId="77777777" w:rsidR="00EA0F65" w:rsidRPr="00EF3370" w:rsidRDefault="00450A5C" w:rsidP="00061ADA">
      <w:pPr>
        <w:jc w:val="both"/>
        <w:rPr>
          <w:rFonts w:ascii="Arial" w:hAnsi="Arial" w:cs="Arial"/>
          <w:sz w:val="24"/>
          <w:szCs w:val="24"/>
        </w:rPr>
      </w:pPr>
      <w:r w:rsidRPr="00EF3370">
        <w:rPr>
          <w:rFonts w:ascii="Arial" w:hAnsi="Arial" w:cs="Arial"/>
          <w:sz w:val="24"/>
          <w:szCs w:val="24"/>
        </w:rPr>
        <w:lastRenderedPageBreak/>
        <w:t>(c)</w:t>
      </w:r>
      <w:r w:rsidR="00B856CF">
        <w:rPr>
          <w:rFonts w:ascii="Arial" w:hAnsi="Arial" w:cs="Arial"/>
          <w:sz w:val="24"/>
          <w:szCs w:val="24"/>
        </w:rPr>
        <w:t xml:space="preserve"> </w:t>
      </w:r>
      <w:r w:rsidR="004F74D3" w:rsidRPr="00EF3370">
        <w:rPr>
          <w:rFonts w:ascii="Arial" w:hAnsi="Arial" w:cs="Arial"/>
          <w:sz w:val="24"/>
          <w:szCs w:val="24"/>
        </w:rPr>
        <w:t xml:space="preserve">noting the challenges relating to cash constraints and </w:t>
      </w:r>
      <w:r w:rsidR="00DC032A" w:rsidRPr="00EF3370">
        <w:rPr>
          <w:rFonts w:ascii="Arial" w:hAnsi="Arial" w:cs="Arial"/>
          <w:sz w:val="24"/>
          <w:szCs w:val="24"/>
        </w:rPr>
        <w:t>the reconciling of items</w:t>
      </w:r>
      <w:r w:rsidR="00367669" w:rsidRPr="00EF3370">
        <w:rPr>
          <w:rFonts w:ascii="Arial" w:hAnsi="Arial" w:cs="Arial"/>
          <w:sz w:val="24"/>
          <w:szCs w:val="24"/>
        </w:rPr>
        <w:t>, the</w:t>
      </w:r>
      <w:r w:rsidR="004F74D3" w:rsidRPr="00EF3370">
        <w:rPr>
          <w:rFonts w:ascii="Arial" w:hAnsi="Arial" w:cs="Arial"/>
          <w:sz w:val="24"/>
          <w:szCs w:val="24"/>
        </w:rPr>
        <w:t xml:space="preserve"> following mechanisms are in place to ensure that payments are made: </w:t>
      </w:r>
      <w:r w:rsidRPr="00EF3370">
        <w:rPr>
          <w:rFonts w:ascii="Arial" w:hAnsi="Arial" w:cs="Arial"/>
          <w:sz w:val="24"/>
          <w:szCs w:val="24"/>
        </w:rPr>
        <w:t xml:space="preserve">(i) </w:t>
      </w:r>
      <w:r w:rsidR="00BB587E" w:rsidRPr="00EF3370">
        <w:rPr>
          <w:rFonts w:ascii="Arial" w:hAnsi="Arial" w:cs="Arial"/>
          <w:sz w:val="24"/>
          <w:szCs w:val="24"/>
        </w:rPr>
        <w:t xml:space="preserve">manual and automated payment </w:t>
      </w:r>
      <w:r w:rsidRPr="00EF3370">
        <w:rPr>
          <w:rFonts w:ascii="Arial" w:hAnsi="Arial" w:cs="Arial"/>
          <w:sz w:val="24"/>
          <w:szCs w:val="24"/>
        </w:rPr>
        <w:t>processes</w:t>
      </w:r>
      <w:r w:rsidR="004F74D3" w:rsidRPr="00EF3370">
        <w:rPr>
          <w:rFonts w:ascii="Arial" w:hAnsi="Arial" w:cs="Arial"/>
          <w:sz w:val="24"/>
          <w:szCs w:val="24"/>
        </w:rPr>
        <w:t>, and daily, weekly and monthly reporting mechanisms</w:t>
      </w:r>
      <w:r w:rsidRPr="00EF3370">
        <w:rPr>
          <w:rFonts w:ascii="Arial" w:hAnsi="Arial" w:cs="Arial"/>
          <w:sz w:val="24"/>
          <w:szCs w:val="24"/>
        </w:rPr>
        <w:t xml:space="preserve">, (ii) </w:t>
      </w:r>
      <w:r w:rsidR="004F74D3" w:rsidRPr="00EF3370">
        <w:rPr>
          <w:rFonts w:ascii="Arial" w:hAnsi="Arial" w:cs="Arial"/>
          <w:sz w:val="24"/>
          <w:szCs w:val="24"/>
        </w:rPr>
        <w:t xml:space="preserve">the </w:t>
      </w:r>
      <w:r w:rsidR="00BB587E" w:rsidRPr="00EF3370">
        <w:rPr>
          <w:rFonts w:ascii="Arial" w:hAnsi="Arial" w:cs="Arial"/>
          <w:sz w:val="24"/>
          <w:szCs w:val="24"/>
        </w:rPr>
        <w:t>RAF Accounts Payable Policy and Standard Operating Procedure</w:t>
      </w:r>
      <w:r w:rsidR="004F74D3" w:rsidRPr="00EF3370">
        <w:rPr>
          <w:rFonts w:ascii="Arial" w:hAnsi="Arial" w:cs="Arial"/>
          <w:sz w:val="24"/>
          <w:szCs w:val="24"/>
        </w:rPr>
        <w:t>,</w:t>
      </w:r>
      <w:r w:rsidR="00EF665B" w:rsidRPr="00EF3370">
        <w:rPr>
          <w:rFonts w:ascii="Arial" w:hAnsi="Arial" w:cs="Arial"/>
          <w:sz w:val="24"/>
          <w:szCs w:val="24"/>
        </w:rPr>
        <w:t xml:space="preserve"> </w:t>
      </w:r>
      <w:r w:rsidR="00EA0F65" w:rsidRPr="00EF3370">
        <w:rPr>
          <w:rFonts w:ascii="Arial" w:hAnsi="Arial" w:cs="Arial"/>
          <w:sz w:val="24"/>
          <w:szCs w:val="24"/>
        </w:rPr>
        <w:t xml:space="preserve">and (iii) </w:t>
      </w:r>
      <w:r w:rsidR="004F74D3" w:rsidRPr="00EF3370">
        <w:rPr>
          <w:rFonts w:ascii="Arial" w:hAnsi="Arial" w:cs="Arial"/>
          <w:sz w:val="24"/>
          <w:szCs w:val="24"/>
        </w:rPr>
        <w:t xml:space="preserve">the </w:t>
      </w:r>
      <w:r w:rsidRPr="00EF3370">
        <w:rPr>
          <w:rFonts w:ascii="Arial" w:hAnsi="Arial" w:cs="Arial"/>
          <w:sz w:val="24"/>
          <w:szCs w:val="24"/>
        </w:rPr>
        <w:t>Cash Management Plan</w:t>
      </w:r>
      <w:r w:rsidR="00DC4B23" w:rsidRPr="00EF3370">
        <w:rPr>
          <w:rFonts w:ascii="Arial" w:hAnsi="Arial" w:cs="Arial"/>
          <w:sz w:val="24"/>
          <w:szCs w:val="24"/>
        </w:rPr>
        <w:t>.</w:t>
      </w:r>
    </w:p>
    <w:sectPr w:rsidR="00EA0F65" w:rsidRPr="00EF3370" w:rsidSect="00EF3370">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85D5" w14:textId="77777777" w:rsidR="00AF6F39" w:rsidRDefault="00AF6F39" w:rsidP="00DB1508">
      <w:pPr>
        <w:spacing w:after="0" w:line="240" w:lineRule="auto"/>
      </w:pPr>
      <w:r>
        <w:separator/>
      </w:r>
    </w:p>
  </w:endnote>
  <w:endnote w:type="continuationSeparator" w:id="0">
    <w:p w14:paraId="0D2D8E25" w14:textId="77777777" w:rsidR="00AF6F39" w:rsidRDefault="00AF6F39"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731A7" w14:textId="77777777" w:rsidR="00AF6F39" w:rsidRDefault="00AF6F39" w:rsidP="00DB1508">
      <w:pPr>
        <w:spacing w:after="0" w:line="240" w:lineRule="auto"/>
      </w:pPr>
      <w:r>
        <w:separator/>
      </w:r>
    </w:p>
  </w:footnote>
  <w:footnote w:type="continuationSeparator" w:id="0">
    <w:p w14:paraId="422401A1" w14:textId="77777777" w:rsidR="00AF6F39" w:rsidRDefault="00AF6F39"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C46CB"/>
    <w:multiLevelType w:val="hybridMultilevel"/>
    <w:tmpl w:val="0D026D2E"/>
    <w:lvl w:ilvl="0" w:tplc="3594CD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DAA2D54"/>
    <w:multiLevelType w:val="hybridMultilevel"/>
    <w:tmpl w:val="88161D94"/>
    <w:lvl w:ilvl="0" w:tplc="795E83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2"/>
  </w:num>
  <w:num w:numId="5">
    <w:abstractNumId w:val="5"/>
  </w:num>
  <w:num w:numId="6">
    <w:abstractNumId w:val="1"/>
  </w:num>
  <w:num w:numId="7">
    <w:abstractNumId w:val="4"/>
  </w:num>
  <w:num w:numId="8">
    <w:abstractNumId w:val="3"/>
  </w:num>
  <w:num w:numId="9">
    <w:abstractNumId w:val="9"/>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06370"/>
    <w:rsid w:val="00014920"/>
    <w:rsid w:val="000226DD"/>
    <w:rsid w:val="00026FD9"/>
    <w:rsid w:val="00031989"/>
    <w:rsid w:val="000333D9"/>
    <w:rsid w:val="00041985"/>
    <w:rsid w:val="00044A6B"/>
    <w:rsid w:val="00044AC4"/>
    <w:rsid w:val="00051059"/>
    <w:rsid w:val="0005130F"/>
    <w:rsid w:val="00051C53"/>
    <w:rsid w:val="000538D7"/>
    <w:rsid w:val="0005391D"/>
    <w:rsid w:val="00055A79"/>
    <w:rsid w:val="00061ADA"/>
    <w:rsid w:val="00065792"/>
    <w:rsid w:val="00074986"/>
    <w:rsid w:val="000773B2"/>
    <w:rsid w:val="00080CA6"/>
    <w:rsid w:val="00082A4E"/>
    <w:rsid w:val="0009500E"/>
    <w:rsid w:val="000B01FF"/>
    <w:rsid w:val="000B3AB2"/>
    <w:rsid w:val="000B75F5"/>
    <w:rsid w:val="000C3487"/>
    <w:rsid w:val="000E04E0"/>
    <w:rsid w:val="000E0D7C"/>
    <w:rsid w:val="000E1816"/>
    <w:rsid w:val="000E1907"/>
    <w:rsid w:val="000F14B7"/>
    <w:rsid w:val="000F15CB"/>
    <w:rsid w:val="000F29A6"/>
    <w:rsid w:val="000F5E64"/>
    <w:rsid w:val="000F76BD"/>
    <w:rsid w:val="0010024E"/>
    <w:rsid w:val="001306CF"/>
    <w:rsid w:val="00130AB5"/>
    <w:rsid w:val="00131EBD"/>
    <w:rsid w:val="0013407E"/>
    <w:rsid w:val="001360F0"/>
    <w:rsid w:val="00151529"/>
    <w:rsid w:val="001529C0"/>
    <w:rsid w:val="00153AAD"/>
    <w:rsid w:val="00156DFD"/>
    <w:rsid w:val="001712B4"/>
    <w:rsid w:val="00173751"/>
    <w:rsid w:val="001820D0"/>
    <w:rsid w:val="001828D3"/>
    <w:rsid w:val="00196422"/>
    <w:rsid w:val="001A0C4A"/>
    <w:rsid w:val="001B1E3E"/>
    <w:rsid w:val="001B2E53"/>
    <w:rsid w:val="001C323C"/>
    <w:rsid w:val="001C32E4"/>
    <w:rsid w:val="001D5E1B"/>
    <w:rsid w:val="001D774B"/>
    <w:rsid w:val="001E01D3"/>
    <w:rsid w:val="001E1B86"/>
    <w:rsid w:val="001E613C"/>
    <w:rsid w:val="001F0CED"/>
    <w:rsid w:val="001F2F08"/>
    <w:rsid w:val="00202511"/>
    <w:rsid w:val="002026BE"/>
    <w:rsid w:val="00204538"/>
    <w:rsid w:val="00206B22"/>
    <w:rsid w:val="00212C41"/>
    <w:rsid w:val="002136FC"/>
    <w:rsid w:val="00220C71"/>
    <w:rsid w:val="002234CA"/>
    <w:rsid w:val="002422DA"/>
    <w:rsid w:val="00247ECC"/>
    <w:rsid w:val="00251BC9"/>
    <w:rsid w:val="0025261D"/>
    <w:rsid w:val="00253BA7"/>
    <w:rsid w:val="00261077"/>
    <w:rsid w:val="00261D30"/>
    <w:rsid w:val="00262592"/>
    <w:rsid w:val="00274668"/>
    <w:rsid w:val="002800B5"/>
    <w:rsid w:val="002838E4"/>
    <w:rsid w:val="00286F8A"/>
    <w:rsid w:val="002952BE"/>
    <w:rsid w:val="002956D0"/>
    <w:rsid w:val="002A3694"/>
    <w:rsid w:val="002A6B00"/>
    <w:rsid w:val="002B3082"/>
    <w:rsid w:val="002C2938"/>
    <w:rsid w:val="002C302C"/>
    <w:rsid w:val="002C441D"/>
    <w:rsid w:val="002C4526"/>
    <w:rsid w:val="002D4348"/>
    <w:rsid w:val="002D6844"/>
    <w:rsid w:val="002E0B34"/>
    <w:rsid w:val="002E1F7C"/>
    <w:rsid w:val="002E404E"/>
    <w:rsid w:val="002E4BF3"/>
    <w:rsid w:val="00300B37"/>
    <w:rsid w:val="00300DB7"/>
    <w:rsid w:val="00305323"/>
    <w:rsid w:val="00311174"/>
    <w:rsid w:val="003130D1"/>
    <w:rsid w:val="00314530"/>
    <w:rsid w:val="00321D5A"/>
    <w:rsid w:val="00322191"/>
    <w:rsid w:val="00323697"/>
    <w:rsid w:val="0032643D"/>
    <w:rsid w:val="00326D8A"/>
    <w:rsid w:val="003329CD"/>
    <w:rsid w:val="00336F60"/>
    <w:rsid w:val="003450B0"/>
    <w:rsid w:val="003510C2"/>
    <w:rsid w:val="00351772"/>
    <w:rsid w:val="003541C5"/>
    <w:rsid w:val="003554D8"/>
    <w:rsid w:val="00357621"/>
    <w:rsid w:val="00357EBB"/>
    <w:rsid w:val="00367669"/>
    <w:rsid w:val="003679CD"/>
    <w:rsid w:val="00377396"/>
    <w:rsid w:val="00391284"/>
    <w:rsid w:val="00392460"/>
    <w:rsid w:val="00393E6C"/>
    <w:rsid w:val="00396483"/>
    <w:rsid w:val="003A0196"/>
    <w:rsid w:val="003A196A"/>
    <w:rsid w:val="003A4A56"/>
    <w:rsid w:val="003B15B6"/>
    <w:rsid w:val="003C53EF"/>
    <w:rsid w:val="003C785A"/>
    <w:rsid w:val="003D7ABC"/>
    <w:rsid w:val="003F3E01"/>
    <w:rsid w:val="003F7CE2"/>
    <w:rsid w:val="004016C1"/>
    <w:rsid w:val="0040318F"/>
    <w:rsid w:val="00404582"/>
    <w:rsid w:val="0040578A"/>
    <w:rsid w:val="0040684E"/>
    <w:rsid w:val="00413D3C"/>
    <w:rsid w:val="00420BFA"/>
    <w:rsid w:val="00421C60"/>
    <w:rsid w:val="00422CB0"/>
    <w:rsid w:val="0042351F"/>
    <w:rsid w:val="00423E34"/>
    <w:rsid w:val="004253F6"/>
    <w:rsid w:val="00430277"/>
    <w:rsid w:val="0043571E"/>
    <w:rsid w:val="00450A5C"/>
    <w:rsid w:val="00451494"/>
    <w:rsid w:val="00460C2A"/>
    <w:rsid w:val="00460FD2"/>
    <w:rsid w:val="004679CC"/>
    <w:rsid w:val="00470215"/>
    <w:rsid w:val="0047634E"/>
    <w:rsid w:val="00476466"/>
    <w:rsid w:val="004813B8"/>
    <w:rsid w:val="00487CAB"/>
    <w:rsid w:val="00493015"/>
    <w:rsid w:val="00495833"/>
    <w:rsid w:val="004A00D3"/>
    <w:rsid w:val="004A0B42"/>
    <w:rsid w:val="004A62DE"/>
    <w:rsid w:val="004B6310"/>
    <w:rsid w:val="004C2AB0"/>
    <w:rsid w:val="004D17A6"/>
    <w:rsid w:val="004D18C0"/>
    <w:rsid w:val="004E03F1"/>
    <w:rsid w:val="004E13FB"/>
    <w:rsid w:val="004E536A"/>
    <w:rsid w:val="004E67DE"/>
    <w:rsid w:val="004E75EB"/>
    <w:rsid w:val="004F6A9A"/>
    <w:rsid w:val="004F74D3"/>
    <w:rsid w:val="0051404D"/>
    <w:rsid w:val="00521C71"/>
    <w:rsid w:val="005225EF"/>
    <w:rsid w:val="00525BB9"/>
    <w:rsid w:val="00530881"/>
    <w:rsid w:val="005318EE"/>
    <w:rsid w:val="00532531"/>
    <w:rsid w:val="0053349A"/>
    <w:rsid w:val="005346BD"/>
    <w:rsid w:val="0054378D"/>
    <w:rsid w:val="00550E81"/>
    <w:rsid w:val="00555FE7"/>
    <w:rsid w:val="00562AC9"/>
    <w:rsid w:val="0056444A"/>
    <w:rsid w:val="00565241"/>
    <w:rsid w:val="00566CB8"/>
    <w:rsid w:val="0056775F"/>
    <w:rsid w:val="00567B24"/>
    <w:rsid w:val="00572AAB"/>
    <w:rsid w:val="00574F3A"/>
    <w:rsid w:val="0057794C"/>
    <w:rsid w:val="00582974"/>
    <w:rsid w:val="00582F29"/>
    <w:rsid w:val="00583FAC"/>
    <w:rsid w:val="005841AE"/>
    <w:rsid w:val="0059160C"/>
    <w:rsid w:val="00591EAA"/>
    <w:rsid w:val="00593859"/>
    <w:rsid w:val="0059674B"/>
    <w:rsid w:val="005A0E7A"/>
    <w:rsid w:val="005B3A70"/>
    <w:rsid w:val="005B4F29"/>
    <w:rsid w:val="005D5448"/>
    <w:rsid w:val="005E123E"/>
    <w:rsid w:val="005F20B1"/>
    <w:rsid w:val="005F260F"/>
    <w:rsid w:val="005F3B06"/>
    <w:rsid w:val="005F3F35"/>
    <w:rsid w:val="005F5237"/>
    <w:rsid w:val="005F630B"/>
    <w:rsid w:val="006009A0"/>
    <w:rsid w:val="00600C27"/>
    <w:rsid w:val="00604285"/>
    <w:rsid w:val="006140CA"/>
    <w:rsid w:val="00617B5C"/>
    <w:rsid w:val="00635E58"/>
    <w:rsid w:val="00637B39"/>
    <w:rsid w:val="006636BA"/>
    <w:rsid w:val="006658EF"/>
    <w:rsid w:val="006748E3"/>
    <w:rsid w:val="006762C5"/>
    <w:rsid w:val="00677C72"/>
    <w:rsid w:val="00682580"/>
    <w:rsid w:val="006842D9"/>
    <w:rsid w:val="006917CD"/>
    <w:rsid w:val="00691EDB"/>
    <w:rsid w:val="00691FC0"/>
    <w:rsid w:val="00694EAC"/>
    <w:rsid w:val="006A5218"/>
    <w:rsid w:val="006B11A5"/>
    <w:rsid w:val="006B1CD3"/>
    <w:rsid w:val="006B4375"/>
    <w:rsid w:val="006C2FA7"/>
    <w:rsid w:val="006C6AC6"/>
    <w:rsid w:val="006C7AB7"/>
    <w:rsid w:val="006D22A6"/>
    <w:rsid w:val="006E0F31"/>
    <w:rsid w:val="006F0BDD"/>
    <w:rsid w:val="006F2271"/>
    <w:rsid w:val="006F4245"/>
    <w:rsid w:val="00703B2E"/>
    <w:rsid w:val="007116BF"/>
    <w:rsid w:val="007118B7"/>
    <w:rsid w:val="00713E4B"/>
    <w:rsid w:val="00721731"/>
    <w:rsid w:val="0072523F"/>
    <w:rsid w:val="007259A9"/>
    <w:rsid w:val="00727B18"/>
    <w:rsid w:val="0073009D"/>
    <w:rsid w:val="00732856"/>
    <w:rsid w:val="00732AD7"/>
    <w:rsid w:val="00732F1A"/>
    <w:rsid w:val="00733692"/>
    <w:rsid w:val="00750659"/>
    <w:rsid w:val="0075460A"/>
    <w:rsid w:val="0075491A"/>
    <w:rsid w:val="00767888"/>
    <w:rsid w:val="00784077"/>
    <w:rsid w:val="00787784"/>
    <w:rsid w:val="007907EC"/>
    <w:rsid w:val="007A22E6"/>
    <w:rsid w:val="007A5C12"/>
    <w:rsid w:val="007A6B70"/>
    <w:rsid w:val="007B6549"/>
    <w:rsid w:val="007C7CC7"/>
    <w:rsid w:val="007D3628"/>
    <w:rsid w:val="007F0FBD"/>
    <w:rsid w:val="007F24B0"/>
    <w:rsid w:val="007F5026"/>
    <w:rsid w:val="007F5F7B"/>
    <w:rsid w:val="0080130A"/>
    <w:rsid w:val="00802076"/>
    <w:rsid w:val="00803673"/>
    <w:rsid w:val="008046C7"/>
    <w:rsid w:val="00806B5D"/>
    <w:rsid w:val="00810B14"/>
    <w:rsid w:val="0081425D"/>
    <w:rsid w:val="0082214B"/>
    <w:rsid w:val="00833625"/>
    <w:rsid w:val="00834695"/>
    <w:rsid w:val="00835571"/>
    <w:rsid w:val="00835573"/>
    <w:rsid w:val="0083742C"/>
    <w:rsid w:val="0083772C"/>
    <w:rsid w:val="0084179E"/>
    <w:rsid w:val="008424B4"/>
    <w:rsid w:val="00843914"/>
    <w:rsid w:val="00844201"/>
    <w:rsid w:val="00845BE5"/>
    <w:rsid w:val="00850363"/>
    <w:rsid w:val="00850CC7"/>
    <w:rsid w:val="008513C3"/>
    <w:rsid w:val="00856F99"/>
    <w:rsid w:val="0086133C"/>
    <w:rsid w:val="00861FD3"/>
    <w:rsid w:val="008A3260"/>
    <w:rsid w:val="008A52D5"/>
    <w:rsid w:val="008B2E50"/>
    <w:rsid w:val="008B43BE"/>
    <w:rsid w:val="008B4716"/>
    <w:rsid w:val="008C0374"/>
    <w:rsid w:val="008C2235"/>
    <w:rsid w:val="008C2F92"/>
    <w:rsid w:val="008C6FC1"/>
    <w:rsid w:val="008E13A6"/>
    <w:rsid w:val="008E1927"/>
    <w:rsid w:val="008E4B0B"/>
    <w:rsid w:val="008F0979"/>
    <w:rsid w:val="008F4EBA"/>
    <w:rsid w:val="008F5A79"/>
    <w:rsid w:val="00903B57"/>
    <w:rsid w:val="009070FF"/>
    <w:rsid w:val="0091195E"/>
    <w:rsid w:val="00913EED"/>
    <w:rsid w:val="00916A9F"/>
    <w:rsid w:val="00916CE7"/>
    <w:rsid w:val="009206F7"/>
    <w:rsid w:val="009222A7"/>
    <w:rsid w:val="00926370"/>
    <w:rsid w:val="00926938"/>
    <w:rsid w:val="00927191"/>
    <w:rsid w:val="00931FF6"/>
    <w:rsid w:val="0093674F"/>
    <w:rsid w:val="009405C3"/>
    <w:rsid w:val="00941DB4"/>
    <w:rsid w:val="0094278D"/>
    <w:rsid w:val="00942E6F"/>
    <w:rsid w:val="00945835"/>
    <w:rsid w:val="00957D66"/>
    <w:rsid w:val="00961E2F"/>
    <w:rsid w:val="009763BA"/>
    <w:rsid w:val="0097652F"/>
    <w:rsid w:val="0098272F"/>
    <w:rsid w:val="00983EC7"/>
    <w:rsid w:val="00990CE2"/>
    <w:rsid w:val="00992AA4"/>
    <w:rsid w:val="00993310"/>
    <w:rsid w:val="009A0286"/>
    <w:rsid w:val="009A4739"/>
    <w:rsid w:val="009B0431"/>
    <w:rsid w:val="009B4AFD"/>
    <w:rsid w:val="009C0DE1"/>
    <w:rsid w:val="009C3CB8"/>
    <w:rsid w:val="009C4E79"/>
    <w:rsid w:val="009E7CC8"/>
    <w:rsid w:val="009F7581"/>
    <w:rsid w:val="00A00E4A"/>
    <w:rsid w:val="00A01414"/>
    <w:rsid w:val="00A13436"/>
    <w:rsid w:val="00A21F7F"/>
    <w:rsid w:val="00A22ECB"/>
    <w:rsid w:val="00A33285"/>
    <w:rsid w:val="00A4192C"/>
    <w:rsid w:val="00A44B9A"/>
    <w:rsid w:val="00A4660F"/>
    <w:rsid w:val="00A46CC2"/>
    <w:rsid w:val="00A51F8E"/>
    <w:rsid w:val="00A55457"/>
    <w:rsid w:val="00A62FE3"/>
    <w:rsid w:val="00A66D52"/>
    <w:rsid w:val="00A73C1F"/>
    <w:rsid w:val="00A750D6"/>
    <w:rsid w:val="00A756F5"/>
    <w:rsid w:val="00A75AE8"/>
    <w:rsid w:val="00A87430"/>
    <w:rsid w:val="00A90242"/>
    <w:rsid w:val="00A90517"/>
    <w:rsid w:val="00A910A7"/>
    <w:rsid w:val="00A96DC3"/>
    <w:rsid w:val="00A97285"/>
    <w:rsid w:val="00AA2C42"/>
    <w:rsid w:val="00AB3558"/>
    <w:rsid w:val="00AB640E"/>
    <w:rsid w:val="00AB65DD"/>
    <w:rsid w:val="00AC327B"/>
    <w:rsid w:val="00AC67FD"/>
    <w:rsid w:val="00AD4B8F"/>
    <w:rsid w:val="00AD6B5D"/>
    <w:rsid w:val="00AE20BE"/>
    <w:rsid w:val="00AE290B"/>
    <w:rsid w:val="00AE3A95"/>
    <w:rsid w:val="00AF408B"/>
    <w:rsid w:val="00AF6F39"/>
    <w:rsid w:val="00B00C2E"/>
    <w:rsid w:val="00B05CA7"/>
    <w:rsid w:val="00B1547F"/>
    <w:rsid w:val="00B16C3B"/>
    <w:rsid w:val="00B177F2"/>
    <w:rsid w:val="00B21162"/>
    <w:rsid w:val="00B21C1C"/>
    <w:rsid w:val="00B2561A"/>
    <w:rsid w:val="00B31016"/>
    <w:rsid w:val="00B32459"/>
    <w:rsid w:val="00B365CF"/>
    <w:rsid w:val="00B37E26"/>
    <w:rsid w:val="00B40FCE"/>
    <w:rsid w:val="00B433E2"/>
    <w:rsid w:val="00B43955"/>
    <w:rsid w:val="00B47C04"/>
    <w:rsid w:val="00B47C13"/>
    <w:rsid w:val="00B56227"/>
    <w:rsid w:val="00B66DDB"/>
    <w:rsid w:val="00B75F59"/>
    <w:rsid w:val="00B856CF"/>
    <w:rsid w:val="00B90502"/>
    <w:rsid w:val="00B91AB1"/>
    <w:rsid w:val="00B93309"/>
    <w:rsid w:val="00B95F63"/>
    <w:rsid w:val="00BA2B1C"/>
    <w:rsid w:val="00BA3834"/>
    <w:rsid w:val="00BA4847"/>
    <w:rsid w:val="00BB587E"/>
    <w:rsid w:val="00BB5EA4"/>
    <w:rsid w:val="00BC06BD"/>
    <w:rsid w:val="00BC2F3F"/>
    <w:rsid w:val="00BC4189"/>
    <w:rsid w:val="00BD300A"/>
    <w:rsid w:val="00BD65B7"/>
    <w:rsid w:val="00BE0C5A"/>
    <w:rsid w:val="00BE7DF9"/>
    <w:rsid w:val="00BF0FEA"/>
    <w:rsid w:val="00BF349B"/>
    <w:rsid w:val="00BF6862"/>
    <w:rsid w:val="00BF68B6"/>
    <w:rsid w:val="00BF69C4"/>
    <w:rsid w:val="00C01BD0"/>
    <w:rsid w:val="00C0272F"/>
    <w:rsid w:val="00C202CB"/>
    <w:rsid w:val="00C33C1E"/>
    <w:rsid w:val="00C50D10"/>
    <w:rsid w:val="00C52170"/>
    <w:rsid w:val="00C6207A"/>
    <w:rsid w:val="00C62268"/>
    <w:rsid w:val="00C64770"/>
    <w:rsid w:val="00C6499C"/>
    <w:rsid w:val="00C70E78"/>
    <w:rsid w:val="00C7145F"/>
    <w:rsid w:val="00C731ED"/>
    <w:rsid w:val="00C74630"/>
    <w:rsid w:val="00C87690"/>
    <w:rsid w:val="00C92817"/>
    <w:rsid w:val="00C964AF"/>
    <w:rsid w:val="00CA3593"/>
    <w:rsid w:val="00CA442F"/>
    <w:rsid w:val="00CB640B"/>
    <w:rsid w:val="00CC164A"/>
    <w:rsid w:val="00CC5609"/>
    <w:rsid w:val="00CE1573"/>
    <w:rsid w:val="00CE54D8"/>
    <w:rsid w:val="00CE5F22"/>
    <w:rsid w:val="00CF5BC7"/>
    <w:rsid w:val="00D05A70"/>
    <w:rsid w:val="00D12E4F"/>
    <w:rsid w:val="00D16CEA"/>
    <w:rsid w:val="00D222DF"/>
    <w:rsid w:val="00D42F89"/>
    <w:rsid w:val="00D444E5"/>
    <w:rsid w:val="00D74AD1"/>
    <w:rsid w:val="00D76056"/>
    <w:rsid w:val="00D76C43"/>
    <w:rsid w:val="00D82AB0"/>
    <w:rsid w:val="00D85235"/>
    <w:rsid w:val="00D92AE4"/>
    <w:rsid w:val="00D92CFD"/>
    <w:rsid w:val="00D92F30"/>
    <w:rsid w:val="00DA04CA"/>
    <w:rsid w:val="00DA1E37"/>
    <w:rsid w:val="00DA465E"/>
    <w:rsid w:val="00DA519B"/>
    <w:rsid w:val="00DB0C24"/>
    <w:rsid w:val="00DB1508"/>
    <w:rsid w:val="00DC032A"/>
    <w:rsid w:val="00DC4B23"/>
    <w:rsid w:val="00DD3A8F"/>
    <w:rsid w:val="00DD4526"/>
    <w:rsid w:val="00DD4D78"/>
    <w:rsid w:val="00DE5D58"/>
    <w:rsid w:val="00DF6F27"/>
    <w:rsid w:val="00E00BA3"/>
    <w:rsid w:val="00E139EA"/>
    <w:rsid w:val="00E13C26"/>
    <w:rsid w:val="00E1610F"/>
    <w:rsid w:val="00E16B9F"/>
    <w:rsid w:val="00E24CB8"/>
    <w:rsid w:val="00E26225"/>
    <w:rsid w:val="00E31BF8"/>
    <w:rsid w:val="00E32ECD"/>
    <w:rsid w:val="00E37C58"/>
    <w:rsid w:val="00E41DC7"/>
    <w:rsid w:val="00E42375"/>
    <w:rsid w:val="00E4370C"/>
    <w:rsid w:val="00E458BE"/>
    <w:rsid w:val="00E53BF6"/>
    <w:rsid w:val="00E57A4E"/>
    <w:rsid w:val="00E6154F"/>
    <w:rsid w:val="00E64D06"/>
    <w:rsid w:val="00E676A3"/>
    <w:rsid w:val="00E74736"/>
    <w:rsid w:val="00E80B27"/>
    <w:rsid w:val="00E81167"/>
    <w:rsid w:val="00E83B34"/>
    <w:rsid w:val="00E91A0D"/>
    <w:rsid w:val="00EA0F65"/>
    <w:rsid w:val="00EB1C6C"/>
    <w:rsid w:val="00EB39C4"/>
    <w:rsid w:val="00EB53F1"/>
    <w:rsid w:val="00EC4D69"/>
    <w:rsid w:val="00EC68CF"/>
    <w:rsid w:val="00ED4839"/>
    <w:rsid w:val="00EE37EA"/>
    <w:rsid w:val="00EE6BF7"/>
    <w:rsid w:val="00EF0660"/>
    <w:rsid w:val="00EF3370"/>
    <w:rsid w:val="00EF5FED"/>
    <w:rsid w:val="00EF665B"/>
    <w:rsid w:val="00EF7862"/>
    <w:rsid w:val="00F00B6B"/>
    <w:rsid w:val="00F25A2B"/>
    <w:rsid w:val="00F32213"/>
    <w:rsid w:val="00F33DA9"/>
    <w:rsid w:val="00F401E2"/>
    <w:rsid w:val="00F41319"/>
    <w:rsid w:val="00F526AD"/>
    <w:rsid w:val="00F54D10"/>
    <w:rsid w:val="00F5526F"/>
    <w:rsid w:val="00F62431"/>
    <w:rsid w:val="00F65142"/>
    <w:rsid w:val="00F806FE"/>
    <w:rsid w:val="00F80B01"/>
    <w:rsid w:val="00F82E16"/>
    <w:rsid w:val="00F83C35"/>
    <w:rsid w:val="00F86A5F"/>
    <w:rsid w:val="00F91072"/>
    <w:rsid w:val="00F920A1"/>
    <w:rsid w:val="00FA3CC6"/>
    <w:rsid w:val="00FA462E"/>
    <w:rsid w:val="00FA6022"/>
    <w:rsid w:val="00FB42CC"/>
    <w:rsid w:val="00FD3185"/>
    <w:rsid w:val="00FD4C2F"/>
    <w:rsid w:val="00FD7E9F"/>
    <w:rsid w:val="00FE5840"/>
    <w:rsid w:val="00FF44D4"/>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1DBBF"/>
  <w15:docId w15:val="{4515BF77-9D24-4300-A80D-E5E14842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character" w:styleId="CommentReference">
    <w:name w:val="annotation reference"/>
    <w:basedOn w:val="DefaultParagraphFont"/>
    <w:uiPriority w:val="99"/>
    <w:semiHidden/>
    <w:unhideWhenUsed/>
    <w:rsid w:val="001820D0"/>
    <w:rPr>
      <w:sz w:val="16"/>
      <w:szCs w:val="16"/>
    </w:rPr>
  </w:style>
  <w:style w:type="paragraph" w:styleId="CommentText">
    <w:name w:val="annotation text"/>
    <w:basedOn w:val="Normal"/>
    <w:link w:val="CommentTextChar"/>
    <w:uiPriority w:val="99"/>
    <w:semiHidden/>
    <w:unhideWhenUsed/>
    <w:rsid w:val="001820D0"/>
    <w:pPr>
      <w:spacing w:line="240" w:lineRule="auto"/>
    </w:pPr>
    <w:rPr>
      <w:sz w:val="20"/>
      <w:szCs w:val="20"/>
    </w:rPr>
  </w:style>
  <w:style w:type="character" w:customStyle="1" w:styleId="CommentTextChar">
    <w:name w:val="Comment Text Char"/>
    <w:basedOn w:val="DefaultParagraphFont"/>
    <w:link w:val="CommentText"/>
    <w:uiPriority w:val="99"/>
    <w:semiHidden/>
    <w:rsid w:val="001820D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820D0"/>
    <w:rPr>
      <w:b/>
      <w:bCs/>
    </w:rPr>
  </w:style>
  <w:style w:type="character" w:customStyle="1" w:styleId="CommentSubjectChar">
    <w:name w:val="Comment Subject Char"/>
    <w:basedOn w:val="CommentTextChar"/>
    <w:link w:val="CommentSubject"/>
    <w:uiPriority w:val="99"/>
    <w:semiHidden/>
    <w:rsid w:val="001820D0"/>
    <w:rPr>
      <w:rFonts w:eastAsiaTheme="minorEastAsia"/>
      <w:b/>
      <w:bCs/>
      <w:sz w:val="20"/>
      <w:szCs w:val="20"/>
    </w:rPr>
  </w:style>
  <w:style w:type="paragraph" w:styleId="Revision">
    <w:name w:val="Revision"/>
    <w:hidden/>
    <w:uiPriority w:val="99"/>
    <w:semiHidden/>
    <w:rsid w:val="0040318F"/>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214203282">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E9A07-6F0A-4008-BA50-C2A60AF7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2017-04-05T14:22:00Z</cp:lastPrinted>
  <dcterms:created xsi:type="dcterms:W3CDTF">2017-04-07T10:43:00Z</dcterms:created>
  <dcterms:modified xsi:type="dcterms:W3CDTF">2017-04-07T10:43:00Z</dcterms:modified>
</cp:coreProperties>
</file>