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7174D8">
        <w:rPr>
          <w:rFonts w:ascii="Arial Narrow" w:hAnsi="Arial Narrow" w:cs="Tunga"/>
          <w:b/>
          <w:sz w:val="24"/>
          <w:szCs w:val="24"/>
          <w:lang w:val="fr-FR"/>
        </w:rPr>
        <w:t>Assembly</w:t>
      </w:r>
      <w:proofErr w:type="spellEnd"/>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D63F10">
        <w:rPr>
          <w:rFonts w:ascii="Arial Narrow" w:hAnsi="Arial Narrow" w:cs="Arial"/>
          <w:b/>
          <w:sz w:val="24"/>
          <w:szCs w:val="24"/>
        </w:rPr>
        <w:t>8</w:t>
      </w:r>
      <w:r w:rsidR="002A03AA">
        <w:rPr>
          <w:rFonts w:ascii="Arial Narrow" w:hAnsi="Arial Narrow" w:cs="Arial"/>
          <w:b/>
          <w:sz w:val="24"/>
          <w:szCs w:val="24"/>
        </w:rPr>
        <w:t>98</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2A03AA" w:rsidRPr="002A03AA">
        <w:rPr>
          <w:rFonts w:ascii="Arial Narrow" w:hAnsi="Arial Narrow"/>
          <w:b/>
          <w:bCs/>
          <w:sz w:val="24"/>
          <w:szCs w:val="24"/>
          <w:lang w:val="en-ZA"/>
        </w:rPr>
        <w:t xml:space="preserve">Prof C T </w:t>
      </w:r>
      <w:proofErr w:type="spellStart"/>
      <w:r w:rsidR="002A03AA" w:rsidRPr="002A03AA">
        <w:rPr>
          <w:rFonts w:ascii="Arial Narrow" w:hAnsi="Arial Narrow"/>
          <w:b/>
          <w:bCs/>
          <w:sz w:val="24"/>
          <w:szCs w:val="24"/>
          <w:lang w:val="en-ZA"/>
        </w:rPr>
        <w:t>Msimang</w:t>
      </w:r>
      <w:proofErr w:type="spellEnd"/>
      <w:r w:rsidR="002A03AA" w:rsidRPr="002A03AA">
        <w:rPr>
          <w:rFonts w:ascii="Arial Narrow" w:hAnsi="Arial Narrow"/>
          <w:b/>
          <w:bCs/>
          <w:sz w:val="24"/>
          <w:szCs w:val="24"/>
          <w:lang w:val="en-ZA"/>
        </w:rPr>
        <w:t xml:space="preserve"> (IFP) </w:t>
      </w:r>
      <w:r w:rsidR="007174D8" w:rsidRPr="007174D8">
        <w:rPr>
          <w:rFonts w:ascii="Arial Narrow" w:hAnsi="Arial Narrow"/>
          <w:b/>
          <w:bCs/>
          <w:sz w:val="24"/>
          <w:szCs w:val="24"/>
          <w:lang w:val="en-ZA"/>
        </w:rPr>
        <w:t xml:space="preserve"> </w:t>
      </w:r>
      <w:r w:rsidR="00D84511" w:rsidRPr="00D84511">
        <w:rPr>
          <w:rFonts w:ascii="Arial Narrow" w:hAnsi="Arial Narrow"/>
          <w:b/>
          <w:sz w:val="24"/>
          <w:szCs w:val="24"/>
        </w:rPr>
        <w:t xml:space="preserve"> to the Minister of Mineral Resources and Energy</w:t>
      </w:r>
      <w:r w:rsidRPr="00ED3E73">
        <w:rPr>
          <w:rFonts w:ascii="Arial Narrow" w:hAnsi="Arial Narrow"/>
          <w:b/>
          <w:bCs/>
          <w:sz w:val="24"/>
          <w:szCs w:val="24"/>
        </w:rPr>
        <w:t xml:space="preserve">: </w:t>
      </w:r>
    </w:p>
    <w:p w:rsidR="00181DFA" w:rsidRPr="00ED3E73" w:rsidRDefault="00181DFA" w:rsidP="00181DFA">
      <w:pPr>
        <w:spacing w:before="100" w:beforeAutospacing="1" w:after="100" w:afterAutospacing="1" w:line="240" w:lineRule="auto"/>
        <w:jc w:val="both"/>
        <w:outlineLvl w:val="0"/>
        <w:rPr>
          <w:rFonts w:ascii="Arial Narrow" w:hAnsi="Arial Narrow"/>
          <w:sz w:val="24"/>
          <w:szCs w:val="24"/>
        </w:rPr>
      </w:pPr>
    </w:p>
    <w:p w:rsidR="00181DFA" w:rsidRDefault="00181DFA" w:rsidP="00181DFA">
      <w:pPr>
        <w:spacing w:after="0" w:line="240" w:lineRule="auto"/>
        <w:rPr>
          <w:rFonts w:ascii="Arial Narrow" w:hAnsi="Arial Narrow" w:cs="Tunga"/>
          <w:b/>
          <w:sz w:val="24"/>
          <w:szCs w:val="24"/>
          <w:lang w:val="en-ZA"/>
        </w:rPr>
      </w:pPr>
    </w:p>
    <w:p w:rsidR="00AD6EE5" w:rsidRDefault="00AD6EE5" w:rsidP="00AD6EE5">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T. Maqubela </w:t>
      </w:r>
    </w:p>
    <w:p w:rsidR="00AD6EE5" w:rsidRDefault="00AD6EE5" w:rsidP="00AD6EE5">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Mineral and Petroleum Regulation </w:t>
      </w:r>
    </w:p>
    <w:p w:rsidR="00710958" w:rsidRDefault="00710958" w:rsidP="00710958">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710958" w:rsidRDefault="00710958" w:rsidP="00710958">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181DFA" w:rsidRDefault="00181DF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181DFA" w:rsidRDefault="002A03A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Ms P Gamede</w:t>
      </w:r>
    </w:p>
    <w:p w:rsidR="00181DFA" w:rsidRDefault="002A03A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Acting </w:t>
      </w:r>
      <w:r w:rsidR="00181DFA">
        <w:rPr>
          <w:rFonts w:ascii="Arial Narrow" w:hAnsi="Arial Narrow" w:cs="Tunga"/>
          <w:b/>
          <w:sz w:val="24"/>
          <w:szCs w:val="24"/>
          <w:lang w:val="en-ZA"/>
        </w:rPr>
        <w:t>Director General: Department of Mineral Resources and Energy</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181DFA" w:rsidRDefault="00181DFA" w:rsidP="00181D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181DFA" w:rsidRDefault="00181DFA"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Default="00181DFA" w:rsidP="00181DFA">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181DFA" w:rsidRDefault="00181DFA">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2A03AA" w:rsidRPr="002A03AA" w:rsidRDefault="002A03AA" w:rsidP="002A03AA">
      <w:pPr>
        <w:spacing w:line="360" w:lineRule="auto"/>
        <w:jc w:val="both"/>
        <w:rPr>
          <w:rFonts w:ascii="Arial Narrow" w:hAnsi="Arial Narrow"/>
          <w:b/>
          <w:bCs/>
          <w:sz w:val="24"/>
          <w:szCs w:val="24"/>
          <w:lang w:val="en-ZA"/>
        </w:rPr>
      </w:pPr>
      <w:r w:rsidRPr="002A03AA">
        <w:rPr>
          <w:rFonts w:ascii="Arial Narrow" w:hAnsi="Arial Narrow"/>
          <w:b/>
          <w:bCs/>
          <w:sz w:val="24"/>
          <w:szCs w:val="24"/>
          <w:lang w:val="en-ZA"/>
        </w:rPr>
        <w:lastRenderedPageBreak/>
        <w:t xml:space="preserve">898. </w:t>
      </w:r>
      <w:bookmarkStart w:id="0" w:name="_Hlk99713016"/>
      <w:r w:rsidRPr="002A03AA">
        <w:rPr>
          <w:rFonts w:ascii="Arial Narrow" w:hAnsi="Arial Narrow"/>
          <w:b/>
          <w:bCs/>
          <w:sz w:val="24"/>
          <w:szCs w:val="24"/>
          <w:lang w:val="en-ZA"/>
        </w:rPr>
        <w:t xml:space="preserve">Prof C T </w:t>
      </w:r>
      <w:proofErr w:type="spellStart"/>
      <w:r w:rsidRPr="002A03AA">
        <w:rPr>
          <w:rFonts w:ascii="Arial Narrow" w:hAnsi="Arial Narrow"/>
          <w:b/>
          <w:bCs/>
          <w:sz w:val="24"/>
          <w:szCs w:val="24"/>
          <w:lang w:val="en-ZA"/>
        </w:rPr>
        <w:t>Msimang</w:t>
      </w:r>
      <w:proofErr w:type="spellEnd"/>
      <w:r w:rsidRPr="002A03AA">
        <w:rPr>
          <w:rFonts w:ascii="Arial Narrow" w:hAnsi="Arial Narrow"/>
          <w:b/>
          <w:bCs/>
          <w:sz w:val="24"/>
          <w:szCs w:val="24"/>
          <w:lang w:val="en-ZA"/>
        </w:rPr>
        <w:t xml:space="preserve"> (IFP) </w:t>
      </w:r>
      <w:bookmarkEnd w:id="0"/>
      <w:r w:rsidRPr="002A03AA">
        <w:rPr>
          <w:rFonts w:ascii="Arial Narrow" w:hAnsi="Arial Narrow"/>
          <w:b/>
          <w:bCs/>
          <w:sz w:val="24"/>
          <w:szCs w:val="24"/>
          <w:lang w:val="en-ZA"/>
        </w:rPr>
        <w:t xml:space="preserve">to ask the Minister of Mineral Resources and Energy: </w:t>
      </w:r>
    </w:p>
    <w:p w:rsidR="00D75F94" w:rsidRDefault="002A03AA" w:rsidP="002A03AA">
      <w:pPr>
        <w:spacing w:line="360" w:lineRule="auto"/>
        <w:jc w:val="both"/>
        <w:rPr>
          <w:rFonts w:ascii="Arial Narrow" w:hAnsi="Arial Narrow"/>
          <w:b/>
          <w:sz w:val="24"/>
          <w:szCs w:val="24"/>
        </w:rPr>
      </w:pPr>
      <w:r w:rsidRPr="002A03AA">
        <w:rPr>
          <w:rFonts w:ascii="Arial Narrow" w:hAnsi="Arial Narrow"/>
          <w:sz w:val="24"/>
          <w:szCs w:val="24"/>
          <w:lang w:val="en-ZA"/>
        </w:rPr>
        <w:t>In view of section 31BB of the National Environmental Management Act (NEMA), Act 107 of 1998, which empowers him to designate persons as environmental mineral resource inspectors to monitor compliance of NEMA, as of 1 March 2022, what (a) total number of environmental mineral resource inspectors are currently employed by his department, (b) is the total breakdown of the inspectors in each province, (c) specific factors are taken into consideration to determine the number of environmental mineral resource inspectors required in each province and (d) prescribed standards are in place to ensure that the monitoring and compliance functions fulfilled by the environmental mineral resource inspectors give effect to NEMA?</w:t>
      </w:r>
      <w:r w:rsidRPr="002A03AA">
        <w:rPr>
          <w:rFonts w:ascii="Arial Narrow" w:hAnsi="Arial Narrow"/>
          <w:b/>
          <w:bCs/>
          <w:sz w:val="24"/>
          <w:szCs w:val="24"/>
          <w:lang w:val="en-ZA"/>
        </w:rPr>
        <w:t xml:space="preserve"> </w:t>
      </w:r>
      <w:r>
        <w:rPr>
          <w:rFonts w:ascii="Arial Narrow" w:hAnsi="Arial Narrow"/>
          <w:b/>
          <w:bCs/>
          <w:sz w:val="24"/>
          <w:szCs w:val="24"/>
          <w:lang w:val="en-ZA"/>
        </w:rPr>
        <w:tab/>
      </w:r>
      <w:r>
        <w:rPr>
          <w:rFonts w:ascii="Arial Narrow" w:hAnsi="Arial Narrow"/>
          <w:b/>
          <w:bCs/>
          <w:sz w:val="24"/>
          <w:szCs w:val="24"/>
          <w:lang w:val="en-ZA"/>
        </w:rPr>
        <w:tab/>
      </w:r>
      <w:r>
        <w:rPr>
          <w:rFonts w:ascii="Arial Narrow" w:hAnsi="Arial Narrow"/>
          <w:b/>
          <w:bCs/>
          <w:sz w:val="24"/>
          <w:szCs w:val="24"/>
          <w:lang w:val="en-ZA"/>
        </w:rPr>
        <w:tab/>
      </w:r>
      <w:r>
        <w:rPr>
          <w:rFonts w:ascii="Arial Narrow" w:hAnsi="Arial Narrow"/>
          <w:b/>
          <w:bCs/>
          <w:sz w:val="24"/>
          <w:szCs w:val="24"/>
          <w:lang w:val="en-ZA"/>
        </w:rPr>
        <w:tab/>
      </w:r>
      <w:r>
        <w:rPr>
          <w:rFonts w:ascii="Arial Narrow" w:hAnsi="Arial Narrow"/>
          <w:b/>
          <w:bCs/>
          <w:sz w:val="24"/>
          <w:szCs w:val="24"/>
          <w:lang w:val="en-ZA"/>
        </w:rPr>
        <w:tab/>
      </w:r>
      <w:r>
        <w:rPr>
          <w:rFonts w:ascii="Arial Narrow" w:hAnsi="Arial Narrow"/>
          <w:b/>
          <w:bCs/>
          <w:sz w:val="24"/>
          <w:szCs w:val="24"/>
          <w:lang w:val="en-ZA"/>
        </w:rPr>
        <w:tab/>
      </w:r>
      <w:r w:rsidRPr="002A03AA">
        <w:rPr>
          <w:rFonts w:ascii="Arial Narrow" w:hAnsi="Arial Narrow"/>
          <w:b/>
          <w:bCs/>
          <w:sz w:val="24"/>
          <w:szCs w:val="24"/>
          <w:lang w:val="en-ZA"/>
        </w:rPr>
        <w:t>NW1079E</w:t>
      </w:r>
    </w:p>
    <w:p w:rsidR="002A03AA" w:rsidRDefault="002A03AA" w:rsidP="0011628B">
      <w:pPr>
        <w:tabs>
          <w:tab w:val="left" w:pos="1845"/>
        </w:tabs>
        <w:spacing w:line="360" w:lineRule="auto"/>
        <w:jc w:val="both"/>
        <w:rPr>
          <w:rFonts w:ascii="Arial Narrow" w:hAnsi="Arial Narrow"/>
          <w:b/>
          <w:sz w:val="24"/>
          <w:szCs w:val="24"/>
        </w:rPr>
      </w:pPr>
    </w:p>
    <w:p w:rsidR="00B3598B" w:rsidRDefault="007174D8" w:rsidP="0011628B">
      <w:pPr>
        <w:tabs>
          <w:tab w:val="left" w:pos="1845"/>
        </w:tabs>
        <w:spacing w:line="360" w:lineRule="auto"/>
        <w:jc w:val="both"/>
        <w:rPr>
          <w:rFonts w:ascii="Arial Narrow" w:hAnsi="Arial Narrow"/>
          <w:b/>
          <w:sz w:val="24"/>
          <w:szCs w:val="24"/>
        </w:rPr>
      </w:pPr>
      <w:r>
        <w:rPr>
          <w:rFonts w:ascii="Arial Narrow" w:hAnsi="Arial Narrow"/>
          <w:b/>
          <w:sz w:val="24"/>
          <w:szCs w:val="24"/>
        </w:rPr>
        <w:t>Reply:</w:t>
      </w:r>
    </w:p>
    <w:p w:rsidR="002F443F" w:rsidRDefault="002F443F" w:rsidP="00906DF8">
      <w:pPr>
        <w:spacing w:line="360" w:lineRule="auto"/>
        <w:jc w:val="both"/>
        <w:rPr>
          <w:rFonts w:ascii="Arial Narrow" w:hAnsi="Arial Narrow"/>
          <w:sz w:val="24"/>
          <w:szCs w:val="24"/>
          <w:lang w:val="en-ZA"/>
        </w:rPr>
      </w:pPr>
      <w:r>
        <w:rPr>
          <w:rFonts w:ascii="Arial Narrow" w:hAnsi="Arial Narrow"/>
          <w:sz w:val="24"/>
          <w:szCs w:val="24"/>
          <w:lang w:val="en-ZA"/>
        </w:rPr>
        <w:t xml:space="preserve">(a) Total number of environmental inspectors </w:t>
      </w:r>
      <w:r w:rsidR="007D0591">
        <w:rPr>
          <w:rFonts w:ascii="Arial Narrow" w:hAnsi="Arial Narrow"/>
          <w:sz w:val="24"/>
          <w:szCs w:val="24"/>
          <w:lang w:val="en-ZA"/>
        </w:rPr>
        <w:t>is 94</w:t>
      </w:r>
    </w:p>
    <w:p w:rsidR="00906DF8" w:rsidRDefault="002F443F" w:rsidP="00906DF8">
      <w:pPr>
        <w:spacing w:line="360" w:lineRule="auto"/>
        <w:jc w:val="both"/>
        <w:rPr>
          <w:rFonts w:ascii="Arial Narrow" w:hAnsi="Arial Narrow"/>
          <w:sz w:val="24"/>
          <w:szCs w:val="24"/>
          <w:lang w:val="en-ZA"/>
        </w:rPr>
      </w:pPr>
      <w:r>
        <w:rPr>
          <w:rFonts w:ascii="Arial Narrow" w:hAnsi="Arial Narrow"/>
          <w:sz w:val="24"/>
          <w:szCs w:val="24"/>
          <w:lang w:val="en-ZA"/>
        </w:rPr>
        <w:t xml:space="preserve">(b) </w:t>
      </w:r>
      <w:r w:rsidR="00906DF8">
        <w:rPr>
          <w:rFonts w:ascii="Arial Narrow" w:hAnsi="Arial Narrow"/>
          <w:sz w:val="24"/>
          <w:szCs w:val="24"/>
          <w:lang w:val="en-ZA"/>
        </w:rPr>
        <w:t>The breakdown in respect of</w:t>
      </w:r>
      <w:r w:rsidR="00152C17">
        <w:rPr>
          <w:rFonts w:ascii="Arial Narrow" w:hAnsi="Arial Narrow"/>
          <w:sz w:val="24"/>
          <w:szCs w:val="24"/>
          <w:lang w:val="en-ZA"/>
        </w:rPr>
        <w:t xml:space="preserve"> Environmental Mineral Resource (EMRIs)</w:t>
      </w:r>
      <w:r w:rsidR="00906DF8">
        <w:rPr>
          <w:rFonts w:ascii="Arial Narrow" w:hAnsi="Arial Narrow"/>
          <w:sz w:val="24"/>
          <w:szCs w:val="24"/>
          <w:lang w:val="en-ZA"/>
        </w:rPr>
        <w:t xml:space="preserve"> in each province is as follows:</w:t>
      </w:r>
    </w:p>
    <w:tbl>
      <w:tblPr>
        <w:tblStyle w:val="TableGrid"/>
        <w:tblW w:w="0" w:type="auto"/>
        <w:tblLook w:val="04A0"/>
      </w:tblPr>
      <w:tblGrid>
        <w:gridCol w:w="988"/>
        <w:gridCol w:w="2409"/>
        <w:gridCol w:w="1134"/>
      </w:tblGrid>
      <w:tr w:rsidR="00F63B90" w:rsidTr="00F63B90">
        <w:tc>
          <w:tcPr>
            <w:tcW w:w="988"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 xml:space="preserve">No. </w:t>
            </w:r>
            <w:proofErr w:type="spellStart"/>
            <w:r>
              <w:rPr>
                <w:rFonts w:ascii="Arial Narrow" w:hAnsi="Arial Narrow"/>
                <w:sz w:val="24"/>
                <w:szCs w:val="24"/>
                <w:lang w:val="en-ZA"/>
              </w:rPr>
              <w:t>Seq</w:t>
            </w:r>
            <w:proofErr w:type="spellEnd"/>
          </w:p>
        </w:tc>
        <w:tc>
          <w:tcPr>
            <w:tcW w:w="2409"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 xml:space="preserve">REGIONS </w:t>
            </w:r>
          </w:p>
        </w:tc>
        <w:tc>
          <w:tcPr>
            <w:tcW w:w="1134"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EMRIs</w:t>
            </w:r>
          </w:p>
        </w:tc>
      </w:tr>
      <w:tr w:rsidR="00F63B90" w:rsidTr="00F63B90">
        <w:tc>
          <w:tcPr>
            <w:tcW w:w="988"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1.</w:t>
            </w:r>
          </w:p>
        </w:tc>
        <w:tc>
          <w:tcPr>
            <w:tcW w:w="2409"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 xml:space="preserve">Head Office </w:t>
            </w:r>
          </w:p>
        </w:tc>
        <w:tc>
          <w:tcPr>
            <w:tcW w:w="1134"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16</w:t>
            </w:r>
          </w:p>
        </w:tc>
      </w:tr>
      <w:tr w:rsidR="00F63B90" w:rsidTr="00F63B90">
        <w:tc>
          <w:tcPr>
            <w:tcW w:w="988"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2.</w:t>
            </w:r>
          </w:p>
        </w:tc>
        <w:tc>
          <w:tcPr>
            <w:tcW w:w="2409"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Limpopo</w:t>
            </w:r>
          </w:p>
        </w:tc>
        <w:tc>
          <w:tcPr>
            <w:tcW w:w="1134" w:type="dxa"/>
          </w:tcPr>
          <w:p w:rsidR="00F63B90" w:rsidRDefault="0040442B" w:rsidP="00906DF8">
            <w:pPr>
              <w:spacing w:line="360" w:lineRule="auto"/>
              <w:jc w:val="both"/>
              <w:rPr>
                <w:rFonts w:ascii="Arial Narrow" w:hAnsi="Arial Narrow"/>
                <w:sz w:val="24"/>
                <w:szCs w:val="24"/>
                <w:lang w:val="en-ZA"/>
              </w:rPr>
            </w:pPr>
            <w:r>
              <w:rPr>
                <w:rFonts w:ascii="Arial Narrow" w:hAnsi="Arial Narrow"/>
                <w:sz w:val="24"/>
                <w:szCs w:val="24"/>
                <w:lang w:val="en-ZA"/>
              </w:rPr>
              <w:t>12</w:t>
            </w:r>
          </w:p>
        </w:tc>
      </w:tr>
      <w:tr w:rsidR="00F63B90" w:rsidTr="00F63B90">
        <w:tc>
          <w:tcPr>
            <w:tcW w:w="988"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3.</w:t>
            </w:r>
          </w:p>
        </w:tc>
        <w:tc>
          <w:tcPr>
            <w:tcW w:w="2409" w:type="dxa"/>
          </w:tcPr>
          <w:p w:rsidR="00F63B90" w:rsidRDefault="0040442B" w:rsidP="00906DF8">
            <w:pPr>
              <w:spacing w:line="360" w:lineRule="auto"/>
              <w:jc w:val="both"/>
              <w:rPr>
                <w:rFonts w:ascii="Arial Narrow" w:hAnsi="Arial Narrow"/>
                <w:sz w:val="24"/>
                <w:szCs w:val="24"/>
                <w:lang w:val="en-ZA"/>
              </w:rPr>
            </w:pPr>
            <w:r>
              <w:rPr>
                <w:rFonts w:ascii="Arial Narrow" w:hAnsi="Arial Narrow"/>
                <w:sz w:val="24"/>
                <w:szCs w:val="24"/>
                <w:lang w:val="en-ZA"/>
              </w:rPr>
              <w:t>Northwest</w:t>
            </w:r>
            <w:r w:rsidR="00F63B90">
              <w:rPr>
                <w:rFonts w:ascii="Arial Narrow" w:hAnsi="Arial Narrow"/>
                <w:sz w:val="24"/>
                <w:szCs w:val="24"/>
                <w:lang w:val="en-ZA"/>
              </w:rPr>
              <w:t xml:space="preserve"> </w:t>
            </w:r>
          </w:p>
        </w:tc>
        <w:tc>
          <w:tcPr>
            <w:tcW w:w="1134" w:type="dxa"/>
          </w:tcPr>
          <w:p w:rsidR="00F63B90" w:rsidRDefault="0040442B" w:rsidP="00906DF8">
            <w:pPr>
              <w:spacing w:line="360" w:lineRule="auto"/>
              <w:jc w:val="both"/>
              <w:rPr>
                <w:rFonts w:ascii="Arial Narrow" w:hAnsi="Arial Narrow"/>
                <w:sz w:val="24"/>
                <w:szCs w:val="24"/>
                <w:lang w:val="en-ZA"/>
              </w:rPr>
            </w:pPr>
            <w:r>
              <w:rPr>
                <w:rFonts w:ascii="Arial Narrow" w:hAnsi="Arial Narrow"/>
                <w:sz w:val="24"/>
                <w:szCs w:val="24"/>
                <w:lang w:val="en-ZA"/>
              </w:rPr>
              <w:t>14</w:t>
            </w:r>
          </w:p>
        </w:tc>
      </w:tr>
      <w:tr w:rsidR="00F63B90" w:rsidTr="00F63B90">
        <w:tc>
          <w:tcPr>
            <w:tcW w:w="988"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4.</w:t>
            </w:r>
          </w:p>
        </w:tc>
        <w:tc>
          <w:tcPr>
            <w:tcW w:w="2409"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 xml:space="preserve">Mpumalanga </w:t>
            </w:r>
          </w:p>
        </w:tc>
        <w:tc>
          <w:tcPr>
            <w:tcW w:w="1134" w:type="dxa"/>
          </w:tcPr>
          <w:p w:rsidR="00F63B90" w:rsidRDefault="0040442B" w:rsidP="00906DF8">
            <w:pPr>
              <w:spacing w:line="360" w:lineRule="auto"/>
              <w:jc w:val="both"/>
              <w:rPr>
                <w:rFonts w:ascii="Arial Narrow" w:hAnsi="Arial Narrow"/>
                <w:sz w:val="24"/>
                <w:szCs w:val="24"/>
                <w:lang w:val="en-ZA"/>
              </w:rPr>
            </w:pPr>
            <w:r>
              <w:rPr>
                <w:rFonts w:ascii="Arial Narrow" w:hAnsi="Arial Narrow"/>
                <w:sz w:val="24"/>
                <w:szCs w:val="24"/>
                <w:lang w:val="en-ZA"/>
              </w:rPr>
              <w:t>12</w:t>
            </w:r>
          </w:p>
        </w:tc>
      </w:tr>
      <w:tr w:rsidR="00F63B90" w:rsidTr="00F63B90">
        <w:tc>
          <w:tcPr>
            <w:tcW w:w="988"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5.</w:t>
            </w:r>
          </w:p>
        </w:tc>
        <w:tc>
          <w:tcPr>
            <w:tcW w:w="2409"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 xml:space="preserve">Northern Cape </w:t>
            </w:r>
          </w:p>
        </w:tc>
        <w:tc>
          <w:tcPr>
            <w:tcW w:w="1134" w:type="dxa"/>
          </w:tcPr>
          <w:p w:rsidR="00F63B90" w:rsidRDefault="0040442B" w:rsidP="00906DF8">
            <w:pPr>
              <w:spacing w:line="360" w:lineRule="auto"/>
              <w:jc w:val="both"/>
              <w:rPr>
                <w:rFonts w:ascii="Arial Narrow" w:hAnsi="Arial Narrow"/>
                <w:sz w:val="24"/>
                <w:szCs w:val="24"/>
                <w:lang w:val="en-ZA"/>
              </w:rPr>
            </w:pPr>
            <w:r>
              <w:rPr>
                <w:rFonts w:ascii="Arial Narrow" w:hAnsi="Arial Narrow"/>
                <w:sz w:val="24"/>
                <w:szCs w:val="24"/>
                <w:lang w:val="en-ZA"/>
              </w:rPr>
              <w:t>10</w:t>
            </w:r>
          </w:p>
        </w:tc>
      </w:tr>
      <w:tr w:rsidR="00F63B90" w:rsidTr="00F63B90">
        <w:tc>
          <w:tcPr>
            <w:tcW w:w="988"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6.</w:t>
            </w:r>
          </w:p>
        </w:tc>
        <w:tc>
          <w:tcPr>
            <w:tcW w:w="2409"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 xml:space="preserve">Free State </w:t>
            </w:r>
          </w:p>
        </w:tc>
        <w:tc>
          <w:tcPr>
            <w:tcW w:w="1134" w:type="dxa"/>
          </w:tcPr>
          <w:p w:rsidR="00F63B90" w:rsidRDefault="0040442B" w:rsidP="00906DF8">
            <w:pPr>
              <w:spacing w:line="360" w:lineRule="auto"/>
              <w:jc w:val="both"/>
              <w:rPr>
                <w:rFonts w:ascii="Arial Narrow" w:hAnsi="Arial Narrow"/>
                <w:sz w:val="24"/>
                <w:szCs w:val="24"/>
                <w:lang w:val="en-ZA"/>
              </w:rPr>
            </w:pPr>
            <w:r>
              <w:rPr>
                <w:rFonts w:ascii="Arial Narrow" w:hAnsi="Arial Narrow"/>
                <w:sz w:val="24"/>
                <w:szCs w:val="24"/>
                <w:lang w:val="en-ZA"/>
              </w:rPr>
              <w:t>7</w:t>
            </w:r>
          </w:p>
        </w:tc>
      </w:tr>
      <w:tr w:rsidR="00F63B90" w:rsidTr="00F63B90">
        <w:tc>
          <w:tcPr>
            <w:tcW w:w="988"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7.</w:t>
            </w:r>
          </w:p>
        </w:tc>
        <w:tc>
          <w:tcPr>
            <w:tcW w:w="2409"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 xml:space="preserve">KwaZulu Natal </w:t>
            </w:r>
          </w:p>
        </w:tc>
        <w:tc>
          <w:tcPr>
            <w:tcW w:w="1134" w:type="dxa"/>
          </w:tcPr>
          <w:p w:rsidR="00F63B90" w:rsidRDefault="0040442B" w:rsidP="00906DF8">
            <w:pPr>
              <w:spacing w:line="360" w:lineRule="auto"/>
              <w:jc w:val="both"/>
              <w:rPr>
                <w:rFonts w:ascii="Arial Narrow" w:hAnsi="Arial Narrow"/>
                <w:sz w:val="24"/>
                <w:szCs w:val="24"/>
                <w:lang w:val="en-ZA"/>
              </w:rPr>
            </w:pPr>
            <w:r>
              <w:rPr>
                <w:rFonts w:ascii="Arial Narrow" w:hAnsi="Arial Narrow"/>
                <w:sz w:val="24"/>
                <w:szCs w:val="24"/>
                <w:lang w:val="en-ZA"/>
              </w:rPr>
              <w:t>7</w:t>
            </w:r>
          </w:p>
        </w:tc>
      </w:tr>
      <w:tr w:rsidR="00F63B90" w:rsidTr="00F63B90">
        <w:tc>
          <w:tcPr>
            <w:tcW w:w="988"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8.</w:t>
            </w:r>
          </w:p>
        </w:tc>
        <w:tc>
          <w:tcPr>
            <w:tcW w:w="2409"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 xml:space="preserve">Gauteng </w:t>
            </w:r>
          </w:p>
        </w:tc>
        <w:tc>
          <w:tcPr>
            <w:tcW w:w="1134" w:type="dxa"/>
          </w:tcPr>
          <w:p w:rsidR="00F63B90" w:rsidRDefault="0040442B" w:rsidP="00906DF8">
            <w:pPr>
              <w:spacing w:line="360" w:lineRule="auto"/>
              <w:jc w:val="both"/>
              <w:rPr>
                <w:rFonts w:ascii="Arial Narrow" w:hAnsi="Arial Narrow"/>
                <w:sz w:val="24"/>
                <w:szCs w:val="24"/>
                <w:lang w:val="en-ZA"/>
              </w:rPr>
            </w:pPr>
            <w:r>
              <w:rPr>
                <w:rFonts w:ascii="Arial Narrow" w:hAnsi="Arial Narrow"/>
                <w:sz w:val="24"/>
                <w:szCs w:val="24"/>
                <w:lang w:val="en-ZA"/>
              </w:rPr>
              <w:t>7</w:t>
            </w:r>
          </w:p>
        </w:tc>
      </w:tr>
      <w:tr w:rsidR="00F63B90" w:rsidTr="00F63B90">
        <w:tc>
          <w:tcPr>
            <w:tcW w:w="988"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9.</w:t>
            </w:r>
          </w:p>
        </w:tc>
        <w:tc>
          <w:tcPr>
            <w:tcW w:w="2409"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 xml:space="preserve">Western Cape </w:t>
            </w:r>
          </w:p>
        </w:tc>
        <w:tc>
          <w:tcPr>
            <w:tcW w:w="1134" w:type="dxa"/>
          </w:tcPr>
          <w:p w:rsidR="00F63B90" w:rsidRDefault="0040442B" w:rsidP="00906DF8">
            <w:pPr>
              <w:spacing w:line="360" w:lineRule="auto"/>
              <w:jc w:val="both"/>
              <w:rPr>
                <w:rFonts w:ascii="Arial Narrow" w:hAnsi="Arial Narrow"/>
                <w:sz w:val="24"/>
                <w:szCs w:val="24"/>
                <w:lang w:val="en-ZA"/>
              </w:rPr>
            </w:pPr>
            <w:r>
              <w:rPr>
                <w:rFonts w:ascii="Arial Narrow" w:hAnsi="Arial Narrow"/>
                <w:sz w:val="24"/>
                <w:szCs w:val="24"/>
                <w:lang w:val="en-ZA"/>
              </w:rPr>
              <w:t>6</w:t>
            </w:r>
          </w:p>
        </w:tc>
      </w:tr>
      <w:tr w:rsidR="00F63B90" w:rsidTr="00F63B90">
        <w:tc>
          <w:tcPr>
            <w:tcW w:w="988"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10</w:t>
            </w:r>
          </w:p>
        </w:tc>
        <w:tc>
          <w:tcPr>
            <w:tcW w:w="2409" w:type="dxa"/>
          </w:tcPr>
          <w:p w:rsidR="00F63B90" w:rsidRDefault="00F63B90" w:rsidP="00906DF8">
            <w:pPr>
              <w:spacing w:line="360" w:lineRule="auto"/>
              <w:jc w:val="both"/>
              <w:rPr>
                <w:rFonts w:ascii="Arial Narrow" w:hAnsi="Arial Narrow"/>
                <w:sz w:val="24"/>
                <w:szCs w:val="24"/>
                <w:lang w:val="en-ZA"/>
              </w:rPr>
            </w:pPr>
            <w:r>
              <w:rPr>
                <w:rFonts w:ascii="Arial Narrow" w:hAnsi="Arial Narrow"/>
                <w:sz w:val="24"/>
                <w:szCs w:val="24"/>
                <w:lang w:val="en-ZA"/>
              </w:rPr>
              <w:t xml:space="preserve">Eastern Cape </w:t>
            </w:r>
          </w:p>
        </w:tc>
        <w:tc>
          <w:tcPr>
            <w:tcW w:w="1134" w:type="dxa"/>
          </w:tcPr>
          <w:p w:rsidR="00F63B90" w:rsidRDefault="0040442B" w:rsidP="00906DF8">
            <w:pPr>
              <w:spacing w:line="360" w:lineRule="auto"/>
              <w:jc w:val="both"/>
              <w:rPr>
                <w:rFonts w:ascii="Arial Narrow" w:hAnsi="Arial Narrow"/>
                <w:sz w:val="24"/>
                <w:szCs w:val="24"/>
                <w:lang w:val="en-ZA"/>
              </w:rPr>
            </w:pPr>
            <w:r>
              <w:rPr>
                <w:rFonts w:ascii="Arial Narrow" w:hAnsi="Arial Narrow"/>
                <w:sz w:val="24"/>
                <w:szCs w:val="24"/>
                <w:lang w:val="en-ZA"/>
              </w:rPr>
              <w:t>3</w:t>
            </w:r>
          </w:p>
        </w:tc>
      </w:tr>
    </w:tbl>
    <w:p w:rsidR="00EC43E5" w:rsidRDefault="00EC43E5" w:rsidP="00906DF8">
      <w:pPr>
        <w:spacing w:line="240" w:lineRule="auto"/>
        <w:jc w:val="both"/>
        <w:rPr>
          <w:rFonts w:ascii="Arial Narrow" w:hAnsi="Arial Narrow"/>
          <w:sz w:val="24"/>
          <w:szCs w:val="24"/>
          <w:lang w:val="en-ZA"/>
        </w:rPr>
      </w:pPr>
    </w:p>
    <w:p w:rsidR="00906DF8" w:rsidRDefault="002F443F" w:rsidP="00906DF8">
      <w:pPr>
        <w:spacing w:line="360" w:lineRule="auto"/>
        <w:jc w:val="both"/>
        <w:rPr>
          <w:rFonts w:ascii="Arial Narrow" w:hAnsi="Arial Narrow"/>
          <w:sz w:val="24"/>
          <w:szCs w:val="24"/>
          <w:lang w:val="en-ZA"/>
        </w:rPr>
      </w:pPr>
      <w:r>
        <w:rPr>
          <w:rFonts w:ascii="Arial Narrow" w:hAnsi="Arial Narrow"/>
          <w:sz w:val="24"/>
          <w:szCs w:val="24"/>
          <w:lang w:val="en-ZA"/>
        </w:rPr>
        <w:t>(c)</w:t>
      </w:r>
      <w:r w:rsidR="00906DF8" w:rsidRPr="002A03AA">
        <w:rPr>
          <w:rFonts w:ascii="Arial Narrow" w:hAnsi="Arial Narrow"/>
          <w:sz w:val="24"/>
          <w:szCs w:val="24"/>
          <w:lang w:val="en-ZA"/>
        </w:rPr>
        <w:t xml:space="preserve"> </w:t>
      </w:r>
      <w:r w:rsidR="00906DF8">
        <w:rPr>
          <w:rFonts w:ascii="Arial Narrow" w:hAnsi="Arial Narrow"/>
          <w:sz w:val="24"/>
          <w:szCs w:val="24"/>
          <w:lang w:val="en-ZA"/>
        </w:rPr>
        <w:t>A number of dynamics are taken into consideration when Inspectors are assigned with the functions and responsibilities, which may amongst others include the Inspectors capacity (skills and experience</w:t>
      </w:r>
      <w:r w:rsidR="007D0591">
        <w:rPr>
          <w:rFonts w:ascii="Arial Narrow" w:hAnsi="Arial Narrow"/>
          <w:sz w:val="24"/>
          <w:szCs w:val="24"/>
          <w:lang w:val="en-ZA"/>
        </w:rPr>
        <w:t>)</w:t>
      </w:r>
      <w:r w:rsidR="00906DF8">
        <w:rPr>
          <w:rFonts w:ascii="Arial Narrow" w:hAnsi="Arial Narrow"/>
          <w:sz w:val="24"/>
          <w:szCs w:val="24"/>
          <w:lang w:val="en-ZA"/>
        </w:rPr>
        <w:t xml:space="preserve"> required to perform functions relating to the dynamics of such a province’. The environmental challenges and dynamics of a particular Region/Province would also form the basis of the capacity required to deal with such.</w:t>
      </w:r>
    </w:p>
    <w:p w:rsidR="00906DF8" w:rsidRPr="008949A0" w:rsidRDefault="00EC43E5" w:rsidP="00906DF8">
      <w:pPr>
        <w:spacing w:line="360" w:lineRule="auto"/>
        <w:jc w:val="both"/>
        <w:rPr>
          <w:rFonts w:ascii="Arial Narrow" w:hAnsi="Arial Narrow"/>
          <w:sz w:val="24"/>
          <w:szCs w:val="24"/>
          <w:lang w:val="en-ZA"/>
        </w:rPr>
      </w:pPr>
      <w:r>
        <w:rPr>
          <w:rFonts w:ascii="Arial Narrow" w:hAnsi="Arial Narrow"/>
          <w:sz w:val="24"/>
          <w:szCs w:val="24"/>
          <w:lang w:val="en-ZA"/>
        </w:rPr>
        <w:t xml:space="preserve">(d) </w:t>
      </w:r>
      <w:r w:rsidR="00906DF8" w:rsidRPr="008949A0">
        <w:rPr>
          <w:rFonts w:ascii="Arial Narrow" w:hAnsi="Arial Narrow"/>
          <w:sz w:val="24"/>
          <w:szCs w:val="24"/>
          <w:lang w:val="en-ZA"/>
        </w:rPr>
        <w:t xml:space="preserve">All </w:t>
      </w:r>
      <w:r w:rsidR="007D0591">
        <w:rPr>
          <w:rFonts w:ascii="Arial Narrow" w:hAnsi="Arial Narrow"/>
          <w:sz w:val="24"/>
          <w:szCs w:val="24"/>
          <w:lang w:val="en-ZA"/>
        </w:rPr>
        <w:t>t</w:t>
      </w:r>
      <w:r w:rsidR="00906DF8" w:rsidRPr="008949A0">
        <w:rPr>
          <w:rFonts w:ascii="Arial Narrow" w:hAnsi="Arial Narrow"/>
          <w:sz w:val="24"/>
          <w:szCs w:val="24"/>
          <w:lang w:val="en-ZA"/>
        </w:rPr>
        <w:t>he EMRIs have undergone the necessary training by an assigned Institution with more focus on the National Environmental Management Act (Act 107 of 1998). The training largely revolves around the functions they need to perform as per the relevant legislation, primarily being NEMA. All the Performance standards set for the inspectors in this regard revolve around NEMA. The adherence to the standards in this regard are duly monitored by their managers and supervisors who are graded as Grade 1 EMRIs</w:t>
      </w:r>
      <w:r w:rsidR="002F443F">
        <w:rPr>
          <w:rFonts w:ascii="Arial Narrow" w:hAnsi="Arial Narrow"/>
          <w:sz w:val="24"/>
          <w:szCs w:val="24"/>
          <w:lang w:val="en-ZA"/>
        </w:rPr>
        <w:t>.</w:t>
      </w:r>
    </w:p>
    <w:p w:rsidR="00906DF8" w:rsidRDefault="00906DF8" w:rsidP="0011628B">
      <w:pPr>
        <w:tabs>
          <w:tab w:val="left" w:pos="1845"/>
        </w:tabs>
        <w:spacing w:line="360" w:lineRule="auto"/>
        <w:jc w:val="both"/>
        <w:rPr>
          <w:rFonts w:ascii="Arial Narrow" w:hAnsi="Arial Narrow"/>
          <w:b/>
          <w:sz w:val="24"/>
          <w:szCs w:val="24"/>
        </w:rPr>
      </w:pPr>
    </w:p>
    <w:p w:rsidR="007174D8" w:rsidRDefault="0011628B" w:rsidP="0011628B">
      <w:pPr>
        <w:tabs>
          <w:tab w:val="left" w:pos="1845"/>
        </w:tabs>
        <w:spacing w:line="360" w:lineRule="auto"/>
        <w:jc w:val="both"/>
        <w:rPr>
          <w:rFonts w:ascii="Arial Narrow" w:hAnsi="Arial Narrow"/>
          <w:b/>
          <w:sz w:val="24"/>
          <w:szCs w:val="24"/>
        </w:rPr>
      </w:pPr>
      <w:r>
        <w:rPr>
          <w:rFonts w:ascii="Arial Narrow" w:hAnsi="Arial Narrow"/>
          <w:b/>
          <w:sz w:val="24"/>
          <w:szCs w:val="24"/>
        </w:rPr>
        <w:tab/>
      </w:r>
    </w:p>
    <w:sectPr w:rsidR="007174D8" w:rsidSect="0086071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4584"/>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3">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14E86"/>
    <w:rsid w:val="00027B66"/>
    <w:rsid w:val="000E4AEB"/>
    <w:rsid w:val="0011628B"/>
    <w:rsid w:val="00152C17"/>
    <w:rsid w:val="00181DFA"/>
    <w:rsid w:val="00185CAE"/>
    <w:rsid w:val="00187759"/>
    <w:rsid w:val="00195A11"/>
    <w:rsid w:val="001E21CE"/>
    <w:rsid w:val="002A03AA"/>
    <w:rsid w:val="002F443F"/>
    <w:rsid w:val="0040442B"/>
    <w:rsid w:val="004C621C"/>
    <w:rsid w:val="006751E9"/>
    <w:rsid w:val="006A0B3C"/>
    <w:rsid w:val="006F05FC"/>
    <w:rsid w:val="00710958"/>
    <w:rsid w:val="007174D8"/>
    <w:rsid w:val="007C5C73"/>
    <w:rsid w:val="007D0591"/>
    <w:rsid w:val="0083119E"/>
    <w:rsid w:val="00851582"/>
    <w:rsid w:val="00860719"/>
    <w:rsid w:val="008828E8"/>
    <w:rsid w:val="008F30C2"/>
    <w:rsid w:val="00906DF8"/>
    <w:rsid w:val="009D65E0"/>
    <w:rsid w:val="00A54A61"/>
    <w:rsid w:val="00AD6EE5"/>
    <w:rsid w:val="00AE6EF4"/>
    <w:rsid w:val="00B07CBA"/>
    <w:rsid w:val="00B3598B"/>
    <w:rsid w:val="00B67119"/>
    <w:rsid w:val="00C80B8A"/>
    <w:rsid w:val="00CB367F"/>
    <w:rsid w:val="00D63F10"/>
    <w:rsid w:val="00D75F94"/>
    <w:rsid w:val="00D84511"/>
    <w:rsid w:val="00D905C6"/>
    <w:rsid w:val="00D95D78"/>
    <w:rsid w:val="00DD573C"/>
    <w:rsid w:val="00E24EF8"/>
    <w:rsid w:val="00E5429F"/>
    <w:rsid w:val="00EC2FBA"/>
    <w:rsid w:val="00EC43E5"/>
    <w:rsid w:val="00ED1128"/>
    <w:rsid w:val="00F63B90"/>
    <w:rsid w:val="00F72E9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table" w:styleId="TableGrid">
    <w:name w:val="Table Grid"/>
    <w:basedOn w:val="TableNormal"/>
    <w:uiPriority w:val="39"/>
    <w:rsid w:val="00F63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1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2022-03-03T11:35:00Z</cp:lastPrinted>
  <dcterms:created xsi:type="dcterms:W3CDTF">2022-05-03T10:19:00Z</dcterms:created>
  <dcterms:modified xsi:type="dcterms:W3CDTF">2022-05-03T10:19:00Z</dcterms:modified>
</cp:coreProperties>
</file>