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7408C8">
        <w:rPr>
          <w:b/>
          <w:bCs/>
          <w:sz w:val="24"/>
          <w:u w:val="single"/>
        </w:rPr>
        <w:t>8</w:t>
      </w:r>
      <w:r w:rsidR="002A0C62">
        <w:rPr>
          <w:b/>
          <w:bCs/>
          <w:sz w:val="24"/>
          <w:u w:val="single"/>
        </w:rPr>
        <w:t>9</w:t>
      </w:r>
      <w:r w:rsidR="00A92E95">
        <w:rPr>
          <w:b/>
          <w:bCs/>
          <w:sz w:val="24"/>
          <w:u w:val="single"/>
        </w:rPr>
        <w:t>2</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D304B">
        <w:rPr>
          <w:b/>
          <w:bCs/>
          <w:sz w:val="24"/>
          <w:u w:val="single"/>
        </w:rPr>
        <w:t>1</w:t>
      </w:r>
      <w:r w:rsidR="00280222">
        <w:rPr>
          <w:b/>
          <w:bCs/>
          <w:sz w:val="24"/>
          <w:u w:val="single"/>
        </w:rPr>
        <w:t>7</w:t>
      </w:r>
      <w:r w:rsidR="00412151">
        <w:rPr>
          <w:b/>
          <w:bCs/>
          <w:sz w:val="24"/>
          <w:u w:val="single"/>
        </w:rPr>
        <w:t xml:space="preserve"> MARCH</w:t>
      </w:r>
      <w:r w:rsidR="005E20E3">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10</w:t>
      </w:r>
      <w:r w:rsidRPr="008C527F">
        <w:rPr>
          <w:rFonts w:ascii="Arial" w:hAnsi="Arial" w:cs="Arial"/>
          <w:b/>
          <w:bCs/>
          <w:sz w:val="24"/>
          <w:u w:val="single"/>
        </w:rPr>
        <w:t>)</w:t>
      </w:r>
    </w:p>
    <w:p w:rsidR="00A92E95" w:rsidRPr="00A92E95" w:rsidRDefault="00A92E95" w:rsidP="00A92E95">
      <w:pPr>
        <w:spacing w:before="100" w:beforeAutospacing="1" w:after="100" w:afterAutospacing="1" w:line="240" w:lineRule="auto"/>
        <w:jc w:val="both"/>
        <w:rPr>
          <w:rFonts w:ascii="Arial" w:hAnsi="Arial" w:cs="Arial"/>
          <w:b/>
          <w:sz w:val="24"/>
          <w:szCs w:val="24"/>
          <w:u w:val="single"/>
          <w:lang w:val="en-US"/>
        </w:rPr>
      </w:pPr>
      <w:r w:rsidRPr="00A92E95">
        <w:rPr>
          <w:rFonts w:ascii="Arial" w:hAnsi="Arial" w:cs="Arial"/>
          <w:b/>
          <w:sz w:val="24"/>
          <w:szCs w:val="24"/>
          <w:u w:val="single"/>
          <w:lang w:val="en-US"/>
        </w:rPr>
        <w:t>Mrs M O Clarke (DA) to ask the Minister of Health</w:t>
      </w:r>
      <w:r w:rsidR="00502922" w:rsidRPr="00A92E95">
        <w:rPr>
          <w:rFonts w:ascii="Arial" w:hAnsi="Arial" w:cs="Arial"/>
          <w:b/>
          <w:sz w:val="24"/>
          <w:szCs w:val="24"/>
          <w:u w:val="single"/>
          <w:lang w:val="en-US"/>
        </w:rPr>
        <w:fldChar w:fldCharType="begin"/>
      </w:r>
      <w:r w:rsidRPr="00A92E95">
        <w:rPr>
          <w:rFonts w:ascii="Arial" w:hAnsi="Arial" w:cs="Arial"/>
          <w:u w:val="single"/>
        </w:rPr>
        <w:instrText xml:space="preserve"> XE "</w:instrText>
      </w:r>
      <w:r w:rsidRPr="00A92E95">
        <w:rPr>
          <w:rFonts w:ascii="Arial" w:hAnsi="Arial" w:cs="Arial"/>
          <w:b/>
          <w:sz w:val="24"/>
          <w:szCs w:val="24"/>
          <w:u w:val="single"/>
        </w:rPr>
        <w:instrText>Minister of Health</w:instrText>
      </w:r>
      <w:r w:rsidRPr="00A92E95">
        <w:rPr>
          <w:rFonts w:ascii="Arial" w:hAnsi="Arial" w:cs="Arial"/>
          <w:u w:val="single"/>
        </w:rPr>
        <w:instrText xml:space="preserve">" </w:instrText>
      </w:r>
      <w:r w:rsidR="00502922" w:rsidRPr="00A92E95">
        <w:rPr>
          <w:rFonts w:ascii="Arial" w:hAnsi="Arial" w:cs="Arial"/>
          <w:b/>
          <w:sz w:val="24"/>
          <w:szCs w:val="24"/>
          <w:u w:val="single"/>
          <w:lang w:val="en-US"/>
        </w:rPr>
        <w:fldChar w:fldCharType="end"/>
      </w:r>
      <w:r w:rsidRPr="00A92E95">
        <w:rPr>
          <w:rFonts w:ascii="Arial" w:hAnsi="Arial" w:cs="Arial"/>
          <w:b/>
          <w:sz w:val="24"/>
          <w:szCs w:val="24"/>
          <w:u w:val="single"/>
          <w:lang w:val="en-US"/>
        </w:rPr>
        <w:t>:</w:t>
      </w:r>
    </w:p>
    <w:p w:rsidR="00A92E95" w:rsidRPr="00A92E95" w:rsidRDefault="00A92E95" w:rsidP="00A92E95">
      <w:pPr>
        <w:spacing w:before="100" w:beforeAutospacing="1" w:after="100" w:afterAutospacing="1" w:line="240" w:lineRule="auto"/>
        <w:ind w:left="709" w:hanging="675"/>
        <w:jc w:val="both"/>
        <w:rPr>
          <w:rFonts w:ascii="Arial" w:hAnsi="Arial" w:cs="Arial"/>
          <w:sz w:val="24"/>
          <w:szCs w:val="24"/>
          <w:lang w:val="en-US"/>
        </w:rPr>
      </w:pPr>
      <w:r w:rsidRPr="00A92E95">
        <w:rPr>
          <w:rFonts w:ascii="Arial" w:hAnsi="Arial" w:cs="Arial"/>
          <w:sz w:val="24"/>
          <w:szCs w:val="24"/>
          <w:lang w:val="en-US"/>
        </w:rPr>
        <w:t>(1)</w:t>
      </w:r>
      <w:r w:rsidRPr="00A92E95">
        <w:rPr>
          <w:rFonts w:ascii="Arial" w:hAnsi="Arial" w:cs="Arial"/>
          <w:sz w:val="24"/>
          <w:szCs w:val="24"/>
          <w:lang w:val="en-US"/>
        </w:rPr>
        <w:tab/>
        <w:t>What (a) total number of (i) nurses, (ii) operational staff and (iii) clinicians have been absent at each State hospital in each province since 1 January 2021 and (b) were the reasons for the absence;</w:t>
      </w:r>
    </w:p>
    <w:p w:rsidR="002C2A10" w:rsidRPr="002A0C62" w:rsidRDefault="00A92E95" w:rsidP="00A92E95">
      <w:pPr>
        <w:spacing w:before="100" w:beforeAutospacing="1" w:after="100" w:afterAutospacing="1" w:line="240" w:lineRule="auto"/>
        <w:ind w:left="709" w:hanging="675"/>
        <w:jc w:val="both"/>
        <w:rPr>
          <w:rFonts w:ascii="Times New Roman" w:hAnsi="Times New Roman" w:cs="Times New Roman"/>
          <w:sz w:val="24"/>
          <w:szCs w:val="24"/>
        </w:rPr>
      </w:pPr>
      <w:r w:rsidRPr="00A92E95">
        <w:rPr>
          <w:rFonts w:ascii="Arial" w:hAnsi="Arial" w:cs="Arial"/>
          <w:sz w:val="24"/>
          <w:szCs w:val="24"/>
        </w:rPr>
        <w:t>(2)</w:t>
      </w:r>
      <w:r w:rsidRPr="00A92E95">
        <w:rPr>
          <w:rFonts w:ascii="Arial" w:hAnsi="Arial" w:cs="Arial"/>
          <w:sz w:val="24"/>
          <w:szCs w:val="24"/>
        </w:rPr>
        <w:tab/>
      </w:r>
      <w:r w:rsidRPr="00A92E95">
        <w:rPr>
          <w:rFonts w:ascii="Arial" w:hAnsi="Arial" w:cs="Arial"/>
          <w:sz w:val="24"/>
          <w:szCs w:val="24"/>
          <w:lang w:val="en-US"/>
        </w:rPr>
        <w:t xml:space="preserve">what (a) number of </w:t>
      </w:r>
      <w:r w:rsidRPr="00A92E95">
        <w:rPr>
          <w:rFonts w:ascii="Arial" w:hAnsi="Arial" w:cs="Arial"/>
          <w:sz w:val="24"/>
          <w:szCs w:val="24"/>
        </w:rPr>
        <w:t xml:space="preserve">disciplinary cases have taken place due to the specified absences </w:t>
      </w:r>
      <w:r w:rsidRPr="00A92E95">
        <w:rPr>
          <w:rFonts w:ascii="Arial" w:hAnsi="Arial" w:cs="Arial"/>
          <w:sz w:val="24"/>
          <w:szCs w:val="24"/>
          <w:lang w:val="en-US"/>
        </w:rPr>
        <w:t>and</w:t>
      </w:r>
      <w:r w:rsidRPr="00A92E95">
        <w:rPr>
          <w:rFonts w:ascii="Arial" w:hAnsi="Arial" w:cs="Arial"/>
          <w:sz w:val="24"/>
          <w:szCs w:val="24"/>
        </w:rPr>
        <w:t xml:space="preserve"> (b) consequence management provisions have been put in place to deal with high absenteeism within the public health sector of the Republic?</w:t>
      </w:r>
      <w:r w:rsidRPr="005E6F7C">
        <w:rPr>
          <w:rFonts w:ascii="Times New Roman" w:hAnsi="Times New Roman" w:cs="Times New Roman"/>
          <w:sz w:val="24"/>
          <w:szCs w:val="24"/>
        </w:rPr>
        <w:tab/>
      </w:r>
      <w:r w:rsidRPr="0079648E">
        <w:rPr>
          <w:rFonts w:ascii="Times New Roman" w:hAnsi="Times New Roman" w:cs="Times New Roman"/>
          <w:sz w:val="24"/>
          <w:szCs w:val="24"/>
        </w:rPr>
        <w:tab/>
      </w:r>
      <w:r w:rsidRPr="0079648E">
        <w:rPr>
          <w:rFonts w:ascii="Times New Roman" w:hAnsi="Times New Roman" w:cs="Times New Roman"/>
          <w:sz w:val="24"/>
          <w:szCs w:val="24"/>
        </w:rPr>
        <w:tab/>
      </w:r>
      <w:r w:rsidRPr="0079648E">
        <w:rPr>
          <w:rFonts w:ascii="Times New Roman" w:hAnsi="Times New Roman" w:cs="Times New Roman"/>
          <w:sz w:val="24"/>
          <w:szCs w:val="24"/>
        </w:rPr>
        <w:tab/>
      </w:r>
      <w:r w:rsidR="008C527F" w:rsidRPr="0020357C">
        <w:rPr>
          <w:rFonts w:ascii="Arial" w:hAnsi="Arial" w:cs="Arial"/>
          <w:b/>
          <w:bCs/>
          <w:sz w:val="12"/>
          <w:szCs w:val="12"/>
        </w:rPr>
        <w:t>NW</w:t>
      </w:r>
      <w:r w:rsidR="00EB3463">
        <w:rPr>
          <w:rFonts w:ascii="Arial" w:hAnsi="Arial" w:cs="Arial"/>
          <w:b/>
          <w:bCs/>
          <w:sz w:val="12"/>
          <w:szCs w:val="12"/>
        </w:rPr>
        <w:t>9</w:t>
      </w:r>
      <w:r w:rsidR="002A0C62">
        <w:rPr>
          <w:rFonts w:ascii="Arial" w:hAnsi="Arial" w:cs="Arial"/>
          <w:b/>
          <w:bCs/>
          <w:sz w:val="12"/>
          <w:szCs w:val="12"/>
        </w:rPr>
        <w:t>9</w:t>
      </w:r>
      <w:r>
        <w:rPr>
          <w:rFonts w:ascii="Arial" w:hAnsi="Arial" w:cs="Arial"/>
          <w:b/>
          <w:bCs/>
          <w:sz w:val="12"/>
          <w:szCs w:val="12"/>
        </w:rPr>
        <w:t>8</w:t>
      </w:r>
      <w:r w:rsidR="008C527F" w:rsidRPr="0020357C">
        <w:rPr>
          <w:rFonts w:ascii="Arial" w:hAnsi="Arial" w:cs="Arial"/>
          <w:b/>
          <w:bCs/>
          <w:sz w:val="12"/>
          <w:szCs w:val="12"/>
        </w:rPr>
        <w:t>E</w:t>
      </w:r>
    </w:p>
    <w:p w:rsidR="006228AA" w:rsidRPr="0062632C" w:rsidRDefault="006228AA" w:rsidP="00527131">
      <w:pPr>
        <w:spacing w:after="360" w:line="240" w:lineRule="auto"/>
        <w:ind w:right="306"/>
        <w:jc w:val="both"/>
        <w:rPr>
          <w:rFonts w:ascii="Times New Roman" w:hAnsi="Times New Roman" w:cs="Times New Roman"/>
          <w:color w:val="000000" w:themeColor="text1"/>
        </w:rPr>
      </w:pPr>
      <w:r w:rsidRPr="0062632C">
        <w:rPr>
          <w:rFonts w:ascii="Arial" w:hAnsi="Arial" w:cs="Arial"/>
          <w:b/>
          <w:bCs/>
          <w:u w:val="single"/>
          <w:lang w:val="en-US"/>
        </w:rPr>
        <w:t>REPLY:</w:t>
      </w:r>
    </w:p>
    <w:p w:rsidR="000E55A2" w:rsidRPr="0062632C" w:rsidRDefault="000E55A2" w:rsidP="000E55A2">
      <w:pPr>
        <w:pStyle w:val="ListParagraph"/>
        <w:numPr>
          <w:ilvl w:val="0"/>
          <w:numId w:val="17"/>
        </w:numPr>
        <w:shd w:val="clear" w:color="auto" w:fill="FFFFFF"/>
        <w:spacing w:before="100" w:beforeAutospacing="1" w:after="100" w:afterAutospacing="1" w:line="240" w:lineRule="auto"/>
        <w:ind w:left="709" w:hanging="709"/>
        <w:contextualSpacing w:val="0"/>
        <w:jc w:val="both"/>
        <w:rPr>
          <w:rFonts w:ascii="Arial" w:hAnsi="Arial" w:cs="Arial"/>
        </w:rPr>
      </w:pPr>
      <w:r w:rsidRPr="0062632C">
        <w:rPr>
          <w:rFonts w:ascii="Arial" w:hAnsi="Arial" w:cs="Arial"/>
        </w:rPr>
        <w:t xml:space="preserve">Leave of absence in the Public Service is regulated in accordance with the </w:t>
      </w:r>
      <w:r w:rsidRPr="0062632C">
        <w:rPr>
          <w:rFonts w:ascii="Arial" w:hAnsi="Arial" w:cs="Arial"/>
          <w:u w:val="single"/>
        </w:rPr>
        <w:t>Directive on Leave of Absence</w:t>
      </w:r>
      <w:r w:rsidRPr="0062632C">
        <w:rPr>
          <w:rFonts w:ascii="Arial" w:hAnsi="Arial" w:cs="Arial"/>
        </w:rPr>
        <w:t xml:space="preserve"> as published by the Department of Public Service and Administration in August 2021.  </w:t>
      </w:r>
    </w:p>
    <w:p w:rsidR="000E55A2" w:rsidRPr="0062632C" w:rsidRDefault="000E55A2" w:rsidP="000E55A2">
      <w:pPr>
        <w:shd w:val="clear" w:color="auto" w:fill="FFFFFF"/>
        <w:spacing w:before="100" w:beforeAutospacing="1" w:after="100" w:afterAutospacing="1"/>
        <w:ind w:left="540" w:firstLine="169"/>
        <w:jc w:val="both"/>
        <w:rPr>
          <w:rFonts w:ascii="Arial" w:hAnsi="Arial" w:cs="Arial"/>
        </w:rPr>
      </w:pPr>
      <w:r w:rsidRPr="0062632C">
        <w:rPr>
          <w:rFonts w:ascii="Arial" w:hAnsi="Arial" w:cs="Arial"/>
        </w:rPr>
        <w:t>In accordance with the information as extracted from the PERSAL data set-</w:t>
      </w:r>
    </w:p>
    <w:p w:rsidR="000E55A2" w:rsidRPr="0062632C" w:rsidRDefault="000E55A2" w:rsidP="000E55A2">
      <w:pPr>
        <w:pStyle w:val="ListParagraph"/>
        <w:numPr>
          <w:ilvl w:val="0"/>
          <w:numId w:val="18"/>
        </w:numPr>
        <w:shd w:val="clear" w:color="auto" w:fill="FFFFFF"/>
        <w:tabs>
          <w:tab w:val="left" w:pos="1276"/>
        </w:tabs>
        <w:spacing w:before="100" w:beforeAutospacing="1" w:after="100" w:afterAutospacing="1"/>
        <w:ind w:left="1985" w:hanging="1276"/>
        <w:jc w:val="both"/>
        <w:rPr>
          <w:rFonts w:ascii="Arial" w:hAnsi="Arial" w:cs="Arial"/>
        </w:rPr>
      </w:pPr>
      <w:r w:rsidRPr="0062632C">
        <w:rPr>
          <w:rFonts w:ascii="Arial" w:hAnsi="Arial" w:cs="Arial"/>
        </w:rPr>
        <w:t xml:space="preserve">(i) </w:t>
      </w:r>
      <w:r w:rsidRPr="0062632C">
        <w:rPr>
          <w:rFonts w:ascii="Arial" w:hAnsi="Arial" w:cs="Arial"/>
        </w:rPr>
        <w:tab/>
        <w:t>The data as provided gives overall number of days counts that Nurses (in all categories as employed in the Public Health Sector) took in different  leave categories during the financial years 2021/2022 and 2002/2023 is as per the table below:</w:t>
      </w:r>
      <w:r w:rsidRPr="0062632C">
        <w:rPr>
          <w:rFonts w:ascii="Arial" w:hAnsi="Arial" w:cs="Arial"/>
          <w:b/>
        </w:rPr>
        <w:t xml:space="preserve"> </w:t>
      </w:r>
    </w:p>
    <w:p w:rsidR="000E55A2" w:rsidRPr="009167DB" w:rsidRDefault="000E55A2" w:rsidP="000E55A2">
      <w:pPr>
        <w:ind w:left="90" w:firstLine="630"/>
        <w:jc w:val="both"/>
        <w:rPr>
          <w:rFonts w:ascii="Arial" w:hAnsi="Arial" w:cs="Arial"/>
          <w:sz w:val="20"/>
          <w:szCs w:val="20"/>
        </w:rPr>
      </w:pPr>
      <w:r w:rsidRPr="009167DB">
        <w:rPr>
          <w:rFonts w:ascii="Arial" w:hAnsi="Arial" w:cs="Arial"/>
          <w:b/>
          <w:bCs/>
          <w:sz w:val="20"/>
          <w:szCs w:val="20"/>
        </w:rPr>
        <w:t xml:space="preserve">The tables below provide a breakdown of the various categories of absenteeism per provinces. </w:t>
      </w:r>
    </w:p>
    <w:tbl>
      <w:tblPr>
        <w:tblW w:w="9755" w:type="dxa"/>
        <w:tblInd w:w="567" w:type="dxa"/>
        <w:tblLook w:val="04A0"/>
      </w:tblPr>
      <w:tblGrid>
        <w:gridCol w:w="2700"/>
        <w:gridCol w:w="750"/>
        <w:gridCol w:w="661"/>
        <w:gridCol w:w="661"/>
        <w:gridCol w:w="750"/>
        <w:gridCol w:w="750"/>
        <w:gridCol w:w="661"/>
        <w:gridCol w:w="661"/>
        <w:gridCol w:w="572"/>
        <w:gridCol w:w="750"/>
        <w:gridCol w:w="839"/>
      </w:tblGrid>
      <w:tr w:rsidR="000E55A2" w:rsidRPr="000E55A2" w:rsidTr="000E55A2">
        <w:trPr>
          <w:trHeight w:val="288"/>
        </w:trPr>
        <w:tc>
          <w:tcPr>
            <w:tcW w:w="9755" w:type="dxa"/>
            <w:gridSpan w:val="11"/>
            <w:tcBorders>
              <w:top w:val="nil"/>
              <w:left w:val="nil"/>
              <w:bottom w:val="single" w:sz="4" w:space="0" w:color="auto"/>
              <w:right w:val="nil"/>
            </w:tcBorders>
            <w:shd w:val="clear" w:color="000000" w:fill="375623"/>
            <w:vAlign w:val="center"/>
            <w:hideMark/>
          </w:tcPr>
          <w:p w:rsidR="000E55A2" w:rsidRPr="000E55A2" w:rsidRDefault="000E55A2" w:rsidP="000E55A2">
            <w:pPr>
              <w:spacing w:after="0" w:line="240" w:lineRule="auto"/>
              <w:jc w:val="center"/>
              <w:rPr>
                <w:rFonts w:ascii="Arial" w:hAnsi="Arial" w:cs="Arial"/>
                <w:b/>
                <w:bCs/>
                <w:color w:val="FFFFFF"/>
                <w:sz w:val="16"/>
                <w:szCs w:val="16"/>
              </w:rPr>
            </w:pPr>
            <w:r w:rsidRPr="000E55A2">
              <w:rPr>
                <w:rFonts w:ascii="Arial" w:hAnsi="Arial" w:cs="Arial"/>
                <w:b/>
                <w:bCs/>
                <w:color w:val="FFFFFF"/>
                <w:sz w:val="16"/>
                <w:szCs w:val="16"/>
              </w:rPr>
              <w:t>NUMBER OF DAYS ABSENT BY NURSES (IN ALL CATEGORIES)</w:t>
            </w:r>
          </w:p>
        </w:tc>
      </w:tr>
      <w:tr w:rsidR="000E55A2" w:rsidRPr="000E55A2" w:rsidTr="000E55A2">
        <w:trPr>
          <w:trHeight w:val="408"/>
        </w:trPr>
        <w:tc>
          <w:tcPr>
            <w:tcW w:w="2700" w:type="dxa"/>
            <w:tcBorders>
              <w:top w:val="nil"/>
              <w:left w:val="single" w:sz="4" w:space="0" w:color="auto"/>
              <w:bottom w:val="single" w:sz="4" w:space="0" w:color="auto"/>
              <w:right w:val="single" w:sz="4" w:space="0" w:color="auto"/>
            </w:tcBorders>
            <w:shd w:val="clear" w:color="000000" w:fill="375623"/>
            <w:vAlign w:val="center"/>
            <w:hideMark/>
          </w:tcPr>
          <w:p w:rsidR="000E55A2" w:rsidRPr="000E55A2" w:rsidRDefault="000E55A2" w:rsidP="000E55A2">
            <w:pPr>
              <w:spacing w:after="0" w:line="240" w:lineRule="auto"/>
              <w:jc w:val="center"/>
              <w:rPr>
                <w:rFonts w:ascii="Arial" w:hAnsi="Arial" w:cs="Arial"/>
                <w:b/>
                <w:bCs/>
                <w:color w:val="FFFFFF"/>
                <w:sz w:val="16"/>
                <w:szCs w:val="16"/>
              </w:rPr>
            </w:pPr>
            <w:r w:rsidRPr="000E55A2">
              <w:rPr>
                <w:rFonts w:ascii="Arial" w:hAnsi="Arial" w:cs="Arial"/>
                <w:b/>
                <w:bCs/>
                <w:color w:val="FFFFFF"/>
                <w:sz w:val="16"/>
                <w:szCs w:val="16"/>
              </w:rPr>
              <w:t> </w:t>
            </w:r>
          </w:p>
        </w:tc>
        <w:tc>
          <w:tcPr>
            <w:tcW w:w="750" w:type="dxa"/>
            <w:tcBorders>
              <w:top w:val="nil"/>
              <w:left w:val="nil"/>
              <w:bottom w:val="single" w:sz="4" w:space="0" w:color="auto"/>
              <w:right w:val="single" w:sz="4" w:space="0" w:color="auto"/>
            </w:tcBorders>
            <w:shd w:val="clear" w:color="000000" w:fill="375623"/>
            <w:vAlign w:val="center"/>
            <w:hideMark/>
          </w:tcPr>
          <w:p w:rsidR="000E55A2" w:rsidRPr="000E55A2" w:rsidRDefault="000E55A2" w:rsidP="000E55A2">
            <w:pPr>
              <w:spacing w:after="0" w:line="240" w:lineRule="auto"/>
              <w:rPr>
                <w:rFonts w:ascii="Arial" w:hAnsi="Arial" w:cs="Arial"/>
                <w:b/>
                <w:bCs/>
                <w:color w:val="FFFFFF"/>
                <w:sz w:val="16"/>
                <w:szCs w:val="16"/>
              </w:rPr>
            </w:pPr>
            <w:r w:rsidRPr="000E55A2">
              <w:rPr>
                <w:rFonts w:ascii="Arial" w:hAnsi="Arial" w:cs="Arial"/>
                <w:b/>
                <w:bCs/>
                <w:color w:val="FFFFFF"/>
                <w:sz w:val="16"/>
                <w:szCs w:val="16"/>
              </w:rPr>
              <w:t>EC</w:t>
            </w:r>
          </w:p>
        </w:tc>
        <w:tc>
          <w:tcPr>
            <w:tcW w:w="661" w:type="dxa"/>
            <w:tcBorders>
              <w:top w:val="nil"/>
              <w:left w:val="nil"/>
              <w:bottom w:val="single" w:sz="4" w:space="0" w:color="auto"/>
              <w:right w:val="single" w:sz="4" w:space="0" w:color="auto"/>
            </w:tcBorders>
            <w:shd w:val="clear" w:color="000000" w:fill="375623"/>
            <w:vAlign w:val="center"/>
            <w:hideMark/>
          </w:tcPr>
          <w:p w:rsidR="000E55A2" w:rsidRPr="000E55A2" w:rsidRDefault="000E55A2" w:rsidP="000E55A2">
            <w:pPr>
              <w:spacing w:after="0" w:line="240" w:lineRule="auto"/>
              <w:rPr>
                <w:rFonts w:ascii="Arial" w:hAnsi="Arial" w:cs="Arial"/>
                <w:b/>
                <w:bCs/>
                <w:color w:val="FFFFFF"/>
                <w:sz w:val="16"/>
                <w:szCs w:val="16"/>
              </w:rPr>
            </w:pPr>
            <w:r w:rsidRPr="000E55A2">
              <w:rPr>
                <w:rFonts w:ascii="Arial" w:hAnsi="Arial" w:cs="Arial"/>
                <w:b/>
                <w:bCs/>
                <w:color w:val="FFFFFF"/>
                <w:sz w:val="16"/>
                <w:szCs w:val="16"/>
              </w:rPr>
              <w:t>FS</w:t>
            </w:r>
          </w:p>
        </w:tc>
        <w:tc>
          <w:tcPr>
            <w:tcW w:w="661" w:type="dxa"/>
            <w:tcBorders>
              <w:top w:val="nil"/>
              <w:left w:val="nil"/>
              <w:bottom w:val="single" w:sz="4" w:space="0" w:color="auto"/>
              <w:right w:val="single" w:sz="4" w:space="0" w:color="auto"/>
            </w:tcBorders>
            <w:shd w:val="clear" w:color="000000" w:fill="375623"/>
            <w:vAlign w:val="center"/>
            <w:hideMark/>
          </w:tcPr>
          <w:p w:rsidR="000E55A2" w:rsidRPr="000E55A2" w:rsidRDefault="000E55A2" w:rsidP="000E55A2">
            <w:pPr>
              <w:spacing w:after="0" w:line="240" w:lineRule="auto"/>
              <w:rPr>
                <w:rFonts w:ascii="Arial" w:hAnsi="Arial" w:cs="Arial"/>
                <w:b/>
                <w:bCs/>
                <w:color w:val="FFFFFF"/>
                <w:sz w:val="16"/>
                <w:szCs w:val="16"/>
              </w:rPr>
            </w:pPr>
            <w:r w:rsidRPr="000E55A2">
              <w:rPr>
                <w:rFonts w:ascii="Arial" w:hAnsi="Arial" w:cs="Arial"/>
                <w:b/>
                <w:bCs/>
                <w:color w:val="FFFFFF"/>
                <w:sz w:val="16"/>
                <w:szCs w:val="16"/>
              </w:rPr>
              <w:t>GAU</w:t>
            </w:r>
          </w:p>
        </w:tc>
        <w:tc>
          <w:tcPr>
            <w:tcW w:w="750" w:type="dxa"/>
            <w:tcBorders>
              <w:top w:val="nil"/>
              <w:left w:val="nil"/>
              <w:bottom w:val="single" w:sz="4" w:space="0" w:color="auto"/>
              <w:right w:val="single" w:sz="4" w:space="0" w:color="auto"/>
            </w:tcBorders>
            <w:shd w:val="clear" w:color="000000" w:fill="375623"/>
            <w:vAlign w:val="center"/>
            <w:hideMark/>
          </w:tcPr>
          <w:p w:rsidR="000E55A2" w:rsidRPr="000E55A2" w:rsidRDefault="000E55A2" w:rsidP="000E55A2">
            <w:pPr>
              <w:spacing w:after="0" w:line="240" w:lineRule="auto"/>
              <w:rPr>
                <w:rFonts w:ascii="Arial" w:hAnsi="Arial" w:cs="Arial"/>
                <w:b/>
                <w:bCs/>
                <w:color w:val="FFFFFF"/>
                <w:sz w:val="16"/>
                <w:szCs w:val="16"/>
              </w:rPr>
            </w:pPr>
            <w:r w:rsidRPr="000E55A2">
              <w:rPr>
                <w:rFonts w:ascii="Arial" w:hAnsi="Arial" w:cs="Arial"/>
                <w:b/>
                <w:bCs/>
                <w:color w:val="FFFFFF"/>
                <w:sz w:val="16"/>
                <w:szCs w:val="16"/>
              </w:rPr>
              <w:t>KZN</w:t>
            </w:r>
          </w:p>
        </w:tc>
        <w:tc>
          <w:tcPr>
            <w:tcW w:w="750" w:type="dxa"/>
            <w:tcBorders>
              <w:top w:val="nil"/>
              <w:left w:val="nil"/>
              <w:bottom w:val="single" w:sz="4" w:space="0" w:color="auto"/>
              <w:right w:val="single" w:sz="4" w:space="0" w:color="auto"/>
            </w:tcBorders>
            <w:shd w:val="clear" w:color="000000" w:fill="375623"/>
            <w:vAlign w:val="center"/>
            <w:hideMark/>
          </w:tcPr>
          <w:p w:rsidR="000E55A2" w:rsidRPr="000E55A2" w:rsidRDefault="000E55A2" w:rsidP="000E55A2">
            <w:pPr>
              <w:spacing w:after="0" w:line="240" w:lineRule="auto"/>
              <w:rPr>
                <w:rFonts w:ascii="Arial" w:hAnsi="Arial" w:cs="Arial"/>
                <w:b/>
                <w:bCs/>
                <w:color w:val="FFFFFF"/>
                <w:sz w:val="16"/>
                <w:szCs w:val="16"/>
              </w:rPr>
            </w:pPr>
            <w:r w:rsidRPr="000E55A2">
              <w:rPr>
                <w:rFonts w:ascii="Arial" w:hAnsi="Arial" w:cs="Arial"/>
                <w:b/>
                <w:bCs/>
                <w:color w:val="FFFFFF"/>
                <w:sz w:val="16"/>
                <w:szCs w:val="16"/>
              </w:rPr>
              <w:t>LP</w:t>
            </w:r>
          </w:p>
        </w:tc>
        <w:tc>
          <w:tcPr>
            <w:tcW w:w="661" w:type="dxa"/>
            <w:tcBorders>
              <w:top w:val="nil"/>
              <w:left w:val="nil"/>
              <w:bottom w:val="single" w:sz="4" w:space="0" w:color="auto"/>
              <w:right w:val="single" w:sz="4" w:space="0" w:color="auto"/>
            </w:tcBorders>
            <w:shd w:val="clear" w:color="000000" w:fill="375623"/>
            <w:vAlign w:val="center"/>
            <w:hideMark/>
          </w:tcPr>
          <w:p w:rsidR="000E55A2" w:rsidRPr="000E55A2" w:rsidRDefault="000E55A2" w:rsidP="000E55A2">
            <w:pPr>
              <w:spacing w:after="0" w:line="240" w:lineRule="auto"/>
              <w:rPr>
                <w:rFonts w:ascii="Arial" w:hAnsi="Arial" w:cs="Arial"/>
                <w:b/>
                <w:bCs/>
                <w:color w:val="FFFFFF"/>
                <w:sz w:val="16"/>
                <w:szCs w:val="16"/>
              </w:rPr>
            </w:pPr>
            <w:r w:rsidRPr="000E55A2">
              <w:rPr>
                <w:rFonts w:ascii="Arial" w:hAnsi="Arial" w:cs="Arial"/>
                <w:b/>
                <w:bCs/>
                <w:color w:val="FFFFFF"/>
                <w:sz w:val="16"/>
                <w:szCs w:val="16"/>
              </w:rPr>
              <w:t>MPU</w:t>
            </w:r>
          </w:p>
        </w:tc>
        <w:tc>
          <w:tcPr>
            <w:tcW w:w="661" w:type="dxa"/>
            <w:tcBorders>
              <w:top w:val="nil"/>
              <w:left w:val="nil"/>
              <w:bottom w:val="single" w:sz="4" w:space="0" w:color="auto"/>
              <w:right w:val="single" w:sz="4" w:space="0" w:color="auto"/>
            </w:tcBorders>
            <w:shd w:val="clear" w:color="000000" w:fill="375623"/>
            <w:vAlign w:val="center"/>
            <w:hideMark/>
          </w:tcPr>
          <w:p w:rsidR="000E55A2" w:rsidRPr="000E55A2" w:rsidRDefault="000E55A2" w:rsidP="000E55A2">
            <w:pPr>
              <w:spacing w:after="0" w:line="240" w:lineRule="auto"/>
              <w:rPr>
                <w:rFonts w:ascii="Arial" w:hAnsi="Arial" w:cs="Arial"/>
                <w:b/>
                <w:bCs/>
                <w:color w:val="FFFFFF"/>
                <w:sz w:val="16"/>
                <w:szCs w:val="16"/>
              </w:rPr>
            </w:pPr>
            <w:r w:rsidRPr="000E55A2">
              <w:rPr>
                <w:rFonts w:ascii="Arial" w:hAnsi="Arial" w:cs="Arial"/>
                <w:b/>
                <w:bCs/>
                <w:color w:val="FFFFFF"/>
                <w:sz w:val="16"/>
                <w:szCs w:val="16"/>
              </w:rPr>
              <w:t>NW</w:t>
            </w:r>
          </w:p>
        </w:tc>
        <w:tc>
          <w:tcPr>
            <w:tcW w:w="572" w:type="dxa"/>
            <w:tcBorders>
              <w:top w:val="nil"/>
              <w:left w:val="nil"/>
              <w:bottom w:val="single" w:sz="4" w:space="0" w:color="auto"/>
              <w:right w:val="single" w:sz="4" w:space="0" w:color="auto"/>
            </w:tcBorders>
            <w:shd w:val="clear" w:color="000000" w:fill="375623"/>
            <w:vAlign w:val="center"/>
            <w:hideMark/>
          </w:tcPr>
          <w:p w:rsidR="000E55A2" w:rsidRPr="000E55A2" w:rsidRDefault="000E55A2" w:rsidP="000E55A2">
            <w:pPr>
              <w:spacing w:after="0" w:line="240" w:lineRule="auto"/>
              <w:rPr>
                <w:rFonts w:ascii="Arial" w:hAnsi="Arial" w:cs="Arial"/>
                <w:b/>
                <w:bCs/>
                <w:color w:val="FFFFFF"/>
                <w:sz w:val="16"/>
                <w:szCs w:val="16"/>
              </w:rPr>
            </w:pPr>
            <w:r w:rsidRPr="000E55A2">
              <w:rPr>
                <w:rFonts w:ascii="Arial" w:hAnsi="Arial" w:cs="Arial"/>
                <w:b/>
                <w:bCs/>
                <w:color w:val="FFFFFF"/>
                <w:sz w:val="16"/>
                <w:szCs w:val="16"/>
              </w:rPr>
              <w:t>NC</w:t>
            </w:r>
          </w:p>
        </w:tc>
        <w:tc>
          <w:tcPr>
            <w:tcW w:w="750" w:type="dxa"/>
            <w:tcBorders>
              <w:top w:val="nil"/>
              <w:left w:val="nil"/>
              <w:bottom w:val="single" w:sz="4" w:space="0" w:color="auto"/>
              <w:right w:val="single" w:sz="4" w:space="0" w:color="auto"/>
            </w:tcBorders>
            <w:shd w:val="clear" w:color="000000" w:fill="375623"/>
            <w:vAlign w:val="center"/>
            <w:hideMark/>
          </w:tcPr>
          <w:p w:rsidR="000E55A2" w:rsidRPr="000E55A2" w:rsidRDefault="000E55A2" w:rsidP="000E55A2">
            <w:pPr>
              <w:spacing w:after="0" w:line="240" w:lineRule="auto"/>
              <w:rPr>
                <w:rFonts w:ascii="Arial" w:hAnsi="Arial" w:cs="Arial"/>
                <w:b/>
                <w:bCs/>
                <w:color w:val="FFFFFF"/>
                <w:sz w:val="16"/>
                <w:szCs w:val="16"/>
              </w:rPr>
            </w:pPr>
            <w:r w:rsidRPr="000E55A2">
              <w:rPr>
                <w:rFonts w:ascii="Arial" w:hAnsi="Arial" w:cs="Arial"/>
                <w:b/>
                <w:bCs/>
                <w:color w:val="FFFFFF"/>
                <w:sz w:val="16"/>
                <w:szCs w:val="16"/>
              </w:rPr>
              <w:t>WC</w:t>
            </w:r>
          </w:p>
        </w:tc>
        <w:tc>
          <w:tcPr>
            <w:tcW w:w="839" w:type="dxa"/>
            <w:tcBorders>
              <w:top w:val="nil"/>
              <w:left w:val="nil"/>
              <w:bottom w:val="single" w:sz="4" w:space="0" w:color="auto"/>
              <w:right w:val="nil"/>
            </w:tcBorders>
            <w:shd w:val="clear" w:color="000000" w:fill="375623"/>
            <w:vAlign w:val="center"/>
            <w:hideMark/>
          </w:tcPr>
          <w:p w:rsidR="000E55A2" w:rsidRPr="000E55A2" w:rsidRDefault="000E55A2" w:rsidP="000E55A2">
            <w:pPr>
              <w:spacing w:after="0" w:line="240" w:lineRule="auto"/>
              <w:jc w:val="center"/>
              <w:rPr>
                <w:rFonts w:ascii="Arial" w:hAnsi="Arial" w:cs="Arial"/>
                <w:b/>
                <w:bCs/>
                <w:color w:val="FFFFFF"/>
                <w:sz w:val="16"/>
                <w:szCs w:val="16"/>
              </w:rPr>
            </w:pPr>
            <w:r w:rsidRPr="000E55A2">
              <w:rPr>
                <w:rFonts w:ascii="Arial" w:hAnsi="Arial" w:cs="Arial"/>
                <w:b/>
                <w:bCs/>
                <w:color w:val="FFFFFF"/>
                <w:sz w:val="16"/>
                <w:szCs w:val="16"/>
              </w:rPr>
              <w:t>Overall Total</w:t>
            </w:r>
          </w:p>
        </w:tc>
      </w:tr>
      <w:tr w:rsidR="000E55A2" w:rsidRPr="000E55A2" w:rsidTr="000E55A2">
        <w:trPr>
          <w:trHeight w:val="269"/>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0E55A2" w:rsidRPr="000E55A2" w:rsidRDefault="000E55A2" w:rsidP="000E55A2">
            <w:pPr>
              <w:spacing w:after="0" w:line="240" w:lineRule="auto"/>
              <w:rPr>
                <w:rFonts w:ascii="Arial" w:hAnsi="Arial" w:cs="Arial"/>
                <w:color w:val="000000"/>
                <w:sz w:val="16"/>
                <w:szCs w:val="16"/>
              </w:rPr>
            </w:pPr>
            <w:r w:rsidRPr="000E55A2">
              <w:rPr>
                <w:rFonts w:ascii="Arial" w:hAnsi="Arial" w:cs="Arial"/>
                <w:color w:val="000000"/>
                <w:sz w:val="16"/>
                <w:szCs w:val="16"/>
              </w:rPr>
              <w:t>Adoption (Workdays)</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2</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44</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0</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4</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6</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0</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0</w:t>
            </w:r>
          </w:p>
        </w:tc>
        <w:tc>
          <w:tcPr>
            <w:tcW w:w="572"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0</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0</w:t>
            </w:r>
          </w:p>
        </w:tc>
        <w:tc>
          <w:tcPr>
            <w:tcW w:w="839"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56</w:t>
            </w:r>
          </w:p>
        </w:tc>
      </w:tr>
      <w:tr w:rsidR="000E55A2" w:rsidRPr="000E55A2" w:rsidTr="000E55A2">
        <w:trPr>
          <w:trHeight w:val="17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0E55A2" w:rsidRPr="000E55A2" w:rsidRDefault="000E55A2" w:rsidP="000E55A2">
            <w:pPr>
              <w:spacing w:after="0" w:line="240" w:lineRule="auto"/>
              <w:rPr>
                <w:rFonts w:ascii="Arial" w:hAnsi="Arial" w:cs="Arial"/>
                <w:color w:val="000000"/>
                <w:sz w:val="16"/>
                <w:szCs w:val="16"/>
              </w:rPr>
            </w:pPr>
            <w:r w:rsidRPr="000E55A2">
              <w:rPr>
                <w:rFonts w:ascii="Arial" w:hAnsi="Arial" w:cs="Arial"/>
                <w:color w:val="000000"/>
                <w:sz w:val="16"/>
                <w:szCs w:val="16"/>
              </w:rPr>
              <w:t>Discounting (Workdays)</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102</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1964</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102</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791</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238</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148</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136</w:t>
            </w:r>
          </w:p>
        </w:tc>
        <w:tc>
          <w:tcPr>
            <w:tcW w:w="572"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33</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852</w:t>
            </w:r>
          </w:p>
        </w:tc>
        <w:tc>
          <w:tcPr>
            <w:tcW w:w="839"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4366</w:t>
            </w:r>
          </w:p>
        </w:tc>
      </w:tr>
      <w:tr w:rsidR="000E55A2" w:rsidRPr="000E55A2" w:rsidTr="000E55A2">
        <w:trPr>
          <w:trHeight w:val="288"/>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0E55A2" w:rsidRPr="000E55A2" w:rsidRDefault="000E55A2" w:rsidP="000E55A2">
            <w:pPr>
              <w:spacing w:after="0" w:line="240" w:lineRule="auto"/>
              <w:rPr>
                <w:rFonts w:ascii="Arial" w:hAnsi="Arial" w:cs="Arial"/>
                <w:color w:val="000000"/>
                <w:sz w:val="16"/>
                <w:szCs w:val="16"/>
              </w:rPr>
            </w:pPr>
            <w:r w:rsidRPr="000E55A2">
              <w:rPr>
                <w:rFonts w:ascii="Arial" w:hAnsi="Arial" w:cs="Arial"/>
                <w:color w:val="000000"/>
                <w:sz w:val="16"/>
                <w:szCs w:val="16"/>
              </w:rPr>
              <w:t>Family Responsibility (Workdays)</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7403</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1542</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2147</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20103</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14428</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3755</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2776</w:t>
            </w:r>
          </w:p>
        </w:tc>
        <w:tc>
          <w:tcPr>
            <w:tcW w:w="572"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384</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11203</w:t>
            </w:r>
          </w:p>
        </w:tc>
        <w:tc>
          <w:tcPr>
            <w:tcW w:w="839"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63741</w:t>
            </w:r>
          </w:p>
        </w:tc>
      </w:tr>
      <w:tr w:rsidR="000E55A2" w:rsidRPr="000E55A2" w:rsidTr="000E55A2">
        <w:trPr>
          <w:trHeight w:val="197"/>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0E55A2" w:rsidRPr="000E55A2" w:rsidRDefault="000E55A2" w:rsidP="000E55A2">
            <w:pPr>
              <w:spacing w:after="0" w:line="240" w:lineRule="auto"/>
              <w:rPr>
                <w:rFonts w:ascii="Arial" w:hAnsi="Arial" w:cs="Arial"/>
                <w:color w:val="000000"/>
                <w:sz w:val="16"/>
                <w:szCs w:val="16"/>
              </w:rPr>
            </w:pPr>
            <w:r w:rsidRPr="000E55A2">
              <w:rPr>
                <w:rFonts w:ascii="Arial" w:hAnsi="Arial" w:cs="Arial"/>
                <w:color w:val="000000"/>
                <w:sz w:val="16"/>
                <w:szCs w:val="16"/>
              </w:rPr>
              <w:t>Gratuity (Workdays)</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239</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131</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34</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713</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531</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199</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82</w:t>
            </w:r>
          </w:p>
        </w:tc>
        <w:tc>
          <w:tcPr>
            <w:tcW w:w="572"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26</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265</w:t>
            </w:r>
          </w:p>
        </w:tc>
        <w:tc>
          <w:tcPr>
            <w:tcW w:w="839"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2220</w:t>
            </w:r>
          </w:p>
        </w:tc>
      </w:tr>
      <w:tr w:rsidR="000E55A2" w:rsidRPr="000E55A2" w:rsidTr="000E55A2">
        <w:trPr>
          <w:trHeight w:val="288"/>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0E55A2" w:rsidRPr="000E55A2" w:rsidRDefault="000E55A2" w:rsidP="000E55A2">
            <w:pPr>
              <w:spacing w:after="0" w:line="240" w:lineRule="auto"/>
              <w:rPr>
                <w:rFonts w:ascii="Arial" w:hAnsi="Arial" w:cs="Arial"/>
                <w:color w:val="000000"/>
                <w:sz w:val="16"/>
                <w:szCs w:val="16"/>
              </w:rPr>
            </w:pPr>
            <w:r w:rsidRPr="000E55A2">
              <w:rPr>
                <w:rFonts w:ascii="Arial" w:hAnsi="Arial" w:cs="Arial"/>
                <w:color w:val="000000"/>
                <w:sz w:val="16"/>
                <w:szCs w:val="16"/>
              </w:rPr>
              <w:t>Leave Without Pay (Calendar Days)</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1540</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269</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359</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3409</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595</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291</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183</w:t>
            </w:r>
          </w:p>
        </w:tc>
        <w:tc>
          <w:tcPr>
            <w:tcW w:w="572"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130</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1421</w:t>
            </w:r>
          </w:p>
        </w:tc>
        <w:tc>
          <w:tcPr>
            <w:tcW w:w="839"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8197</w:t>
            </w:r>
          </w:p>
        </w:tc>
      </w:tr>
      <w:tr w:rsidR="000E55A2" w:rsidRPr="000E55A2" w:rsidTr="000E55A2">
        <w:trPr>
          <w:trHeight w:val="233"/>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0E55A2" w:rsidRPr="000E55A2" w:rsidRDefault="000E55A2" w:rsidP="000E55A2">
            <w:pPr>
              <w:spacing w:after="0" w:line="240" w:lineRule="auto"/>
              <w:rPr>
                <w:rFonts w:ascii="Arial" w:hAnsi="Arial" w:cs="Arial"/>
                <w:color w:val="000000"/>
                <w:sz w:val="16"/>
                <w:szCs w:val="16"/>
              </w:rPr>
            </w:pPr>
            <w:r w:rsidRPr="000E55A2">
              <w:rPr>
                <w:rFonts w:ascii="Arial" w:hAnsi="Arial" w:cs="Arial"/>
                <w:color w:val="000000"/>
                <w:sz w:val="16"/>
                <w:szCs w:val="16"/>
              </w:rPr>
              <w:t>Maternity</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576</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163</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217</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1290</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742</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362</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184</w:t>
            </w:r>
          </w:p>
        </w:tc>
        <w:tc>
          <w:tcPr>
            <w:tcW w:w="572"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22</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524</w:t>
            </w:r>
          </w:p>
        </w:tc>
        <w:tc>
          <w:tcPr>
            <w:tcW w:w="839"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4080</w:t>
            </w:r>
          </w:p>
        </w:tc>
      </w:tr>
      <w:tr w:rsidR="000E55A2" w:rsidRPr="000E55A2" w:rsidTr="000E55A2">
        <w:trPr>
          <w:trHeight w:val="288"/>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0E55A2" w:rsidRPr="000E55A2" w:rsidRDefault="000E55A2" w:rsidP="000E55A2">
            <w:pPr>
              <w:spacing w:after="0" w:line="240" w:lineRule="auto"/>
              <w:rPr>
                <w:rFonts w:ascii="Arial" w:hAnsi="Arial" w:cs="Arial"/>
                <w:color w:val="000000"/>
                <w:sz w:val="16"/>
                <w:szCs w:val="16"/>
              </w:rPr>
            </w:pPr>
            <w:r w:rsidRPr="000E55A2">
              <w:rPr>
                <w:rFonts w:ascii="Arial" w:hAnsi="Arial" w:cs="Arial"/>
                <w:color w:val="000000"/>
                <w:sz w:val="16"/>
                <w:szCs w:val="16"/>
              </w:rPr>
              <w:t>Occupational Injuries/Diseases (Workdays)</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185</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41</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67</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833</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1735</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988</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151</w:t>
            </w:r>
          </w:p>
        </w:tc>
        <w:tc>
          <w:tcPr>
            <w:tcW w:w="572"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9</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158</w:t>
            </w:r>
          </w:p>
        </w:tc>
        <w:tc>
          <w:tcPr>
            <w:tcW w:w="839"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4167</w:t>
            </w:r>
          </w:p>
        </w:tc>
      </w:tr>
      <w:tr w:rsidR="000E55A2" w:rsidRPr="000E55A2" w:rsidTr="000E55A2">
        <w:trPr>
          <w:trHeight w:val="188"/>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0E55A2" w:rsidRPr="000E55A2" w:rsidRDefault="000E55A2" w:rsidP="000E55A2">
            <w:pPr>
              <w:spacing w:after="0" w:line="240" w:lineRule="auto"/>
              <w:rPr>
                <w:rFonts w:ascii="Arial" w:hAnsi="Arial" w:cs="Arial"/>
                <w:color w:val="000000"/>
                <w:sz w:val="16"/>
                <w:szCs w:val="16"/>
              </w:rPr>
            </w:pPr>
            <w:r w:rsidRPr="000E55A2">
              <w:rPr>
                <w:rFonts w:ascii="Arial" w:hAnsi="Arial" w:cs="Arial"/>
                <w:color w:val="000000"/>
                <w:sz w:val="16"/>
                <w:szCs w:val="16"/>
              </w:rPr>
              <w:t>Paternity (Workdays)</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54</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12</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16</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105</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100</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27</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24</w:t>
            </w:r>
          </w:p>
        </w:tc>
        <w:tc>
          <w:tcPr>
            <w:tcW w:w="572"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48</w:t>
            </w:r>
          </w:p>
        </w:tc>
        <w:tc>
          <w:tcPr>
            <w:tcW w:w="839"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387</w:t>
            </w:r>
          </w:p>
        </w:tc>
      </w:tr>
      <w:tr w:rsidR="000E55A2" w:rsidRPr="000E55A2" w:rsidTr="000E55A2">
        <w:trPr>
          <w:trHeight w:val="288"/>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0E55A2" w:rsidRPr="000E55A2" w:rsidRDefault="000E55A2" w:rsidP="000E55A2">
            <w:pPr>
              <w:spacing w:after="0" w:line="240" w:lineRule="auto"/>
              <w:rPr>
                <w:rFonts w:ascii="Arial" w:hAnsi="Arial" w:cs="Arial"/>
                <w:color w:val="000000"/>
                <w:sz w:val="16"/>
                <w:szCs w:val="16"/>
              </w:rPr>
            </w:pPr>
            <w:r w:rsidRPr="000E55A2">
              <w:rPr>
                <w:rFonts w:ascii="Arial" w:hAnsi="Arial" w:cs="Arial"/>
                <w:color w:val="000000"/>
                <w:sz w:val="16"/>
                <w:szCs w:val="16"/>
              </w:rPr>
              <w:t>Permanent Incapacity Leave</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7</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121</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13</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598</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3</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155</w:t>
            </w:r>
          </w:p>
        </w:tc>
        <w:tc>
          <w:tcPr>
            <w:tcW w:w="572"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9</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7</w:t>
            </w:r>
          </w:p>
        </w:tc>
        <w:tc>
          <w:tcPr>
            <w:tcW w:w="839"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914</w:t>
            </w:r>
          </w:p>
        </w:tc>
      </w:tr>
      <w:tr w:rsidR="000E55A2" w:rsidRPr="000E55A2" w:rsidTr="000E55A2">
        <w:trPr>
          <w:trHeight w:val="143"/>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0E55A2" w:rsidRPr="000E55A2" w:rsidRDefault="000E55A2" w:rsidP="000E55A2">
            <w:pPr>
              <w:spacing w:after="0" w:line="240" w:lineRule="auto"/>
              <w:rPr>
                <w:rFonts w:ascii="Arial" w:hAnsi="Arial" w:cs="Arial"/>
                <w:color w:val="000000"/>
                <w:sz w:val="16"/>
                <w:szCs w:val="16"/>
              </w:rPr>
            </w:pPr>
            <w:r w:rsidRPr="000E55A2">
              <w:rPr>
                <w:rFonts w:ascii="Arial" w:hAnsi="Arial" w:cs="Arial"/>
                <w:color w:val="000000"/>
                <w:sz w:val="16"/>
                <w:szCs w:val="16"/>
              </w:rPr>
              <w:t>Pre-Natal (Workdays)</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308</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161</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154</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1376</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350</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194</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77</w:t>
            </w:r>
          </w:p>
        </w:tc>
        <w:tc>
          <w:tcPr>
            <w:tcW w:w="572"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13</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861</w:t>
            </w:r>
          </w:p>
        </w:tc>
        <w:tc>
          <w:tcPr>
            <w:tcW w:w="839"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3494</w:t>
            </w:r>
          </w:p>
        </w:tc>
      </w:tr>
      <w:tr w:rsidR="000E55A2" w:rsidRPr="000E55A2" w:rsidTr="000E55A2">
        <w:trPr>
          <w:trHeight w:val="288"/>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0E55A2" w:rsidRPr="000E55A2" w:rsidRDefault="000E55A2" w:rsidP="000E55A2">
            <w:pPr>
              <w:spacing w:after="0" w:line="240" w:lineRule="auto"/>
              <w:rPr>
                <w:rFonts w:ascii="Arial" w:hAnsi="Arial" w:cs="Arial"/>
                <w:color w:val="000000"/>
                <w:sz w:val="16"/>
                <w:szCs w:val="16"/>
              </w:rPr>
            </w:pPr>
            <w:r w:rsidRPr="000E55A2">
              <w:rPr>
                <w:rFonts w:ascii="Arial" w:hAnsi="Arial" w:cs="Arial"/>
                <w:color w:val="000000"/>
                <w:sz w:val="16"/>
                <w:szCs w:val="16"/>
              </w:rPr>
              <w:t>Shop Steward/Office Bearer (Workdays)</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663</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183</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87</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1024</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1052</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258</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183</w:t>
            </w:r>
          </w:p>
        </w:tc>
        <w:tc>
          <w:tcPr>
            <w:tcW w:w="572"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78</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595</w:t>
            </w:r>
          </w:p>
        </w:tc>
        <w:tc>
          <w:tcPr>
            <w:tcW w:w="839"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4123</w:t>
            </w:r>
          </w:p>
        </w:tc>
      </w:tr>
      <w:tr w:rsidR="000E55A2" w:rsidRPr="000E55A2" w:rsidTr="000E55A2">
        <w:trPr>
          <w:trHeight w:val="215"/>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0E55A2" w:rsidRPr="000E55A2" w:rsidRDefault="000E55A2" w:rsidP="000E55A2">
            <w:pPr>
              <w:spacing w:after="0" w:line="240" w:lineRule="auto"/>
              <w:rPr>
                <w:rFonts w:ascii="Arial" w:hAnsi="Arial" w:cs="Arial"/>
                <w:color w:val="000000"/>
                <w:sz w:val="16"/>
                <w:szCs w:val="16"/>
              </w:rPr>
            </w:pPr>
            <w:r w:rsidRPr="000E55A2">
              <w:rPr>
                <w:rFonts w:ascii="Arial" w:hAnsi="Arial" w:cs="Arial"/>
                <w:color w:val="000000"/>
                <w:sz w:val="16"/>
                <w:szCs w:val="16"/>
              </w:rPr>
              <w:t>Sick-Full Pay (Workdays)</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53276</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19217</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11953</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145227</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57858</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17671</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14473</w:t>
            </w:r>
          </w:p>
        </w:tc>
        <w:tc>
          <w:tcPr>
            <w:tcW w:w="572"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2504</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59599</w:t>
            </w:r>
          </w:p>
        </w:tc>
        <w:tc>
          <w:tcPr>
            <w:tcW w:w="839"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381778</w:t>
            </w:r>
          </w:p>
        </w:tc>
      </w:tr>
      <w:tr w:rsidR="000E55A2" w:rsidRPr="000E55A2" w:rsidTr="000E55A2">
        <w:trPr>
          <w:trHeight w:val="161"/>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0E55A2" w:rsidRPr="000E55A2" w:rsidRDefault="000E55A2" w:rsidP="000E55A2">
            <w:pPr>
              <w:spacing w:after="0" w:line="240" w:lineRule="auto"/>
              <w:rPr>
                <w:rFonts w:ascii="Arial" w:hAnsi="Arial" w:cs="Arial"/>
                <w:color w:val="000000"/>
                <w:sz w:val="16"/>
                <w:szCs w:val="16"/>
              </w:rPr>
            </w:pPr>
            <w:r w:rsidRPr="000E55A2">
              <w:rPr>
                <w:rFonts w:ascii="Arial" w:hAnsi="Arial" w:cs="Arial"/>
                <w:color w:val="000000"/>
                <w:sz w:val="16"/>
                <w:szCs w:val="16"/>
              </w:rPr>
              <w:t>Special (Workdays)</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1893</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536</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459</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10173</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3249</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601</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778</w:t>
            </w:r>
          </w:p>
        </w:tc>
        <w:tc>
          <w:tcPr>
            <w:tcW w:w="572"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104</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10795</w:t>
            </w:r>
          </w:p>
        </w:tc>
        <w:tc>
          <w:tcPr>
            <w:tcW w:w="839"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28588</w:t>
            </w:r>
          </w:p>
        </w:tc>
      </w:tr>
      <w:tr w:rsidR="000E55A2" w:rsidRPr="000E55A2" w:rsidTr="000E55A2">
        <w:trPr>
          <w:trHeight w:val="288"/>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0E55A2" w:rsidRPr="000E55A2" w:rsidRDefault="000E55A2" w:rsidP="000E55A2">
            <w:pPr>
              <w:spacing w:after="0" w:line="240" w:lineRule="auto"/>
              <w:rPr>
                <w:rFonts w:ascii="Arial" w:hAnsi="Arial" w:cs="Arial"/>
                <w:color w:val="000000"/>
                <w:sz w:val="16"/>
                <w:szCs w:val="16"/>
              </w:rPr>
            </w:pPr>
            <w:r w:rsidRPr="000E55A2">
              <w:rPr>
                <w:rFonts w:ascii="Arial" w:hAnsi="Arial" w:cs="Arial"/>
                <w:color w:val="000000"/>
                <w:sz w:val="16"/>
                <w:szCs w:val="16"/>
              </w:rPr>
              <w:t>Temporary Incapacity Leave</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1011</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773</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583</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3358</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872</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431</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343</w:t>
            </w:r>
          </w:p>
        </w:tc>
        <w:tc>
          <w:tcPr>
            <w:tcW w:w="572"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37</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1507</w:t>
            </w:r>
          </w:p>
        </w:tc>
        <w:tc>
          <w:tcPr>
            <w:tcW w:w="839"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8915</w:t>
            </w:r>
          </w:p>
        </w:tc>
      </w:tr>
      <w:tr w:rsidR="000E55A2" w:rsidRPr="000E55A2" w:rsidTr="000E55A2">
        <w:trPr>
          <w:trHeight w:val="288"/>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0E55A2" w:rsidRPr="000E55A2" w:rsidRDefault="000E55A2" w:rsidP="000E55A2">
            <w:pPr>
              <w:spacing w:after="0" w:line="240" w:lineRule="auto"/>
              <w:rPr>
                <w:rFonts w:ascii="Arial" w:hAnsi="Arial" w:cs="Arial"/>
                <w:color w:val="000000"/>
                <w:sz w:val="16"/>
                <w:szCs w:val="16"/>
              </w:rPr>
            </w:pPr>
            <w:r w:rsidRPr="000E55A2">
              <w:rPr>
                <w:rFonts w:ascii="Arial" w:hAnsi="Arial" w:cs="Arial"/>
                <w:color w:val="000000"/>
                <w:sz w:val="16"/>
                <w:szCs w:val="16"/>
              </w:rPr>
              <w:t>Vacation - Full Pay (Workdays)</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103013</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37979</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17654</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214258</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91977</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38302</w:t>
            </w:r>
          </w:p>
        </w:tc>
        <w:tc>
          <w:tcPr>
            <w:tcW w:w="661"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25891</w:t>
            </w:r>
          </w:p>
        </w:tc>
        <w:tc>
          <w:tcPr>
            <w:tcW w:w="572"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4459</w:t>
            </w:r>
          </w:p>
        </w:tc>
        <w:tc>
          <w:tcPr>
            <w:tcW w:w="750"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75251</w:t>
            </w:r>
          </w:p>
        </w:tc>
        <w:tc>
          <w:tcPr>
            <w:tcW w:w="839" w:type="dxa"/>
            <w:tcBorders>
              <w:top w:val="nil"/>
              <w:left w:val="nil"/>
              <w:bottom w:val="single" w:sz="4" w:space="0" w:color="auto"/>
              <w:right w:val="single" w:sz="4" w:space="0" w:color="auto"/>
            </w:tcBorders>
            <w:shd w:val="clear" w:color="auto" w:fill="auto"/>
            <w:vAlign w:val="center"/>
            <w:hideMark/>
          </w:tcPr>
          <w:p w:rsidR="000E55A2" w:rsidRPr="000E55A2" w:rsidRDefault="000E55A2" w:rsidP="000E55A2">
            <w:pPr>
              <w:spacing w:after="0" w:line="240" w:lineRule="auto"/>
              <w:jc w:val="center"/>
              <w:rPr>
                <w:rFonts w:ascii="Arial" w:hAnsi="Arial" w:cs="Arial"/>
                <w:color w:val="000000"/>
                <w:sz w:val="16"/>
                <w:szCs w:val="16"/>
              </w:rPr>
            </w:pPr>
            <w:r w:rsidRPr="000E55A2">
              <w:rPr>
                <w:rFonts w:ascii="Arial" w:hAnsi="Arial" w:cs="Arial"/>
                <w:color w:val="000000"/>
                <w:sz w:val="16"/>
                <w:szCs w:val="16"/>
              </w:rPr>
              <w:t>608784</w:t>
            </w:r>
          </w:p>
        </w:tc>
      </w:tr>
    </w:tbl>
    <w:p w:rsidR="000E55A2" w:rsidRDefault="000E55A2" w:rsidP="000E55A2">
      <w:pPr>
        <w:ind w:left="1418" w:hanging="698"/>
        <w:jc w:val="both"/>
        <w:rPr>
          <w:rFonts w:ascii="Arial" w:hAnsi="Arial" w:cs="Arial"/>
        </w:rPr>
      </w:pPr>
      <w:r>
        <w:rPr>
          <w:rFonts w:ascii="Arial" w:hAnsi="Arial" w:cs="Arial"/>
        </w:rPr>
        <w:lastRenderedPageBreak/>
        <w:t xml:space="preserve">(ii) </w:t>
      </w:r>
      <w:r>
        <w:rPr>
          <w:rFonts w:ascii="Arial" w:hAnsi="Arial" w:cs="Arial"/>
        </w:rPr>
        <w:tab/>
        <w:t xml:space="preserve">The Public Health Services does not make provision for a Job title of Operational Staff. It is requested that clear indication be provided on what is the meaning of Operational Staff. </w:t>
      </w:r>
    </w:p>
    <w:p w:rsidR="000E55A2" w:rsidRDefault="000E55A2" w:rsidP="000E55A2">
      <w:pPr>
        <w:pStyle w:val="ListParagraph"/>
        <w:ind w:left="1418" w:hanging="698"/>
        <w:jc w:val="both"/>
        <w:rPr>
          <w:rFonts w:ascii="Arial" w:hAnsi="Arial" w:cs="Arial"/>
          <w:color w:val="000000"/>
        </w:rPr>
      </w:pPr>
      <w:r>
        <w:rPr>
          <w:rFonts w:ascii="Arial" w:hAnsi="Arial" w:cs="Arial"/>
        </w:rPr>
        <w:t>(iii</w:t>
      </w:r>
      <w:r w:rsidRPr="00C94929">
        <w:rPr>
          <w:rFonts w:ascii="Arial" w:hAnsi="Arial" w:cs="Arial"/>
        </w:rPr>
        <w:t xml:space="preserve">) </w:t>
      </w:r>
      <w:r>
        <w:rPr>
          <w:rFonts w:ascii="Arial" w:hAnsi="Arial" w:cs="Arial"/>
        </w:rPr>
        <w:tab/>
      </w:r>
      <w:r w:rsidRPr="00DA045A">
        <w:rPr>
          <w:rFonts w:ascii="Arial" w:hAnsi="Arial" w:cs="Arial"/>
        </w:rPr>
        <w:t xml:space="preserve">The </w:t>
      </w:r>
      <w:r>
        <w:rPr>
          <w:rFonts w:ascii="Arial" w:hAnsi="Arial" w:cs="Arial"/>
        </w:rPr>
        <w:t xml:space="preserve">data as provided gives overall </w:t>
      </w:r>
      <w:r w:rsidRPr="00DA045A">
        <w:rPr>
          <w:rFonts w:ascii="Arial" w:hAnsi="Arial" w:cs="Arial"/>
        </w:rPr>
        <w:t xml:space="preserve">number of </w:t>
      </w:r>
      <w:r>
        <w:rPr>
          <w:rFonts w:ascii="Arial" w:hAnsi="Arial" w:cs="Arial"/>
        </w:rPr>
        <w:t xml:space="preserve">days </w:t>
      </w:r>
      <w:r w:rsidRPr="00DA045A">
        <w:rPr>
          <w:rFonts w:ascii="Arial" w:hAnsi="Arial" w:cs="Arial"/>
        </w:rPr>
        <w:t>count</w:t>
      </w:r>
      <w:r>
        <w:rPr>
          <w:rFonts w:ascii="Arial" w:hAnsi="Arial" w:cs="Arial"/>
        </w:rPr>
        <w:t xml:space="preserve">ed </w:t>
      </w:r>
      <w:r w:rsidRPr="00DA045A">
        <w:rPr>
          <w:rFonts w:ascii="Arial" w:hAnsi="Arial" w:cs="Arial"/>
        </w:rPr>
        <w:t xml:space="preserve">that </w:t>
      </w:r>
      <w:r>
        <w:rPr>
          <w:rFonts w:ascii="Arial" w:hAnsi="Arial" w:cs="Arial"/>
        </w:rPr>
        <w:t xml:space="preserve">Clinicians (Medical Officers/ Specialist and Registrar’s) took </w:t>
      </w:r>
      <w:r w:rsidRPr="00DA045A">
        <w:rPr>
          <w:rFonts w:ascii="Arial" w:hAnsi="Arial" w:cs="Arial"/>
        </w:rPr>
        <w:t xml:space="preserve">in different  leave categories </w:t>
      </w:r>
      <w:r>
        <w:rPr>
          <w:rFonts w:ascii="Arial" w:hAnsi="Arial" w:cs="Arial"/>
        </w:rPr>
        <w:t>during</w:t>
      </w:r>
      <w:r w:rsidRPr="00DA045A">
        <w:rPr>
          <w:rFonts w:ascii="Arial" w:hAnsi="Arial" w:cs="Arial"/>
        </w:rPr>
        <w:t xml:space="preserve"> the financial years 2021/2022 and 2002/2023 is as per the table below</w:t>
      </w:r>
      <w:r w:rsidRPr="007D3218">
        <w:rPr>
          <w:rFonts w:ascii="Arial" w:hAnsi="Arial" w:cs="Arial"/>
          <w:color w:val="000000"/>
        </w:rPr>
        <w:t>.</w:t>
      </w:r>
    </w:p>
    <w:p w:rsidR="000E55A2" w:rsidRDefault="000E55A2" w:rsidP="000E55A2">
      <w:pPr>
        <w:pStyle w:val="ListParagraph"/>
        <w:jc w:val="both"/>
        <w:rPr>
          <w:rFonts w:ascii="Arial" w:hAnsi="Arial" w:cs="Arial"/>
          <w:color w:val="000000"/>
        </w:rPr>
      </w:pPr>
    </w:p>
    <w:p w:rsidR="000E55A2" w:rsidRPr="009167DB" w:rsidRDefault="000E55A2" w:rsidP="000E55A2">
      <w:pPr>
        <w:ind w:left="1418"/>
        <w:jc w:val="both"/>
        <w:rPr>
          <w:rFonts w:ascii="Arial" w:hAnsi="Arial" w:cs="Arial"/>
          <w:sz w:val="20"/>
          <w:szCs w:val="20"/>
        </w:rPr>
      </w:pPr>
      <w:r w:rsidRPr="009167DB">
        <w:rPr>
          <w:rFonts w:ascii="Arial" w:hAnsi="Arial" w:cs="Arial"/>
          <w:b/>
          <w:bCs/>
          <w:sz w:val="20"/>
          <w:szCs w:val="20"/>
        </w:rPr>
        <w:t xml:space="preserve">The tables below provide a breakdown of the various categories of absenteeism per provinces. </w:t>
      </w:r>
    </w:p>
    <w:tbl>
      <w:tblPr>
        <w:tblW w:w="9496" w:type="dxa"/>
        <w:tblInd w:w="851" w:type="dxa"/>
        <w:tblLook w:val="04A0"/>
      </w:tblPr>
      <w:tblGrid>
        <w:gridCol w:w="3316"/>
        <w:gridCol w:w="661"/>
        <w:gridCol w:w="572"/>
        <w:gridCol w:w="572"/>
        <w:gridCol w:w="661"/>
        <w:gridCol w:w="661"/>
        <w:gridCol w:w="572"/>
        <w:gridCol w:w="572"/>
        <w:gridCol w:w="483"/>
        <w:gridCol w:w="661"/>
        <w:gridCol w:w="759"/>
        <w:gridCol w:w="6"/>
      </w:tblGrid>
      <w:tr w:rsidR="000E55A2" w:rsidTr="000E55A2">
        <w:trPr>
          <w:trHeight w:val="288"/>
        </w:trPr>
        <w:tc>
          <w:tcPr>
            <w:tcW w:w="9496" w:type="dxa"/>
            <w:gridSpan w:val="12"/>
            <w:tcBorders>
              <w:top w:val="nil"/>
              <w:left w:val="nil"/>
              <w:bottom w:val="single" w:sz="4" w:space="0" w:color="auto"/>
              <w:right w:val="nil"/>
            </w:tcBorders>
            <w:shd w:val="clear" w:color="000000" w:fill="375623"/>
            <w:vAlign w:val="center"/>
            <w:hideMark/>
          </w:tcPr>
          <w:p w:rsidR="000E55A2" w:rsidRDefault="000E55A2" w:rsidP="000E55A2">
            <w:pPr>
              <w:spacing w:after="0" w:line="240" w:lineRule="auto"/>
              <w:jc w:val="center"/>
              <w:rPr>
                <w:rFonts w:ascii="Arial" w:hAnsi="Arial" w:cs="Arial"/>
                <w:b/>
                <w:bCs/>
                <w:color w:val="FFFFFF"/>
                <w:sz w:val="16"/>
                <w:szCs w:val="16"/>
              </w:rPr>
            </w:pPr>
            <w:r>
              <w:rPr>
                <w:rFonts w:ascii="Arial" w:hAnsi="Arial" w:cs="Arial"/>
                <w:b/>
                <w:bCs/>
                <w:color w:val="FFFFFF"/>
                <w:sz w:val="16"/>
                <w:szCs w:val="16"/>
              </w:rPr>
              <w:t xml:space="preserve">NUMBER OF DAYS ABSENT BY CLINITIANS MEDICAL OFFICER / SPECIALIST / REGISTRARS </w:t>
            </w:r>
          </w:p>
        </w:tc>
      </w:tr>
      <w:tr w:rsidR="000E55A2" w:rsidTr="000E55A2">
        <w:trPr>
          <w:gridAfter w:val="1"/>
          <w:wAfter w:w="6" w:type="dxa"/>
          <w:trHeight w:val="408"/>
        </w:trPr>
        <w:tc>
          <w:tcPr>
            <w:tcW w:w="3316" w:type="dxa"/>
            <w:tcBorders>
              <w:top w:val="nil"/>
              <w:left w:val="single" w:sz="4" w:space="0" w:color="auto"/>
              <w:bottom w:val="single" w:sz="4" w:space="0" w:color="auto"/>
              <w:right w:val="single" w:sz="4" w:space="0" w:color="auto"/>
            </w:tcBorders>
            <w:shd w:val="clear" w:color="000000" w:fill="375623"/>
            <w:vAlign w:val="center"/>
            <w:hideMark/>
          </w:tcPr>
          <w:p w:rsidR="000E55A2" w:rsidRDefault="000E55A2" w:rsidP="000E55A2">
            <w:pPr>
              <w:spacing w:after="0" w:line="240" w:lineRule="auto"/>
              <w:jc w:val="center"/>
              <w:rPr>
                <w:rFonts w:ascii="Arial" w:hAnsi="Arial" w:cs="Arial"/>
                <w:b/>
                <w:bCs/>
                <w:color w:val="FFFFFF"/>
                <w:sz w:val="16"/>
                <w:szCs w:val="16"/>
              </w:rPr>
            </w:pPr>
            <w:r>
              <w:rPr>
                <w:rFonts w:ascii="Arial" w:hAnsi="Arial" w:cs="Arial"/>
                <w:b/>
                <w:bCs/>
                <w:color w:val="FFFFFF"/>
                <w:sz w:val="16"/>
                <w:szCs w:val="16"/>
              </w:rPr>
              <w:t> </w:t>
            </w:r>
          </w:p>
        </w:tc>
        <w:tc>
          <w:tcPr>
            <w:tcW w:w="661" w:type="dxa"/>
            <w:tcBorders>
              <w:top w:val="nil"/>
              <w:left w:val="nil"/>
              <w:bottom w:val="single" w:sz="4" w:space="0" w:color="auto"/>
              <w:right w:val="single" w:sz="4" w:space="0" w:color="auto"/>
            </w:tcBorders>
            <w:shd w:val="clear" w:color="000000" w:fill="375623"/>
            <w:vAlign w:val="center"/>
            <w:hideMark/>
          </w:tcPr>
          <w:p w:rsidR="000E55A2" w:rsidRDefault="000E55A2" w:rsidP="000E55A2">
            <w:pPr>
              <w:spacing w:after="0" w:line="240" w:lineRule="auto"/>
              <w:jc w:val="center"/>
              <w:rPr>
                <w:rFonts w:ascii="Arial" w:hAnsi="Arial" w:cs="Arial"/>
                <w:b/>
                <w:bCs/>
                <w:color w:val="FFFFFF"/>
                <w:sz w:val="16"/>
                <w:szCs w:val="16"/>
              </w:rPr>
            </w:pPr>
            <w:r>
              <w:rPr>
                <w:rFonts w:ascii="Arial" w:hAnsi="Arial" w:cs="Arial"/>
                <w:b/>
                <w:bCs/>
                <w:color w:val="FFFFFF"/>
                <w:sz w:val="16"/>
                <w:szCs w:val="16"/>
              </w:rPr>
              <w:t>EC</w:t>
            </w:r>
          </w:p>
        </w:tc>
        <w:tc>
          <w:tcPr>
            <w:tcW w:w="572" w:type="dxa"/>
            <w:tcBorders>
              <w:top w:val="nil"/>
              <w:left w:val="nil"/>
              <w:bottom w:val="single" w:sz="4" w:space="0" w:color="auto"/>
              <w:right w:val="single" w:sz="4" w:space="0" w:color="auto"/>
            </w:tcBorders>
            <w:shd w:val="clear" w:color="000000" w:fill="375623"/>
            <w:vAlign w:val="center"/>
            <w:hideMark/>
          </w:tcPr>
          <w:p w:rsidR="000E55A2" w:rsidRDefault="000E55A2" w:rsidP="000E55A2">
            <w:pPr>
              <w:spacing w:after="0" w:line="240" w:lineRule="auto"/>
              <w:jc w:val="center"/>
              <w:rPr>
                <w:rFonts w:ascii="Arial" w:hAnsi="Arial" w:cs="Arial"/>
                <w:b/>
                <w:bCs/>
                <w:color w:val="FFFFFF"/>
                <w:sz w:val="16"/>
                <w:szCs w:val="16"/>
              </w:rPr>
            </w:pPr>
            <w:r>
              <w:rPr>
                <w:rFonts w:ascii="Arial" w:hAnsi="Arial" w:cs="Arial"/>
                <w:b/>
                <w:bCs/>
                <w:color w:val="FFFFFF"/>
                <w:sz w:val="16"/>
                <w:szCs w:val="16"/>
              </w:rPr>
              <w:t>FS</w:t>
            </w:r>
          </w:p>
        </w:tc>
        <w:tc>
          <w:tcPr>
            <w:tcW w:w="572" w:type="dxa"/>
            <w:tcBorders>
              <w:top w:val="nil"/>
              <w:left w:val="nil"/>
              <w:bottom w:val="single" w:sz="4" w:space="0" w:color="auto"/>
              <w:right w:val="single" w:sz="4" w:space="0" w:color="auto"/>
            </w:tcBorders>
            <w:shd w:val="clear" w:color="000000" w:fill="375623"/>
            <w:vAlign w:val="center"/>
            <w:hideMark/>
          </w:tcPr>
          <w:p w:rsidR="000E55A2" w:rsidRDefault="000E55A2" w:rsidP="000E55A2">
            <w:pPr>
              <w:spacing w:after="0" w:line="240" w:lineRule="auto"/>
              <w:jc w:val="center"/>
              <w:rPr>
                <w:rFonts w:ascii="Arial" w:hAnsi="Arial" w:cs="Arial"/>
                <w:b/>
                <w:bCs/>
                <w:color w:val="FFFFFF"/>
                <w:sz w:val="16"/>
                <w:szCs w:val="16"/>
              </w:rPr>
            </w:pPr>
            <w:r>
              <w:rPr>
                <w:rFonts w:ascii="Arial" w:hAnsi="Arial" w:cs="Arial"/>
                <w:b/>
                <w:bCs/>
                <w:color w:val="FFFFFF"/>
                <w:sz w:val="16"/>
                <w:szCs w:val="16"/>
              </w:rPr>
              <w:t>GAU</w:t>
            </w:r>
          </w:p>
        </w:tc>
        <w:tc>
          <w:tcPr>
            <w:tcW w:w="661" w:type="dxa"/>
            <w:tcBorders>
              <w:top w:val="nil"/>
              <w:left w:val="nil"/>
              <w:bottom w:val="single" w:sz="4" w:space="0" w:color="auto"/>
              <w:right w:val="single" w:sz="4" w:space="0" w:color="auto"/>
            </w:tcBorders>
            <w:shd w:val="clear" w:color="000000" w:fill="375623"/>
            <w:vAlign w:val="center"/>
            <w:hideMark/>
          </w:tcPr>
          <w:p w:rsidR="000E55A2" w:rsidRDefault="000E55A2" w:rsidP="000E55A2">
            <w:pPr>
              <w:spacing w:after="0" w:line="240" w:lineRule="auto"/>
              <w:jc w:val="center"/>
              <w:rPr>
                <w:rFonts w:ascii="Arial" w:hAnsi="Arial" w:cs="Arial"/>
                <w:b/>
                <w:bCs/>
                <w:color w:val="FFFFFF"/>
                <w:sz w:val="16"/>
                <w:szCs w:val="16"/>
              </w:rPr>
            </w:pPr>
            <w:r>
              <w:rPr>
                <w:rFonts w:ascii="Arial" w:hAnsi="Arial" w:cs="Arial"/>
                <w:b/>
                <w:bCs/>
                <w:color w:val="FFFFFF"/>
                <w:sz w:val="16"/>
                <w:szCs w:val="16"/>
              </w:rPr>
              <w:t>KZN</w:t>
            </w:r>
          </w:p>
        </w:tc>
        <w:tc>
          <w:tcPr>
            <w:tcW w:w="661" w:type="dxa"/>
            <w:tcBorders>
              <w:top w:val="nil"/>
              <w:left w:val="nil"/>
              <w:bottom w:val="single" w:sz="4" w:space="0" w:color="auto"/>
              <w:right w:val="single" w:sz="4" w:space="0" w:color="auto"/>
            </w:tcBorders>
            <w:shd w:val="clear" w:color="000000" w:fill="375623"/>
            <w:vAlign w:val="center"/>
            <w:hideMark/>
          </w:tcPr>
          <w:p w:rsidR="000E55A2" w:rsidRDefault="000E55A2" w:rsidP="000E55A2">
            <w:pPr>
              <w:spacing w:after="0" w:line="240" w:lineRule="auto"/>
              <w:jc w:val="center"/>
              <w:rPr>
                <w:rFonts w:ascii="Arial" w:hAnsi="Arial" w:cs="Arial"/>
                <w:b/>
                <w:bCs/>
                <w:color w:val="FFFFFF"/>
                <w:sz w:val="16"/>
                <w:szCs w:val="16"/>
              </w:rPr>
            </w:pPr>
            <w:r>
              <w:rPr>
                <w:rFonts w:ascii="Arial" w:hAnsi="Arial" w:cs="Arial"/>
                <w:b/>
                <w:bCs/>
                <w:color w:val="FFFFFF"/>
                <w:sz w:val="16"/>
                <w:szCs w:val="16"/>
              </w:rPr>
              <w:t>LP</w:t>
            </w:r>
          </w:p>
        </w:tc>
        <w:tc>
          <w:tcPr>
            <w:tcW w:w="572" w:type="dxa"/>
            <w:tcBorders>
              <w:top w:val="nil"/>
              <w:left w:val="nil"/>
              <w:bottom w:val="single" w:sz="4" w:space="0" w:color="auto"/>
              <w:right w:val="single" w:sz="4" w:space="0" w:color="auto"/>
            </w:tcBorders>
            <w:shd w:val="clear" w:color="000000" w:fill="375623"/>
            <w:vAlign w:val="center"/>
            <w:hideMark/>
          </w:tcPr>
          <w:p w:rsidR="000E55A2" w:rsidRDefault="000E55A2" w:rsidP="000E55A2">
            <w:pPr>
              <w:spacing w:after="0" w:line="240" w:lineRule="auto"/>
              <w:jc w:val="center"/>
              <w:rPr>
                <w:rFonts w:ascii="Arial" w:hAnsi="Arial" w:cs="Arial"/>
                <w:b/>
                <w:bCs/>
                <w:color w:val="FFFFFF"/>
                <w:sz w:val="16"/>
                <w:szCs w:val="16"/>
              </w:rPr>
            </w:pPr>
            <w:r>
              <w:rPr>
                <w:rFonts w:ascii="Arial" w:hAnsi="Arial" w:cs="Arial"/>
                <w:b/>
                <w:bCs/>
                <w:color w:val="FFFFFF"/>
                <w:sz w:val="16"/>
                <w:szCs w:val="16"/>
              </w:rPr>
              <w:t>MPU</w:t>
            </w:r>
          </w:p>
        </w:tc>
        <w:tc>
          <w:tcPr>
            <w:tcW w:w="572" w:type="dxa"/>
            <w:tcBorders>
              <w:top w:val="nil"/>
              <w:left w:val="nil"/>
              <w:bottom w:val="single" w:sz="4" w:space="0" w:color="auto"/>
              <w:right w:val="single" w:sz="4" w:space="0" w:color="auto"/>
            </w:tcBorders>
            <w:shd w:val="clear" w:color="000000" w:fill="375623"/>
            <w:vAlign w:val="center"/>
            <w:hideMark/>
          </w:tcPr>
          <w:p w:rsidR="000E55A2" w:rsidRDefault="000E55A2" w:rsidP="000E55A2">
            <w:pPr>
              <w:spacing w:after="0" w:line="240" w:lineRule="auto"/>
              <w:jc w:val="center"/>
              <w:rPr>
                <w:rFonts w:ascii="Arial" w:hAnsi="Arial" w:cs="Arial"/>
                <w:b/>
                <w:bCs/>
                <w:color w:val="FFFFFF"/>
                <w:sz w:val="16"/>
                <w:szCs w:val="16"/>
              </w:rPr>
            </w:pPr>
            <w:r>
              <w:rPr>
                <w:rFonts w:ascii="Arial" w:hAnsi="Arial" w:cs="Arial"/>
                <w:b/>
                <w:bCs/>
                <w:color w:val="FFFFFF"/>
                <w:sz w:val="16"/>
                <w:szCs w:val="16"/>
              </w:rPr>
              <w:t>NW</w:t>
            </w:r>
          </w:p>
        </w:tc>
        <w:tc>
          <w:tcPr>
            <w:tcW w:w="483" w:type="dxa"/>
            <w:tcBorders>
              <w:top w:val="nil"/>
              <w:left w:val="nil"/>
              <w:bottom w:val="single" w:sz="4" w:space="0" w:color="auto"/>
              <w:right w:val="single" w:sz="4" w:space="0" w:color="auto"/>
            </w:tcBorders>
            <w:shd w:val="clear" w:color="000000" w:fill="375623"/>
            <w:vAlign w:val="center"/>
            <w:hideMark/>
          </w:tcPr>
          <w:p w:rsidR="000E55A2" w:rsidRDefault="000E55A2" w:rsidP="000E55A2">
            <w:pPr>
              <w:spacing w:after="0" w:line="240" w:lineRule="auto"/>
              <w:jc w:val="center"/>
              <w:rPr>
                <w:rFonts w:ascii="Arial" w:hAnsi="Arial" w:cs="Arial"/>
                <w:b/>
                <w:bCs/>
                <w:color w:val="FFFFFF"/>
                <w:sz w:val="16"/>
                <w:szCs w:val="16"/>
              </w:rPr>
            </w:pPr>
            <w:r>
              <w:rPr>
                <w:rFonts w:ascii="Arial" w:hAnsi="Arial" w:cs="Arial"/>
                <w:b/>
                <w:bCs/>
                <w:color w:val="FFFFFF"/>
                <w:sz w:val="16"/>
                <w:szCs w:val="16"/>
              </w:rPr>
              <w:t>NC</w:t>
            </w:r>
          </w:p>
        </w:tc>
        <w:tc>
          <w:tcPr>
            <w:tcW w:w="661" w:type="dxa"/>
            <w:tcBorders>
              <w:top w:val="nil"/>
              <w:left w:val="nil"/>
              <w:bottom w:val="single" w:sz="4" w:space="0" w:color="auto"/>
              <w:right w:val="single" w:sz="4" w:space="0" w:color="auto"/>
            </w:tcBorders>
            <w:shd w:val="clear" w:color="000000" w:fill="375623"/>
            <w:vAlign w:val="center"/>
            <w:hideMark/>
          </w:tcPr>
          <w:p w:rsidR="000E55A2" w:rsidRDefault="000E55A2" w:rsidP="000E55A2">
            <w:pPr>
              <w:spacing w:after="0" w:line="240" w:lineRule="auto"/>
              <w:jc w:val="center"/>
              <w:rPr>
                <w:rFonts w:ascii="Arial" w:hAnsi="Arial" w:cs="Arial"/>
                <w:b/>
                <w:bCs/>
                <w:color w:val="FFFFFF"/>
                <w:sz w:val="16"/>
                <w:szCs w:val="16"/>
              </w:rPr>
            </w:pPr>
            <w:r>
              <w:rPr>
                <w:rFonts w:ascii="Arial" w:hAnsi="Arial" w:cs="Arial"/>
                <w:b/>
                <w:bCs/>
                <w:color w:val="FFFFFF"/>
                <w:sz w:val="16"/>
                <w:szCs w:val="16"/>
              </w:rPr>
              <w:t>WC</w:t>
            </w:r>
          </w:p>
        </w:tc>
        <w:tc>
          <w:tcPr>
            <w:tcW w:w="759" w:type="dxa"/>
            <w:tcBorders>
              <w:top w:val="nil"/>
              <w:left w:val="nil"/>
              <w:bottom w:val="single" w:sz="4" w:space="0" w:color="auto"/>
              <w:right w:val="nil"/>
            </w:tcBorders>
            <w:shd w:val="clear" w:color="000000" w:fill="375623"/>
            <w:vAlign w:val="center"/>
            <w:hideMark/>
          </w:tcPr>
          <w:p w:rsidR="000E55A2" w:rsidRDefault="000E55A2" w:rsidP="000E55A2">
            <w:pPr>
              <w:spacing w:after="0" w:line="240" w:lineRule="auto"/>
              <w:jc w:val="center"/>
              <w:rPr>
                <w:rFonts w:ascii="Arial" w:hAnsi="Arial" w:cs="Arial"/>
                <w:b/>
                <w:bCs/>
                <w:color w:val="FFFFFF"/>
                <w:sz w:val="16"/>
                <w:szCs w:val="16"/>
              </w:rPr>
            </w:pPr>
            <w:r>
              <w:rPr>
                <w:rFonts w:ascii="Arial" w:hAnsi="Arial" w:cs="Arial"/>
                <w:b/>
                <w:bCs/>
                <w:color w:val="FFFFFF"/>
                <w:sz w:val="16"/>
                <w:szCs w:val="16"/>
              </w:rPr>
              <w:t>Overall Total</w:t>
            </w:r>
          </w:p>
        </w:tc>
      </w:tr>
      <w:tr w:rsidR="000E55A2" w:rsidTr="000E55A2">
        <w:trPr>
          <w:gridAfter w:val="1"/>
          <w:wAfter w:w="6" w:type="dxa"/>
          <w:trHeight w:val="288"/>
        </w:trPr>
        <w:tc>
          <w:tcPr>
            <w:tcW w:w="3316" w:type="dxa"/>
            <w:tcBorders>
              <w:top w:val="nil"/>
              <w:left w:val="single" w:sz="4" w:space="0" w:color="auto"/>
              <w:bottom w:val="single" w:sz="4" w:space="0" w:color="auto"/>
              <w:right w:val="single" w:sz="4" w:space="0" w:color="auto"/>
            </w:tcBorders>
            <w:shd w:val="clear" w:color="auto" w:fill="auto"/>
            <w:vAlign w:val="center"/>
            <w:hideMark/>
          </w:tcPr>
          <w:p w:rsidR="000E55A2" w:rsidRDefault="000E55A2" w:rsidP="000E55A2">
            <w:pPr>
              <w:spacing w:after="0" w:line="240" w:lineRule="auto"/>
              <w:rPr>
                <w:rFonts w:ascii="Arial" w:hAnsi="Arial" w:cs="Arial"/>
                <w:color w:val="000000"/>
                <w:sz w:val="16"/>
                <w:szCs w:val="16"/>
              </w:rPr>
            </w:pPr>
            <w:r>
              <w:rPr>
                <w:rFonts w:ascii="Arial" w:hAnsi="Arial" w:cs="Arial"/>
                <w:color w:val="000000"/>
                <w:sz w:val="16"/>
                <w:szCs w:val="16"/>
              </w:rPr>
              <w:t>Adoption (Workdays)</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483"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759"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4</w:t>
            </w:r>
          </w:p>
        </w:tc>
      </w:tr>
      <w:tr w:rsidR="000E55A2" w:rsidTr="000E55A2">
        <w:trPr>
          <w:gridAfter w:val="1"/>
          <w:wAfter w:w="6" w:type="dxa"/>
          <w:trHeight w:val="288"/>
        </w:trPr>
        <w:tc>
          <w:tcPr>
            <w:tcW w:w="3316" w:type="dxa"/>
            <w:tcBorders>
              <w:top w:val="nil"/>
              <w:left w:val="single" w:sz="4" w:space="0" w:color="auto"/>
              <w:bottom w:val="single" w:sz="4" w:space="0" w:color="auto"/>
              <w:right w:val="single" w:sz="4" w:space="0" w:color="auto"/>
            </w:tcBorders>
            <w:shd w:val="clear" w:color="auto" w:fill="auto"/>
            <w:vAlign w:val="center"/>
            <w:hideMark/>
          </w:tcPr>
          <w:p w:rsidR="000E55A2" w:rsidRDefault="000E55A2" w:rsidP="000E55A2">
            <w:pPr>
              <w:spacing w:after="0" w:line="240" w:lineRule="auto"/>
              <w:rPr>
                <w:rFonts w:ascii="Arial" w:hAnsi="Arial" w:cs="Arial"/>
                <w:color w:val="000000"/>
                <w:sz w:val="16"/>
                <w:szCs w:val="16"/>
              </w:rPr>
            </w:pPr>
            <w:r>
              <w:rPr>
                <w:rFonts w:ascii="Arial" w:hAnsi="Arial" w:cs="Arial"/>
                <w:color w:val="000000"/>
                <w:sz w:val="16"/>
                <w:szCs w:val="16"/>
              </w:rPr>
              <w:t>Discounting (Workdays)</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14</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49</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35</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206</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157</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36</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69</w:t>
            </w:r>
          </w:p>
        </w:tc>
        <w:tc>
          <w:tcPr>
            <w:tcW w:w="483"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317</w:t>
            </w:r>
          </w:p>
        </w:tc>
        <w:tc>
          <w:tcPr>
            <w:tcW w:w="759"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888</w:t>
            </w:r>
          </w:p>
        </w:tc>
      </w:tr>
      <w:tr w:rsidR="000E55A2" w:rsidTr="000E55A2">
        <w:trPr>
          <w:gridAfter w:val="1"/>
          <w:wAfter w:w="6" w:type="dxa"/>
          <w:trHeight w:val="288"/>
        </w:trPr>
        <w:tc>
          <w:tcPr>
            <w:tcW w:w="3316" w:type="dxa"/>
            <w:tcBorders>
              <w:top w:val="nil"/>
              <w:left w:val="single" w:sz="4" w:space="0" w:color="auto"/>
              <w:bottom w:val="single" w:sz="4" w:space="0" w:color="auto"/>
              <w:right w:val="single" w:sz="4" w:space="0" w:color="auto"/>
            </w:tcBorders>
            <w:shd w:val="clear" w:color="auto" w:fill="auto"/>
            <w:vAlign w:val="center"/>
            <w:hideMark/>
          </w:tcPr>
          <w:p w:rsidR="000E55A2" w:rsidRDefault="000E55A2" w:rsidP="000E55A2">
            <w:pPr>
              <w:spacing w:after="0" w:line="240" w:lineRule="auto"/>
              <w:rPr>
                <w:rFonts w:ascii="Arial" w:hAnsi="Arial" w:cs="Arial"/>
                <w:color w:val="000000"/>
                <w:sz w:val="16"/>
                <w:szCs w:val="16"/>
              </w:rPr>
            </w:pPr>
            <w:r>
              <w:rPr>
                <w:rFonts w:ascii="Arial" w:hAnsi="Arial" w:cs="Arial"/>
                <w:color w:val="000000"/>
                <w:sz w:val="16"/>
                <w:szCs w:val="16"/>
              </w:rPr>
              <w:t>Family Responsibility (Workdays)</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265</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174</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146</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1491</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906</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284</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146</w:t>
            </w:r>
          </w:p>
        </w:tc>
        <w:tc>
          <w:tcPr>
            <w:tcW w:w="483"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37</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726</w:t>
            </w:r>
          </w:p>
        </w:tc>
        <w:tc>
          <w:tcPr>
            <w:tcW w:w="759"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4175</w:t>
            </w:r>
          </w:p>
        </w:tc>
      </w:tr>
      <w:tr w:rsidR="000E55A2" w:rsidTr="000E55A2">
        <w:trPr>
          <w:gridAfter w:val="1"/>
          <w:wAfter w:w="6" w:type="dxa"/>
          <w:trHeight w:val="269"/>
        </w:trPr>
        <w:tc>
          <w:tcPr>
            <w:tcW w:w="3316" w:type="dxa"/>
            <w:tcBorders>
              <w:top w:val="nil"/>
              <w:left w:val="single" w:sz="4" w:space="0" w:color="auto"/>
              <w:bottom w:val="single" w:sz="4" w:space="0" w:color="auto"/>
              <w:right w:val="single" w:sz="4" w:space="0" w:color="auto"/>
            </w:tcBorders>
            <w:shd w:val="clear" w:color="auto" w:fill="auto"/>
            <w:vAlign w:val="center"/>
            <w:hideMark/>
          </w:tcPr>
          <w:p w:rsidR="000E55A2" w:rsidRDefault="000E55A2" w:rsidP="000E55A2">
            <w:pPr>
              <w:spacing w:after="0" w:line="240" w:lineRule="auto"/>
              <w:rPr>
                <w:rFonts w:ascii="Arial" w:hAnsi="Arial" w:cs="Arial"/>
                <w:color w:val="000000"/>
                <w:sz w:val="16"/>
                <w:szCs w:val="16"/>
              </w:rPr>
            </w:pPr>
            <w:r>
              <w:rPr>
                <w:rFonts w:ascii="Arial" w:hAnsi="Arial" w:cs="Arial"/>
                <w:color w:val="000000"/>
                <w:sz w:val="16"/>
                <w:szCs w:val="16"/>
              </w:rPr>
              <w:t>Gratuity (Workdays)</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17</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19</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19</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10</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483"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16</w:t>
            </w:r>
          </w:p>
        </w:tc>
        <w:tc>
          <w:tcPr>
            <w:tcW w:w="759"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84</w:t>
            </w:r>
          </w:p>
        </w:tc>
      </w:tr>
      <w:tr w:rsidR="000E55A2" w:rsidTr="000E55A2">
        <w:trPr>
          <w:gridAfter w:val="1"/>
          <w:wAfter w:w="6" w:type="dxa"/>
          <w:trHeight w:val="242"/>
        </w:trPr>
        <w:tc>
          <w:tcPr>
            <w:tcW w:w="3316" w:type="dxa"/>
            <w:tcBorders>
              <w:top w:val="nil"/>
              <w:left w:val="single" w:sz="4" w:space="0" w:color="auto"/>
              <w:bottom w:val="single" w:sz="4" w:space="0" w:color="auto"/>
              <w:right w:val="single" w:sz="4" w:space="0" w:color="auto"/>
            </w:tcBorders>
            <w:shd w:val="clear" w:color="auto" w:fill="auto"/>
            <w:vAlign w:val="center"/>
            <w:hideMark/>
          </w:tcPr>
          <w:p w:rsidR="000E55A2" w:rsidRDefault="000E55A2" w:rsidP="000E55A2">
            <w:pPr>
              <w:spacing w:after="0" w:line="240" w:lineRule="auto"/>
              <w:rPr>
                <w:rFonts w:ascii="Arial" w:hAnsi="Arial" w:cs="Arial"/>
                <w:color w:val="000000"/>
                <w:sz w:val="16"/>
                <w:szCs w:val="16"/>
              </w:rPr>
            </w:pPr>
            <w:r>
              <w:rPr>
                <w:rFonts w:ascii="Arial" w:hAnsi="Arial" w:cs="Arial"/>
                <w:color w:val="000000"/>
                <w:sz w:val="16"/>
                <w:szCs w:val="16"/>
              </w:rPr>
              <w:t>Leave Without Pay (Calendar Days)</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19</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38</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261</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262</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29</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18</w:t>
            </w:r>
          </w:p>
        </w:tc>
        <w:tc>
          <w:tcPr>
            <w:tcW w:w="483"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163</w:t>
            </w:r>
          </w:p>
        </w:tc>
        <w:tc>
          <w:tcPr>
            <w:tcW w:w="759"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810</w:t>
            </w:r>
          </w:p>
        </w:tc>
      </w:tr>
      <w:tr w:rsidR="000E55A2" w:rsidTr="000E55A2">
        <w:trPr>
          <w:gridAfter w:val="1"/>
          <w:wAfter w:w="6" w:type="dxa"/>
          <w:trHeight w:val="215"/>
        </w:trPr>
        <w:tc>
          <w:tcPr>
            <w:tcW w:w="3316" w:type="dxa"/>
            <w:tcBorders>
              <w:top w:val="nil"/>
              <w:left w:val="single" w:sz="4" w:space="0" w:color="auto"/>
              <w:bottom w:val="single" w:sz="4" w:space="0" w:color="auto"/>
              <w:right w:val="single" w:sz="4" w:space="0" w:color="auto"/>
            </w:tcBorders>
            <w:shd w:val="clear" w:color="auto" w:fill="auto"/>
            <w:vAlign w:val="center"/>
            <w:hideMark/>
          </w:tcPr>
          <w:p w:rsidR="000E55A2" w:rsidRDefault="000E55A2" w:rsidP="000E55A2">
            <w:pPr>
              <w:spacing w:after="0" w:line="240" w:lineRule="auto"/>
              <w:rPr>
                <w:rFonts w:ascii="Arial" w:hAnsi="Arial" w:cs="Arial"/>
                <w:color w:val="000000"/>
                <w:sz w:val="16"/>
                <w:szCs w:val="16"/>
              </w:rPr>
            </w:pPr>
            <w:r>
              <w:rPr>
                <w:rFonts w:ascii="Arial" w:hAnsi="Arial" w:cs="Arial"/>
                <w:color w:val="000000"/>
                <w:sz w:val="16"/>
                <w:szCs w:val="16"/>
              </w:rPr>
              <w:t>Maternity</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58</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40</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51</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239</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161</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78</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46</w:t>
            </w:r>
          </w:p>
        </w:tc>
        <w:tc>
          <w:tcPr>
            <w:tcW w:w="483"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158</w:t>
            </w:r>
          </w:p>
        </w:tc>
        <w:tc>
          <w:tcPr>
            <w:tcW w:w="759"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834</w:t>
            </w:r>
          </w:p>
        </w:tc>
      </w:tr>
      <w:tr w:rsidR="000E55A2" w:rsidTr="000E55A2">
        <w:trPr>
          <w:gridAfter w:val="1"/>
          <w:wAfter w:w="6" w:type="dxa"/>
          <w:trHeight w:val="288"/>
        </w:trPr>
        <w:tc>
          <w:tcPr>
            <w:tcW w:w="3316" w:type="dxa"/>
            <w:tcBorders>
              <w:top w:val="nil"/>
              <w:left w:val="single" w:sz="4" w:space="0" w:color="auto"/>
              <w:bottom w:val="single" w:sz="4" w:space="0" w:color="auto"/>
              <w:right w:val="single" w:sz="4" w:space="0" w:color="auto"/>
            </w:tcBorders>
            <w:shd w:val="clear" w:color="auto" w:fill="auto"/>
            <w:vAlign w:val="center"/>
            <w:hideMark/>
          </w:tcPr>
          <w:p w:rsidR="000E55A2" w:rsidRDefault="000E55A2" w:rsidP="000E55A2">
            <w:pPr>
              <w:spacing w:after="0" w:line="240" w:lineRule="auto"/>
              <w:rPr>
                <w:rFonts w:ascii="Arial" w:hAnsi="Arial" w:cs="Arial"/>
                <w:color w:val="000000"/>
                <w:sz w:val="16"/>
                <w:szCs w:val="16"/>
              </w:rPr>
            </w:pPr>
            <w:r>
              <w:rPr>
                <w:rFonts w:ascii="Arial" w:hAnsi="Arial" w:cs="Arial"/>
                <w:color w:val="000000"/>
                <w:sz w:val="16"/>
                <w:szCs w:val="16"/>
              </w:rPr>
              <w:t>Occupational Injuries/Diseases (Workdays)</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16</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99</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173</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107</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12</w:t>
            </w:r>
          </w:p>
        </w:tc>
        <w:tc>
          <w:tcPr>
            <w:tcW w:w="483"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11</w:t>
            </w:r>
          </w:p>
        </w:tc>
        <w:tc>
          <w:tcPr>
            <w:tcW w:w="759"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433</w:t>
            </w:r>
          </w:p>
        </w:tc>
      </w:tr>
      <w:tr w:rsidR="000E55A2" w:rsidTr="000E55A2">
        <w:trPr>
          <w:gridAfter w:val="1"/>
          <w:wAfter w:w="6" w:type="dxa"/>
          <w:trHeight w:val="260"/>
        </w:trPr>
        <w:tc>
          <w:tcPr>
            <w:tcW w:w="3316" w:type="dxa"/>
            <w:tcBorders>
              <w:top w:val="nil"/>
              <w:left w:val="single" w:sz="4" w:space="0" w:color="auto"/>
              <w:bottom w:val="single" w:sz="4" w:space="0" w:color="auto"/>
              <w:right w:val="single" w:sz="4" w:space="0" w:color="auto"/>
            </w:tcBorders>
            <w:shd w:val="clear" w:color="auto" w:fill="auto"/>
            <w:vAlign w:val="center"/>
            <w:hideMark/>
          </w:tcPr>
          <w:p w:rsidR="000E55A2" w:rsidRDefault="000E55A2" w:rsidP="000E55A2">
            <w:pPr>
              <w:spacing w:after="0" w:line="240" w:lineRule="auto"/>
              <w:rPr>
                <w:rFonts w:ascii="Arial" w:hAnsi="Arial" w:cs="Arial"/>
                <w:color w:val="000000"/>
                <w:sz w:val="16"/>
                <w:szCs w:val="16"/>
              </w:rPr>
            </w:pPr>
            <w:r>
              <w:rPr>
                <w:rFonts w:ascii="Arial" w:hAnsi="Arial" w:cs="Arial"/>
                <w:color w:val="000000"/>
                <w:sz w:val="16"/>
                <w:szCs w:val="16"/>
              </w:rPr>
              <w:t>Paternity (Workdays)</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17</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14</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99</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77</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15</w:t>
            </w:r>
          </w:p>
        </w:tc>
        <w:tc>
          <w:tcPr>
            <w:tcW w:w="483"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74</w:t>
            </w:r>
          </w:p>
        </w:tc>
        <w:tc>
          <w:tcPr>
            <w:tcW w:w="759"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341</w:t>
            </w:r>
          </w:p>
        </w:tc>
      </w:tr>
      <w:tr w:rsidR="000E55A2" w:rsidTr="000E55A2">
        <w:trPr>
          <w:gridAfter w:val="1"/>
          <w:wAfter w:w="6" w:type="dxa"/>
          <w:trHeight w:val="251"/>
        </w:trPr>
        <w:tc>
          <w:tcPr>
            <w:tcW w:w="3316" w:type="dxa"/>
            <w:tcBorders>
              <w:top w:val="nil"/>
              <w:left w:val="single" w:sz="4" w:space="0" w:color="auto"/>
              <w:bottom w:val="single" w:sz="4" w:space="0" w:color="auto"/>
              <w:right w:val="single" w:sz="4" w:space="0" w:color="auto"/>
            </w:tcBorders>
            <w:shd w:val="clear" w:color="auto" w:fill="auto"/>
            <w:vAlign w:val="center"/>
            <w:hideMark/>
          </w:tcPr>
          <w:p w:rsidR="000E55A2" w:rsidRDefault="000E55A2" w:rsidP="000E55A2">
            <w:pPr>
              <w:spacing w:after="0" w:line="240" w:lineRule="auto"/>
              <w:rPr>
                <w:rFonts w:ascii="Arial" w:hAnsi="Arial" w:cs="Arial"/>
                <w:color w:val="000000"/>
                <w:sz w:val="16"/>
                <w:szCs w:val="16"/>
              </w:rPr>
            </w:pPr>
            <w:r>
              <w:rPr>
                <w:rFonts w:ascii="Arial" w:hAnsi="Arial" w:cs="Arial"/>
                <w:color w:val="000000"/>
                <w:sz w:val="16"/>
                <w:szCs w:val="16"/>
              </w:rPr>
              <w:t>Permanent Incapacity Leave</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483"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759"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w:t>
            </w:r>
          </w:p>
        </w:tc>
      </w:tr>
      <w:tr w:rsidR="000E55A2" w:rsidTr="000E55A2">
        <w:trPr>
          <w:gridAfter w:val="1"/>
          <w:wAfter w:w="6" w:type="dxa"/>
          <w:trHeight w:val="288"/>
        </w:trPr>
        <w:tc>
          <w:tcPr>
            <w:tcW w:w="3316" w:type="dxa"/>
            <w:tcBorders>
              <w:top w:val="nil"/>
              <w:left w:val="single" w:sz="4" w:space="0" w:color="auto"/>
              <w:bottom w:val="single" w:sz="4" w:space="0" w:color="auto"/>
              <w:right w:val="single" w:sz="4" w:space="0" w:color="auto"/>
            </w:tcBorders>
            <w:shd w:val="clear" w:color="auto" w:fill="auto"/>
            <w:vAlign w:val="center"/>
            <w:hideMark/>
          </w:tcPr>
          <w:p w:rsidR="000E55A2" w:rsidRDefault="000E55A2" w:rsidP="000E55A2">
            <w:pPr>
              <w:spacing w:after="0" w:line="240" w:lineRule="auto"/>
              <w:rPr>
                <w:rFonts w:ascii="Arial" w:hAnsi="Arial" w:cs="Arial"/>
                <w:color w:val="000000"/>
                <w:sz w:val="16"/>
                <w:szCs w:val="16"/>
              </w:rPr>
            </w:pPr>
            <w:r>
              <w:rPr>
                <w:rFonts w:ascii="Arial" w:hAnsi="Arial" w:cs="Arial"/>
                <w:color w:val="000000"/>
                <w:sz w:val="16"/>
                <w:szCs w:val="16"/>
              </w:rPr>
              <w:t>Pre-Natal (Workdays)</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51</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15</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27</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407</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118</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28</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15</w:t>
            </w:r>
          </w:p>
        </w:tc>
        <w:tc>
          <w:tcPr>
            <w:tcW w:w="483"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112</w:t>
            </w:r>
          </w:p>
        </w:tc>
        <w:tc>
          <w:tcPr>
            <w:tcW w:w="759"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774</w:t>
            </w:r>
          </w:p>
        </w:tc>
      </w:tr>
      <w:tr w:rsidR="000E55A2" w:rsidTr="000E55A2">
        <w:trPr>
          <w:gridAfter w:val="1"/>
          <w:wAfter w:w="6" w:type="dxa"/>
          <w:trHeight w:val="288"/>
        </w:trPr>
        <w:tc>
          <w:tcPr>
            <w:tcW w:w="3316" w:type="dxa"/>
            <w:tcBorders>
              <w:top w:val="nil"/>
              <w:left w:val="single" w:sz="4" w:space="0" w:color="auto"/>
              <w:bottom w:val="single" w:sz="4" w:space="0" w:color="auto"/>
              <w:right w:val="single" w:sz="4" w:space="0" w:color="auto"/>
            </w:tcBorders>
            <w:shd w:val="clear" w:color="auto" w:fill="auto"/>
            <w:vAlign w:val="center"/>
            <w:hideMark/>
          </w:tcPr>
          <w:p w:rsidR="000E55A2" w:rsidRDefault="000E55A2" w:rsidP="000E55A2">
            <w:pPr>
              <w:spacing w:after="0" w:line="240" w:lineRule="auto"/>
              <w:rPr>
                <w:rFonts w:ascii="Arial" w:hAnsi="Arial" w:cs="Arial"/>
                <w:color w:val="000000"/>
                <w:sz w:val="16"/>
                <w:szCs w:val="16"/>
              </w:rPr>
            </w:pPr>
            <w:r>
              <w:rPr>
                <w:rFonts w:ascii="Arial" w:hAnsi="Arial" w:cs="Arial"/>
                <w:color w:val="000000"/>
                <w:sz w:val="16"/>
                <w:szCs w:val="16"/>
              </w:rPr>
              <w:t>Shop Steward/Office Bearer (Workdays)</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17</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37</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15</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483"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118</w:t>
            </w:r>
          </w:p>
        </w:tc>
        <w:tc>
          <w:tcPr>
            <w:tcW w:w="759"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192</w:t>
            </w:r>
          </w:p>
        </w:tc>
      </w:tr>
      <w:tr w:rsidR="000E55A2" w:rsidTr="000E55A2">
        <w:trPr>
          <w:gridAfter w:val="1"/>
          <w:wAfter w:w="6" w:type="dxa"/>
          <w:trHeight w:val="288"/>
        </w:trPr>
        <w:tc>
          <w:tcPr>
            <w:tcW w:w="3316" w:type="dxa"/>
            <w:tcBorders>
              <w:top w:val="nil"/>
              <w:left w:val="single" w:sz="4" w:space="0" w:color="auto"/>
              <w:bottom w:val="single" w:sz="4" w:space="0" w:color="auto"/>
              <w:right w:val="single" w:sz="4" w:space="0" w:color="auto"/>
            </w:tcBorders>
            <w:shd w:val="clear" w:color="auto" w:fill="auto"/>
            <w:vAlign w:val="center"/>
            <w:hideMark/>
          </w:tcPr>
          <w:p w:rsidR="000E55A2" w:rsidRDefault="000E55A2" w:rsidP="000E55A2">
            <w:pPr>
              <w:spacing w:after="0" w:line="240" w:lineRule="auto"/>
              <w:rPr>
                <w:rFonts w:ascii="Arial" w:hAnsi="Arial" w:cs="Arial"/>
                <w:color w:val="000000"/>
                <w:sz w:val="16"/>
                <w:szCs w:val="16"/>
              </w:rPr>
            </w:pPr>
            <w:r>
              <w:rPr>
                <w:rFonts w:ascii="Arial" w:hAnsi="Arial" w:cs="Arial"/>
                <w:color w:val="000000"/>
                <w:sz w:val="16"/>
                <w:szCs w:val="16"/>
              </w:rPr>
              <w:t>Sick-Full Pay (Workdays)</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2011</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962</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1293</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17565</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4604</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1862</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928</w:t>
            </w:r>
          </w:p>
        </w:tc>
        <w:tc>
          <w:tcPr>
            <w:tcW w:w="483"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184</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6852</w:t>
            </w:r>
          </w:p>
        </w:tc>
        <w:tc>
          <w:tcPr>
            <w:tcW w:w="759"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36261</w:t>
            </w:r>
          </w:p>
        </w:tc>
      </w:tr>
      <w:tr w:rsidR="000E55A2" w:rsidTr="000E55A2">
        <w:trPr>
          <w:gridAfter w:val="1"/>
          <w:wAfter w:w="6" w:type="dxa"/>
          <w:trHeight w:val="188"/>
        </w:trPr>
        <w:tc>
          <w:tcPr>
            <w:tcW w:w="3316" w:type="dxa"/>
            <w:tcBorders>
              <w:top w:val="nil"/>
              <w:left w:val="single" w:sz="4" w:space="0" w:color="auto"/>
              <w:bottom w:val="single" w:sz="4" w:space="0" w:color="auto"/>
              <w:right w:val="single" w:sz="4" w:space="0" w:color="auto"/>
            </w:tcBorders>
            <w:shd w:val="clear" w:color="auto" w:fill="auto"/>
            <w:vAlign w:val="center"/>
            <w:hideMark/>
          </w:tcPr>
          <w:p w:rsidR="000E55A2" w:rsidRDefault="000E55A2" w:rsidP="000E55A2">
            <w:pPr>
              <w:spacing w:after="0" w:line="240" w:lineRule="auto"/>
              <w:rPr>
                <w:rFonts w:ascii="Arial" w:hAnsi="Arial" w:cs="Arial"/>
                <w:color w:val="000000"/>
                <w:sz w:val="16"/>
                <w:szCs w:val="16"/>
              </w:rPr>
            </w:pPr>
            <w:r>
              <w:rPr>
                <w:rFonts w:ascii="Arial" w:hAnsi="Arial" w:cs="Arial"/>
                <w:color w:val="000000"/>
                <w:sz w:val="16"/>
                <w:szCs w:val="16"/>
              </w:rPr>
              <w:t>Special (Workdays)</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572</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801</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263</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3440</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1328</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409</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226</w:t>
            </w:r>
          </w:p>
        </w:tc>
        <w:tc>
          <w:tcPr>
            <w:tcW w:w="483"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33</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4505</w:t>
            </w:r>
          </w:p>
        </w:tc>
        <w:tc>
          <w:tcPr>
            <w:tcW w:w="759"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11577</w:t>
            </w:r>
          </w:p>
        </w:tc>
      </w:tr>
      <w:tr w:rsidR="000E55A2" w:rsidTr="000E55A2">
        <w:trPr>
          <w:gridAfter w:val="1"/>
          <w:wAfter w:w="6" w:type="dxa"/>
          <w:trHeight w:val="269"/>
        </w:trPr>
        <w:tc>
          <w:tcPr>
            <w:tcW w:w="3316" w:type="dxa"/>
            <w:tcBorders>
              <w:top w:val="nil"/>
              <w:left w:val="single" w:sz="4" w:space="0" w:color="auto"/>
              <w:bottom w:val="single" w:sz="4" w:space="0" w:color="auto"/>
              <w:right w:val="single" w:sz="4" w:space="0" w:color="auto"/>
            </w:tcBorders>
            <w:shd w:val="clear" w:color="auto" w:fill="auto"/>
            <w:vAlign w:val="center"/>
            <w:hideMark/>
          </w:tcPr>
          <w:p w:rsidR="000E55A2" w:rsidRDefault="000E55A2" w:rsidP="000E55A2">
            <w:pPr>
              <w:spacing w:after="0" w:line="240" w:lineRule="auto"/>
              <w:rPr>
                <w:rFonts w:ascii="Arial" w:hAnsi="Arial" w:cs="Arial"/>
                <w:color w:val="000000"/>
                <w:sz w:val="16"/>
                <w:szCs w:val="16"/>
              </w:rPr>
            </w:pPr>
            <w:r>
              <w:rPr>
                <w:rFonts w:ascii="Arial" w:hAnsi="Arial" w:cs="Arial"/>
                <w:color w:val="000000"/>
                <w:sz w:val="16"/>
                <w:szCs w:val="16"/>
              </w:rPr>
              <w:t>Temporary Incapacity Leave</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19</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33</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16</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140</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18</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9</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10</w:t>
            </w:r>
          </w:p>
        </w:tc>
        <w:tc>
          <w:tcPr>
            <w:tcW w:w="483"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95</w:t>
            </w:r>
          </w:p>
        </w:tc>
        <w:tc>
          <w:tcPr>
            <w:tcW w:w="759"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342</w:t>
            </w:r>
          </w:p>
        </w:tc>
      </w:tr>
      <w:tr w:rsidR="000E55A2" w:rsidTr="000E55A2">
        <w:trPr>
          <w:gridAfter w:val="1"/>
          <w:wAfter w:w="6" w:type="dxa"/>
          <w:trHeight w:val="170"/>
        </w:trPr>
        <w:tc>
          <w:tcPr>
            <w:tcW w:w="3316" w:type="dxa"/>
            <w:tcBorders>
              <w:top w:val="nil"/>
              <w:left w:val="single" w:sz="4" w:space="0" w:color="auto"/>
              <w:bottom w:val="single" w:sz="4" w:space="0" w:color="auto"/>
              <w:right w:val="single" w:sz="4" w:space="0" w:color="auto"/>
            </w:tcBorders>
            <w:shd w:val="clear" w:color="auto" w:fill="auto"/>
            <w:vAlign w:val="center"/>
            <w:hideMark/>
          </w:tcPr>
          <w:p w:rsidR="000E55A2" w:rsidRDefault="000E55A2" w:rsidP="000E55A2">
            <w:pPr>
              <w:spacing w:after="0" w:line="240" w:lineRule="auto"/>
              <w:rPr>
                <w:rFonts w:ascii="Arial" w:hAnsi="Arial" w:cs="Arial"/>
                <w:color w:val="000000"/>
                <w:sz w:val="16"/>
                <w:szCs w:val="16"/>
              </w:rPr>
            </w:pPr>
            <w:r>
              <w:rPr>
                <w:rFonts w:ascii="Arial" w:hAnsi="Arial" w:cs="Arial"/>
                <w:color w:val="000000"/>
                <w:sz w:val="16"/>
                <w:szCs w:val="16"/>
              </w:rPr>
              <w:t>Vacation - Full Pay (Workdays)</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7990</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5993</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4328</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34780</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13685</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6903</w:t>
            </w:r>
          </w:p>
        </w:tc>
        <w:tc>
          <w:tcPr>
            <w:tcW w:w="572"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4198</w:t>
            </w:r>
          </w:p>
        </w:tc>
        <w:tc>
          <w:tcPr>
            <w:tcW w:w="483"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651</w:t>
            </w:r>
          </w:p>
        </w:tc>
        <w:tc>
          <w:tcPr>
            <w:tcW w:w="661"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23370</w:t>
            </w:r>
          </w:p>
        </w:tc>
        <w:tc>
          <w:tcPr>
            <w:tcW w:w="759" w:type="dxa"/>
            <w:tcBorders>
              <w:top w:val="nil"/>
              <w:left w:val="nil"/>
              <w:bottom w:val="single" w:sz="4" w:space="0" w:color="auto"/>
              <w:right w:val="single" w:sz="4" w:space="0" w:color="auto"/>
            </w:tcBorders>
            <w:shd w:val="clear" w:color="auto" w:fill="auto"/>
            <w:vAlign w:val="center"/>
            <w:hideMark/>
          </w:tcPr>
          <w:p w:rsidR="000E55A2" w:rsidRDefault="000E55A2" w:rsidP="000E55A2">
            <w:pPr>
              <w:spacing w:after="0" w:line="240" w:lineRule="auto"/>
              <w:jc w:val="center"/>
              <w:rPr>
                <w:rFonts w:ascii="Arial" w:hAnsi="Arial" w:cs="Arial"/>
                <w:color w:val="000000"/>
                <w:sz w:val="16"/>
                <w:szCs w:val="16"/>
              </w:rPr>
            </w:pPr>
            <w:r>
              <w:rPr>
                <w:rFonts w:ascii="Arial" w:hAnsi="Arial" w:cs="Arial"/>
                <w:color w:val="000000"/>
                <w:sz w:val="16"/>
                <w:szCs w:val="16"/>
              </w:rPr>
              <w:t>101898</w:t>
            </w:r>
          </w:p>
        </w:tc>
      </w:tr>
    </w:tbl>
    <w:p w:rsidR="000E55A2" w:rsidRDefault="000E55A2" w:rsidP="0062632C">
      <w:pPr>
        <w:jc w:val="both"/>
        <w:rPr>
          <w:rFonts w:ascii="Arial" w:hAnsi="Arial" w:cs="Arial"/>
        </w:rPr>
      </w:pPr>
    </w:p>
    <w:p w:rsidR="0062632C" w:rsidRDefault="0062632C" w:rsidP="0062632C">
      <w:pPr>
        <w:pStyle w:val="ListParagraph"/>
        <w:numPr>
          <w:ilvl w:val="0"/>
          <w:numId w:val="17"/>
        </w:numPr>
        <w:ind w:hanging="720"/>
        <w:jc w:val="both"/>
        <w:rPr>
          <w:rFonts w:ascii="Arial" w:hAnsi="Arial" w:cs="Arial"/>
        </w:rPr>
      </w:pPr>
      <w:r>
        <w:rPr>
          <w:rFonts w:ascii="Arial" w:hAnsi="Arial" w:cs="Arial"/>
        </w:rPr>
        <w:t>The National Department of Health is consulting with the Provincial Departments of Health to collate the full details in this regard.</w:t>
      </w:r>
    </w:p>
    <w:p w:rsidR="0062632C" w:rsidRPr="0062632C" w:rsidRDefault="0062632C" w:rsidP="0062632C">
      <w:pPr>
        <w:jc w:val="both"/>
        <w:rPr>
          <w:rFonts w:ascii="Arial" w:hAnsi="Arial" w:cs="Arial"/>
        </w:rPr>
      </w:pPr>
    </w:p>
    <w:p w:rsidR="00E134D1" w:rsidRPr="00B268F2" w:rsidRDefault="00E134D1" w:rsidP="00527131">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D83" w:rsidRDefault="00025D83" w:rsidP="00BF747C">
      <w:pPr>
        <w:spacing w:after="0" w:line="240" w:lineRule="auto"/>
      </w:pPr>
      <w:r>
        <w:separator/>
      </w:r>
    </w:p>
  </w:endnote>
  <w:endnote w:type="continuationSeparator" w:id="0">
    <w:p w:rsidR="00025D83" w:rsidRDefault="00025D83"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344375"/>
      <w:docPartObj>
        <w:docPartGallery w:val="Page Numbers (Bottom of Page)"/>
        <w:docPartUnique/>
      </w:docPartObj>
    </w:sdtPr>
    <w:sdtEndPr>
      <w:rPr>
        <w:rFonts w:ascii="Arial" w:hAnsi="Arial" w:cs="Arial"/>
        <w:noProof/>
        <w:sz w:val="24"/>
        <w:szCs w:val="24"/>
      </w:rPr>
    </w:sdtEndPr>
    <w:sdtContent>
      <w:p w:rsidR="004A44E4" w:rsidRPr="004A44E4" w:rsidRDefault="00502922">
        <w:pPr>
          <w:pStyle w:val="Footer"/>
          <w:jc w:val="center"/>
          <w:rPr>
            <w:rFonts w:ascii="Arial" w:hAnsi="Arial" w:cs="Arial"/>
            <w:sz w:val="24"/>
            <w:szCs w:val="24"/>
          </w:rPr>
        </w:pPr>
        <w:r w:rsidRPr="004A44E4">
          <w:rPr>
            <w:rFonts w:ascii="Arial" w:hAnsi="Arial" w:cs="Arial"/>
            <w:sz w:val="24"/>
            <w:szCs w:val="24"/>
          </w:rPr>
          <w:fldChar w:fldCharType="begin"/>
        </w:r>
        <w:r w:rsidR="004A44E4" w:rsidRPr="004A44E4">
          <w:rPr>
            <w:rFonts w:ascii="Arial" w:hAnsi="Arial" w:cs="Arial"/>
            <w:sz w:val="24"/>
            <w:szCs w:val="24"/>
          </w:rPr>
          <w:instrText xml:space="preserve"> PAGE   \* MERGEFORMAT </w:instrText>
        </w:r>
        <w:r w:rsidRPr="004A44E4">
          <w:rPr>
            <w:rFonts w:ascii="Arial" w:hAnsi="Arial" w:cs="Arial"/>
            <w:sz w:val="24"/>
            <w:szCs w:val="24"/>
          </w:rPr>
          <w:fldChar w:fldCharType="separate"/>
        </w:r>
        <w:r w:rsidR="00025D83">
          <w:rPr>
            <w:rFonts w:ascii="Arial" w:hAnsi="Arial" w:cs="Arial"/>
            <w:noProof/>
            <w:sz w:val="24"/>
            <w:szCs w:val="24"/>
          </w:rPr>
          <w:t>1</w:t>
        </w:r>
        <w:r w:rsidRPr="004A44E4">
          <w:rPr>
            <w:rFonts w:ascii="Arial" w:hAnsi="Arial" w:cs="Arial"/>
            <w:noProof/>
            <w:sz w:val="24"/>
            <w:szCs w:val="24"/>
          </w:rPr>
          <w:fldChar w:fldCharType="end"/>
        </w:r>
      </w:p>
    </w:sdtContent>
  </w:sdt>
  <w:p w:rsidR="004A44E4" w:rsidRDefault="004A4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D83" w:rsidRDefault="00025D83" w:rsidP="00BF747C">
      <w:pPr>
        <w:spacing w:after="0" w:line="240" w:lineRule="auto"/>
      </w:pPr>
      <w:r>
        <w:separator/>
      </w:r>
    </w:p>
  </w:footnote>
  <w:footnote w:type="continuationSeparator" w:id="0">
    <w:p w:rsidR="00025D83" w:rsidRDefault="00025D83"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891976"/>
    <w:multiLevelType w:val="hybridMultilevel"/>
    <w:tmpl w:val="76DC4A9E"/>
    <w:lvl w:ilvl="0" w:tplc="6E5E8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9">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1">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8837AF"/>
    <w:multiLevelType w:val="hybridMultilevel"/>
    <w:tmpl w:val="9B98AC58"/>
    <w:lvl w:ilvl="0" w:tplc="B678B704">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5">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1"/>
  </w:num>
  <w:num w:numId="3">
    <w:abstractNumId w:val="8"/>
  </w:num>
  <w:num w:numId="4">
    <w:abstractNumId w:val="17"/>
  </w:num>
  <w:num w:numId="5">
    <w:abstractNumId w:val="7"/>
  </w:num>
  <w:num w:numId="6">
    <w:abstractNumId w:val="14"/>
  </w:num>
  <w:num w:numId="7">
    <w:abstractNumId w:val="10"/>
  </w:num>
  <w:num w:numId="8">
    <w:abstractNumId w:val="4"/>
  </w:num>
  <w:num w:numId="9">
    <w:abstractNumId w:val="9"/>
  </w:num>
  <w:num w:numId="10">
    <w:abstractNumId w:val="0"/>
  </w:num>
  <w:num w:numId="11">
    <w:abstractNumId w:val="5"/>
  </w:num>
  <w:num w:numId="12">
    <w:abstractNumId w:val="13"/>
  </w:num>
  <w:num w:numId="13">
    <w:abstractNumId w:val="16"/>
  </w:num>
  <w:num w:numId="14">
    <w:abstractNumId w:val="1"/>
  </w:num>
  <w:num w:numId="15">
    <w:abstractNumId w:val="2"/>
  </w:num>
  <w:num w:numId="16">
    <w:abstractNumId w:val="15"/>
  </w:num>
  <w:num w:numId="17">
    <w:abstractNumId w:val="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05F17"/>
    <w:rsid w:val="00013511"/>
    <w:rsid w:val="00025D83"/>
    <w:rsid w:val="0006704A"/>
    <w:rsid w:val="00071657"/>
    <w:rsid w:val="000973CE"/>
    <w:rsid w:val="000B5C30"/>
    <w:rsid w:val="000C12EC"/>
    <w:rsid w:val="000D7AA8"/>
    <w:rsid w:val="000E55A2"/>
    <w:rsid w:val="00102E24"/>
    <w:rsid w:val="0011067E"/>
    <w:rsid w:val="00176960"/>
    <w:rsid w:val="001979F1"/>
    <w:rsid w:val="001C0A3B"/>
    <w:rsid w:val="001E58AE"/>
    <w:rsid w:val="001F5233"/>
    <w:rsid w:val="002032D2"/>
    <w:rsid w:val="0020357C"/>
    <w:rsid w:val="00245085"/>
    <w:rsid w:val="00250BFB"/>
    <w:rsid w:val="00275DB0"/>
    <w:rsid w:val="00280222"/>
    <w:rsid w:val="002A0C62"/>
    <w:rsid w:val="002C2A10"/>
    <w:rsid w:val="002D383B"/>
    <w:rsid w:val="002E1027"/>
    <w:rsid w:val="00306F90"/>
    <w:rsid w:val="00306FFC"/>
    <w:rsid w:val="00333D2A"/>
    <w:rsid w:val="003648B1"/>
    <w:rsid w:val="0037106C"/>
    <w:rsid w:val="003B1818"/>
    <w:rsid w:val="003B2854"/>
    <w:rsid w:val="003F255E"/>
    <w:rsid w:val="00406988"/>
    <w:rsid w:val="00412151"/>
    <w:rsid w:val="0046053B"/>
    <w:rsid w:val="00464595"/>
    <w:rsid w:val="00464B29"/>
    <w:rsid w:val="0047527C"/>
    <w:rsid w:val="004A44E4"/>
    <w:rsid w:val="004B2E8A"/>
    <w:rsid w:val="004B46FE"/>
    <w:rsid w:val="004C5C74"/>
    <w:rsid w:val="004C6910"/>
    <w:rsid w:val="004D49AE"/>
    <w:rsid w:val="00502922"/>
    <w:rsid w:val="00527131"/>
    <w:rsid w:val="005419B3"/>
    <w:rsid w:val="00546927"/>
    <w:rsid w:val="00555563"/>
    <w:rsid w:val="005A4E67"/>
    <w:rsid w:val="005C3DC0"/>
    <w:rsid w:val="005D2583"/>
    <w:rsid w:val="005E20E3"/>
    <w:rsid w:val="005F024D"/>
    <w:rsid w:val="006228AA"/>
    <w:rsid w:val="0062632C"/>
    <w:rsid w:val="00630E06"/>
    <w:rsid w:val="00641363"/>
    <w:rsid w:val="00643DA3"/>
    <w:rsid w:val="00644FCB"/>
    <w:rsid w:val="00690396"/>
    <w:rsid w:val="00691404"/>
    <w:rsid w:val="0069149E"/>
    <w:rsid w:val="007408C8"/>
    <w:rsid w:val="007645A8"/>
    <w:rsid w:val="007E1F8F"/>
    <w:rsid w:val="007F0AE0"/>
    <w:rsid w:val="00865AA2"/>
    <w:rsid w:val="008B5385"/>
    <w:rsid w:val="008C527F"/>
    <w:rsid w:val="00933986"/>
    <w:rsid w:val="00941BB9"/>
    <w:rsid w:val="00942EDC"/>
    <w:rsid w:val="00960E2D"/>
    <w:rsid w:val="00974689"/>
    <w:rsid w:val="00980949"/>
    <w:rsid w:val="00994ED7"/>
    <w:rsid w:val="009A44CF"/>
    <w:rsid w:val="009B7939"/>
    <w:rsid w:val="009D32AF"/>
    <w:rsid w:val="00A11769"/>
    <w:rsid w:val="00A14AFD"/>
    <w:rsid w:val="00A30F46"/>
    <w:rsid w:val="00A33B6B"/>
    <w:rsid w:val="00A654CA"/>
    <w:rsid w:val="00A92E95"/>
    <w:rsid w:val="00A952F9"/>
    <w:rsid w:val="00B268F2"/>
    <w:rsid w:val="00B416FF"/>
    <w:rsid w:val="00BB3958"/>
    <w:rsid w:val="00BB75F5"/>
    <w:rsid w:val="00BE1738"/>
    <w:rsid w:val="00BF747C"/>
    <w:rsid w:val="00C057AA"/>
    <w:rsid w:val="00C2436E"/>
    <w:rsid w:val="00C36128"/>
    <w:rsid w:val="00C94EDC"/>
    <w:rsid w:val="00CD4399"/>
    <w:rsid w:val="00CE2151"/>
    <w:rsid w:val="00CF0B96"/>
    <w:rsid w:val="00D514C2"/>
    <w:rsid w:val="00D566C6"/>
    <w:rsid w:val="00D702F8"/>
    <w:rsid w:val="00DB0E7E"/>
    <w:rsid w:val="00DB5964"/>
    <w:rsid w:val="00E04188"/>
    <w:rsid w:val="00E134D1"/>
    <w:rsid w:val="00E165E7"/>
    <w:rsid w:val="00E207B7"/>
    <w:rsid w:val="00E310B6"/>
    <w:rsid w:val="00E41F34"/>
    <w:rsid w:val="00E45F7A"/>
    <w:rsid w:val="00E50004"/>
    <w:rsid w:val="00E5287A"/>
    <w:rsid w:val="00E55476"/>
    <w:rsid w:val="00E70E1D"/>
    <w:rsid w:val="00EA7633"/>
    <w:rsid w:val="00EB3463"/>
    <w:rsid w:val="00EB790D"/>
    <w:rsid w:val="00EC5EED"/>
    <w:rsid w:val="00ED304B"/>
    <w:rsid w:val="00F00309"/>
    <w:rsid w:val="00F3386F"/>
    <w:rsid w:val="00F469A0"/>
    <w:rsid w:val="00F5530C"/>
    <w:rsid w:val="00FA08DD"/>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922"/>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2023-04-14T10:33:00Z</dcterms:created>
  <dcterms:modified xsi:type="dcterms:W3CDTF">2023-04-14T10:33:00Z</dcterms:modified>
</cp:coreProperties>
</file>