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743152">
      <w:pPr>
        <w:rPr>
          <w:rFonts w:ascii="Trebuchet MS" w:hAnsi="Trebuchet MS"/>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r w:rsidR="00743152">
        <w:tab/>
      </w:r>
      <w:r w:rsidR="00743152">
        <w:tab/>
      </w:r>
      <w:r w:rsidR="00743152">
        <w:tab/>
      </w:r>
      <w:r w:rsidR="00743152">
        <w:tab/>
      </w: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Pr="005A2F75"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7D7DE5" w:rsidRPr="007D7DE5" w:rsidRDefault="007D7DE5" w:rsidP="007D7DE5">
      <w:pPr>
        <w:spacing w:after="0" w:line="240" w:lineRule="auto"/>
        <w:rPr>
          <w:rFonts w:ascii="Arial Narrow" w:hAnsi="Arial Narrow" w:cs="Tunga"/>
          <w:b/>
          <w:sz w:val="28"/>
          <w:szCs w:val="28"/>
          <w:lang w:val="en-ZA"/>
        </w:rPr>
      </w:pPr>
      <w:r w:rsidRPr="007D7DE5">
        <w:rPr>
          <w:rFonts w:ascii="Arial Narrow" w:hAnsi="Arial Narrow" w:cs="Tunga"/>
          <w:b/>
          <w:sz w:val="28"/>
          <w:szCs w:val="28"/>
          <w:lang w:val="en-ZA"/>
        </w:rPr>
        <w:t>891.</w:t>
      </w:r>
      <w:r w:rsidRPr="007D7DE5">
        <w:rPr>
          <w:rFonts w:ascii="Arial Narrow" w:hAnsi="Arial Narrow" w:cs="Tunga"/>
          <w:b/>
          <w:sz w:val="28"/>
          <w:szCs w:val="28"/>
          <w:lang w:val="en-ZA"/>
        </w:rPr>
        <w:tab/>
        <w:t>Mr G R Davis (DA) to ask the Minister of Energy:</w:t>
      </w:r>
    </w:p>
    <w:p w:rsidR="007D7DE5" w:rsidRPr="007D7DE5" w:rsidRDefault="007D7DE5" w:rsidP="007D7DE5">
      <w:pPr>
        <w:spacing w:after="0" w:line="240" w:lineRule="auto"/>
        <w:rPr>
          <w:rFonts w:ascii="Arial Narrow" w:hAnsi="Arial Narrow" w:cs="Tunga"/>
          <w:sz w:val="28"/>
          <w:szCs w:val="28"/>
          <w:lang w:val="en-ZA"/>
        </w:rPr>
      </w:pPr>
    </w:p>
    <w:p w:rsidR="007D7DE5" w:rsidRPr="007D7DE5" w:rsidRDefault="007D7DE5" w:rsidP="007D7DE5">
      <w:pPr>
        <w:spacing w:after="0" w:line="360" w:lineRule="auto"/>
        <w:jc w:val="both"/>
        <w:rPr>
          <w:rFonts w:ascii="Arial Narrow" w:hAnsi="Arial Narrow" w:cs="Tunga"/>
          <w:sz w:val="28"/>
          <w:szCs w:val="28"/>
          <w:lang w:val="en-ZA"/>
        </w:rPr>
      </w:pPr>
      <w:r w:rsidRPr="007D7DE5">
        <w:rPr>
          <w:rFonts w:ascii="Arial Narrow" w:hAnsi="Arial Narrow" w:cs="Tunga"/>
          <w:sz w:val="28"/>
          <w:szCs w:val="28"/>
          <w:lang w:val="en-ZA"/>
        </w:rPr>
        <w:t>What are the details of the tender process and awarding of tenders by the office responsible for the Independent Power Producers in terms of (a) scoring, (b) awarding of contracts and (c) adjudication panellists? NW970E</w:t>
      </w:r>
    </w:p>
    <w:p w:rsidR="00842FCC" w:rsidRDefault="00842FCC" w:rsidP="00B14337">
      <w:pPr>
        <w:spacing w:after="0" w:line="240" w:lineRule="auto"/>
        <w:jc w:val="both"/>
        <w:rPr>
          <w:rFonts w:ascii="Arial Narrow" w:hAnsi="Arial Narrow" w:cs="Tunga"/>
          <w:b/>
          <w:sz w:val="28"/>
          <w:szCs w:val="28"/>
          <w:lang w:val="en-ZA"/>
        </w:rPr>
      </w:pPr>
    </w:p>
    <w:p w:rsidR="00B14337" w:rsidRPr="00743152" w:rsidRDefault="00B14337" w:rsidP="00B14337">
      <w:pPr>
        <w:spacing w:after="0" w:line="240" w:lineRule="auto"/>
        <w:jc w:val="both"/>
        <w:rPr>
          <w:rFonts w:ascii="Arial Narrow" w:hAnsi="Arial Narrow" w:cs="Tunga"/>
          <w:b/>
          <w:sz w:val="28"/>
          <w:szCs w:val="28"/>
          <w:lang w:val="en-ZA"/>
        </w:rPr>
      </w:pPr>
      <w:r w:rsidRPr="00743152">
        <w:rPr>
          <w:rFonts w:ascii="Arial Narrow" w:hAnsi="Arial Narrow" w:cs="Tunga"/>
          <w:b/>
          <w:sz w:val="28"/>
          <w:szCs w:val="28"/>
          <w:lang w:val="en-ZA"/>
        </w:rPr>
        <w:t>Reply</w:t>
      </w:r>
    </w:p>
    <w:p w:rsidR="00A65EE3" w:rsidRPr="00743152" w:rsidRDefault="00A65EE3" w:rsidP="00A65EE3">
      <w:pPr>
        <w:spacing w:after="0" w:line="240" w:lineRule="auto"/>
        <w:jc w:val="both"/>
        <w:rPr>
          <w:rFonts w:ascii="Arial Narrow" w:hAnsi="Arial Narrow" w:cs="Tunga"/>
          <w:b/>
          <w:sz w:val="28"/>
          <w:szCs w:val="28"/>
          <w:lang w:val="en-ZA"/>
        </w:rPr>
      </w:pPr>
    </w:p>
    <w:p w:rsidR="00A65EE3" w:rsidRPr="00743152" w:rsidRDefault="00A65EE3" w:rsidP="00A65EE3">
      <w:pPr>
        <w:pStyle w:val="BodyText2"/>
        <w:numPr>
          <w:ilvl w:val="0"/>
          <w:numId w:val="40"/>
        </w:numPr>
        <w:tabs>
          <w:tab w:val="left" w:pos="851"/>
        </w:tabs>
        <w:spacing w:line="240" w:lineRule="auto"/>
        <w:ind w:left="426" w:hanging="426"/>
        <w:rPr>
          <w:rFonts w:ascii="Arial Narrow" w:hAnsi="Arial Narrow" w:cs="Arial"/>
          <w:sz w:val="28"/>
          <w:szCs w:val="28"/>
          <w:lang w:val="en-US"/>
        </w:rPr>
      </w:pPr>
      <w:r w:rsidRPr="00743152">
        <w:rPr>
          <w:rFonts w:ascii="Arial Narrow" w:hAnsi="Arial Narrow" w:cs="Arial"/>
          <w:sz w:val="28"/>
          <w:szCs w:val="28"/>
          <w:lang w:val="en-US"/>
        </w:rPr>
        <w:t>The evaluation of bid responses and the selection of preferred bidders follow a two phased approach:</w:t>
      </w:r>
    </w:p>
    <w:p w:rsidR="00A65EE3" w:rsidRPr="00743152" w:rsidRDefault="00A65EE3" w:rsidP="00A65EE3">
      <w:pPr>
        <w:pStyle w:val="BodyText2"/>
        <w:numPr>
          <w:ilvl w:val="0"/>
          <w:numId w:val="37"/>
        </w:numPr>
        <w:tabs>
          <w:tab w:val="left" w:pos="851"/>
        </w:tabs>
        <w:spacing w:line="240" w:lineRule="auto"/>
        <w:ind w:hanging="294"/>
        <w:rPr>
          <w:rFonts w:ascii="Arial Narrow" w:hAnsi="Arial Narrow" w:cs="Arial"/>
          <w:sz w:val="28"/>
          <w:szCs w:val="28"/>
          <w:lang w:val="en-US"/>
        </w:rPr>
      </w:pPr>
      <w:r w:rsidRPr="00743152">
        <w:rPr>
          <w:rFonts w:ascii="Arial Narrow" w:hAnsi="Arial Narrow" w:cs="Arial"/>
          <w:sz w:val="28"/>
          <w:szCs w:val="28"/>
          <w:lang w:val="en-US"/>
        </w:rPr>
        <w:t xml:space="preserve">The bidders first have to qualify in terms of the </w:t>
      </w:r>
      <w:r w:rsidRPr="00743152">
        <w:rPr>
          <w:rFonts w:ascii="Arial Narrow" w:hAnsi="Arial Narrow" w:cs="Arial"/>
          <w:sz w:val="28"/>
          <w:szCs w:val="28"/>
          <w:u w:val="single"/>
          <w:lang w:val="en-US"/>
        </w:rPr>
        <w:t>qualification criteria</w:t>
      </w:r>
      <w:r w:rsidRPr="00743152">
        <w:rPr>
          <w:rFonts w:ascii="Arial Narrow" w:hAnsi="Arial Narrow" w:cs="Arial"/>
          <w:sz w:val="28"/>
          <w:szCs w:val="28"/>
          <w:lang w:val="en-US"/>
        </w:rPr>
        <w:t xml:space="preserve"> as outlined in the Request for Proposals (RFP); and</w:t>
      </w:r>
    </w:p>
    <w:p w:rsidR="00A65EE3" w:rsidRPr="00743152" w:rsidRDefault="00A65EE3" w:rsidP="00435385">
      <w:pPr>
        <w:pStyle w:val="BodyText2"/>
        <w:numPr>
          <w:ilvl w:val="0"/>
          <w:numId w:val="37"/>
        </w:numPr>
        <w:tabs>
          <w:tab w:val="left" w:pos="851"/>
        </w:tabs>
        <w:spacing w:line="360" w:lineRule="auto"/>
        <w:ind w:hanging="294"/>
        <w:rPr>
          <w:rFonts w:ascii="Arial Narrow" w:hAnsi="Arial Narrow" w:cs="Arial"/>
          <w:sz w:val="28"/>
          <w:szCs w:val="28"/>
          <w:lang w:val="en-US"/>
        </w:rPr>
      </w:pPr>
      <w:r w:rsidRPr="00743152">
        <w:rPr>
          <w:rFonts w:ascii="Arial Narrow" w:hAnsi="Arial Narrow" w:cs="Arial"/>
          <w:sz w:val="28"/>
          <w:szCs w:val="28"/>
          <w:lang w:val="en-US"/>
        </w:rPr>
        <w:t xml:space="preserve">If compliant with the qualification criteria will then be assessed against the </w:t>
      </w:r>
      <w:r w:rsidRPr="00743152">
        <w:rPr>
          <w:rFonts w:ascii="Arial Narrow" w:hAnsi="Arial Narrow" w:cs="Arial"/>
          <w:sz w:val="28"/>
          <w:szCs w:val="28"/>
          <w:u w:val="single"/>
          <w:lang w:val="en-US"/>
        </w:rPr>
        <w:t xml:space="preserve">evaluation </w:t>
      </w:r>
      <w:proofErr w:type="gramStart"/>
      <w:r w:rsidRPr="00743152">
        <w:rPr>
          <w:rFonts w:ascii="Arial Narrow" w:hAnsi="Arial Narrow" w:cs="Arial"/>
          <w:sz w:val="28"/>
          <w:szCs w:val="28"/>
          <w:u w:val="single"/>
          <w:lang w:val="en-US"/>
        </w:rPr>
        <w:t>criteria</w:t>
      </w:r>
      <w:proofErr w:type="gramEnd"/>
      <w:r w:rsidRPr="00743152">
        <w:rPr>
          <w:rFonts w:ascii="Arial Narrow" w:hAnsi="Arial Narrow" w:cs="Arial"/>
          <w:sz w:val="28"/>
          <w:szCs w:val="28"/>
          <w:lang w:val="en-US"/>
        </w:rPr>
        <w:t xml:space="preserve"> as outlined in the RFP.</w:t>
      </w:r>
      <w:r w:rsidR="00743152" w:rsidRPr="00743152">
        <w:rPr>
          <w:rFonts w:ascii="Arial Narrow" w:hAnsi="Arial Narrow" w:cs="Arial"/>
          <w:sz w:val="28"/>
          <w:szCs w:val="28"/>
          <w:lang w:val="en-US"/>
        </w:rPr>
        <w:t xml:space="preserve"> </w:t>
      </w:r>
      <w:r w:rsidRPr="00743152">
        <w:rPr>
          <w:rFonts w:ascii="Arial Narrow" w:hAnsi="Arial Narrow" w:cs="Arial"/>
          <w:sz w:val="28"/>
          <w:szCs w:val="28"/>
          <w:lang w:val="en-US"/>
        </w:rPr>
        <w:t xml:space="preserve">The evaluation criteria has two parts, being price and economic development. The evaluation is undertaken in accordance with a 70/30 points system, with </w:t>
      </w:r>
      <w:r w:rsidRPr="00743152">
        <w:rPr>
          <w:rFonts w:ascii="Arial Narrow" w:hAnsi="Arial Narrow" w:cs="Arial"/>
          <w:sz w:val="28"/>
          <w:szCs w:val="28"/>
          <w:u w:val="single"/>
          <w:lang w:val="en-US"/>
        </w:rPr>
        <w:t xml:space="preserve">price </w:t>
      </w:r>
      <w:r w:rsidRPr="00743152">
        <w:rPr>
          <w:rFonts w:ascii="Arial Narrow" w:hAnsi="Arial Narrow" w:cs="Arial"/>
          <w:sz w:val="28"/>
          <w:szCs w:val="28"/>
          <w:lang w:val="en-US"/>
        </w:rPr>
        <w:t xml:space="preserve">being scored out of 70 points and </w:t>
      </w:r>
      <w:r w:rsidRPr="00743152">
        <w:rPr>
          <w:rFonts w:ascii="Arial Narrow" w:hAnsi="Arial Narrow" w:cs="Arial"/>
          <w:sz w:val="28"/>
          <w:szCs w:val="28"/>
          <w:u w:val="single"/>
          <w:lang w:val="en-US"/>
        </w:rPr>
        <w:t>economic development</w:t>
      </w:r>
      <w:r w:rsidRPr="00743152">
        <w:rPr>
          <w:rFonts w:ascii="Arial Narrow" w:hAnsi="Arial Narrow" w:cs="Arial"/>
          <w:sz w:val="28"/>
          <w:szCs w:val="28"/>
          <w:lang w:val="en-US"/>
        </w:rPr>
        <w:t xml:space="preserve"> being scored out of 30 points.</w:t>
      </w:r>
    </w:p>
    <w:p w:rsidR="007D7DE5" w:rsidRDefault="007D7DE5" w:rsidP="00743152">
      <w:pPr>
        <w:pStyle w:val="BodyText2"/>
        <w:tabs>
          <w:tab w:val="left" w:pos="851"/>
        </w:tabs>
        <w:spacing w:line="360" w:lineRule="auto"/>
        <w:ind w:left="426"/>
        <w:rPr>
          <w:rFonts w:ascii="Arial Narrow" w:hAnsi="Arial Narrow" w:cs="Arial"/>
          <w:sz w:val="28"/>
          <w:szCs w:val="28"/>
          <w:lang w:val="en-US"/>
        </w:rPr>
      </w:pPr>
    </w:p>
    <w:p w:rsidR="007D7DE5" w:rsidRDefault="007D7DE5" w:rsidP="00743152">
      <w:pPr>
        <w:pStyle w:val="BodyText2"/>
        <w:tabs>
          <w:tab w:val="left" w:pos="851"/>
        </w:tabs>
        <w:spacing w:line="360" w:lineRule="auto"/>
        <w:ind w:left="426"/>
        <w:rPr>
          <w:rFonts w:ascii="Arial Narrow" w:hAnsi="Arial Narrow" w:cs="Arial"/>
          <w:sz w:val="28"/>
          <w:szCs w:val="28"/>
          <w:lang w:val="en-US"/>
        </w:rPr>
      </w:pPr>
    </w:p>
    <w:p w:rsidR="007D7DE5" w:rsidRDefault="007D7DE5" w:rsidP="00743152">
      <w:pPr>
        <w:pStyle w:val="BodyText2"/>
        <w:tabs>
          <w:tab w:val="left" w:pos="851"/>
        </w:tabs>
        <w:spacing w:line="360" w:lineRule="auto"/>
        <w:ind w:left="426"/>
        <w:rPr>
          <w:rFonts w:ascii="Arial Narrow" w:hAnsi="Arial Narrow" w:cs="Arial"/>
          <w:sz w:val="28"/>
          <w:szCs w:val="28"/>
          <w:lang w:val="en-US"/>
        </w:rPr>
      </w:pPr>
    </w:p>
    <w:p w:rsidR="007D7DE5" w:rsidRDefault="007D7DE5" w:rsidP="00743152">
      <w:pPr>
        <w:pStyle w:val="BodyText2"/>
        <w:tabs>
          <w:tab w:val="left" w:pos="851"/>
        </w:tabs>
        <w:spacing w:line="360" w:lineRule="auto"/>
        <w:ind w:left="426"/>
        <w:rPr>
          <w:rFonts w:ascii="Arial Narrow" w:hAnsi="Arial Narrow" w:cs="Arial"/>
          <w:sz w:val="28"/>
          <w:szCs w:val="28"/>
          <w:lang w:val="en-US"/>
        </w:rPr>
      </w:pPr>
    </w:p>
    <w:p w:rsidR="007D7DE5" w:rsidRDefault="007D7DE5" w:rsidP="00743152">
      <w:pPr>
        <w:pStyle w:val="BodyText2"/>
        <w:tabs>
          <w:tab w:val="left" w:pos="851"/>
        </w:tabs>
        <w:spacing w:line="360" w:lineRule="auto"/>
        <w:ind w:left="426"/>
        <w:rPr>
          <w:rFonts w:ascii="Arial Narrow" w:hAnsi="Arial Narrow" w:cs="Arial"/>
          <w:sz w:val="28"/>
          <w:szCs w:val="28"/>
          <w:lang w:val="en-US"/>
        </w:rPr>
      </w:pPr>
    </w:p>
    <w:p w:rsidR="007D7DE5" w:rsidRDefault="007D7DE5" w:rsidP="00743152">
      <w:pPr>
        <w:pStyle w:val="BodyText2"/>
        <w:tabs>
          <w:tab w:val="left" w:pos="851"/>
        </w:tabs>
        <w:spacing w:line="360" w:lineRule="auto"/>
        <w:ind w:left="426"/>
        <w:rPr>
          <w:rFonts w:ascii="Arial Narrow" w:hAnsi="Arial Narrow" w:cs="Arial"/>
          <w:sz w:val="28"/>
          <w:szCs w:val="28"/>
          <w:lang w:val="en-US"/>
        </w:rPr>
      </w:pPr>
    </w:p>
    <w:p w:rsidR="007D7DE5" w:rsidRDefault="007D7DE5" w:rsidP="00743152">
      <w:pPr>
        <w:pStyle w:val="BodyText2"/>
        <w:tabs>
          <w:tab w:val="left" w:pos="851"/>
        </w:tabs>
        <w:spacing w:line="360" w:lineRule="auto"/>
        <w:ind w:left="426"/>
        <w:rPr>
          <w:rFonts w:ascii="Arial Narrow" w:hAnsi="Arial Narrow" w:cs="Arial"/>
          <w:sz w:val="28"/>
          <w:szCs w:val="28"/>
          <w:lang w:val="en-US"/>
        </w:rPr>
      </w:pPr>
    </w:p>
    <w:p w:rsidR="00A65EE3" w:rsidRPr="00743152" w:rsidRDefault="00A65EE3" w:rsidP="00743152">
      <w:pPr>
        <w:pStyle w:val="BodyText2"/>
        <w:tabs>
          <w:tab w:val="left" w:pos="851"/>
        </w:tabs>
        <w:spacing w:line="360" w:lineRule="auto"/>
        <w:ind w:left="426"/>
        <w:rPr>
          <w:rFonts w:ascii="Arial Narrow" w:hAnsi="Arial Narrow" w:cs="Arial"/>
          <w:sz w:val="28"/>
          <w:szCs w:val="28"/>
          <w:lang w:val="en-US"/>
        </w:rPr>
      </w:pPr>
      <w:r w:rsidRPr="00743152">
        <w:rPr>
          <w:rFonts w:ascii="Arial Narrow" w:hAnsi="Arial Narrow" w:cs="Arial"/>
          <w:sz w:val="28"/>
          <w:szCs w:val="28"/>
          <w:lang w:val="en-US"/>
        </w:rPr>
        <w:t>The recommendation of an independent evaluation team is forwarded to the Department of Energy’s Bid Adjudication Committee (BAC) for consideration.   In the event the BAC is in agreement and satisfied with the assurance by an external governance reviewer that evaluation was done in accordance the evaluation RFP and the pre-determined evaluation procedures set by the BAC, the BAC will recommend the results for approval to the Director-General of the Department of Energy, where after the preferred bidders are appointed in writing.</w:t>
      </w:r>
    </w:p>
    <w:sectPr w:rsidR="00A65EE3" w:rsidRPr="00743152"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1D" w:rsidRDefault="0063641D" w:rsidP="00E149A9">
      <w:pPr>
        <w:spacing w:after="0" w:line="240" w:lineRule="auto"/>
      </w:pPr>
      <w:r>
        <w:separator/>
      </w:r>
    </w:p>
  </w:endnote>
  <w:endnote w:type="continuationSeparator" w:id="0">
    <w:p w:rsidR="0063641D" w:rsidRDefault="0063641D"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1D" w:rsidRDefault="0063641D" w:rsidP="00E149A9">
      <w:pPr>
        <w:spacing w:after="0" w:line="240" w:lineRule="auto"/>
      </w:pPr>
      <w:r>
        <w:separator/>
      </w:r>
    </w:p>
  </w:footnote>
  <w:footnote w:type="continuationSeparator" w:id="0">
    <w:p w:rsidR="0063641D" w:rsidRDefault="0063641D"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EB0EAC"/>
    <w:multiLevelType w:val="hybridMultilevel"/>
    <w:tmpl w:val="3052237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33B3AE8"/>
    <w:multiLevelType w:val="hybridMultilevel"/>
    <w:tmpl w:val="9CB69198"/>
    <w:lvl w:ilvl="0" w:tplc="D136AD94">
      <w:start w:val="1"/>
      <w:numFmt w:val="lowerLetter"/>
      <w:lvlText w:val="(%1)"/>
      <w:lvlJc w:val="left"/>
      <w:pPr>
        <w:ind w:left="786" w:hanging="360"/>
      </w:pPr>
      <w:rPr>
        <w:rFonts w:hint="default"/>
      </w:rPr>
    </w:lvl>
    <w:lvl w:ilvl="1" w:tplc="1C090019" w:tentative="1">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8E6819"/>
    <w:multiLevelType w:val="hybridMultilevel"/>
    <w:tmpl w:val="A04CF7F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46C956DA"/>
    <w:multiLevelType w:val="hybridMultilevel"/>
    <w:tmpl w:val="6592EE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321FA"/>
    <w:multiLevelType w:val="multilevel"/>
    <w:tmpl w:val="56FC89EE"/>
    <w:lvl w:ilvl="0">
      <w:start w:val="1"/>
      <w:numFmt w:val="bullet"/>
      <w:lvlText w:val=""/>
      <w:lvlJc w:val="left"/>
      <w:pPr>
        <w:ind w:left="1080" w:hanging="360"/>
      </w:pPr>
      <w:rPr>
        <w:rFonts w:ascii="Symbol" w:hAnsi="Symbol" w:hint="default"/>
        <w:b w:val="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160" w:hanging="1440"/>
      </w:pPr>
      <w:rPr>
        <w:rFonts w:hint="default"/>
        <w:b w:val="0"/>
      </w:rPr>
    </w:lvl>
    <w:lvl w:ilvl="8">
      <w:start w:val="1"/>
      <w:numFmt w:val="decimal"/>
      <w:lvlText w:val="%1.%2.%3.%4.%5.%6.%7.%8.%9"/>
      <w:lvlJc w:val="left"/>
      <w:pPr>
        <w:ind w:left="2520" w:hanging="1800"/>
      </w:pPr>
      <w:rPr>
        <w:rFonts w:hint="default"/>
        <w:b w:val="0"/>
      </w:rPr>
    </w:lvl>
  </w:abstractNum>
  <w:abstractNum w:abstractNumId="28"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98E2E9F"/>
    <w:multiLevelType w:val="hybridMultilevel"/>
    <w:tmpl w:val="07A6C910"/>
    <w:lvl w:ilvl="0" w:tplc="1C09000F">
      <w:start w:val="1"/>
      <w:numFmt w:val="decimal"/>
      <w:lvlText w:val="%1."/>
      <w:lvlJc w:val="left"/>
      <w:pPr>
        <w:ind w:left="1080" w:hanging="360"/>
      </w:pPr>
      <w:rPr>
        <w:rFonts w:hint="default"/>
      </w:rPr>
    </w:lvl>
    <w:lvl w:ilvl="1" w:tplc="1C090003">
      <w:start w:val="1"/>
      <w:numFmt w:val="bullet"/>
      <w:lvlText w:val="o"/>
      <w:lvlJc w:val="left"/>
      <w:pPr>
        <w:ind w:left="1800" w:hanging="360"/>
      </w:pPr>
      <w:rPr>
        <w:rFonts w:ascii="Courier New" w:hAnsi="Courier New" w:cs="Courier New" w:hint="default"/>
      </w:rPr>
    </w:lvl>
    <w:lvl w:ilvl="2" w:tplc="1C09000F">
      <w:start w:val="1"/>
      <w:numFmt w:val="decimal"/>
      <w:lvlText w:val="%3."/>
      <w:lvlJc w:val="left"/>
      <w:pPr>
        <w:ind w:left="2520" w:hanging="360"/>
      </w:pPr>
      <w:rPr>
        <w:rFont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6FCE078D"/>
    <w:multiLevelType w:val="hybridMultilevel"/>
    <w:tmpl w:val="066A6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1C2740D"/>
    <w:multiLevelType w:val="hybridMultilevel"/>
    <w:tmpl w:val="D0DE8512"/>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32"/>
  </w:num>
  <w:num w:numId="6">
    <w:abstractNumId w:val="39"/>
  </w:num>
  <w:num w:numId="7">
    <w:abstractNumId w:val="28"/>
  </w:num>
  <w:num w:numId="8">
    <w:abstractNumId w:val="1"/>
  </w:num>
  <w:num w:numId="9">
    <w:abstractNumId w:val="17"/>
  </w:num>
  <w:num w:numId="10">
    <w:abstractNumId w:val="12"/>
  </w:num>
  <w:num w:numId="11">
    <w:abstractNumId w:val="15"/>
  </w:num>
  <w:num w:numId="12">
    <w:abstractNumId w:val="26"/>
  </w:num>
  <w:num w:numId="13">
    <w:abstractNumId w:val="13"/>
  </w:num>
  <w:num w:numId="14">
    <w:abstractNumId w:val="5"/>
  </w:num>
  <w:num w:numId="15">
    <w:abstractNumId w:val="41"/>
  </w:num>
  <w:num w:numId="16">
    <w:abstractNumId w:val="25"/>
  </w:num>
  <w:num w:numId="17">
    <w:abstractNumId w:val="14"/>
  </w:num>
  <w:num w:numId="18">
    <w:abstractNumId w:val="23"/>
  </w:num>
  <w:num w:numId="19">
    <w:abstractNumId w:val="33"/>
  </w:num>
  <w:num w:numId="20">
    <w:abstractNumId w:val="35"/>
  </w:num>
  <w:num w:numId="21">
    <w:abstractNumId w:val="4"/>
  </w:num>
  <w:num w:numId="22">
    <w:abstractNumId w:val="29"/>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6"/>
  </w:num>
  <w:num w:numId="29">
    <w:abstractNumId w:val="9"/>
  </w:num>
  <w:num w:numId="30">
    <w:abstractNumId w:val="40"/>
  </w:num>
  <w:num w:numId="31">
    <w:abstractNumId w:val="18"/>
  </w:num>
  <w:num w:numId="32">
    <w:abstractNumId w:val="38"/>
  </w:num>
  <w:num w:numId="33">
    <w:abstractNumId w:val="22"/>
  </w:num>
  <w:num w:numId="34">
    <w:abstractNumId w:val="30"/>
  </w:num>
  <w:num w:numId="35">
    <w:abstractNumId w:val="27"/>
  </w:num>
  <w:num w:numId="36">
    <w:abstractNumId w:val="36"/>
  </w:num>
  <w:num w:numId="37">
    <w:abstractNumId w:val="6"/>
  </w:num>
  <w:num w:numId="38">
    <w:abstractNumId w:val="20"/>
  </w:num>
  <w:num w:numId="39">
    <w:abstractNumId w:val="37"/>
  </w:num>
  <w:num w:numId="40">
    <w:abstractNumId w:val="10"/>
  </w:num>
  <w:num w:numId="41">
    <w:abstractNumId w:val="2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A0A"/>
    <w:rsid w:val="00002F9F"/>
    <w:rsid w:val="00012662"/>
    <w:rsid w:val="00013C1A"/>
    <w:rsid w:val="000141B1"/>
    <w:rsid w:val="00021AB8"/>
    <w:rsid w:val="00024D0F"/>
    <w:rsid w:val="000321DC"/>
    <w:rsid w:val="00036E81"/>
    <w:rsid w:val="00036FD3"/>
    <w:rsid w:val="000410D5"/>
    <w:rsid w:val="00041B1A"/>
    <w:rsid w:val="00041F67"/>
    <w:rsid w:val="00046FF4"/>
    <w:rsid w:val="00055062"/>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3297"/>
    <w:rsid w:val="000C4885"/>
    <w:rsid w:val="000C6359"/>
    <w:rsid w:val="000C6B01"/>
    <w:rsid w:val="000D1BC2"/>
    <w:rsid w:val="000D31F4"/>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1FAC"/>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3A68"/>
    <w:rsid w:val="002352FF"/>
    <w:rsid w:val="002356B1"/>
    <w:rsid w:val="00236294"/>
    <w:rsid w:val="00251B64"/>
    <w:rsid w:val="00253E29"/>
    <w:rsid w:val="00257187"/>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96076"/>
    <w:rsid w:val="002A33EF"/>
    <w:rsid w:val="002A65CC"/>
    <w:rsid w:val="002A72AA"/>
    <w:rsid w:val="002B0848"/>
    <w:rsid w:val="002B20D6"/>
    <w:rsid w:val="002B4021"/>
    <w:rsid w:val="002B60ED"/>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A6646"/>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124FC"/>
    <w:rsid w:val="004227E5"/>
    <w:rsid w:val="00425E5B"/>
    <w:rsid w:val="00426E46"/>
    <w:rsid w:val="00442040"/>
    <w:rsid w:val="00442AED"/>
    <w:rsid w:val="00443A9F"/>
    <w:rsid w:val="004471C2"/>
    <w:rsid w:val="0044740A"/>
    <w:rsid w:val="00451325"/>
    <w:rsid w:val="00480996"/>
    <w:rsid w:val="00491631"/>
    <w:rsid w:val="00491E19"/>
    <w:rsid w:val="00492128"/>
    <w:rsid w:val="00494B51"/>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4D8"/>
    <w:rsid w:val="005346BD"/>
    <w:rsid w:val="005348F8"/>
    <w:rsid w:val="0055062F"/>
    <w:rsid w:val="00555D0E"/>
    <w:rsid w:val="00564994"/>
    <w:rsid w:val="00565C98"/>
    <w:rsid w:val="00575796"/>
    <w:rsid w:val="0057794C"/>
    <w:rsid w:val="00591434"/>
    <w:rsid w:val="005967CA"/>
    <w:rsid w:val="005B5C3E"/>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17CC7"/>
    <w:rsid w:val="00624D97"/>
    <w:rsid w:val="00630041"/>
    <w:rsid w:val="00630410"/>
    <w:rsid w:val="00630FB6"/>
    <w:rsid w:val="00632FDF"/>
    <w:rsid w:val="0063641D"/>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308D1"/>
    <w:rsid w:val="00736863"/>
    <w:rsid w:val="00743152"/>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4E43"/>
    <w:rsid w:val="007A740E"/>
    <w:rsid w:val="007B0910"/>
    <w:rsid w:val="007C1CF7"/>
    <w:rsid w:val="007C208F"/>
    <w:rsid w:val="007D6EAC"/>
    <w:rsid w:val="007D7DE5"/>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2FCC"/>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235F"/>
    <w:rsid w:val="008C6D8B"/>
    <w:rsid w:val="008C736B"/>
    <w:rsid w:val="008C7A37"/>
    <w:rsid w:val="008D2999"/>
    <w:rsid w:val="008D620D"/>
    <w:rsid w:val="008E1507"/>
    <w:rsid w:val="008E7D17"/>
    <w:rsid w:val="008F2678"/>
    <w:rsid w:val="009060DB"/>
    <w:rsid w:val="00910850"/>
    <w:rsid w:val="00911AC9"/>
    <w:rsid w:val="0091235E"/>
    <w:rsid w:val="00913241"/>
    <w:rsid w:val="00914EED"/>
    <w:rsid w:val="00926827"/>
    <w:rsid w:val="009310BE"/>
    <w:rsid w:val="0093388D"/>
    <w:rsid w:val="0094165E"/>
    <w:rsid w:val="00953301"/>
    <w:rsid w:val="009537DE"/>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1DB"/>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45250"/>
    <w:rsid w:val="00A47528"/>
    <w:rsid w:val="00A51EAE"/>
    <w:rsid w:val="00A65EE3"/>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1433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4045"/>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258C"/>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A72C4"/>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61B8"/>
    <w:rsid w:val="00D5328B"/>
    <w:rsid w:val="00D544A0"/>
    <w:rsid w:val="00D56F30"/>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DF7C64"/>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2973"/>
    <w:rsid w:val="00E63AF7"/>
    <w:rsid w:val="00E66CC7"/>
    <w:rsid w:val="00E679BC"/>
    <w:rsid w:val="00E70845"/>
    <w:rsid w:val="00E87C4F"/>
    <w:rsid w:val="00E92C4C"/>
    <w:rsid w:val="00EA2097"/>
    <w:rsid w:val="00EA40D4"/>
    <w:rsid w:val="00EA52B1"/>
    <w:rsid w:val="00EB2A2E"/>
    <w:rsid w:val="00EC0240"/>
    <w:rsid w:val="00EC3F52"/>
    <w:rsid w:val="00ED0CE4"/>
    <w:rsid w:val="00ED4735"/>
    <w:rsid w:val="00EE1266"/>
    <w:rsid w:val="00EE7A7C"/>
    <w:rsid w:val="00EF09D6"/>
    <w:rsid w:val="00EF4FCA"/>
    <w:rsid w:val="00EF5FED"/>
    <w:rsid w:val="00F06953"/>
    <w:rsid w:val="00F1279F"/>
    <w:rsid w:val="00F154FA"/>
    <w:rsid w:val="00F17402"/>
    <w:rsid w:val="00F2186B"/>
    <w:rsid w:val="00F3176C"/>
    <w:rsid w:val="00F53A7A"/>
    <w:rsid w:val="00F5600F"/>
    <w:rsid w:val="00F56FF0"/>
    <w:rsid w:val="00F70A5A"/>
    <w:rsid w:val="00F70AAB"/>
    <w:rsid w:val="00F72728"/>
    <w:rsid w:val="00F76D3C"/>
    <w:rsid w:val="00F82770"/>
    <w:rsid w:val="00F844CA"/>
    <w:rsid w:val="00F86325"/>
    <w:rsid w:val="00F92477"/>
    <w:rsid w:val="00F930A3"/>
    <w:rsid w:val="00F93AC8"/>
    <w:rsid w:val="00FA783D"/>
    <w:rsid w:val="00FB2ED0"/>
    <w:rsid w:val="00FB3F45"/>
    <w:rsid w:val="00FB4DA2"/>
    <w:rsid w:val="00FB7EB8"/>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9A1A"/>
  <w15:docId w15:val="{3245F63B-3023-42A8-890C-3DD7D3A7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
    <w:qFormat/>
    <w:rsid w:val="00E1610F"/>
    <w:pPr>
      <w:ind w:left="720"/>
      <w:contextualSpacing/>
    </w:pPr>
  </w:style>
  <w:style w:type="table" w:styleId="TableGrid">
    <w:name w:val="Table Grid"/>
    <w:aliases w:val="CV table"/>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paragraph" w:styleId="BodyText">
    <w:name w:val="Body Text"/>
    <w:aliases w:val="b,block,bt,bd,body text,Body Text x,NCDOT Body Text,Starbucks Body Text,3 indent,heading31,body text1,3 indent1,heading32,body text2,3 indent2,heading33,body text3,3 indent3,heading34,body text4,3 indent4,by,1body,BodText,Body Txt,BMP,BD,Body"/>
    <w:basedOn w:val="Normal"/>
    <w:link w:val="BodyTextChar"/>
    <w:uiPriority w:val="99"/>
    <w:rsid w:val="004124FC"/>
    <w:pPr>
      <w:spacing w:after="120" w:line="240" w:lineRule="auto"/>
      <w:jc w:val="both"/>
    </w:pPr>
    <w:rPr>
      <w:rFonts w:ascii="Arial" w:eastAsia="Times New Roman" w:hAnsi="Arial" w:cs="Times New Roman"/>
      <w:lang w:val="en-ZA"/>
    </w:rPr>
  </w:style>
  <w:style w:type="character" w:customStyle="1" w:styleId="BodyTextChar">
    <w:name w:val="Body Text Char"/>
    <w:aliases w:val="b Char,block Char,bt Char,bd Char,body text Char,Body Text x Char,NCDOT Body Text Char,Starbucks Body Text Char,3 indent Char,heading31 Char,body text1 Char,3 indent1 Char,heading32 Char,body text2 Char,3 indent2 Char,heading33 Char"/>
    <w:basedOn w:val="DefaultParagraphFont"/>
    <w:link w:val="BodyText"/>
    <w:uiPriority w:val="99"/>
    <w:rsid w:val="004124FC"/>
    <w:rPr>
      <w:rFonts w:ascii="Arial" w:eastAsia="Times New Roman" w:hAnsi="Arial" w:cs="Times New Roman"/>
      <w:lang w:val="en-ZA"/>
    </w:rPr>
  </w:style>
  <w:style w:type="paragraph" w:styleId="BodyText2">
    <w:name w:val="Body Text 2"/>
    <w:basedOn w:val="Normal"/>
    <w:link w:val="BodyText2Char"/>
    <w:uiPriority w:val="99"/>
    <w:unhideWhenUsed/>
    <w:rsid w:val="004124FC"/>
    <w:pPr>
      <w:spacing w:after="120" w:line="480" w:lineRule="auto"/>
      <w:jc w:val="both"/>
    </w:pPr>
    <w:rPr>
      <w:rFonts w:ascii="Arial" w:eastAsia="Times New Roman" w:hAnsi="Arial" w:cs="Times New Roman"/>
      <w:lang w:val="en-ZA"/>
    </w:rPr>
  </w:style>
  <w:style w:type="character" w:customStyle="1" w:styleId="BodyText2Char">
    <w:name w:val="Body Text 2 Char"/>
    <w:basedOn w:val="DefaultParagraphFont"/>
    <w:link w:val="BodyText2"/>
    <w:uiPriority w:val="99"/>
    <w:rsid w:val="004124FC"/>
    <w:rPr>
      <w:rFonts w:ascii="Arial" w:eastAsia="Times New Roman" w:hAnsi="Arial" w:cs="Times New Roman"/>
      <w:lang w:val="en-ZA"/>
    </w:rPr>
  </w:style>
  <w:style w:type="paragraph" w:customStyle="1" w:styleId="WWBodyText4">
    <w:name w:val="WW_BodyText4"/>
    <w:basedOn w:val="Normal"/>
    <w:rsid w:val="004124FC"/>
    <w:pPr>
      <w:tabs>
        <w:tab w:val="left" w:pos="4593"/>
        <w:tab w:val="left" w:pos="5103"/>
      </w:tabs>
      <w:suppressAutoHyphens/>
      <w:spacing w:after="240" w:line="360" w:lineRule="auto"/>
      <w:ind w:left="2041"/>
      <w:jc w:val="both"/>
    </w:pPr>
    <w:rPr>
      <w:rFonts w:ascii="Arial" w:eastAsia="Times New Roman" w:hAnsi="Arial" w:cs="Times New Roman"/>
      <w:szCs w:val="24"/>
      <w:lang w:val="en-GB" w:eastAsia="en-GB"/>
    </w:rPr>
  </w:style>
  <w:style w:type="paragraph" w:styleId="FootnoteText">
    <w:name w:val="footnote text"/>
    <w:aliases w:val="~FootnoteText"/>
    <w:basedOn w:val="Normal"/>
    <w:link w:val="FootnoteTextChar"/>
    <w:uiPriority w:val="99"/>
    <w:rsid w:val="004124FC"/>
    <w:pPr>
      <w:spacing w:after="0" w:line="240" w:lineRule="auto"/>
      <w:jc w:val="both"/>
    </w:pPr>
    <w:rPr>
      <w:rFonts w:ascii="Arial" w:eastAsia="Times New Roman" w:hAnsi="Arial" w:cs="Times New Roman"/>
      <w:sz w:val="18"/>
      <w:lang w:val="en-ZA"/>
    </w:rPr>
  </w:style>
  <w:style w:type="character" w:customStyle="1" w:styleId="FootnoteTextChar">
    <w:name w:val="Footnote Text Char"/>
    <w:aliases w:val="~FootnoteText Char"/>
    <w:basedOn w:val="DefaultParagraphFont"/>
    <w:link w:val="FootnoteText"/>
    <w:uiPriority w:val="99"/>
    <w:rsid w:val="004124FC"/>
    <w:rPr>
      <w:rFonts w:ascii="Arial" w:eastAsia="Times New Roman" w:hAnsi="Arial" w:cs="Times New Roman"/>
      <w:sz w:val="18"/>
      <w:lang w:val="en-ZA"/>
    </w:rPr>
  </w:style>
  <w:style w:type="character" w:styleId="FootnoteReference">
    <w:name w:val="footnote reference"/>
    <w:uiPriority w:val="99"/>
    <w:rsid w:val="00412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1C05-1E20-40D4-B3F0-5ECA9E59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5</cp:revision>
  <cp:lastPrinted>2018-04-13T12:10:00Z</cp:lastPrinted>
  <dcterms:created xsi:type="dcterms:W3CDTF">2018-04-13T11:47:00Z</dcterms:created>
  <dcterms:modified xsi:type="dcterms:W3CDTF">2018-04-13T12:11:00Z</dcterms:modified>
</cp:coreProperties>
</file>