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3BE66" w14:textId="77777777" w:rsidR="005D3B6A" w:rsidRPr="008556DC" w:rsidRDefault="005D3B6A" w:rsidP="003E772E">
      <w:pPr>
        <w:spacing w:before="180" w:after="0" w:line="276" w:lineRule="auto"/>
        <w:contextualSpacing/>
        <w:jc w:val="both"/>
        <w:rPr>
          <w:rFonts w:ascii="Arial" w:eastAsia="Times New Roman" w:hAnsi="Arial" w:cs="Arial"/>
          <w:sz w:val="24"/>
          <w:szCs w:val="24"/>
          <w:lang w:val="en-GB" w:eastAsia="en-GB"/>
        </w:rPr>
      </w:pPr>
    </w:p>
    <w:p w14:paraId="4C492387" w14:textId="6221D1A7" w:rsidR="0084571F" w:rsidRDefault="0084571F" w:rsidP="003E772E">
      <w:pPr>
        <w:spacing w:after="0" w:line="276" w:lineRule="auto"/>
        <w:ind w:left="720" w:hanging="720"/>
        <w:outlineLvl w:val="0"/>
        <w:rPr>
          <w:rFonts w:ascii="Arial" w:hAnsi="Arial" w:cs="Arial"/>
          <w:b/>
          <w:sz w:val="24"/>
          <w:szCs w:val="24"/>
        </w:rPr>
      </w:pPr>
      <w:r>
        <w:rPr>
          <w:rFonts w:ascii="Arial" w:hAnsi="Arial" w:cs="Arial"/>
          <w:b/>
          <w:noProof/>
          <w:sz w:val="24"/>
          <w:szCs w:val="24"/>
          <w:lang w:eastAsia="en-ZA"/>
        </w:rPr>
        <w:drawing>
          <wp:inline distT="0" distB="0" distL="0" distR="0" wp14:anchorId="1D90F17D" wp14:editId="7255D6E4">
            <wp:extent cx="2170430" cy="7620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762000"/>
                    </a:xfrm>
                    <a:prstGeom prst="rect">
                      <a:avLst/>
                    </a:prstGeom>
                    <a:noFill/>
                  </pic:spPr>
                </pic:pic>
              </a:graphicData>
            </a:graphic>
          </wp:inline>
        </w:drawing>
      </w:r>
    </w:p>
    <w:p w14:paraId="108A0462" w14:textId="77777777" w:rsidR="0084571F" w:rsidRDefault="0084571F" w:rsidP="003E772E">
      <w:pPr>
        <w:spacing w:after="0" w:line="276" w:lineRule="auto"/>
        <w:ind w:left="720" w:hanging="720"/>
        <w:jc w:val="center"/>
        <w:outlineLvl w:val="0"/>
        <w:rPr>
          <w:rFonts w:ascii="Arial" w:hAnsi="Arial" w:cs="Arial"/>
          <w:b/>
          <w:sz w:val="24"/>
          <w:szCs w:val="24"/>
        </w:rPr>
      </w:pPr>
    </w:p>
    <w:p w14:paraId="509B9D7E" w14:textId="4F6FD6A3" w:rsidR="00C34AA3" w:rsidRDefault="00936D98" w:rsidP="003E772E">
      <w:pPr>
        <w:spacing w:after="0" w:line="276" w:lineRule="auto"/>
        <w:ind w:left="720" w:hanging="720"/>
        <w:jc w:val="center"/>
        <w:outlineLvl w:val="0"/>
        <w:rPr>
          <w:rFonts w:ascii="Arial" w:hAnsi="Arial" w:cs="Arial"/>
          <w:b/>
          <w:sz w:val="24"/>
          <w:szCs w:val="24"/>
        </w:rPr>
      </w:pPr>
      <w:r w:rsidRPr="008556DC">
        <w:rPr>
          <w:rFonts w:ascii="Arial" w:hAnsi="Arial" w:cs="Arial"/>
          <w:b/>
          <w:sz w:val="24"/>
          <w:szCs w:val="24"/>
        </w:rPr>
        <w:t>THE NATIONAL ASSEMBLY</w:t>
      </w:r>
    </w:p>
    <w:p w14:paraId="1DFF7C68" w14:textId="77777777" w:rsidR="00F25F46" w:rsidRPr="008556DC" w:rsidRDefault="00F25F46" w:rsidP="003E772E">
      <w:pPr>
        <w:spacing w:after="0" w:line="276" w:lineRule="auto"/>
        <w:ind w:left="720" w:hanging="720"/>
        <w:jc w:val="center"/>
        <w:outlineLvl w:val="0"/>
        <w:rPr>
          <w:rFonts w:ascii="Arial" w:hAnsi="Arial" w:cs="Arial"/>
          <w:b/>
          <w:sz w:val="24"/>
          <w:szCs w:val="24"/>
        </w:rPr>
      </w:pPr>
    </w:p>
    <w:p w14:paraId="31CCEF51" w14:textId="24B50C0A" w:rsidR="00936D98" w:rsidRPr="008556DC" w:rsidRDefault="00936D98" w:rsidP="003E772E">
      <w:pPr>
        <w:spacing w:after="0" w:line="276" w:lineRule="auto"/>
        <w:jc w:val="center"/>
        <w:outlineLvl w:val="0"/>
        <w:rPr>
          <w:rFonts w:ascii="Arial" w:hAnsi="Arial" w:cs="Arial"/>
          <w:b/>
          <w:sz w:val="24"/>
          <w:szCs w:val="24"/>
        </w:rPr>
      </w:pPr>
      <w:r w:rsidRPr="008556DC">
        <w:rPr>
          <w:rFonts w:ascii="Arial" w:hAnsi="Arial" w:cs="Arial"/>
          <w:b/>
          <w:sz w:val="24"/>
          <w:szCs w:val="24"/>
        </w:rPr>
        <w:t>QUESTION FOR WRITTEN REPLY</w:t>
      </w:r>
    </w:p>
    <w:p w14:paraId="7F5300DD" w14:textId="77777777" w:rsidR="00C34AA3" w:rsidRPr="008556DC" w:rsidRDefault="00C34AA3" w:rsidP="003E772E">
      <w:pPr>
        <w:spacing w:after="0" w:line="276" w:lineRule="auto"/>
        <w:jc w:val="both"/>
        <w:outlineLvl w:val="0"/>
        <w:rPr>
          <w:rFonts w:ascii="Arial" w:hAnsi="Arial" w:cs="Arial"/>
          <w:b/>
          <w:bCs/>
          <w:sz w:val="24"/>
          <w:szCs w:val="24"/>
        </w:rPr>
      </w:pPr>
    </w:p>
    <w:p w14:paraId="5BD7E321" w14:textId="2CA4DD0F" w:rsidR="00B236EF" w:rsidRPr="008556DC" w:rsidRDefault="00B236EF" w:rsidP="003E772E">
      <w:pPr>
        <w:spacing w:after="0" w:line="276" w:lineRule="auto"/>
        <w:contextualSpacing/>
        <w:jc w:val="both"/>
        <w:outlineLvl w:val="0"/>
        <w:rPr>
          <w:rFonts w:ascii="Arial" w:hAnsi="Arial" w:cs="Arial"/>
          <w:b/>
          <w:bCs/>
          <w:sz w:val="24"/>
          <w:szCs w:val="24"/>
        </w:rPr>
      </w:pPr>
      <w:r w:rsidRPr="008556DC">
        <w:rPr>
          <w:rFonts w:ascii="Arial" w:hAnsi="Arial" w:cs="Arial"/>
          <w:b/>
          <w:bCs/>
          <w:sz w:val="24"/>
          <w:szCs w:val="24"/>
        </w:rPr>
        <w:t>QUESTION</w:t>
      </w:r>
      <w:r w:rsidR="00C85DD8" w:rsidRPr="008556DC">
        <w:rPr>
          <w:rFonts w:ascii="Arial" w:hAnsi="Arial" w:cs="Arial"/>
          <w:b/>
          <w:bCs/>
          <w:sz w:val="24"/>
          <w:szCs w:val="24"/>
        </w:rPr>
        <w:t xml:space="preserve"> NO</w:t>
      </w:r>
      <w:r w:rsidR="00D66290" w:rsidRPr="008556DC">
        <w:rPr>
          <w:rFonts w:ascii="Arial" w:hAnsi="Arial" w:cs="Arial"/>
          <w:b/>
          <w:bCs/>
          <w:sz w:val="24"/>
          <w:szCs w:val="24"/>
        </w:rPr>
        <w:t xml:space="preserve">. </w:t>
      </w:r>
      <w:r w:rsidR="008766DE" w:rsidRPr="008556DC">
        <w:rPr>
          <w:rFonts w:ascii="Arial" w:hAnsi="Arial" w:cs="Arial"/>
          <w:b/>
          <w:bCs/>
          <w:sz w:val="24"/>
          <w:szCs w:val="24"/>
        </w:rPr>
        <w:t>885</w:t>
      </w:r>
      <w:r w:rsidR="00294D96" w:rsidRPr="008556DC">
        <w:rPr>
          <w:rFonts w:ascii="Arial" w:hAnsi="Arial" w:cs="Arial"/>
          <w:b/>
          <w:bCs/>
          <w:sz w:val="24"/>
          <w:szCs w:val="24"/>
        </w:rPr>
        <w:tab/>
      </w:r>
    </w:p>
    <w:p w14:paraId="4BC15780" w14:textId="77777777" w:rsidR="008556DC" w:rsidRPr="008556DC" w:rsidRDefault="008556DC" w:rsidP="003E772E">
      <w:pPr>
        <w:spacing w:after="0" w:line="276" w:lineRule="auto"/>
        <w:contextualSpacing/>
        <w:jc w:val="both"/>
        <w:outlineLvl w:val="0"/>
        <w:rPr>
          <w:rFonts w:ascii="Arial" w:hAnsi="Arial" w:cs="Arial"/>
          <w:b/>
          <w:bCs/>
          <w:sz w:val="24"/>
          <w:szCs w:val="24"/>
        </w:rPr>
      </w:pPr>
    </w:p>
    <w:p w14:paraId="5BDA20BC" w14:textId="77777777" w:rsidR="008556DC" w:rsidRDefault="00030042" w:rsidP="003E772E">
      <w:pPr>
        <w:spacing w:after="0" w:line="276" w:lineRule="auto"/>
        <w:contextualSpacing/>
        <w:jc w:val="both"/>
        <w:outlineLvl w:val="0"/>
        <w:rPr>
          <w:rFonts w:ascii="Arial" w:hAnsi="Arial" w:cs="Arial"/>
          <w:sz w:val="24"/>
          <w:szCs w:val="24"/>
        </w:rPr>
      </w:pPr>
      <w:r w:rsidRPr="008556DC">
        <w:rPr>
          <w:rFonts w:ascii="Arial" w:hAnsi="Arial" w:cs="Arial"/>
          <w:b/>
          <w:sz w:val="24"/>
          <w:szCs w:val="24"/>
        </w:rPr>
        <w:t xml:space="preserve">Mr M Chetty (DA) to ask the Minister of Trade, </w:t>
      </w:r>
      <w:r w:rsidRPr="008556DC">
        <w:rPr>
          <w:rFonts w:ascii="Arial" w:eastAsia="Times New Roman" w:hAnsi="Arial" w:cs="Arial"/>
          <w:b/>
          <w:bCs/>
          <w:sz w:val="24"/>
          <w:szCs w:val="24"/>
          <w:lang w:val="en-US"/>
        </w:rPr>
        <w:t>Industry</w:t>
      </w:r>
      <w:r w:rsidRPr="008556DC">
        <w:rPr>
          <w:rFonts w:ascii="Arial" w:hAnsi="Arial" w:cs="Arial"/>
          <w:b/>
          <w:sz w:val="24"/>
          <w:szCs w:val="24"/>
        </w:rPr>
        <w:t xml:space="preserve"> and Competition</w:t>
      </w:r>
      <w:r w:rsidRPr="008556DC">
        <w:rPr>
          <w:rFonts w:ascii="Arial" w:hAnsi="Arial" w:cs="Arial"/>
          <w:b/>
          <w:sz w:val="24"/>
          <w:szCs w:val="24"/>
        </w:rPr>
        <w:fldChar w:fldCharType="begin"/>
      </w:r>
      <w:r w:rsidRPr="008556DC">
        <w:rPr>
          <w:rFonts w:ascii="Arial" w:hAnsi="Arial" w:cs="Arial"/>
          <w:sz w:val="24"/>
          <w:szCs w:val="24"/>
        </w:rPr>
        <w:instrText xml:space="preserve"> XE "</w:instrText>
      </w:r>
      <w:r w:rsidRPr="008556DC">
        <w:rPr>
          <w:rFonts w:ascii="Arial" w:hAnsi="Arial" w:cs="Arial"/>
          <w:b/>
          <w:sz w:val="24"/>
          <w:szCs w:val="24"/>
        </w:rPr>
        <w:instrText>Trade, Industry and Competition</w:instrText>
      </w:r>
      <w:r w:rsidRPr="008556DC">
        <w:rPr>
          <w:rFonts w:ascii="Arial" w:hAnsi="Arial" w:cs="Arial"/>
          <w:sz w:val="24"/>
          <w:szCs w:val="24"/>
        </w:rPr>
        <w:instrText xml:space="preserve">" </w:instrText>
      </w:r>
      <w:r w:rsidRPr="008556DC">
        <w:rPr>
          <w:rFonts w:ascii="Arial" w:hAnsi="Arial" w:cs="Arial"/>
          <w:b/>
          <w:sz w:val="24"/>
          <w:szCs w:val="24"/>
        </w:rPr>
        <w:fldChar w:fldCharType="end"/>
      </w:r>
      <w:r w:rsidRPr="008556DC">
        <w:rPr>
          <w:rFonts w:ascii="Arial" w:hAnsi="Arial" w:cs="Arial"/>
          <w:b/>
          <w:sz w:val="24"/>
          <w:szCs w:val="24"/>
        </w:rPr>
        <w:t>:</w:t>
      </w:r>
    </w:p>
    <w:p w14:paraId="42B46B84" w14:textId="70E22BCC" w:rsidR="00030042" w:rsidRPr="008556DC" w:rsidRDefault="00030042" w:rsidP="003E772E">
      <w:pPr>
        <w:spacing w:after="0" w:line="276" w:lineRule="auto"/>
        <w:contextualSpacing/>
        <w:jc w:val="both"/>
        <w:outlineLvl w:val="0"/>
        <w:rPr>
          <w:rFonts w:ascii="Arial" w:hAnsi="Arial" w:cs="Arial"/>
          <w:sz w:val="24"/>
          <w:szCs w:val="24"/>
        </w:rPr>
      </w:pPr>
      <w:r w:rsidRPr="008556DC">
        <w:rPr>
          <w:rFonts w:ascii="Arial" w:hAnsi="Arial" w:cs="Arial"/>
          <w:sz w:val="24"/>
          <w:szCs w:val="24"/>
        </w:rPr>
        <w:t>Whether his department will offer any form of Covid-19 financial or other relief to small businesses; if not, why not; if so, what are the relevant details;</w:t>
      </w:r>
      <w:r w:rsidR="008556DC" w:rsidRPr="008556DC">
        <w:rPr>
          <w:rFonts w:ascii="Arial" w:hAnsi="Arial" w:cs="Arial"/>
          <w:sz w:val="24"/>
          <w:szCs w:val="24"/>
        </w:rPr>
        <w:t xml:space="preserve"> </w:t>
      </w:r>
      <w:r w:rsidRPr="008556DC">
        <w:rPr>
          <w:rFonts w:ascii="Arial" w:hAnsi="Arial" w:cs="Arial"/>
          <w:sz w:val="24"/>
          <w:szCs w:val="24"/>
        </w:rPr>
        <w:t xml:space="preserve">whether the </w:t>
      </w:r>
      <w:r w:rsidR="008556DC" w:rsidRPr="008556DC">
        <w:rPr>
          <w:rFonts w:ascii="Arial" w:hAnsi="Arial" w:cs="Arial"/>
          <w:sz w:val="24"/>
          <w:szCs w:val="24"/>
        </w:rPr>
        <w:t>COVID</w:t>
      </w:r>
      <w:r w:rsidRPr="008556DC">
        <w:rPr>
          <w:rFonts w:ascii="Arial" w:hAnsi="Arial" w:cs="Arial"/>
          <w:sz w:val="24"/>
          <w:szCs w:val="24"/>
        </w:rPr>
        <w:t xml:space="preserve">-19 financial or other relief will only be allocated to qualifying small businesses according to the Broad-Based Black Economic Empowerment </w:t>
      </w:r>
      <w:r w:rsidR="00C63900">
        <w:rPr>
          <w:rFonts w:ascii="Arial" w:hAnsi="Arial" w:cs="Arial"/>
          <w:sz w:val="24"/>
          <w:szCs w:val="24"/>
        </w:rPr>
        <w:t xml:space="preserve">(B-BBEE) </w:t>
      </w:r>
      <w:r w:rsidRPr="008556DC">
        <w:rPr>
          <w:rFonts w:ascii="Arial" w:hAnsi="Arial" w:cs="Arial"/>
          <w:sz w:val="24"/>
          <w:szCs w:val="24"/>
        </w:rPr>
        <w:t>Act</w:t>
      </w:r>
      <w:r w:rsidR="008556DC" w:rsidRPr="008556DC">
        <w:rPr>
          <w:rFonts w:ascii="Arial" w:hAnsi="Arial" w:cs="Arial"/>
          <w:sz w:val="24"/>
          <w:szCs w:val="24"/>
        </w:rPr>
        <w:t>, 2003 (</w:t>
      </w:r>
      <w:r w:rsidRPr="008556DC">
        <w:rPr>
          <w:rFonts w:ascii="Arial" w:hAnsi="Arial" w:cs="Arial"/>
          <w:sz w:val="24"/>
          <w:szCs w:val="24"/>
        </w:rPr>
        <w:t xml:space="preserve">Act </w:t>
      </w:r>
      <w:r w:rsidR="008556DC" w:rsidRPr="008556DC">
        <w:rPr>
          <w:rFonts w:ascii="Arial" w:hAnsi="Arial" w:cs="Arial"/>
          <w:sz w:val="24"/>
          <w:szCs w:val="24"/>
        </w:rPr>
        <w:t xml:space="preserve">No. </w:t>
      </w:r>
      <w:r w:rsidRPr="008556DC">
        <w:rPr>
          <w:rFonts w:ascii="Arial" w:hAnsi="Arial" w:cs="Arial"/>
          <w:sz w:val="24"/>
          <w:szCs w:val="24"/>
        </w:rPr>
        <w:t>53 of 2003</w:t>
      </w:r>
      <w:r w:rsidR="008556DC" w:rsidRPr="008556DC">
        <w:rPr>
          <w:rFonts w:ascii="Arial" w:hAnsi="Arial" w:cs="Arial"/>
          <w:sz w:val="24"/>
          <w:szCs w:val="24"/>
        </w:rPr>
        <w:t>)</w:t>
      </w:r>
      <w:r w:rsidRPr="008556DC">
        <w:rPr>
          <w:rFonts w:ascii="Arial" w:hAnsi="Arial" w:cs="Arial"/>
          <w:sz w:val="24"/>
          <w:szCs w:val="24"/>
        </w:rPr>
        <w:t xml:space="preserve">, as amended; if not, what is the position in this regard; if so, (a) on what statutory grounds and/or provisions does he or his department rely to allocate </w:t>
      </w:r>
      <w:r w:rsidR="008556DC" w:rsidRPr="008556DC">
        <w:rPr>
          <w:rFonts w:ascii="Arial" w:hAnsi="Arial" w:cs="Arial"/>
          <w:sz w:val="24"/>
          <w:szCs w:val="24"/>
        </w:rPr>
        <w:t>COVID</w:t>
      </w:r>
      <w:r w:rsidRPr="008556DC">
        <w:rPr>
          <w:rFonts w:ascii="Arial" w:hAnsi="Arial" w:cs="Arial"/>
          <w:sz w:val="24"/>
          <w:szCs w:val="24"/>
        </w:rPr>
        <w:t xml:space="preserve">-19 financial or other relief only to small businesses according to the specified Act and (b) what form of </w:t>
      </w:r>
      <w:r w:rsidR="008556DC" w:rsidRPr="008556DC">
        <w:rPr>
          <w:rFonts w:ascii="Arial" w:hAnsi="Arial" w:cs="Arial"/>
          <w:sz w:val="24"/>
          <w:szCs w:val="24"/>
        </w:rPr>
        <w:t>COVID</w:t>
      </w:r>
      <w:r w:rsidRPr="008556DC">
        <w:rPr>
          <w:rFonts w:ascii="Arial" w:hAnsi="Arial" w:cs="Arial"/>
          <w:sz w:val="24"/>
          <w:szCs w:val="24"/>
        </w:rPr>
        <w:t>-19 financial or other relief, if any, will be made available to other small businesses?</w:t>
      </w:r>
      <w:r w:rsidR="008556DC" w:rsidRPr="008556DC">
        <w:rPr>
          <w:rFonts w:ascii="Arial" w:hAnsi="Arial" w:cs="Arial"/>
          <w:sz w:val="24"/>
          <w:szCs w:val="24"/>
        </w:rPr>
        <w:t xml:space="preserve"> [</w:t>
      </w:r>
      <w:r w:rsidRPr="008556DC">
        <w:rPr>
          <w:rFonts w:ascii="Arial" w:hAnsi="Arial" w:cs="Arial"/>
          <w:sz w:val="24"/>
          <w:szCs w:val="24"/>
        </w:rPr>
        <w:t>NW1092E</w:t>
      </w:r>
      <w:r w:rsidR="008556DC" w:rsidRPr="008556DC">
        <w:rPr>
          <w:rFonts w:ascii="Arial" w:hAnsi="Arial" w:cs="Arial"/>
          <w:sz w:val="24"/>
          <w:szCs w:val="24"/>
        </w:rPr>
        <w:t>]</w:t>
      </w:r>
    </w:p>
    <w:p w14:paraId="5D9B2C27" w14:textId="6F57FB82" w:rsidR="00490B59" w:rsidRPr="008556DC" w:rsidRDefault="00490B59" w:rsidP="003E772E">
      <w:pPr>
        <w:pStyle w:val="NormalWeb"/>
        <w:spacing w:before="0" w:beforeAutospacing="0" w:after="0" w:afterAutospacing="0" w:line="276" w:lineRule="auto"/>
        <w:jc w:val="both"/>
        <w:outlineLvl w:val="0"/>
        <w:rPr>
          <w:rFonts w:ascii="Arial" w:eastAsia="Arial Unicode MS" w:hAnsi="Arial" w:cs="Arial"/>
          <w:b/>
          <w:color w:val="000000"/>
        </w:rPr>
      </w:pPr>
    </w:p>
    <w:p w14:paraId="31576AEB" w14:textId="3C6A15C5" w:rsidR="000B0791" w:rsidRPr="008556DC" w:rsidRDefault="006B2261" w:rsidP="003E772E">
      <w:pPr>
        <w:spacing w:line="276" w:lineRule="auto"/>
        <w:rPr>
          <w:rFonts w:ascii="Arial" w:eastAsia="Arial Unicode MS" w:hAnsi="Arial" w:cs="Arial"/>
          <w:b/>
          <w:color w:val="000000"/>
          <w:sz w:val="24"/>
          <w:szCs w:val="24"/>
        </w:rPr>
      </w:pPr>
      <w:r w:rsidRPr="008556DC">
        <w:rPr>
          <w:rFonts w:ascii="Arial" w:eastAsia="Arial Unicode MS" w:hAnsi="Arial" w:cs="Arial"/>
          <w:b/>
          <w:color w:val="000000"/>
          <w:sz w:val="24"/>
          <w:szCs w:val="24"/>
        </w:rPr>
        <w:t>RE</w:t>
      </w:r>
      <w:r w:rsidR="003E772E">
        <w:rPr>
          <w:rFonts w:ascii="Arial" w:eastAsia="Arial Unicode MS" w:hAnsi="Arial" w:cs="Arial"/>
          <w:b/>
          <w:color w:val="000000"/>
          <w:sz w:val="24"/>
          <w:szCs w:val="24"/>
        </w:rPr>
        <w:t>PLY</w:t>
      </w:r>
    </w:p>
    <w:p w14:paraId="67D77870" w14:textId="6487A066" w:rsidR="00D46D7E" w:rsidRDefault="00030042" w:rsidP="00D46D7E">
      <w:pPr>
        <w:tabs>
          <w:tab w:val="left" w:pos="9027"/>
        </w:tabs>
        <w:spacing w:after="0" w:line="276" w:lineRule="auto"/>
        <w:ind w:right="-45"/>
        <w:jc w:val="both"/>
        <w:rPr>
          <w:rFonts w:ascii="Arial" w:hAnsi="Arial" w:cs="Arial"/>
          <w:sz w:val="24"/>
          <w:szCs w:val="24"/>
        </w:rPr>
      </w:pPr>
      <w:r w:rsidRPr="00D46D7E">
        <w:rPr>
          <w:rFonts w:ascii="Arial" w:hAnsi="Arial" w:cs="Arial"/>
          <w:sz w:val="24"/>
          <w:szCs w:val="24"/>
        </w:rPr>
        <w:t>The Department of Trade, Industry and Competition (</w:t>
      </w:r>
      <w:r w:rsidRPr="00D46D7E">
        <w:rPr>
          <w:rFonts w:ascii="Arial" w:hAnsi="Arial" w:cs="Arial"/>
          <w:b/>
          <w:sz w:val="24"/>
          <w:szCs w:val="24"/>
        </w:rPr>
        <w:t>the dtic</w:t>
      </w:r>
      <w:r w:rsidRPr="00D46D7E">
        <w:rPr>
          <w:rFonts w:ascii="Arial" w:hAnsi="Arial" w:cs="Arial"/>
          <w:sz w:val="24"/>
          <w:szCs w:val="24"/>
        </w:rPr>
        <w:t xml:space="preserve">) </w:t>
      </w:r>
      <w:r w:rsidR="00D46D7E">
        <w:rPr>
          <w:rFonts w:ascii="Arial" w:hAnsi="Arial" w:cs="Arial"/>
          <w:sz w:val="24"/>
          <w:szCs w:val="24"/>
        </w:rPr>
        <w:t>supported efforts by Government to provide relief to small businesses, in a number of ways. These include</w:t>
      </w:r>
    </w:p>
    <w:p w14:paraId="422142BE" w14:textId="7E9DAD36" w:rsidR="00D46D7E" w:rsidRDefault="00D46D7E" w:rsidP="00D46D7E">
      <w:pPr>
        <w:pStyle w:val="ListParagraph"/>
        <w:numPr>
          <w:ilvl w:val="0"/>
          <w:numId w:val="36"/>
        </w:numPr>
        <w:tabs>
          <w:tab w:val="left" w:pos="9027"/>
        </w:tabs>
        <w:spacing w:after="0" w:line="276" w:lineRule="auto"/>
        <w:ind w:right="-45"/>
        <w:jc w:val="both"/>
        <w:rPr>
          <w:rFonts w:ascii="Arial" w:hAnsi="Arial" w:cs="Arial"/>
          <w:sz w:val="24"/>
          <w:szCs w:val="24"/>
        </w:rPr>
      </w:pPr>
      <w:r>
        <w:rPr>
          <w:rFonts w:ascii="Arial" w:hAnsi="Arial" w:cs="Arial"/>
          <w:sz w:val="24"/>
          <w:szCs w:val="24"/>
        </w:rPr>
        <w:t>Exemptions from certain provisions of the competition legislation to enable small retailers to meet together to discuss engagements with landlords on rental payments and evictions during the period</w:t>
      </w:r>
    </w:p>
    <w:p w14:paraId="73B8981F" w14:textId="5B8736E4" w:rsidR="00D46D7E" w:rsidRDefault="00D46D7E" w:rsidP="00D46D7E">
      <w:pPr>
        <w:pStyle w:val="ListParagraph"/>
        <w:numPr>
          <w:ilvl w:val="0"/>
          <w:numId w:val="36"/>
        </w:numPr>
        <w:tabs>
          <w:tab w:val="left" w:pos="9027"/>
        </w:tabs>
        <w:spacing w:after="0" w:line="276" w:lineRule="auto"/>
        <w:ind w:right="-45"/>
        <w:jc w:val="both"/>
        <w:rPr>
          <w:rFonts w:ascii="Arial" w:hAnsi="Arial" w:cs="Arial"/>
          <w:sz w:val="24"/>
          <w:szCs w:val="24"/>
        </w:rPr>
      </w:pPr>
      <w:r>
        <w:rPr>
          <w:rFonts w:ascii="Arial" w:hAnsi="Arial" w:cs="Arial"/>
          <w:sz w:val="24"/>
          <w:szCs w:val="24"/>
        </w:rPr>
        <w:t>Exemptions from the same competition provisions to enable banks and financial institutions to meet to discuss ways of supporting customers, including small businesses, through among others payment holidays and other measures</w:t>
      </w:r>
    </w:p>
    <w:p w14:paraId="6D51B34C" w14:textId="28489C3E" w:rsidR="00D46D7E" w:rsidRDefault="00D46D7E" w:rsidP="00D46D7E">
      <w:pPr>
        <w:pStyle w:val="ListParagraph"/>
        <w:numPr>
          <w:ilvl w:val="0"/>
          <w:numId w:val="36"/>
        </w:numPr>
        <w:tabs>
          <w:tab w:val="left" w:pos="9027"/>
        </w:tabs>
        <w:spacing w:after="0" w:line="276" w:lineRule="auto"/>
        <w:ind w:right="-45"/>
        <w:jc w:val="both"/>
        <w:rPr>
          <w:rFonts w:ascii="Arial" w:hAnsi="Arial" w:cs="Arial"/>
          <w:sz w:val="24"/>
          <w:szCs w:val="24"/>
        </w:rPr>
      </w:pPr>
      <w:r>
        <w:rPr>
          <w:rFonts w:ascii="Arial" w:hAnsi="Arial" w:cs="Arial"/>
          <w:sz w:val="24"/>
          <w:szCs w:val="24"/>
        </w:rPr>
        <w:t>Partnerships with development finance institutions to provide funding to among others small businesses</w:t>
      </w:r>
    </w:p>
    <w:p w14:paraId="049EB0BF" w14:textId="7D9360D5" w:rsidR="00D46D7E" w:rsidRDefault="00D46D7E" w:rsidP="00D46D7E">
      <w:pPr>
        <w:pStyle w:val="ListParagraph"/>
        <w:numPr>
          <w:ilvl w:val="0"/>
          <w:numId w:val="36"/>
        </w:numPr>
        <w:tabs>
          <w:tab w:val="left" w:pos="9027"/>
        </w:tabs>
        <w:spacing w:after="0" w:line="276" w:lineRule="auto"/>
        <w:ind w:right="-45"/>
        <w:jc w:val="both"/>
        <w:rPr>
          <w:rFonts w:ascii="Arial" w:hAnsi="Arial" w:cs="Arial"/>
          <w:sz w:val="24"/>
          <w:szCs w:val="24"/>
        </w:rPr>
      </w:pPr>
      <w:r>
        <w:rPr>
          <w:rFonts w:ascii="Arial" w:hAnsi="Arial" w:cs="Arial"/>
          <w:sz w:val="24"/>
          <w:szCs w:val="24"/>
        </w:rPr>
        <w:t>The issuing of Directions on a number of matters to support clarity and certainty to small businesses</w:t>
      </w:r>
      <w:r w:rsidR="00F41837">
        <w:rPr>
          <w:rFonts w:ascii="Arial" w:hAnsi="Arial" w:cs="Arial"/>
          <w:sz w:val="24"/>
          <w:szCs w:val="24"/>
        </w:rPr>
        <w:t>, and</w:t>
      </w:r>
    </w:p>
    <w:p w14:paraId="1AD89DDA" w14:textId="19F6BDB9" w:rsidR="00D46D7E" w:rsidRPr="00D46D7E" w:rsidRDefault="00D46D7E" w:rsidP="00D46D7E">
      <w:pPr>
        <w:pStyle w:val="ListParagraph"/>
        <w:numPr>
          <w:ilvl w:val="0"/>
          <w:numId w:val="36"/>
        </w:numPr>
        <w:tabs>
          <w:tab w:val="left" w:pos="9027"/>
        </w:tabs>
        <w:spacing w:after="0" w:line="276" w:lineRule="auto"/>
        <w:ind w:right="-45"/>
        <w:jc w:val="both"/>
        <w:rPr>
          <w:rFonts w:ascii="Arial" w:hAnsi="Arial" w:cs="Arial"/>
          <w:sz w:val="24"/>
          <w:szCs w:val="24"/>
        </w:rPr>
      </w:pPr>
      <w:r>
        <w:rPr>
          <w:rFonts w:ascii="Arial" w:hAnsi="Arial" w:cs="Arial"/>
          <w:sz w:val="24"/>
          <w:szCs w:val="24"/>
        </w:rPr>
        <w:t>Facilitating the local production of cloth face-masks by inter alia smaller businesses in the clothing industry</w:t>
      </w:r>
      <w:r w:rsidR="00F41837">
        <w:rPr>
          <w:rFonts w:ascii="Arial" w:hAnsi="Arial" w:cs="Arial"/>
          <w:sz w:val="24"/>
          <w:szCs w:val="24"/>
        </w:rPr>
        <w:t>.</w:t>
      </w:r>
    </w:p>
    <w:p w14:paraId="15CD5C5A" w14:textId="77777777" w:rsidR="00D46D7E" w:rsidRDefault="00D46D7E" w:rsidP="00D46D7E">
      <w:pPr>
        <w:tabs>
          <w:tab w:val="left" w:pos="9027"/>
        </w:tabs>
        <w:spacing w:after="0" w:line="276" w:lineRule="auto"/>
        <w:ind w:right="-45"/>
        <w:jc w:val="both"/>
        <w:rPr>
          <w:rFonts w:ascii="Arial" w:hAnsi="Arial" w:cs="Arial"/>
          <w:sz w:val="24"/>
          <w:szCs w:val="24"/>
        </w:rPr>
      </w:pPr>
    </w:p>
    <w:p w14:paraId="6D95F730" w14:textId="51941BBF" w:rsidR="00030042" w:rsidRDefault="00D46D7E" w:rsidP="00D46D7E">
      <w:pPr>
        <w:tabs>
          <w:tab w:val="left" w:pos="9027"/>
        </w:tabs>
        <w:spacing w:after="0" w:line="276" w:lineRule="auto"/>
        <w:ind w:right="-45"/>
        <w:jc w:val="both"/>
        <w:rPr>
          <w:rFonts w:ascii="Arial" w:hAnsi="Arial" w:cs="Arial"/>
          <w:sz w:val="24"/>
          <w:szCs w:val="24"/>
        </w:rPr>
      </w:pPr>
      <w:r>
        <w:rPr>
          <w:rFonts w:ascii="Arial" w:hAnsi="Arial" w:cs="Arial"/>
          <w:sz w:val="24"/>
          <w:szCs w:val="24"/>
        </w:rPr>
        <w:t xml:space="preserve">The dtic </w:t>
      </w:r>
      <w:r w:rsidR="00F41837">
        <w:rPr>
          <w:rFonts w:ascii="Arial" w:hAnsi="Arial" w:cs="Arial"/>
          <w:sz w:val="24"/>
          <w:szCs w:val="24"/>
        </w:rPr>
        <w:t>mobilised resources for</w:t>
      </w:r>
      <w:r w:rsidR="00030042" w:rsidRPr="00D46D7E">
        <w:rPr>
          <w:rFonts w:ascii="Arial" w:hAnsi="Arial" w:cs="Arial"/>
          <w:sz w:val="24"/>
          <w:szCs w:val="24"/>
        </w:rPr>
        <w:t xml:space="preserve"> </w:t>
      </w:r>
      <w:r w:rsidR="008556DC" w:rsidRPr="00D46D7E">
        <w:rPr>
          <w:rFonts w:ascii="Arial" w:hAnsi="Arial" w:cs="Arial"/>
          <w:sz w:val="24"/>
          <w:szCs w:val="24"/>
        </w:rPr>
        <w:t>COVID</w:t>
      </w:r>
      <w:r w:rsidR="00030042" w:rsidRPr="00D46D7E">
        <w:rPr>
          <w:rFonts w:ascii="Arial" w:hAnsi="Arial" w:cs="Arial"/>
          <w:sz w:val="24"/>
          <w:szCs w:val="24"/>
        </w:rPr>
        <w:t>-19 relief</w:t>
      </w:r>
      <w:r w:rsidR="00834985" w:rsidRPr="00D46D7E">
        <w:rPr>
          <w:rFonts w:ascii="Arial" w:hAnsi="Arial" w:cs="Arial"/>
          <w:sz w:val="24"/>
          <w:szCs w:val="24"/>
        </w:rPr>
        <w:t xml:space="preserve"> fund</w:t>
      </w:r>
      <w:r w:rsidR="00F41837">
        <w:rPr>
          <w:rFonts w:ascii="Arial" w:hAnsi="Arial" w:cs="Arial"/>
          <w:sz w:val="24"/>
          <w:szCs w:val="24"/>
        </w:rPr>
        <w:t>ing</w:t>
      </w:r>
      <w:r w:rsidR="00030042" w:rsidRPr="00D46D7E">
        <w:rPr>
          <w:rFonts w:ascii="Arial" w:hAnsi="Arial" w:cs="Arial"/>
          <w:sz w:val="24"/>
          <w:szCs w:val="24"/>
        </w:rPr>
        <w:t xml:space="preserve"> to support companies that are affected by the pandemic. The fund</w:t>
      </w:r>
      <w:r w:rsidR="00F41837">
        <w:rPr>
          <w:rFonts w:ascii="Arial" w:hAnsi="Arial" w:cs="Arial"/>
          <w:sz w:val="24"/>
          <w:szCs w:val="24"/>
        </w:rPr>
        <w:t>ing</w:t>
      </w:r>
      <w:r w:rsidR="00030042" w:rsidRPr="00D46D7E">
        <w:rPr>
          <w:rFonts w:ascii="Arial" w:hAnsi="Arial" w:cs="Arial"/>
          <w:sz w:val="24"/>
          <w:szCs w:val="24"/>
        </w:rPr>
        <w:t xml:space="preserve"> is implemented in partnership with the Industrial Development Corporation (IDC), National Empowerment Fund (NEF) and Small Enterprise Financing Agency (sefa) as an industrial loan facility</w:t>
      </w:r>
      <w:r w:rsidR="00834985" w:rsidRPr="00D46D7E">
        <w:rPr>
          <w:rFonts w:ascii="Arial" w:hAnsi="Arial" w:cs="Arial"/>
          <w:sz w:val="24"/>
          <w:szCs w:val="24"/>
        </w:rPr>
        <w:t>,</w:t>
      </w:r>
      <w:r w:rsidR="00030042" w:rsidRPr="00D46D7E">
        <w:rPr>
          <w:rFonts w:ascii="Arial" w:hAnsi="Arial" w:cs="Arial"/>
          <w:sz w:val="24"/>
          <w:szCs w:val="24"/>
        </w:rPr>
        <w:t xml:space="preserve"> to assist manufacturers of identified critical goods to combat the spread of corona virus.</w:t>
      </w:r>
      <w:r w:rsidR="00834985" w:rsidRPr="00D46D7E">
        <w:rPr>
          <w:rFonts w:ascii="Arial" w:hAnsi="Arial" w:cs="Arial"/>
          <w:sz w:val="24"/>
          <w:szCs w:val="24"/>
        </w:rPr>
        <w:t xml:space="preserve"> Furthermore, the d</w:t>
      </w:r>
      <w:r w:rsidR="008766DE" w:rsidRPr="00D46D7E">
        <w:rPr>
          <w:rFonts w:ascii="Arial" w:hAnsi="Arial" w:cs="Arial"/>
          <w:sz w:val="24"/>
          <w:szCs w:val="24"/>
        </w:rPr>
        <w:t xml:space="preserve">epartment has granted </w:t>
      </w:r>
      <w:r w:rsidR="000B0791" w:rsidRPr="00D46D7E">
        <w:rPr>
          <w:rFonts w:ascii="Arial" w:hAnsi="Arial" w:cs="Arial"/>
          <w:sz w:val="24"/>
          <w:szCs w:val="24"/>
        </w:rPr>
        <w:t xml:space="preserve">an </w:t>
      </w:r>
      <w:r w:rsidR="008766DE" w:rsidRPr="00D46D7E">
        <w:rPr>
          <w:rFonts w:ascii="Arial" w:hAnsi="Arial" w:cs="Arial"/>
          <w:sz w:val="24"/>
          <w:szCs w:val="24"/>
        </w:rPr>
        <w:t xml:space="preserve">extension period for submission of applications and claims to companies affected by the </w:t>
      </w:r>
      <w:r w:rsidR="008766DE" w:rsidRPr="00D46D7E">
        <w:rPr>
          <w:rFonts w:ascii="Arial" w:hAnsi="Arial" w:cs="Arial"/>
          <w:sz w:val="24"/>
          <w:szCs w:val="24"/>
        </w:rPr>
        <w:lastRenderedPageBreak/>
        <w:t>pandemic across various incentive programmes administered by the Industrial Financing Branch.</w:t>
      </w:r>
    </w:p>
    <w:p w14:paraId="1D318B2E" w14:textId="10B51265" w:rsidR="00D46D7E" w:rsidRDefault="00D46D7E" w:rsidP="00D46D7E">
      <w:pPr>
        <w:tabs>
          <w:tab w:val="left" w:pos="9027"/>
        </w:tabs>
        <w:spacing w:after="0" w:line="276" w:lineRule="auto"/>
        <w:ind w:right="-45"/>
        <w:jc w:val="both"/>
        <w:rPr>
          <w:rFonts w:ascii="Arial" w:hAnsi="Arial" w:cs="Arial"/>
          <w:sz w:val="24"/>
          <w:szCs w:val="24"/>
        </w:rPr>
      </w:pPr>
    </w:p>
    <w:p w14:paraId="5157B88F" w14:textId="5F19104A" w:rsidR="00D46D7E" w:rsidRDefault="00D46D7E" w:rsidP="00D46D7E">
      <w:pPr>
        <w:tabs>
          <w:tab w:val="left" w:pos="9027"/>
        </w:tabs>
        <w:spacing w:after="0" w:line="276" w:lineRule="auto"/>
        <w:ind w:right="-45"/>
        <w:contextualSpacing/>
        <w:jc w:val="both"/>
        <w:rPr>
          <w:rFonts w:ascii="Arial" w:hAnsi="Arial" w:cs="Arial"/>
          <w:sz w:val="24"/>
          <w:szCs w:val="24"/>
        </w:rPr>
      </w:pPr>
      <w:r>
        <w:rPr>
          <w:rFonts w:ascii="Arial" w:hAnsi="Arial" w:cs="Arial"/>
          <w:sz w:val="24"/>
          <w:szCs w:val="24"/>
        </w:rPr>
        <w:t xml:space="preserve">During the Portfolio Committee meeting held on </w:t>
      </w:r>
      <w:r w:rsidR="004B63AC">
        <w:rPr>
          <w:rFonts w:ascii="Arial" w:hAnsi="Arial" w:cs="Arial"/>
          <w:sz w:val="24"/>
          <w:szCs w:val="24"/>
        </w:rPr>
        <w:t>26 May 2020</w:t>
      </w:r>
      <w:r>
        <w:rPr>
          <w:rFonts w:ascii="Arial" w:hAnsi="Arial" w:cs="Arial"/>
          <w:sz w:val="24"/>
          <w:szCs w:val="24"/>
        </w:rPr>
        <w:t xml:space="preserve">, I addressed the overall approach by the Department to transformation. In short, transformation of the economy is both a social and economic imperative. The bitter legacy of the past has not been reversed – the process of colonial dispossession took place over more than 300 years and inherited privilege (assets, skills and networks) reproduces itself beyond the removal of apartheid laws. The Constitutional </w:t>
      </w:r>
      <w:r w:rsidR="004B63AC">
        <w:rPr>
          <w:rFonts w:ascii="Arial" w:hAnsi="Arial" w:cs="Arial"/>
          <w:sz w:val="24"/>
          <w:szCs w:val="24"/>
        </w:rPr>
        <w:t xml:space="preserve">values of human dignity, the achievement of equality and the advancement of human rights and freedoms require active steps for their realisation. </w:t>
      </w:r>
    </w:p>
    <w:p w14:paraId="21B02E2F" w14:textId="7EE87CDD" w:rsidR="00673C39" w:rsidRDefault="00673C39" w:rsidP="00D46D7E">
      <w:pPr>
        <w:tabs>
          <w:tab w:val="left" w:pos="9027"/>
        </w:tabs>
        <w:spacing w:after="0" w:line="276" w:lineRule="auto"/>
        <w:ind w:right="-45"/>
        <w:contextualSpacing/>
        <w:jc w:val="both"/>
        <w:rPr>
          <w:rFonts w:ascii="Arial" w:hAnsi="Arial" w:cs="Arial"/>
          <w:sz w:val="24"/>
          <w:szCs w:val="24"/>
        </w:rPr>
      </w:pPr>
    </w:p>
    <w:p w14:paraId="380B288A" w14:textId="4A8BC828" w:rsidR="00673C39" w:rsidRDefault="00673C39" w:rsidP="00D46D7E">
      <w:pPr>
        <w:tabs>
          <w:tab w:val="left" w:pos="9027"/>
        </w:tabs>
        <w:spacing w:after="0" w:line="276" w:lineRule="auto"/>
        <w:ind w:right="-45"/>
        <w:contextualSpacing/>
        <w:jc w:val="both"/>
        <w:rPr>
          <w:rFonts w:ascii="Arial" w:hAnsi="Arial" w:cs="Arial"/>
          <w:sz w:val="24"/>
          <w:szCs w:val="24"/>
        </w:rPr>
      </w:pPr>
      <w:r>
        <w:rPr>
          <w:rFonts w:ascii="Arial" w:hAnsi="Arial" w:cs="Arial"/>
          <w:sz w:val="24"/>
          <w:szCs w:val="24"/>
        </w:rPr>
        <w:t xml:space="preserve">The goal of economic inclusion remain critical during the pandemic, as a number of smaller, more recently-established businesses owned by black South Africans, may be particularly vulnerable. </w:t>
      </w:r>
    </w:p>
    <w:p w14:paraId="2D502290" w14:textId="77777777" w:rsidR="00D46D7E" w:rsidRDefault="00D46D7E" w:rsidP="00D46D7E">
      <w:pPr>
        <w:tabs>
          <w:tab w:val="left" w:pos="9027"/>
        </w:tabs>
        <w:spacing w:after="0" w:line="276" w:lineRule="auto"/>
        <w:ind w:right="-45"/>
        <w:contextualSpacing/>
        <w:jc w:val="both"/>
        <w:rPr>
          <w:rFonts w:ascii="Arial" w:hAnsi="Arial" w:cs="Arial"/>
          <w:sz w:val="24"/>
          <w:szCs w:val="24"/>
        </w:rPr>
      </w:pPr>
    </w:p>
    <w:p w14:paraId="764AB544" w14:textId="323D6A0C" w:rsidR="00D46D7E" w:rsidRDefault="00D46D7E" w:rsidP="00D46D7E">
      <w:pPr>
        <w:tabs>
          <w:tab w:val="left" w:pos="9027"/>
        </w:tabs>
        <w:spacing w:after="0" w:line="276" w:lineRule="auto"/>
        <w:ind w:right="-45"/>
        <w:contextualSpacing/>
        <w:jc w:val="both"/>
        <w:rPr>
          <w:rFonts w:ascii="Arial" w:hAnsi="Arial" w:cs="Arial"/>
          <w:sz w:val="24"/>
          <w:szCs w:val="24"/>
        </w:rPr>
      </w:pPr>
      <w:r>
        <w:rPr>
          <w:rFonts w:ascii="Arial" w:hAnsi="Arial" w:cs="Arial"/>
          <w:sz w:val="24"/>
          <w:szCs w:val="24"/>
        </w:rPr>
        <w:t>The economy’s long-term growth rate will remain constrained if the level of involvement by tens of millions of citizens, black South Africans, women and young people remains low. The purpose of affirmative processes and laws is to enable this base to be broadened</w:t>
      </w:r>
      <w:r w:rsidR="003C2673">
        <w:rPr>
          <w:rFonts w:ascii="Arial" w:hAnsi="Arial" w:cs="Arial"/>
          <w:sz w:val="24"/>
          <w:szCs w:val="24"/>
        </w:rPr>
        <w:t xml:space="preserve"> and to foster wider levels of enterprise in society. </w:t>
      </w:r>
    </w:p>
    <w:p w14:paraId="0D8F6664" w14:textId="048C398D" w:rsidR="00D46D7E" w:rsidRDefault="00D46D7E" w:rsidP="00D46D7E">
      <w:pPr>
        <w:tabs>
          <w:tab w:val="left" w:pos="9027"/>
        </w:tabs>
        <w:spacing w:after="0" w:line="276" w:lineRule="auto"/>
        <w:ind w:right="-45"/>
        <w:jc w:val="both"/>
        <w:rPr>
          <w:rFonts w:ascii="Arial" w:hAnsi="Arial" w:cs="Arial"/>
          <w:sz w:val="24"/>
          <w:szCs w:val="24"/>
        </w:rPr>
      </w:pPr>
    </w:p>
    <w:p w14:paraId="7788682C" w14:textId="61645E9C" w:rsidR="001C5D54" w:rsidRDefault="00673C39" w:rsidP="001C5D54">
      <w:pPr>
        <w:pStyle w:val="ListParagraph"/>
        <w:tabs>
          <w:tab w:val="left" w:pos="9027"/>
        </w:tabs>
        <w:spacing w:after="0" w:line="276" w:lineRule="auto"/>
        <w:ind w:left="0" w:right="-45"/>
        <w:jc w:val="both"/>
        <w:rPr>
          <w:rFonts w:ascii="Arial" w:hAnsi="Arial" w:cs="Arial"/>
          <w:sz w:val="24"/>
          <w:szCs w:val="24"/>
        </w:rPr>
      </w:pPr>
      <w:r>
        <w:rPr>
          <w:rFonts w:ascii="Arial" w:hAnsi="Arial" w:cs="Arial"/>
          <w:sz w:val="24"/>
          <w:szCs w:val="24"/>
        </w:rPr>
        <w:t>The funds deployed are available to all South African businesses, subject to the specific mandate of an entity. For example, the NEF provides funding to companies that meet its criteri</w:t>
      </w:r>
      <w:r w:rsidR="00E4561E">
        <w:rPr>
          <w:rFonts w:ascii="Arial" w:hAnsi="Arial" w:cs="Arial"/>
          <w:sz w:val="24"/>
          <w:szCs w:val="24"/>
        </w:rPr>
        <w:t>a</w:t>
      </w:r>
      <w:r>
        <w:rPr>
          <w:rFonts w:ascii="Arial" w:hAnsi="Arial" w:cs="Arial"/>
          <w:sz w:val="24"/>
          <w:szCs w:val="24"/>
        </w:rPr>
        <w:t>, as set out in its legislation and policies. The IDC provide</w:t>
      </w:r>
      <w:r w:rsidR="00267DBB">
        <w:rPr>
          <w:rFonts w:ascii="Arial" w:hAnsi="Arial" w:cs="Arial"/>
          <w:sz w:val="24"/>
          <w:szCs w:val="24"/>
        </w:rPr>
        <w:t>s</w:t>
      </w:r>
      <w:r>
        <w:rPr>
          <w:rFonts w:ascii="Arial" w:hAnsi="Arial" w:cs="Arial"/>
          <w:sz w:val="24"/>
          <w:szCs w:val="24"/>
        </w:rPr>
        <w:t xml:space="preserve"> funding </w:t>
      </w:r>
      <w:r w:rsidR="001C5D54">
        <w:rPr>
          <w:rFonts w:ascii="Arial" w:hAnsi="Arial" w:cs="Arial"/>
          <w:sz w:val="24"/>
          <w:szCs w:val="24"/>
        </w:rPr>
        <w:t>to black industrialists</w:t>
      </w:r>
      <w:r w:rsidR="00267DBB">
        <w:rPr>
          <w:rFonts w:ascii="Arial" w:hAnsi="Arial" w:cs="Arial"/>
          <w:sz w:val="24"/>
          <w:szCs w:val="24"/>
        </w:rPr>
        <w:t>, in terms of section 3(c) of the Industrial Development Act. Both the IDC and NEF have also provided funding to</w:t>
      </w:r>
      <w:r w:rsidR="00E4561E">
        <w:rPr>
          <w:rFonts w:ascii="Arial" w:hAnsi="Arial" w:cs="Arial"/>
          <w:sz w:val="24"/>
          <w:szCs w:val="24"/>
        </w:rPr>
        <w:t xml:space="preserve"> companies with a mix of shareholding between black and white South Africans. </w:t>
      </w:r>
    </w:p>
    <w:p w14:paraId="628E7B69" w14:textId="0F2144D6" w:rsidR="004C3831" w:rsidRDefault="004C3831" w:rsidP="001C5D54">
      <w:pPr>
        <w:pStyle w:val="ListParagraph"/>
        <w:tabs>
          <w:tab w:val="left" w:pos="9027"/>
        </w:tabs>
        <w:spacing w:after="0" w:line="276" w:lineRule="auto"/>
        <w:ind w:left="0" w:right="-45"/>
        <w:jc w:val="both"/>
        <w:rPr>
          <w:rFonts w:ascii="Arial" w:hAnsi="Arial" w:cs="Arial"/>
          <w:sz w:val="24"/>
          <w:szCs w:val="24"/>
        </w:rPr>
      </w:pPr>
    </w:p>
    <w:p w14:paraId="0A5A897B" w14:textId="7B89BB3D" w:rsidR="004C3831" w:rsidRDefault="0056169A" w:rsidP="001C5D54">
      <w:pPr>
        <w:pStyle w:val="ListParagraph"/>
        <w:tabs>
          <w:tab w:val="left" w:pos="9027"/>
        </w:tabs>
        <w:spacing w:after="0" w:line="276" w:lineRule="auto"/>
        <w:ind w:left="0" w:right="-45"/>
        <w:jc w:val="both"/>
        <w:rPr>
          <w:rFonts w:ascii="Arial" w:hAnsi="Arial" w:cs="Arial"/>
          <w:sz w:val="24"/>
          <w:szCs w:val="24"/>
        </w:rPr>
      </w:pPr>
      <w:r>
        <w:rPr>
          <w:rFonts w:ascii="Arial" w:hAnsi="Arial" w:cs="Arial"/>
          <w:sz w:val="24"/>
          <w:szCs w:val="24"/>
        </w:rPr>
        <w:t xml:space="preserve">In addition to these efforts, the Department has also </w:t>
      </w:r>
      <w:r w:rsidR="007B4A79">
        <w:rPr>
          <w:rFonts w:ascii="Arial" w:hAnsi="Arial" w:cs="Arial"/>
          <w:sz w:val="24"/>
          <w:szCs w:val="24"/>
        </w:rPr>
        <w:t xml:space="preserve">supported efforts to promote greater levels of local procurement, which can boost the participation of small businesses in the economy. </w:t>
      </w:r>
    </w:p>
    <w:p w14:paraId="12888FFF" w14:textId="3D639E59" w:rsidR="00673C39" w:rsidRDefault="00673C39" w:rsidP="00D46D7E">
      <w:pPr>
        <w:tabs>
          <w:tab w:val="left" w:pos="9027"/>
        </w:tabs>
        <w:spacing w:after="0" w:line="276" w:lineRule="auto"/>
        <w:ind w:right="-45"/>
        <w:jc w:val="both"/>
        <w:rPr>
          <w:rFonts w:ascii="Arial" w:hAnsi="Arial" w:cs="Arial"/>
          <w:sz w:val="24"/>
          <w:szCs w:val="24"/>
        </w:rPr>
      </w:pPr>
    </w:p>
    <w:p w14:paraId="1D36B10B" w14:textId="5632AF76" w:rsidR="00673C39" w:rsidRDefault="00673C39" w:rsidP="00D46D7E">
      <w:pPr>
        <w:tabs>
          <w:tab w:val="left" w:pos="9027"/>
        </w:tabs>
        <w:spacing w:after="0" w:line="276" w:lineRule="auto"/>
        <w:ind w:right="-45"/>
        <w:jc w:val="both"/>
        <w:rPr>
          <w:rFonts w:ascii="Arial" w:hAnsi="Arial" w:cs="Arial"/>
          <w:sz w:val="24"/>
          <w:szCs w:val="24"/>
        </w:rPr>
      </w:pPr>
    </w:p>
    <w:p w14:paraId="463A3F42" w14:textId="72F7E26A" w:rsidR="0084571F" w:rsidRDefault="0084571F" w:rsidP="003E772E">
      <w:pPr>
        <w:spacing w:after="0" w:line="276" w:lineRule="auto"/>
        <w:jc w:val="both"/>
        <w:rPr>
          <w:rFonts w:ascii="Arial" w:hAnsi="Arial" w:cs="Arial"/>
          <w:b/>
          <w:bCs/>
          <w:sz w:val="24"/>
          <w:szCs w:val="24"/>
        </w:rPr>
      </w:pPr>
    </w:p>
    <w:p w14:paraId="2AB5EFAD" w14:textId="77777777" w:rsidR="0084571F" w:rsidRPr="00C07922" w:rsidRDefault="0084571F" w:rsidP="003E772E">
      <w:pPr>
        <w:spacing w:after="0" w:line="276" w:lineRule="auto"/>
        <w:jc w:val="both"/>
        <w:rPr>
          <w:rFonts w:ascii="Arial" w:hAnsi="Arial" w:cs="Arial"/>
          <w:b/>
          <w:bCs/>
          <w:sz w:val="24"/>
          <w:szCs w:val="24"/>
        </w:rPr>
      </w:pPr>
    </w:p>
    <w:p w14:paraId="606A5F35" w14:textId="3A9C0E30" w:rsidR="0031644A" w:rsidRPr="00C07922" w:rsidRDefault="003921DA" w:rsidP="003921DA">
      <w:pPr>
        <w:spacing w:line="276" w:lineRule="auto"/>
        <w:jc w:val="center"/>
        <w:rPr>
          <w:rFonts w:ascii="Arial" w:eastAsia="Calibri" w:hAnsi="Arial" w:cs="Arial"/>
          <w:b/>
          <w:sz w:val="24"/>
          <w:szCs w:val="24"/>
        </w:rPr>
      </w:pPr>
      <w:r>
        <w:rPr>
          <w:rFonts w:ascii="Arial" w:hAnsi="Arial" w:cs="Arial"/>
          <w:b/>
          <w:bCs/>
          <w:sz w:val="24"/>
          <w:szCs w:val="24"/>
        </w:rPr>
        <w:t>-END-</w:t>
      </w:r>
      <w:bookmarkStart w:id="0" w:name="_GoBack"/>
      <w:bookmarkEnd w:id="0"/>
    </w:p>
    <w:p w14:paraId="6BD36E89" w14:textId="77777777" w:rsidR="00EA5109" w:rsidRPr="00B236EF" w:rsidRDefault="00EA5109" w:rsidP="003E772E">
      <w:pPr>
        <w:spacing w:after="0" w:line="276" w:lineRule="auto"/>
        <w:ind w:left="720" w:hanging="720"/>
        <w:jc w:val="both"/>
        <w:outlineLvl w:val="0"/>
        <w:rPr>
          <w:rFonts w:ascii="Arial" w:eastAsia="Calibri" w:hAnsi="Arial" w:cs="Arial"/>
          <w:b/>
          <w:bCs/>
          <w:sz w:val="24"/>
          <w:szCs w:val="24"/>
        </w:rPr>
      </w:pPr>
    </w:p>
    <w:sectPr w:rsidR="00EA5109" w:rsidRPr="00B236EF" w:rsidSect="0084571F">
      <w:headerReference w:type="default" r:id="rId9"/>
      <w:footerReference w:type="default" r:id="rId10"/>
      <w:pgSz w:w="11906" w:h="16838"/>
      <w:pgMar w:top="709" w:right="1133" w:bottom="426" w:left="1134" w:header="42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0122C" w14:textId="77777777" w:rsidR="00FC3164" w:rsidRDefault="00FC3164" w:rsidP="006D054B">
      <w:pPr>
        <w:spacing w:after="0" w:line="240" w:lineRule="auto"/>
      </w:pPr>
      <w:r>
        <w:separator/>
      </w:r>
    </w:p>
  </w:endnote>
  <w:endnote w:type="continuationSeparator" w:id="0">
    <w:p w14:paraId="7133ECF9" w14:textId="77777777" w:rsidR="00FC3164" w:rsidRDefault="00FC3164" w:rsidP="006D0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623098"/>
      <w:docPartObj>
        <w:docPartGallery w:val="Page Numbers (Bottom of Page)"/>
        <w:docPartUnique/>
      </w:docPartObj>
    </w:sdtPr>
    <w:sdtEndPr>
      <w:rPr>
        <w:noProof/>
      </w:rPr>
    </w:sdtEndPr>
    <w:sdtContent>
      <w:p w14:paraId="31CF1741" w14:textId="3208313E" w:rsidR="00C90387" w:rsidRDefault="00C90387">
        <w:pPr>
          <w:pStyle w:val="Footer"/>
          <w:jc w:val="center"/>
        </w:pPr>
        <w:r>
          <w:fldChar w:fldCharType="begin"/>
        </w:r>
        <w:r>
          <w:instrText xml:space="preserve"> PAGE   \* MERGEFORMAT </w:instrText>
        </w:r>
        <w:r>
          <w:fldChar w:fldCharType="separate"/>
        </w:r>
        <w:r w:rsidR="003921DA">
          <w:rPr>
            <w:noProof/>
          </w:rPr>
          <w:t>1</w:t>
        </w:r>
        <w:r>
          <w:rPr>
            <w:noProof/>
          </w:rPr>
          <w:fldChar w:fldCharType="end"/>
        </w:r>
      </w:p>
    </w:sdtContent>
  </w:sdt>
  <w:p w14:paraId="70BBEE41" w14:textId="701D4728" w:rsidR="00C90387" w:rsidRDefault="00B70823" w:rsidP="00C90387">
    <w:pPr>
      <w:pStyle w:val="Footer"/>
      <w:jc w:val="center"/>
    </w:pPr>
    <w:r>
      <w:t>Parliamentary Question</w:t>
    </w:r>
    <w:r w:rsidR="00D66290">
      <w:t xml:space="preserve">: NA PQ </w:t>
    </w:r>
    <w:r w:rsidR="008766DE">
      <w:t>885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F9C86" w14:textId="77777777" w:rsidR="00FC3164" w:rsidRDefault="00FC3164" w:rsidP="006D054B">
      <w:pPr>
        <w:spacing w:after="0" w:line="240" w:lineRule="auto"/>
      </w:pPr>
      <w:r>
        <w:separator/>
      </w:r>
    </w:p>
  </w:footnote>
  <w:footnote w:type="continuationSeparator" w:id="0">
    <w:p w14:paraId="5AFCA779" w14:textId="77777777" w:rsidR="00FC3164" w:rsidRDefault="00FC3164" w:rsidP="006D0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B579" w14:textId="77777777" w:rsidR="00C90387" w:rsidRDefault="00C90387" w:rsidP="00B236EF">
    <w:pPr>
      <w:pStyle w:val="Header"/>
    </w:pPr>
  </w:p>
  <w:p w14:paraId="54568892" w14:textId="43A09512" w:rsidR="00C90387" w:rsidRDefault="00C90387" w:rsidP="00B236EF">
    <w:pPr>
      <w:pStyle w:val="Header"/>
      <w:ind w:left="-56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15:restartNumberingAfterBreak="0">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7" w15:restartNumberingAfterBreak="0">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C67D5"/>
    <w:multiLevelType w:val="hybridMultilevel"/>
    <w:tmpl w:val="DADCEACE"/>
    <w:lvl w:ilvl="0" w:tplc="D2CED45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E809E5"/>
    <w:multiLevelType w:val="hybridMultilevel"/>
    <w:tmpl w:val="0900C512"/>
    <w:lvl w:ilvl="0" w:tplc="762AB2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430F20"/>
    <w:multiLevelType w:val="hybridMultilevel"/>
    <w:tmpl w:val="C408F6C6"/>
    <w:lvl w:ilvl="0" w:tplc="C92AFF2C">
      <w:start w:val="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82AA2"/>
    <w:multiLevelType w:val="hybridMultilevel"/>
    <w:tmpl w:val="0CC8B9FC"/>
    <w:lvl w:ilvl="0" w:tplc="E63C3A4E">
      <w:start w:val="1"/>
      <w:numFmt w:val="upperLetter"/>
      <w:lvlText w:val="(%1)"/>
      <w:lvlJc w:val="left"/>
      <w:pPr>
        <w:ind w:left="927" w:hanging="360"/>
      </w:pPr>
      <w:rPr>
        <w:rFonts w:hint="default"/>
        <w:sz w:val="24"/>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9" w15:restartNumberingAfterBreak="0">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04A0764"/>
    <w:multiLevelType w:val="multilevel"/>
    <w:tmpl w:val="4AF89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E3D1419"/>
    <w:multiLevelType w:val="hybridMultilevel"/>
    <w:tmpl w:val="647EC8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E483351"/>
    <w:multiLevelType w:val="hybridMultilevel"/>
    <w:tmpl w:val="38EC0068"/>
    <w:lvl w:ilvl="0" w:tplc="ECEE2A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7A41A9"/>
    <w:multiLevelType w:val="hybridMultilevel"/>
    <w:tmpl w:val="6FD82E3C"/>
    <w:lvl w:ilvl="0" w:tplc="3C20224E">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5D56222"/>
    <w:multiLevelType w:val="hybridMultilevel"/>
    <w:tmpl w:val="2FF413BC"/>
    <w:lvl w:ilvl="0" w:tplc="26607A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FEA30D1"/>
    <w:multiLevelType w:val="hybridMultilevel"/>
    <w:tmpl w:val="7E1C6CC8"/>
    <w:lvl w:ilvl="0" w:tplc="AD96ED02">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4" w15:restartNumberingAfterBreak="0">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3"/>
  </w:num>
  <w:num w:numId="3">
    <w:abstractNumId w:val="21"/>
  </w:num>
  <w:num w:numId="4">
    <w:abstractNumId w:val="6"/>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4"/>
  </w:num>
  <w:num w:numId="7">
    <w:abstractNumId w:val="4"/>
  </w:num>
  <w:num w:numId="8">
    <w:abstractNumId w:val="25"/>
  </w:num>
  <w:num w:numId="9">
    <w:abstractNumId w:val="19"/>
  </w:num>
  <w:num w:numId="10">
    <w:abstractNumId w:val="0"/>
  </w:num>
  <w:num w:numId="11">
    <w:abstractNumId w:val="13"/>
  </w:num>
  <w:num w:numId="12">
    <w:abstractNumId w:val="22"/>
  </w:num>
  <w:num w:numId="13">
    <w:abstractNumId w:val="31"/>
  </w:num>
  <w:num w:numId="14">
    <w:abstractNumId w:val="11"/>
  </w:num>
  <w:num w:numId="15">
    <w:abstractNumId w:val="2"/>
  </w:num>
  <w:num w:numId="16">
    <w:abstractNumId w:val="12"/>
  </w:num>
  <w:num w:numId="17">
    <w:abstractNumId w:val="24"/>
  </w:num>
  <w:num w:numId="18">
    <w:abstractNumId w:val="15"/>
  </w:num>
  <w:num w:numId="19">
    <w:abstractNumId w:val="23"/>
  </w:num>
  <w:num w:numId="20">
    <w:abstractNumId w:val="1"/>
  </w:num>
  <w:num w:numId="21">
    <w:abstractNumId w:val="28"/>
  </w:num>
  <w:num w:numId="22">
    <w:abstractNumId w:val="10"/>
  </w:num>
  <w:num w:numId="23">
    <w:abstractNumId w:val="14"/>
  </w:num>
  <w:num w:numId="24">
    <w:abstractNumId w:val="7"/>
  </w:num>
  <w:num w:numId="25">
    <w:abstractNumId w:val="8"/>
  </w:num>
  <w:num w:numId="26">
    <w:abstractNumId w:val="3"/>
  </w:num>
  <w:num w:numId="27">
    <w:abstractNumId w:val="3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9"/>
  </w:num>
  <w:num w:numId="31">
    <w:abstractNumId w:val="18"/>
  </w:num>
  <w:num w:numId="32">
    <w:abstractNumId w:val="29"/>
  </w:num>
  <w:num w:numId="33">
    <w:abstractNumId w:val="26"/>
  </w:num>
  <w:num w:numId="34">
    <w:abstractNumId w:val="27"/>
  </w:num>
  <w:num w:numId="35">
    <w:abstractNumId w:val="16"/>
  </w:num>
  <w:num w:numId="36">
    <w:abstractNumId w:val="17"/>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351"/>
    <w:rsid w:val="00006948"/>
    <w:rsid w:val="000077EE"/>
    <w:rsid w:val="00012E39"/>
    <w:rsid w:val="000263F2"/>
    <w:rsid w:val="00030042"/>
    <w:rsid w:val="0003191E"/>
    <w:rsid w:val="00031D1F"/>
    <w:rsid w:val="00041805"/>
    <w:rsid w:val="00046D78"/>
    <w:rsid w:val="0006536D"/>
    <w:rsid w:val="00071E10"/>
    <w:rsid w:val="000B0517"/>
    <w:rsid w:val="000B0791"/>
    <w:rsid w:val="000B2DB1"/>
    <w:rsid w:val="000C4638"/>
    <w:rsid w:val="000D3BB4"/>
    <w:rsid w:val="000D608B"/>
    <w:rsid w:val="00102569"/>
    <w:rsid w:val="00130895"/>
    <w:rsid w:val="0016019E"/>
    <w:rsid w:val="001602E3"/>
    <w:rsid w:val="00172E12"/>
    <w:rsid w:val="00176749"/>
    <w:rsid w:val="00182352"/>
    <w:rsid w:val="00186262"/>
    <w:rsid w:val="001877AA"/>
    <w:rsid w:val="0019258D"/>
    <w:rsid w:val="00197D18"/>
    <w:rsid w:val="001A33E4"/>
    <w:rsid w:val="001C454D"/>
    <w:rsid w:val="001C5D54"/>
    <w:rsid w:val="00212F7F"/>
    <w:rsid w:val="002150F1"/>
    <w:rsid w:val="00226F0C"/>
    <w:rsid w:val="002329A1"/>
    <w:rsid w:val="0023521C"/>
    <w:rsid w:val="0024155F"/>
    <w:rsid w:val="00242E7F"/>
    <w:rsid w:val="002447C0"/>
    <w:rsid w:val="002459C4"/>
    <w:rsid w:val="00251810"/>
    <w:rsid w:val="002534B7"/>
    <w:rsid w:val="00267DBB"/>
    <w:rsid w:val="002705EC"/>
    <w:rsid w:val="0028153A"/>
    <w:rsid w:val="002855D7"/>
    <w:rsid w:val="0028785A"/>
    <w:rsid w:val="0029231C"/>
    <w:rsid w:val="00294D96"/>
    <w:rsid w:val="002A1D56"/>
    <w:rsid w:val="002A46DB"/>
    <w:rsid w:val="002A5258"/>
    <w:rsid w:val="002B0ED2"/>
    <w:rsid w:val="002C1B9E"/>
    <w:rsid w:val="002C1FAB"/>
    <w:rsid w:val="002D0830"/>
    <w:rsid w:val="002D69F4"/>
    <w:rsid w:val="00301F58"/>
    <w:rsid w:val="0031644A"/>
    <w:rsid w:val="00332C21"/>
    <w:rsid w:val="00351BDA"/>
    <w:rsid w:val="003622E0"/>
    <w:rsid w:val="003632E6"/>
    <w:rsid w:val="00383F6C"/>
    <w:rsid w:val="00385BF1"/>
    <w:rsid w:val="003921DA"/>
    <w:rsid w:val="003959AD"/>
    <w:rsid w:val="003A3726"/>
    <w:rsid w:val="003B2450"/>
    <w:rsid w:val="003C2673"/>
    <w:rsid w:val="003C5DAD"/>
    <w:rsid w:val="003D6475"/>
    <w:rsid w:val="003E772E"/>
    <w:rsid w:val="00402C36"/>
    <w:rsid w:val="00405055"/>
    <w:rsid w:val="00414059"/>
    <w:rsid w:val="00414E30"/>
    <w:rsid w:val="00431C51"/>
    <w:rsid w:val="00433F64"/>
    <w:rsid w:val="00437E8B"/>
    <w:rsid w:val="004469F4"/>
    <w:rsid w:val="00484CF4"/>
    <w:rsid w:val="00490B59"/>
    <w:rsid w:val="00493614"/>
    <w:rsid w:val="004B2BE0"/>
    <w:rsid w:val="004B63AC"/>
    <w:rsid w:val="004C3831"/>
    <w:rsid w:val="004C432F"/>
    <w:rsid w:val="004D0F02"/>
    <w:rsid w:val="004E2E71"/>
    <w:rsid w:val="004F429F"/>
    <w:rsid w:val="004F6E62"/>
    <w:rsid w:val="00501CDF"/>
    <w:rsid w:val="0051724E"/>
    <w:rsid w:val="00522CB2"/>
    <w:rsid w:val="00526B52"/>
    <w:rsid w:val="00532838"/>
    <w:rsid w:val="00537BDD"/>
    <w:rsid w:val="005401FB"/>
    <w:rsid w:val="00546254"/>
    <w:rsid w:val="0054791A"/>
    <w:rsid w:val="0056169A"/>
    <w:rsid w:val="005624DD"/>
    <w:rsid w:val="00567F57"/>
    <w:rsid w:val="00575A3A"/>
    <w:rsid w:val="0059407E"/>
    <w:rsid w:val="00597203"/>
    <w:rsid w:val="005A5FEE"/>
    <w:rsid w:val="005C3727"/>
    <w:rsid w:val="005D3B6A"/>
    <w:rsid w:val="005E02E7"/>
    <w:rsid w:val="005E30FD"/>
    <w:rsid w:val="00622A03"/>
    <w:rsid w:val="00640078"/>
    <w:rsid w:val="006420D0"/>
    <w:rsid w:val="006445D1"/>
    <w:rsid w:val="00645F45"/>
    <w:rsid w:val="006706FD"/>
    <w:rsid w:val="00673C39"/>
    <w:rsid w:val="00675911"/>
    <w:rsid w:val="006847A1"/>
    <w:rsid w:val="006932B2"/>
    <w:rsid w:val="00694349"/>
    <w:rsid w:val="006B0FE2"/>
    <w:rsid w:val="006B1132"/>
    <w:rsid w:val="006B2261"/>
    <w:rsid w:val="006C6F31"/>
    <w:rsid w:val="006D054B"/>
    <w:rsid w:val="006E5CFB"/>
    <w:rsid w:val="00707C88"/>
    <w:rsid w:val="0072078E"/>
    <w:rsid w:val="00724E41"/>
    <w:rsid w:val="007477F1"/>
    <w:rsid w:val="00761225"/>
    <w:rsid w:val="0078637F"/>
    <w:rsid w:val="00792751"/>
    <w:rsid w:val="007B03D5"/>
    <w:rsid w:val="007B14C3"/>
    <w:rsid w:val="007B412F"/>
    <w:rsid w:val="007B4149"/>
    <w:rsid w:val="007B4A79"/>
    <w:rsid w:val="007B7DA8"/>
    <w:rsid w:val="007D1596"/>
    <w:rsid w:val="007D1D58"/>
    <w:rsid w:val="007D2A4F"/>
    <w:rsid w:val="007D4B10"/>
    <w:rsid w:val="00803209"/>
    <w:rsid w:val="00833E81"/>
    <w:rsid w:val="00834985"/>
    <w:rsid w:val="00841350"/>
    <w:rsid w:val="0084571F"/>
    <w:rsid w:val="008528EA"/>
    <w:rsid w:val="00853BDC"/>
    <w:rsid w:val="008556DC"/>
    <w:rsid w:val="00855ABA"/>
    <w:rsid w:val="008634FA"/>
    <w:rsid w:val="008766DE"/>
    <w:rsid w:val="00892467"/>
    <w:rsid w:val="00894F69"/>
    <w:rsid w:val="008A796E"/>
    <w:rsid w:val="008D06C0"/>
    <w:rsid w:val="00911828"/>
    <w:rsid w:val="00916351"/>
    <w:rsid w:val="0093226B"/>
    <w:rsid w:val="00936D98"/>
    <w:rsid w:val="009433BE"/>
    <w:rsid w:val="0094388C"/>
    <w:rsid w:val="00962A53"/>
    <w:rsid w:val="009644E4"/>
    <w:rsid w:val="00970287"/>
    <w:rsid w:val="0099215A"/>
    <w:rsid w:val="009A0FF0"/>
    <w:rsid w:val="009C3E7C"/>
    <w:rsid w:val="009D6756"/>
    <w:rsid w:val="009D6C77"/>
    <w:rsid w:val="009E1717"/>
    <w:rsid w:val="009F3102"/>
    <w:rsid w:val="009F4DA1"/>
    <w:rsid w:val="00A01A30"/>
    <w:rsid w:val="00A1169C"/>
    <w:rsid w:val="00A1795F"/>
    <w:rsid w:val="00A21156"/>
    <w:rsid w:val="00A46E81"/>
    <w:rsid w:val="00A557B1"/>
    <w:rsid w:val="00A71813"/>
    <w:rsid w:val="00A81AFD"/>
    <w:rsid w:val="00A8329E"/>
    <w:rsid w:val="00A84F6F"/>
    <w:rsid w:val="00A922E1"/>
    <w:rsid w:val="00AB1371"/>
    <w:rsid w:val="00AB27A3"/>
    <w:rsid w:val="00AB6763"/>
    <w:rsid w:val="00AD1369"/>
    <w:rsid w:val="00AD5AE5"/>
    <w:rsid w:val="00AD7FCF"/>
    <w:rsid w:val="00AE418E"/>
    <w:rsid w:val="00AE6F53"/>
    <w:rsid w:val="00AF23A5"/>
    <w:rsid w:val="00AF736F"/>
    <w:rsid w:val="00B04589"/>
    <w:rsid w:val="00B2231A"/>
    <w:rsid w:val="00B236EF"/>
    <w:rsid w:val="00B263F6"/>
    <w:rsid w:val="00B43F0E"/>
    <w:rsid w:val="00B4516B"/>
    <w:rsid w:val="00B536E7"/>
    <w:rsid w:val="00B54A00"/>
    <w:rsid w:val="00B55CFF"/>
    <w:rsid w:val="00B61B07"/>
    <w:rsid w:val="00B66060"/>
    <w:rsid w:val="00B66578"/>
    <w:rsid w:val="00B70823"/>
    <w:rsid w:val="00B77AE5"/>
    <w:rsid w:val="00B9157F"/>
    <w:rsid w:val="00BA3106"/>
    <w:rsid w:val="00BA3DD8"/>
    <w:rsid w:val="00BB36A7"/>
    <w:rsid w:val="00BB497F"/>
    <w:rsid w:val="00BB62D5"/>
    <w:rsid w:val="00BC607B"/>
    <w:rsid w:val="00C02FFC"/>
    <w:rsid w:val="00C0398D"/>
    <w:rsid w:val="00C05717"/>
    <w:rsid w:val="00C07922"/>
    <w:rsid w:val="00C1754E"/>
    <w:rsid w:val="00C23C1E"/>
    <w:rsid w:val="00C26949"/>
    <w:rsid w:val="00C34AA3"/>
    <w:rsid w:val="00C4613A"/>
    <w:rsid w:val="00C56886"/>
    <w:rsid w:val="00C60F52"/>
    <w:rsid w:val="00C63900"/>
    <w:rsid w:val="00C71BF9"/>
    <w:rsid w:val="00C84F7E"/>
    <w:rsid w:val="00C8544C"/>
    <w:rsid w:val="00C85DD8"/>
    <w:rsid w:val="00C90387"/>
    <w:rsid w:val="00C91B9D"/>
    <w:rsid w:val="00C9270E"/>
    <w:rsid w:val="00CC0725"/>
    <w:rsid w:val="00CC7044"/>
    <w:rsid w:val="00D3539F"/>
    <w:rsid w:val="00D37942"/>
    <w:rsid w:val="00D410C1"/>
    <w:rsid w:val="00D462DD"/>
    <w:rsid w:val="00D46D7E"/>
    <w:rsid w:val="00D52868"/>
    <w:rsid w:val="00D66290"/>
    <w:rsid w:val="00D71A01"/>
    <w:rsid w:val="00D722D0"/>
    <w:rsid w:val="00D75E12"/>
    <w:rsid w:val="00D81223"/>
    <w:rsid w:val="00D906CA"/>
    <w:rsid w:val="00D93BDC"/>
    <w:rsid w:val="00D95D80"/>
    <w:rsid w:val="00D97348"/>
    <w:rsid w:val="00DA1D3A"/>
    <w:rsid w:val="00DD063F"/>
    <w:rsid w:val="00DE45A5"/>
    <w:rsid w:val="00DE4BB9"/>
    <w:rsid w:val="00DF791A"/>
    <w:rsid w:val="00E27D7F"/>
    <w:rsid w:val="00E44BAD"/>
    <w:rsid w:val="00E4561E"/>
    <w:rsid w:val="00E554C9"/>
    <w:rsid w:val="00E6096E"/>
    <w:rsid w:val="00E846E6"/>
    <w:rsid w:val="00E900D5"/>
    <w:rsid w:val="00EA2BA8"/>
    <w:rsid w:val="00EA5109"/>
    <w:rsid w:val="00EA6E2E"/>
    <w:rsid w:val="00EE05BB"/>
    <w:rsid w:val="00EE6E0C"/>
    <w:rsid w:val="00EF6351"/>
    <w:rsid w:val="00F04A3B"/>
    <w:rsid w:val="00F065DF"/>
    <w:rsid w:val="00F12D38"/>
    <w:rsid w:val="00F15796"/>
    <w:rsid w:val="00F25F46"/>
    <w:rsid w:val="00F32232"/>
    <w:rsid w:val="00F41837"/>
    <w:rsid w:val="00F4382C"/>
    <w:rsid w:val="00F51CB8"/>
    <w:rsid w:val="00F671DD"/>
    <w:rsid w:val="00F716B6"/>
    <w:rsid w:val="00F8074E"/>
    <w:rsid w:val="00F9020F"/>
    <w:rsid w:val="00FB42AF"/>
    <w:rsid w:val="00FB765E"/>
    <w:rsid w:val="00FC3164"/>
    <w:rsid w:val="00FC3609"/>
    <w:rsid w:val="00FC502E"/>
    <w:rsid w:val="00FD0332"/>
    <w:rsid w:val="00FD745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79AB9B"/>
  <w15:docId w15:val="{51B4BDC8-BCC9-4264-B297-1BFBCA7D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character" w:styleId="Hyperlink">
    <w:name w:val="Hyperlink"/>
    <w:basedOn w:val="DefaultParagraphFont"/>
    <w:uiPriority w:val="99"/>
    <w:semiHidden/>
    <w:unhideWhenUsed/>
    <w:rsid w:val="006759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53476">
      <w:bodyDiv w:val="1"/>
      <w:marLeft w:val="0"/>
      <w:marRight w:val="0"/>
      <w:marTop w:val="0"/>
      <w:marBottom w:val="0"/>
      <w:divBdr>
        <w:top w:val="none" w:sz="0" w:space="0" w:color="auto"/>
        <w:left w:val="none" w:sz="0" w:space="0" w:color="auto"/>
        <w:bottom w:val="none" w:sz="0" w:space="0" w:color="auto"/>
        <w:right w:val="none" w:sz="0" w:space="0" w:color="auto"/>
      </w:divBdr>
      <w:divsChild>
        <w:div w:id="533494360">
          <w:marLeft w:val="0"/>
          <w:marRight w:val="0"/>
          <w:marTop w:val="0"/>
          <w:marBottom w:val="0"/>
          <w:divBdr>
            <w:top w:val="none" w:sz="0" w:space="0" w:color="auto"/>
            <w:left w:val="none" w:sz="0" w:space="0" w:color="auto"/>
            <w:bottom w:val="none" w:sz="0" w:space="0" w:color="auto"/>
            <w:right w:val="none" w:sz="0" w:space="0" w:color="auto"/>
          </w:divBdr>
          <w:divsChild>
            <w:div w:id="1232764677">
              <w:marLeft w:val="0"/>
              <w:marRight w:val="0"/>
              <w:marTop w:val="0"/>
              <w:marBottom w:val="0"/>
              <w:divBdr>
                <w:top w:val="none" w:sz="0" w:space="0" w:color="auto"/>
                <w:left w:val="none" w:sz="0" w:space="0" w:color="auto"/>
                <w:bottom w:val="none" w:sz="0" w:space="0" w:color="auto"/>
                <w:right w:val="none" w:sz="0" w:space="0" w:color="auto"/>
              </w:divBdr>
              <w:divsChild>
                <w:div w:id="1455558245">
                  <w:marLeft w:val="0"/>
                  <w:marRight w:val="0"/>
                  <w:marTop w:val="0"/>
                  <w:marBottom w:val="0"/>
                  <w:divBdr>
                    <w:top w:val="none" w:sz="0" w:space="0" w:color="auto"/>
                    <w:left w:val="none" w:sz="0" w:space="0" w:color="auto"/>
                    <w:bottom w:val="none" w:sz="0" w:space="0" w:color="auto"/>
                    <w:right w:val="none" w:sz="0" w:space="0" w:color="auto"/>
                  </w:divBdr>
                  <w:divsChild>
                    <w:div w:id="16060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FDCD2-8200-4125-B40E-DF9B82DAC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Tsholofelo Mushi</cp:lastModifiedBy>
  <cp:revision>2</cp:revision>
  <cp:lastPrinted>2020-03-20T10:31:00Z</cp:lastPrinted>
  <dcterms:created xsi:type="dcterms:W3CDTF">2020-06-08T08:50:00Z</dcterms:created>
  <dcterms:modified xsi:type="dcterms:W3CDTF">2020-06-08T08:50:00Z</dcterms:modified>
</cp:coreProperties>
</file>