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9A659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9A6591" w:rsidP="009A659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9A6591" w:rsidP="009A659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525B21">
        <w:rPr>
          <w:rFonts w:ascii="Arial" w:eastAsia="Calibri" w:hAnsi="Arial" w:cs="Arial"/>
          <w:b/>
          <w:bCs/>
          <w:lang w:val="en-GB"/>
        </w:rPr>
        <w:t>885</w:t>
      </w:r>
    </w:p>
    <w:p w:rsidR="002E7253" w:rsidRPr="009A6591" w:rsidRDefault="002E7253" w:rsidP="009A6591">
      <w:pPr>
        <w:spacing w:after="200" w:line="276" w:lineRule="auto"/>
        <w:rPr>
          <w:rFonts w:ascii="Arial" w:eastAsia="Calibri" w:hAnsi="Arial" w:cs="Arial"/>
          <w:b/>
          <w:bCs/>
          <w:lang w:val="en-GB"/>
        </w:rPr>
      </w:pPr>
      <w:r w:rsidRPr="009A6591">
        <w:rPr>
          <w:rFonts w:ascii="Arial" w:eastAsia="Calibri" w:hAnsi="Arial" w:cs="Arial"/>
          <w:b/>
          <w:bCs/>
          <w:lang w:val="en-GB"/>
        </w:rPr>
        <w:t xml:space="preserve">DATE OF QUESTION: </w:t>
      </w:r>
      <w:r w:rsidR="00245B3C" w:rsidRPr="009A6591">
        <w:rPr>
          <w:rFonts w:ascii="Arial" w:eastAsia="Calibri" w:hAnsi="Arial" w:cs="Arial"/>
          <w:b/>
          <w:bCs/>
          <w:lang w:val="en-GB"/>
        </w:rPr>
        <w:t>13</w:t>
      </w:r>
      <w:r w:rsidR="009A6591" w:rsidRPr="009A6591">
        <w:rPr>
          <w:rFonts w:ascii="Arial" w:eastAsia="Calibri" w:hAnsi="Arial" w:cs="Arial"/>
          <w:b/>
          <w:bCs/>
          <w:lang w:val="en-GB"/>
        </w:rPr>
        <w:t xml:space="preserve"> SEPTEMBER </w:t>
      </w:r>
      <w:r w:rsidRPr="009A6591">
        <w:rPr>
          <w:rFonts w:ascii="Arial" w:eastAsia="Calibri" w:hAnsi="Arial" w:cs="Arial"/>
          <w:b/>
          <w:bCs/>
          <w:lang w:val="en-GB"/>
        </w:rPr>
        <w:t>201</w:t>
      </w:r>
      <w:r w:rsidR="00121378" w:rsidRPr="009A6591">
        <w:rPr>
          <w:rFonts w:ascii="Arial" w:eastAsia="Calibri" w:hAnsi="Arial" w:cs="Arial"/>
          <w:b/>
          <w:bCs/>
          <w:lang w:val="en-GB"/>
        </w:rPr>
        <w:t>9</w:t>
      </w:r>
    </w:p>
    <w:p w:rsidR="00D463C8" w:rsidRPr="009A6591" w:rsidRDefault="00791471" w:rsidP="009A6591">
      <w:pPr>
        <w:spacing w:before="100" w:beforeAutospacing="1" w:after="100" w:afterAutospacing="1" w:line="276" w:lineRule="auto"/>
        <w:outlineLvl w:val="0"/>
        <w:rPr>
          <w:rFonts w:ascii="Arial" w:eastAsia="Calibri" w:hAnsi="Arial" w:cs="Arial"/>
          <w:b/>
          <w:bCs/>
          <w:lang w:val="en-GB"/>
        </w:rPr>
      </w:pPr>
      <w:r w:rsidRPr="009A6591">
        <w:rPr>
          <w:rFonts w:ascii="Arial" w:eastAsia="Calibri" w:hAnsi="Arial" w:cs="Arial"/>
          <w:b/>
          <w:bCs/>
          <w:lang w:val="en-GB"/>
        </w:rPr>
        <w:t xml:space="preserve">DATE OF SUBMISSION: </w:t>
      </w:r>
      <w:r w:rsidR="00245B3C" w:rsidRPr="009A6591">
        <w:rPr>
          <w:rFonts w:ascii="Arial" w:eastAsia="Calibri" w:hAnsi="Arial" w:cs="Arial"/>
          <w:b/>
          <w:bCs/>
          <w:lang w:val="en-GB"/>
        </w:rPr>
        <w:t>3</w:t>
      </w:r>
      <w:r w:rsidR="006D3500" w:rsidRPr="009A6591">
        <w:rPr>
          <w:rFonts w:ascii="Arial" w:eastAsia="Calibri" w:hAnsi="Arial" w:cs="Arial"/>
          <w:b/>
          <w:bCs/>
          <w:lang w:val="en-GB"/>
        </w:rPr>
        <w:t>0</w:t>
      </w:r>
      <w:r w:rsidR="00FB2C7F" w:rsidRPr="009A6591">
        <w:rPr>
          <w:rFonts w:ascii="Arial" w:eastAsia="Calibri" w:hAnsi="Arial" w:cs="Arial"/>
          <w:b/>
          <w:bCs/>
          <w:lang w:val="en-GB"/>
        </w:rPr>
        <w:t xml:space="preserve"> SEPTEMBER</w:t>
      </w:r>
      <w:r w:rsidR="00A0329A" w:rsidRPr="009A6591">
        <w:rPr>
          <w:rFonts w:ascii="Arial" w:eastAsia="Calibri" w:hAnsi="Arial" w:cs="Arial"/>
          <w:b/>
          <w:bCs/>
          <w:lang w:val="en-GB"/>
        </w:rPr>
        <w:t xml:space="preserve"> </w:t>
      </w:r>
      <w:r w:rsidR="00D463C8" w:rsidRPr="009A6591">
        <w:rPr>
          <w:rFonts w:ascii="Arial" w:eastAsia="Calibri" w:hAnsi="Arial" w:cs="Arial"/>
          <w:b/>
          <w:bCs/>
          <w:lang w:val="en-GB"/>
        </w:rPr>
        <w:t>201</w:t>
      </w:r>
      <w:r w:rsidR="00121378" w:rsidRPr="009A6591">
        <w:rPr>
          <w:rFonts w:ascii="Arial" w:eastAsia="Calibri" w:hAnsi="Arial" w:cs="Arial"/>
          <w:b/>
          <w:bCs/>
          <w:lang w:val="en-GB"/>
        </w:rPr>
        <w:t>9</w:t>
      </w:r>
    </w:p>
    <w:p w:rsidR="00525B21" w:rsidRPr="00525B21" w:rsidRDefault="00525B21" w:rsidP="00525B21">
      <w:pPr>
        <w:spacing w:before="120" w:after="120" w:line="360" w:lineRule="auto"/>
        <w:jc w:val="both"/>
        <w:rPr>
          <w:rFonts w:ascii="Arial" w:hAnsi="Arial" w:cs="Arial"/>
          <w:b/>
          <w:bCs/>
          <w:lang w:val="en-ZA"/>
        </w:rPr>
      </w:pPr>
      <w:r w:rsidRPr="00525B21">
        <w:rPr>
          <w:rFonts w:ascii="Arial" w:hAnsi="Arial" w:cs="Arial"/>
          <w:b/>
          <w:bCs/>
          <w:lang w:val="en-ZA"/>
        </w:rPr>
        <w:t>Ms T Breedt (FF Plus) to ask the Minister of Justice and Correctional Services</w:t>
      </w:r>
      <w:r w:rsidRPr="00525B21">
        <w:rPr>
          <w:rFonts w:ascii="Arial" w:hAnsi="Arial" w:cs="Arial"/>
          <w:b/>
          <w:bCs/>
          <w:lang w:val="en-ZA"/>
        </w:rPr>
        <w:fldChar w:fldCharType="begin"/>
      </w:r>
      <w:r w:rsidRPr="00525B21">
        <w:rPr>
          <w:rFonts w:ascii="Arial" w:hAnsi="Arial" w:cs="Arial"/>
          <w:b/>
          <w:bCs/>
          <w:lang w:val="en-ZA"/>
        </w:rPr>
        <w:instrText xml:space="preserve"> XE "Justice and Correctional Services" </w:instrText>
      </w:r>
      <w:r w:rsidRPr="00525B21">
        <w:rPr>
          <w:rFonts w:ascii="Arial" w:hAnsi="Arial" w:cs="Arial"/>
          <w:b/>
          <w:bCs/>
          <w:lang w:val="en-ZA"/>
        </w:rPr>
        <w:fldChar w:fldCharType="end"/>
      </w:r>
      <w:r w:rsidRPr="00525B21">
        <w:rPr>
          <w:rFonts w:ascii="Arial" w:hAnsi="Arial" w:cs="Arial"/>
          <w:b/>
          <w:bCs/>
          <w:lang w:val="en-ZA"/>
        </w:rPr>
        <w:t>:</w:t>
      </w:r>
    </w:p>
    <w:p w:rsidR="00525B21" w:rsidRPr="00525B21" w:rsidRDefault="00525B21" w:rsidP="00525B21">
      <w:pPr>
        <w:numPr>
          <w:ilvl w:val="0"/>
          <w:numId w:val="34"/>
        </w:numPr>
        <w:spacing w:before="120" w:after="120" w:line="360" w:lineRule="auto"/>
        <w:jc w:val="both"/>
        <w:rPr>
          <w:rFonts w:ascii="Arial" w:eastAsia="Calibri" w:hAnsi="Arial" w:cs="Arial"/>
          <w:lang w:val="en-ZA"/>
        </w:rPr>
      </w:pPr>
      <w:r w:rsidRPr="00525B21">
        <w:rPr>
          <w:rFonts w:ascii="Arial" w:eastAsia="Calibri" w:hAnsi="Arial" w:cs="Arial"/>
          <w:lang w:val="en-ZA"/>
        </w:rPr>
        <w:t>What total number of cases of (a) domestic violence and (b) sexual offences were withdrawn by the (i) complainants and/or (ii) National Prosecuting Authority (aa) in (aaa) 2017 and (bbb) 2018 calendar years and (bb) since 1 January 2019;</w:t>
      </w:r>
    </w:p>
    <w:p w:rsidR="00525B21" w:rsidRDefault="00525B21" w:rsidP="00525B21">
      <w:pPr>
        <w:numPr>
          <w:ilvl w:val="0"/>
          <w:numId w:val="34"/>
        </w:numPr>
        <w:spacing w:before="120" w:after="120" w:line="360" w:lineRule="auto"/>
        <w:jc w:val="both"/>
        <w:rPr>
          <w:rFonts w:ascii="Arial" w:eastAsia="Calibri" w:hAnsi="Arial" w:cs="Arial"/>
          <w:lang w:val="en-ZA"/>
        </w:rPr>
      </w:pPr>
      <w:r w:rsidRPr="00525B21">
        <w:rPr>
          <w:rFonts w:ascii="Arial" w:eastAsia="Calibri" w:hAnsi="Arial" w:cs="Arial"/>
          <w:lang w:val="en-ZA"/>
        </w:rPr>
        <w:t>whether he will ma</w:t>
      </w:r>
      <w:r>
        <w:rPr>
          <w:rFonts w:ascii="Arial" w:eastAsia="Calibri" w:hAnsi="Arial" w:cs="Arial"/>
          <w:lang w:val="en-ZA"/>
        </w:rPr>
        <w:t>ke a statement on the matter?</w:t>
      </w:r>
    </w:p>
    <w:p w:rsidR="00525B21" w:rsidRPr="00525B21" w:rsidRDefault="00525B21" w:rsidP="00525B21">
      <w:pPr>
        <w:spacing w:before="120" w:after="120" w:line="360" w:lineRule="auto"/>
        <w:ind w:left="360"/>
        <w:jc w:val="right"/>
        <w:rPr>
          <w:rFonts w:ascii="Arial" w:hAnsi="Arial" w:cs="Arial"/>
          <w:b/>
          <w:lang w:val="en-ZA"/>
        </w:rPr>
      </w:pPr>
      <w:r w:rsidRPr="00525B21">
        <w:rPr>
          <w:rFonts w:ascii="Arial" w:hAnsi="Arial" w:cs="Arial"/>
          <w:b/>
          <w:lang w:val="en-ZA"/>
        </w:rPr>
        <w:t>NW2035E</w:t>
      </w:r>
    </w:p>
    <w:p w:rsidR="00084F34" w:rsidRPr="006D3500" w:rsidRDefault="00084F34" w:rsidP="006D3500">
      <w:pPr>
        <w:spacing w:before="120" w:after="120" w:line="360" w:lineRule="auto"/>
        <w:ind w:left="360"/>
        <w:jc w:val="right"/>
        <w:rPr>
          <w:rFonts w:ascii="Arial" w:hAnsi="Arial" w:cs="Arial"/>
          <w:b/>
          <w:lang w:val="en-ZA"/>
        </w:rPr>
      </w:pPr>
    </w:p>
    <w:p w:rsidR="004865D0" w:rsidRPr="00E20358" w:rsidRDefault="004865D0" w:rsidP="00E20358">
      <w:pPr>
        <w:spacing w:before="120" w:after="120" w:line="360" w:lineRule="auto"/>
        <w:ind w:left="360"/>
        <w:jc w:val="right"/>
        <w:rPr>
          <w:rFonts w:ascii="Arial" w:hAnsi="Arial" w:cs="Arial"/>
          <w:b/>
          <w:lang w:val="en-ZA"/>
        </w:rPr>
      </w:pPr>
    </w:p>
    <w:p w:rsidR="00E33257" w:rsidRPr="008C0966" w:rsidRDefault="0007655F" w:rsidP="00E33257">
      <w:pPr>
        <w:spacing w:before="120" w:after="120" w:line="360" w:lineRule="auto"/>
        <w:jc w:val="both"/>
        <w:rPr>
          <w:rFonts w:ascii="Arial" w:hAnsi="Arial" w:cs="Arial"/>
          <w:b/>
        </w:rPr>
      </w:pPr>
      <w:r w:rsidRPr="008C0966">
        <w:rPr>
          <w:rFonts w:ascii="Arial" w:hAnsi="Arial" w:cs="Arial"/>
          <w:b/>
        </w:rPr>
        <w:t>REPLY:</w:t>
      </w:r>
    </w:p>
    <w:p w:rsidR="00E33257" w:rsidRPr="00B804B7" w:rsidRDefault="00E33257" w:rsidP="00E33257">
      <w:pPr>
        <w:pStyle w:val="ListParagraph"/>
        <w:numPr>
          <w:ilvl w:val="0"/>
          <w:numId w:val="36"/>
        </w:numPr>
        <w:spacing w:line="360" w:lineRule="auto"/>
        <w:contextualSpacing w:val="0"/>
        <w:jc w:val="both"/>
        <w:rPr>
          <w:rFonts w:ascii="Arial" w:eastAsia="Calibri" w:hAnsi="Arial" w:cs="Arial"/>
          <w:lang w:val="en-ZA"/>
        </w:rPr>
      </w:pPr>
      <w:r w:rsidRPr="00362122">
        <w:rPr>
          <w:rFonts w:ascii="Arial" w:eastAsia="Calibri" w:hAnsi="Arial" w:cs="Arial"/>
          <w:b/>
          <w:u w:val="single"/>
          <w:lang w:val="en-ZA"/>
        </w:rPr>
        <w:t>Domestic violence</w:t>
      </w:r>
      <w:r w:rsidRPr="00362122">
        <w:rPr>
          <w:rFonts w:ascii="Arial" w:eastAsia="Calibri" w:hAnsi="Arial" w:cs="Arial"/>
          <w:u w:val="single"/>
          <w:lang w:val="en-ZA"/>
        </w:rPr>
        <w:t>:</w:t>
      </w:r>
    </w:p>
    <w:p w:rsidR="00E33257" w:rsidRDefault="00E33257" w:rsidP="00E33257">
      <w:pPr>
        <w:pStyle w:val="ListParagraph"/>
        <w:spacing w:line="360" w:lineRule="auto"/>
        <w:ind w:left="360"/>
        <w:contextualSpacing w:val="0"/>
        <w:jc w:val="both"/>
        <w:rPr>
          <w:rFonts w:ascii="Arial" w:eastAsia="Calibri" w:hAnsi="Arial" w:cs="Arial"/>
          <w:lang w:val="en-ZA"/>
        </w:rPr>
      </w:pPr>
      <w:r>
        <w:rPr>
          <w:rFonts w:ascii="Arial" w:eastAsia="Calibri" w:hAnsi="Arial" w:cs="Arial"/>
          <w:lang w:val="en-ZA"/>
        </w:rPr>
        <w:t xml:space="preserve">I am informed that the National Prosecuting Authority </w:t>
      </w:r>
      <w:r w:rsidRPr="00716B78">
        <w:rPr>
          <w:rFonts w:ascii="Arial" w:eastAsia="Calibri" w:hAnsi="Arial" w:cs="Arial"/>
          <w:lang w:val="en-ZA"/>
        </w:rPr>
        <w:t>does</w:t>
      </w:r>
      <w:r>
        <w:rPr>
          <w:rFonts w:ascii="Arial" w:eastAsia="Calibri" w:hAnsi="Arial" w:cs="Arial"/>
          <w:lang w:val="en-ZA"/>
        </w:rPr>
        <w:t xml:space="preserve"> </w:t>
      </w:r>
      <w:r w:rsidRPr="00716B78">
        <w:rPr>
          <w:rFonts w:ascii="Arial" w:eastAsia="Calibri" w:hAnsi="Arial" w:cs="Arial"/>
          <w:lang w:val="en-ZA"/>
        </w:rPr>
        <w:t>not keep statistics rega</w:t>
      </w:r>
      <w:r>
        <w:rPr>
          <w:rFonts w:ascii="Arial" w:eastAsia="Calibri" w:hAnsi="Arial" w:cs="Arial"/>
          <w:lang w:val="en-ZA"/>
        </w:rPr>
        <w:t>rding domestic violence matters. In this regard it is important to mention that domestic violence is an umbrella term for several offences which can be both statutory and common law offences. For example, if a person is convicted of the common law offence of assault on his or her partner, it will be captured as a criminal offence of  assault and not  as domestic violence.</w:t>
      </w:r>
    </w:p>
    <w:p w:rsidR="00E33257" w:rsidRDefault="00E33257" w:rsidP="00E33257">
      <w:pPr>
        <w:pStyle w:val="ListParagraph"/>
        <w:spacing w:line="360" w:lineRule="auto"/>
        <w:ind w:left="360"/>
        <w:contextualSpacing w:val="0"/>
        <w:jc w:val="both"/>
        <w:rPr>
          <w:rFonts w:ascii="Arial" w:eastAsia="Calibri" w:hAnsi="Arial" w:cs="Arial"/>
          <w:lang w:val="en-ZA"/>
        </w:rPr>
      </w:pPr>
    </w:p>
    <w:p w:rsidR="00E33257" w:rsidRDefault="00E33257" w:rsidP="00E33257">
      <w:pPr>
        <w:numPr>
          <w:ilvl w:val="0"/>
          <w:numId w:val="40"/>
        </w:numPr>
        <w:spacing w:line="360" w:lineRule="auto"/>
        <w:rPr>
          <w:rFonts w:ascii="Arial" w:eastAsia="Calibri" w:hAnsi="Arial" w:cs="Arial"/>
          <w:lang w:val="en-ZA"/>
        </w:rPr>
      </w:pPr>
      <w:r>
        <w:rPr>
          <w:rFonts w:ascii="Arial" w:eastAsia="Calibri" w:hAnsi="Arial" w:cs="Arial"/>
          <w:lang w:val="en-ZA"/>
        </w:rPr>
        <w:t>During the  years mentioned hereunder a number of persons were in contempt of the protection order issued  against him or her in terms of the Domestic Violence Act, 1998 (Act 116 of 1998). The statistics of these withdrawals are as follows:</w:t>
      </w:r>
    </w:p>
    <w:p w:rsidR="00E33257" w:rsidRDefault="00E33257" w:rsidP="00E33257">
      <w:pPr>
        <w:spacing w:line="360" w:lineRule="auto"/>
        <w:ind w:left="360"/>
        <w:rPr>
          <w:rFonts w:ascii="Arial" w:eastAsia="Calibri" w:hAnsi="Arial" w:cs="Arial"/>
          <w:lang w:val="en-ZA"/>
        </w:rPr>
      </w:pPr>
    </w:p>
    <w:p w:rsidR="00E33257" w:rsidRPr="00F67249" w:rsidRDefault="00E33257" w:rsidP="00E33257">
      <w:pPr>
        <w:spacing w:line="360" w:lineRule="auto"/>
        <w:ind w:left="360"/>
        <w:rPr>
          <w:rFonts w:ascii="Arial" w:eastAsia="Calibri" w:hAnsi="Arial" w:cs="Arial"/>
          <w:lang w:val="en-ZA"/>
        </w:rPr>
      </w:pPr>
    </w:p>
    <w:tbl>
      <w:tblPr>
        <w:tblW w:w="4343" w:type="pct"/>
        <w:tblInd w:w="468" w:type="dxa"/>
        <w:tblLayout w:type="fixed"/>
        <w:tblLook w:val="04A0"/>
      </w:tblPr>
      <w:tblGrid>
        <w:gridCol w:w="2249"/>
        <w:gridCol w:w="2251"/>
        <w:gridCol w:w="1890"/>
        <w:gridCol w:w="1928"/>
      </w:tblGrid>
      <w:tr w:rsidR="00E33257" w:rsidRPr="00F67249" w:rsidTr="00371B3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center"/>
              <w:rPr>
                <w:rFonts w:ascii="Arial" w:hAnsi="Arial" w:cs="Arial"/>
                <w:b/>
                <w:bCs/>
                <w:color w:val="000000"/>
                <w:lang w:val="en-ZA" w:eastAsia="en-ZA"/>
              </w:rPr>
            </w:pPr>
            <w:r w:rsidRPr="00F67249">
              <w:rPr>
                <w:rFonts w:ascii="Arial" w:hAnsi="Arial" w:cs="Arial"/>
                <w:b/>
                <w:bCs/>
                <w:color w:val="000000"/>
                <w:lang w:val="en-ZA" w:eastAsia="en-ZA"/>
              </w:rPr>
              <w:lastRenderedPageBreak/>
              <w:t>Domestic Violence - Criminal</w:t>
            </w:r>
          </w:p>
        </w:tc>
      </w:tr>
      <w:tr w:rsidR="00E33257" w:rsidRPr="00F67249" w:rsidTr="00371B38">
        <w:trPr>
          <w:trHeight w:val="30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rPr>
                <w:rFonts w:ascii="Arial" w:hAnsi="Arial" w:cs="Arial"/>
                <w:b/>
                <w:bCs/>
                <w:color w:val="000000"/>
                <w:lang w:val="en-ZA" w:eastAsia="en-ZA"/>
              </w:rPr>
            </w:pPr>
            <w:r w:rsidRPr="00F67249">
              <w:rPr>
                <w:rFonts w:ascii="Arial" w:hAnsi="Arial" w:cs="Arial"/>
                <w:b/>
                <w:bCs/>
                <w:color w:val="000000"/>
                <w:lang w:val="en-ZA" w:eastAsia="en-ZA"/>
              </w:rPr>
              <w:t>Period</w:t>
            </w:r>
          </w:p>
        </w:tc>
        <w:tc>
          <w:tcPr>
            <w:tcW w:w="1353"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rPr>
                <w:rFonts w:ascii="Arial" w:hAnsi="Arial" w:cs="Arial"/>
                <w:b/>
                <w:bCs/>
                <w:color w:val="000000"/>
                <w:lang w:val="en-ZA" w:eastAsia="en-ZA"/>
              </w:rPr>
            </w:pPr>
            <w:r w:rsidRPr="00F67249">
              <w:rPr>
                <w:rFonts w:ascii="Arial" w:hAnsi="Arial" w:cs="Arial"/>
                <w:b/>
                <w:bCs/>
                <w:color w:val="000000"/>
                <w:lang w:val="en-ZA" w:eastAsia="en-ZA"/>
              </w:rPr>
              <w:t>Total no. of cases disposed of</w:t>
            </w:r>
          </w:p>
        </w:tc>
        <w:tc>
          <w:tcPr>
            <w:tcW w:w="1136"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numPr>
                <w:ilvl w:val="0"/>
                <w:numId w:val="41"/>
              </w:numPr>
              <w:spacing w:line="360" w:lineRule="auto"/>
              <w:rPr>
                <w:rFonts w:ascii="Arial" w:hAnsi="Arial" w:cs="Arial"/>
                <w:b/>
                <w:bCs/>
                <w:color w:val="000000"/>
                <w:lang w:val="en-ZA" w:eastAsia="en-ZA"/>
              </w:rPr>
            </w:pPr>
            <w:r w:rsidRPr="00F67249">
              <w:rPr>
                <w:rFonts w:ascii="Arial" w:hAnsi="Arial" w:cs="Arial"/>
                <w:b/>
                <w:bCs/>
                <w:color w:val="000000"/>
                <w:lang w:val="en-ZA" w:eastAsia="en-ZA"/>
              </w:rPr>
              <w:t>Withdrawn Cases</w:t>
            </w:r>
          </w:p>
        </w:tc>
        <w:tc>
          <w:tcPr>
            <w:tcW w:w="1159"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rPr>
                <w:rFonts w:ascii="Arial" w:hAnsi="Arial" w:cs="Arial"/>
                <w:b/>
                <w:bCs/>
                <w:color w:val="000000"/>
                <w:lang w:val="en-ZA" w:eastAsia="en-ZA"/>
              </w:rPr>
            </w:pPr>
            <w:r w:rsidRPr="00F67249">
              <w:rPr>
                <w:rFonts w:ascii="Arial" w:hAnsi="Arial" w:cs="Arial"/>
                <w:b/>
                <w:bCs/>
                <w:color w:val="000000"/>
                <w:lang w:val="en-ZA" w:eastAsia="en-ZA"/>
              </w:rPr>
              <w:t>Withdrawal Rate*</w:t>
            </w:r>
          </w:p>
        </w:tc>
      </w:tr>
      <w:tr w:rsidR="00E33257" w:rsidRPr="00F67249" w:rsidTr="00371B38">
        <w:trPr>
          <w:trHeight w:val="30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rPr>
                <w:rFonts w:ascii="Arial" w:hAnsi="Arial" w:cs="Arial"/>
                <w:color w:val="000000"/>
                <w:lang w:val="en-ZA" w:eastAsia="en-ZA"/>
              </w:rPr>
            </w:pPr>
            <w:r w:rsidRPr="00F67249">
              <w:rPr>
                <w:rFonts w:ascii="Arial" w:hAnsi="Arial" w:cs="Arial"/>
                <w:color w:val="000000"/>
                <w:lang w:val="en-ZA" w:eastAsia="en-ZA"/>
              </w:rPr>
              <w:t>aaa) 2017/18</w:t>
            </w:r>
          </w:p>
        </w:tc>
        <w:tc>
          <w:tcPr>
            <w:tcW w:w="1353"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9 782</w:t>
            </w:r>
          </w:p>
        </w:tc>
        <w:tc>
          <w:tcPr>
            <w:tcW w:w="1136"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5 487</w:t>
            </w:r>
          </w:p>
        </w:tc>
        <w:tc>
          <w:tcPr>
            <w:tcW w:w="1159"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56.1%</w:t>
            </w:r>
          </w:p>
        </w:tc>
      </w:tr>
      <w:tr w:rsidR="00E33257" w:rsidRPr="00F67249" w:rsidTr="00371B38">
        <w:trPr>
          <w:trHeight w:val="30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rPr>
                <w:rFonts w:ascii="Arial" w:hAnsi="Arial" w:cs="Arial"/>
                <w:color w:val="000000"/>
                <w:lang w:val="en-ZA" w:eastAsia="en-ZA"/>
              </w:rPr>
            </w:pPr>
            <w:r w:rsidRPr="00F67249">
              <w:rPr>
                <w:rFonts w:ascii="Arial" w:hAnsi="Arial" w:cs="Arial"/>
                <w:color w:val="000000"/>
                <w:lang w:val="en-ZA" w:eastAsia="en-ZA"/>
              </w:rPr>
              <w:t>bbb) 2018/19</w:t>
            </w:r>
          </w:p>
        </w:tc>
        <w:tc>
          <w:tcPr>
            <w:tcW w:w="1353"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10 438</w:t>
            </w:r>
          </w:p>
        </w:tc>
        <w:tc>
          <w:tcPr>
            <w:tcW w:w="1136"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6 174</w:t>
            </w:r>
          </w:p>
        </w:tc>
        <w:tc>
          <w:tcPr>
            <w:tcW w:w="1159"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59.1%</w:t>
            </w:r>
          </w:p>
        </w:tc>
      </w:tr>
      <w:tr w:rsidR="00E33257" w:rsidRPr="00F67249" w:rsidTr="00371B38">
        <w:trPr>
          <w:trHeight w:val="300"/>
        </w:trPr>
        <w:tc>
          <w:tcPr>
            <w:tcW w:w="1352" w:type="pct"/>
            <w:tcBorders>
              <w:top w:val="nil"/>
              <w:left w:val="single" w:sz="4" w:space="0" w:color="auto"/>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rPr>
                <w:rFonts w:ascii="Arial" w:hAnsi="Arial" w:cs="Arial"/>
                <w:color w:val="000000"/>
                <w:lang w:val="en-ZA" w:eastAsia="en-ZA"/>
              </w:rPr>
            </w:pPr>
            <w:r w:rsidRPr="00F67249">
              <w:rPr>
                <w:rFonts w:ascii="Arial" w:hAnsi="Arial" w:cs="Arial"/>
                <w:color w:val="000000"/>
                <w:lang w:val="en-ZA" w:eastAsia="en-ZA"/>
              </w:rPr>
              <w:t>bb) Q1* of 2019/20</w:t>
            </w:r>
          </w:p>
        </w:tc>
        <w:tc>
          <w:tcPr>
            <w:tcW w:w="1353"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3 013</w:t>
            </w:r>
          </w:p>
        </w:tc>
        <w:tc>
          <w:tcPr>
            <w:tcW w:w="1136"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1 780</w:t>
            </w:r>
          </w:p>
        </w:tc>
        <w:tc>
          <w:tcPr>
            <w:tcW w:w="1159" w:type="pct"/>
            <w:tcBorders>
              <w:top w:val="nil"/>
              <w:left w:val="nil"/>
              <w:bottom w:val="single" w:sz="4" w:space="0" w:color="auto"/>
              <w:right w:val="single" w:sz="4" w:space="0" w:color="auto"/>
            </w:tcBorders>
            <w:shd w:val="clear" w:color="auto" w:fill="auto"/>
            <w:noWrap/>
            <w:vAlign w:val="bottom"/>
            <w:hideMark/>
          </w:tcPr>
          <w:p w:rsidR="00E33257" w:rsidRPr="00F67249" w:rsidRDefault="00E33257" w:rsidP="00371B38">
            <w:pPr>
              <w:spacing w:line="360" w:lineRule="auto"/>
              <w:jc w:val="right"/>
              <w:rPr>
                <w:rFonts w:ascii="Arial" w:hAnsi="Arial" w:cs="Arial"/>
                <w:color w:val="000000"/>
                <w:lang w:val="en-ZA" w:eastAsia="en-ZA"/>
              </w:rPr>
            </w:pPr>
            <w:r w:rsidRPr="00F67249">
              <w:rPr>
                <w:rFonts w:ascii="Arial" w:hAnsi="Arial" w:cs="Arial"/>
                <w:color w:val="000000"/>
                <w:lang w:val="en-ZA" w:eastAsia="en-ZA"/>
              </w:rPr>
              <w:t>59.1%</w:t>
            </w:r>
          </w:p>
        </w:tc>
      </w:tr>
      <w:tr w:rsidR="00E33257" w:rsidRPr="00F67249" w:rsidTr="00371B38">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3257" w:rsidRPr="00F67249" w:rsidRDefault="00E33257" w:rsidP="00371B38">
            <w:pPr>
              <w:spacing w:line="360" w:lineRule="auto"/>
              <w:rPr>
                <w:rFonts w:ascii="Arial" w:hAnsi="Arial" w:cs="Arial"/>
                <w:color w:val="000000"/>
                <w:lang w:val="en-ZA" w:eastAsia="en-ZA"/>
              </w:rPr>
            </w:pPr>
            <w:r w:rsidRPr="00F67249">
              <w:rPr>
                <w:rFonts w:ascii="Arial" w:hAnsi="Arial" w:cs="Arial"/>
                <w:color w:val="000000"/>
                <w:lang w:val="en-ZA" w:eastAsia="en-ZA"/>
              </w:rPr>
              <w:t>*Q1 = April - June 2019</w:t>
            </w:r>
          </w:p>
        </w:tc>
      </w:tr>
    </w:tbl>
    <w:p w:rsidR="00E33257" w:rsidRPr="00F67249" w:rsidRDefault="00E33257" w:rsidP="00E33257">
      <w:pPr>
        <w:spacing w:line="360" w:lineRule="auto"/>
        <w:ind w:left="360"/>
        <w:rPr>
          <w:rFonts w:ascii="Arial" w:eastAsia="Calibri" w:hAnsi="Arial" w:cs="Arial"/>
          <w:lang w:val="en-ZA"/>
        </w:rPr>
      </w:pPr>
      <w:r w:rsidRPr="00F67249">
        <w:rPr>
          <w:rFonts w:ascii="Arial" w:eastAsia="Calibri" w:hAnsi="Arial" w:cs="Arial"/>
          <w:lang w:val="en-ZA"/>
        </w:rPr>
        <w:t>(</w:t>
      </w:r>
      <w:r w:rsidRPr="00F67249">
        <w:rPr>
          <w:rFonts w:ascii="Arial" w:eastAsia="Calibri" w:hAnsi="Arial" w:cs="Arial"/>
          <w:b/>
          <w:lang w:val="en-ZA"/>
        </w:rPr>
        <w:t>Source</w:t>
      </w:r>
      <w:r w:rsidRPr="00F67249">
        <w:rPr>
          <w:rFonts w:ascii="Arial" w:eastAsia="Calibri" w:hAnsi="Arial" w:cs="Arial"/>
          <w:lang w:val="en-ZA"/>
        </w:rPr>
        <w:t xml:space="preserve">: National Operations Centre (NOC) at the Department of Justice and </w:t>
      </w:r>
    </w:p>
    <w:p w:rsidR="00E33257" w:rsidRPr="00F67249" w:rsidRDefault="00E33257" w:rsidP="00E33257">
      <w:pPr>
        <w:spacing w:line="360" w:lineRule="auto"/>
        <w:ind w:left="720"/>
        <w:rPr>
          <w:rFonts w:ascii="Arial" w:eastAsia="Calibri" w:hAnsi="Arial" w:cs="Arial"/>
          <w:lang w:val="en-ZA"/>
        </w:rPr>
      </w:pPr>
      <w:r w:rsidRPr="00F67249">
        <w:rPr>
          <w:rFonts w:ascii="Arial" w:eastAsia="Calibri" w:hAnsi="Arial" w:cs="Arial"/>
          <w:lang w:val="en-ZA"/>
        </w:rPr>
        <w:t xml:space="preserve">          Constitutional Development) </w:t>
      </w:r>
    </w:p>
    <w:p w:rsidR="00E33257" w:rsidRPr="00F67249" w:rsidRDefault="00E33257" w:rsidP="00E33257">
      <w:pPr>
        <w:spacing w:line="360" w:lineRule="auto"/>
        <w:ind w:left="360"/>
        <w:rPr>
          <w:rFonts w:ascii="Arial" w:eastAsia="Calibri" w:hAnsi="Arial" w:cs="Arial"/>
          <w:lang w:val="en-ZA"/>
        </w:rPr>
      </w:pPr>
    </w:p>
    <w:p w:rsidR="00E33257" w:rsidRPr="00F67249" w:rsidRDefault="00E33257" w:rsidP="00E33257">
      <w:pPr>
        <w:spacing w:line="360" w:lineRule="auto"/>
        <w:ind w:left="360"/>
        <w:rPr>
          <w:rFonts w:ascii="Arial" w:eastAsia="Calibri" w:hAnsi="Arial" w:cs="Arial"/>
          <w:lang w:val="en-ZA"/>
        </w:rPr>
      </w:pPr>
      <w:r w:rsidRPr="00F67249">
        <w:rPr>
          <w:rFonts w:ascii="Arial" w:eastAsia="Calibri" w:hAnsi="Arial" w:cs="Arial"/>
          <w:lang w:val="en-ZA"/>
        </w:rPr>
        <w:t xml:space="preserve">It should be noted that the figures above are projected as financial years rather than normal calendar periods. </w:t>
      </w:r>
    </w:p>
    <w:p w:rsidR="00E33257" w:rsidRPr="00F67249" w:rsidRDefault="00E33257" w:rsidP="00E33257">
      <w:pPr>
        <w:spacing w:line="360" w:lineRule="auto"/>
        <w:ind w:left="360"/>
        <w:rPr>
          <w:rFonts w:ascii="Arial" w:eastAsia="Calibri" w:hAnsi="Arial" w:cs="Arial"/>
          <w:lang w:val="en-ZA"/>
        </w:rPr>
      </w:pPr>
      <w:r w:rsidRPr="00F67249">
        <w:rPr>
          <w:rFonts w:ascii="Arial" w:eastAsia="Calibri" w:hAnsi="Arial" w:cs="Arial"/>
          <w:lang w:val="en-ZA"/>
        </w:rPr>
        <w:t>Our electronic court systems at this point do not provide for a distinction between withdrawals by the complainant and the prosecutor. A request has been made for the system to be amended so that a new field can be populated to provide such information in the future.</w:t>
      </w:r>
    </w:p>
    <w:p w:rsidR="00E33257" w:rsidRPr="00F67249" w:rsidRDefault="00E33257" w:rsidP="00E33257">
      <w:pPr>
        <w:spacing w:line="360" w:lineRule="auto"/>
        <w:ind w:left="360"/>
        <w:rPr>
          <w:rFonts w:ascii="Arial" w:eastAsia="Calibri" w:hAnsi="Arial" w:cs="Arial"/>
          <w:lang w:val="en-ZA"/>
        </w:rPr>
      </w:pPr>
      <w:r w:rsidRPr="00F67249">
        <w:rPr>
          <w:rFonts w:ascii="Arial" w:eastAsia="Calibri" w:hAnsi="Arial" w:cs="Arial"/>
          <w:lang w:val="en-ZA"/>
        </w:rPr>
        <w:t>*Withdrawal rate = withdrawn cases against total number of disposed of cases.</w:t>
      </w:r>
    </w:p>
    <w:p w:rsidR="00E33257" w:rsidRPr="00E33257" w:rsidRDefault="00E33257" w:rsidP="002F0095">
      <w:pPr>
        <w:spacing w:before="120" w:after="120" w:line="360" w:lineRule="auto"/>
        <w:jc w:val="both"/>
        <w:rPr>
          <w:rFonts w:ascii="Arial" w:hAnsi="Arial" w:cs="Arial"/>
          <w:b/>
          <w:lang w:val="en-ZA"/>
        </w:rPr>
      </w:pPr>
    </w:p>
    <w:p w:rsidR="00716B78" w:rsidRDefault="00716B78" w:rsidP="00716B78">
      <w:pPr>
        <w:pStyle w:val="ListParagraph"/>
        <w:numPr>
          <w:ilvl w:val="0"/>
          <w:numId w:val="36"/>
        </w:numPr>
        <w:spacing w:line="360" w:lineRule="auto"/>
        <w:contextualSpacing w:val="0"/>
        <w:rPr>
          <w:rFonts w:ascii="Arial" w:eastAsia="Calibri" w:hAnsi="Arial" w:cs="Arial"/>
          <w:lang w:val="en-ZA"/>
        </w:rPr>
      </w:pPr>
      <w:r w:rsidRPr="00716B78">
        <w:rPr>
          <w:rFonts w:ascii="Arial" w:eastAsia="Calibri" w:hAnsi="Arial" w:cs="Arial"/>
          <w:b/>
          <w:u w:val="single"/>
          <w:lang w:val="en-ZA"/>
        </w:rPr>
        <w:t>Sexual offences</w:t>
      </w:r>
      <w:r>
        <w:rPr>
          <w:rFonts w:ascii="Arial" w:eastAsia="Calibri" w:hAnsi="Arial" w:cs="Arial"/>
          <w:lang w:val="en-ZA"/>
        </w:rPr>
        <w:t>:</w:t>
      </w:r>
      <w:r w:rsidRPr="00716B78">
        <w:rPr>
          <w:rFonts w:ascii="Arial" w:eastAsia="Calibri" w:hAnsi="Arial" w:cs="Arial"/>
          <w:lang w:val="en-ZA"/>
        </w:rPr>
        <w:t xml:space="preserve">  </w:t>
      </w:r>
    </w:p>
    <w:p w:rsidR="00AB7817" w:rsidRDefault="004E3695" w:rsidP="007F5B10">
      <w:pPr>
        <w:pStyle w:val="ListParagraph"/>
        <w:numPr>
          <w:ilvl w:val="0"/>
          <w:numId w:val="39"/>
        </w:numPr>
        <w:spacing w:line="360" w:lineRule="auto"/>
        <w:contextualSpacing w:val="0"/>
        <w:jc w:val="both"/>
        <w:rPr>
          <w:rFonts w:ascii="Arial" w:eastAsia="Calibri" w:hAnsi="Arial" w:cs="Arial"/>
          <w:lang w:val="en-ZA"/>
        </w:rPr>
      </w:pPr>
      <w:r>
        <w:rPr>
          <w:rFonts w:ascii="Arial" w:eastAsia="Calibri" w:hAnsi="Arial" w:cs="Arial"/>
          <w:lang w:val="en-ZA"/>
        </w:rPr>
        <w:t>There are i</w:t>
      </w:r>
      <w:r w:rsidR="007F5B10">
        <w:rPr>
          <w:rFonts w:ascii="Arial" w:eastAsia="Calibri" w:hAnsi="Arial" w:cs="Arial"/>
          <w:lang w:val="en-ZA"/>
        </w:rPr>
        <w:t>nstances where the complainant request</w:t>
      </w:r>
      <w:r w:rsidR="00AA4153">
        <w:rPr>
          <w:rFonts w:ascii="Arial" w:eastAsia="Calibri" w:hAnsi="Arial" w:cs="Arial"/>
          <w:lang w:val="en-ZA"/>
        </w:rPr>
        <w:t>s</w:t>
      </w:r>
      <w:r w:rsidR="007F5B10">
        <w:rPr>
          <w:rFonts w:ascii="Arial" w:eastAsia="Calibri" w:hAnsi="Arial" w:cs="Arial"/>
          <w:lang w:val="en-ZA"/>
        </w:rPr>
        <w:t xml:space="preserve"> the withdrawal of his/her case</w:t>
      </w:r>
      <w:r w:rsidR="00726798">
        <w:rPr>
          <w:rFonts w:ascii="Arial" w:eastAsia="Calibri" w:hAnsi="Arial" w:cs="Arial"/>
          <w:lang w:val="en-ZA"/>
        </w:rPr>
        <w:t>, and such cases can be withdrawn in court</w:t>
      </w:r>
      <w:r w:rsidR="007F5B10">
        <w:rPr>
          <w:rFonts w:ascii="Arial" w:eastAsia="Calibri" w:hAnsi="Arial" w:cs="Arial"/>
          <w:lang w:val="en-ZA"/>
        </w:rPr>
        <w:t>. However, the data reflecting th</w:t>
      </w:r>
      <w:r>
        <w:rPr>
          <w:rFonts w:ascii="Arial" w:eastAsia="Calibri" w:hAnsi="Arial" w:cs="Arial"/>
          <w:lang w:val="en-ZA"/>
        </w:rPr>
        <w:t>is</w:t>
      </w:r>
      <w:r w:rsidR="007F5B10">
        <w:rPr>
          <w:rFonts w:ascii="Arial" w:eastAsia="Calibri" w:hAnsi="Arial" w:cs="Arial"/>
          <w:lang w:val="en-ZA"/>
        </w:rPr>
        <w:t xml:space="preserve"> number of withdrawals</w:t>
      </w:r>
      <w:r w:rsidR="00B46F5D">
        <w:rPr>
          <w:rFonts w:ascii="Arial" w:eastAsia="Calibri" w:hAnsi="Arial" w:cs="Arial"/>
          <w:lang w:val="en-ZA"/>
        </w:rPr>
        <w:t>,</w:t>
      </w:r>
      <w:r w:rsidR="007F5B10">
        <w:rPr>
          <w:rFonts w:ascii="Arial" w:eastAsia="Calibri" w:hAnsi="Arial" w:cs="Arial"/>
          <w:lang w:val="en-ZA"/>
        </w:rPr>
        <w:t xml:space="preserve"> </w:t>
      </w:r>
      <w:r w:rsidR="00726798">
        <w:rPr>
          <w:rFonts w:ascii="Arial" w:eastAsia="Calibri" w:hAnsi="Arial" w:cs="Arial"/>
          <w:lang w:val="en-ZA"/>
        </w:rPr>
        <w:t>i</w:t>
      </w:r>
      <w:r w:rsidR="00CF4999">
        <w:rPr>
          <w:rFonts w:ascii="Arial" w:eastAsia="Calibri" w:hAnsi="Arial" w:cs="Arial"/>
          <w:lang w:val="en-ZA"/>
        </w:rPr>
        <w:t>.</w:t>
      </w:r>
      <w:r w:rsidR="00726798">
        <w:rPr>
          <w:rFonts w:ascii="Arial" w:eastAsia="Calibri" w:hAnsi="Arial" w:cs="Arial"/>
          <w:lang w:val="en-ZA"/>
        </w:rPr>
        <w:t>e</w:t>
      </w:r>
      <w:r w:rsidR="00CF4999">
        <w:rPr>
          <w:rFonts w:ascii="Arial" w:eastAsia="Calibri" w:hAnsi="Arial" w:cs="Arial"/>
          <w:lang w:val="en-ZA"/>
        </w:rPr>
        <w:t>.</w:t>
      </w:r>
      <w:r w:rsidR="00726798">
        <w:rPr>
          <w:rFonts w:ascii="Arial" w:eastAsia="Calibri" w:hAnsi="Arial" w:cs="Arial"/>
          <w:lang w:val="en-ZA"/>
        </w:rPr>
        <w:t xml:space="preserve">, </w:t>
      </w:r>
      <w:r w:rsidR="007F5B10">
        <w:rPr>
          <w:rFonts w:ascii="Arial" w:eastAsia="Calibri" w:hAnsi="Arial" w:cs="Arial"/>
          <w:lang w:val="en-ZA"/>
        </w:rPr>
        <w:t>only by complainants</w:t>
      </w:r>
      <w:r w:rsidR="00B46F5D">
        <w:rPr>
          <w:rFonts w:ascii="Arial" w:eastAsia="Calibri" w:hAnsi="Arial" w:cs="Arial"/>
          <w:lang w:val="en-ZA"/>
        </w:rPr>
        <w:t>,</w:t>
      </w:r>
      <w:r w:rsidR="00726798">
        <w:rPr>
          <w:rFonts w:ascii="Arial" w:eastAsia="Calibri" w:hAnsi="Arial" w:cs="Arial"/>
          <w:lang w:val="en-ZA"/>
        </w:rPr>
        <w:t xml:space="preserve"> is</w:t>
      </w:r>
      <w:r w:rsidR="007F5B10">
        <w:rPr>
          <w:rFonts w:ascii="Arial" w:eastAsia="Calibri" w:hAnsi="Arial" w:cs="Arial"/>
          <w:lang w:val="en-ZA"/>
        </w:rPr>
        <w:t xml:space="preserve"> not separately kept </w:t>
      </w:r>
      <w:r w:rsidR="0035779C">
        <w:rPr>
          <w:rFonts w:ascii="Arial" w:eastAsia="Calibri" w:hAnsi="Arial" w:cs="Arial"/>
          <w:lang w:val="en-ZA"/>
        </w:rPr>
        <w:t>but</w:t>
      </w:r>
      <w:r w:rsidR="007F5B10">
        <w:rPr>
          <w:rFonts w:ascii="Arial" w:eastAsia="Calibri" w:hAnsi="Arial" w:cs="Arial"/>
          <w:lang w:val="en-ZA"/>
        </w:rPr>
        <w:t xml:space="preserve"> </w:t>
      </w:r>
      <w:r w:rsidR="00C052D2">
        <w:rPr>
          <w:rFonts w:ascii="Arial" w:eastAsia="Calibri" w:hAnsi="Arial" w:cs="Arial"/>
          <w:lang w:val="en-ZA"/>
        </w:rPr>
        <w:t xml:space="preserve">forms part of the total number of withdrawals </w:t>
      </w:r>
      <w:r w:rsidR="007F5B10">
        <w:rPr>
          <w:rFonts w:ascii="Arial" w:eastAsia="Calibri" w:hAnsi="Arial" w:cs="Arial"/>
          <w:lang w:val="en-ZA"/>
        </w:rPr>
        <w:t xml:space="preserve">reflected in paragraph (ii) below. </w:t>
      </w:r>
    </w:p>
    <w:p w:rsidR="00983C6B" w:rsidRPr="00AB7817" w:rsidRDefault="00AB7817" w:rsidP="00AB7817">
      <w:pPr>
        <w:pStyle w:val="ListParagraph"/>
        <w:numPr>
          <w:ilvl w:val="0"/>
          <w:numId w:val="39"/>
        </w:numPr>
        <w:spacing w:line="360" w:lineRule="auto"/>
        <w:contextualSpacing w:val="0"/>
        <w:jc w:val="both"/>
        <w:rPr>
          <w:rFonts w:ascii="Arial" w:hAnsi="Arial" w:cs="Arial"/>
          <w:b/>
        </w:rPr>
      </w:pPr>
      <w:r w:rsidRPr="00AB7817">
        <w:rPr>
          <w:rFonts w:ascii="Arial" w:eastAsia="Calibri" w:hAnsi="Arial" w:cs="Arial"/>
          <w:lang w:val="en-ZA"/>
        </w:rPr>
        <w:t xml:space="preserve">The NPA </w:t>
      </w:r>
      <w:r w:rsidR="00B03773">
        <w:rPr>
          <w:rFonts w:ascii="Arial" w:eastAsia="Calibri" w:hAnsi="Arial" w:cs="Arial"/>
          <w:lang w:val="en-ZA"/>
        </w:rPr>
        <w:t>reflects</w:t>
      </w:r>
      <w:r w:rsidRPr="00AB7817">
        <w:rPr>
          <w:rFonts w:ascii="Arial" w:eastAsia="Calibri" w:hAnsi="Arial" w:cs="Arial"/>
          <w:lang w:val="en-ZA"/>
        </w:rPr>
        <w:t xml:space="preserve"> its performance data according to financial years. Accordingly, t</w:t>
      </w:r>
      <w:r w:rsidR="00716B78" w:rsidRPr="00AB7817">
        <w:rPr>
          <w:rFonts w:ascii="Arial" w:eastAsia="Calibri" w:hAnsi="Arial" w:cs="Arial"/>
          <w:lang w:val="en-ZA"/>
        </w:rPr>
        <w:t xml:space="preserve">he number of </w:t>
      </w:r>
      <w:r w:rsidRPr="00AB7817">
        <w:rPr>
          <w:rFonts w:ascii="Arial" w:eastAsia="Calibri" w:hAnsi="Arial" w:cs="Arial"/>
          <w:lang w:val="en-ZA"/>
        </w:rPr>
        <w:t xml:space="preserve">cases </w:t>
      </w:r>
      <w:r w:rsidR="00726798">
        <w:rPr>
          <w:rFonts w:ascii="Arial" w:eastAsia="Calibri" w:hAnsi="Arial" w:cs="Arial"/>
          <w:lang w:val="en-ZA"/>
        </w:rPr>
        <w:t>withdrawn in the dedicated</w:t>
      </w:r>
      <w:r w:rsidRPr="00AB7817">
        <w:rPr>
          <w:rFonts w:ascii="Arial" w:eastAsia="Calibri" w:hAnsi="Arial" w:cs="Arial"/>
          <w:lang w:val="en-ZA"/>
        </w:rPr>
        <w:t xml:space="preserve"> sexual offences</w:t>
      </w:r>
      <w:r w:rsidR="00CF4999">
        <w:rPr>
          <w:rFonts w:ascii="Arial" w:eastAsia="Calibri" w:hAnsi="Arial" w:cs="Arial"/>
          <w:lang w:val="en-ZA"/>
        </w:rPr>
        <w:t xml:space="preserve"> courts for the financial year April 2018 – March</w:t>
      </w:r>
      <w:r w:rsidRPr="00AB7817">
        <w:rPr>
          <w:rFonts w:ascii="Arial" w:eastAsia="Calibri" w:hAnsi="Arial" w:cs="Arial"/>
          <w:lang w:val="en-ZA"/>
        </w:rPr>
        <w:t xml:space="preserve"> 2019 </w:t>
      </w:r>
      <w:r>
        <w:rPr>
          <w:rFonts w:ascii="Arial" w:eastAsia="Calibri" w:hAnsi="Arial" w:cs="Arial"/>
          <w:lang w:val="en-ZA"/>
        </w:rPr>
        <w:t>comprised a total of</w:t>
      </w:r>
      <w:r w:rsidRPr="00AB7817">
        <w:rPr>
          <w:rFonts w:ascii="Arial" w:eastAsia="Calibri" w:hAnsi="Arial" w:cs="Arial"/>
          <w:lang w:val="en-ZA"/>
        </w:rPr>
        <w:t xml:space="preserve"> 9</w:t>
      </w:r>
      <w:r w:rsidR="00B03773">
        <w:rPr>
          <w:rFonts w:ascii="Arial" w:eastAsia="Calibri" w:hAnsi="Arial" w:cs="Arial"/>
          <w:lang w:val="en-ZA"/>
        </w:rPr>
        <w:t>8</w:t>
      </w:r>
      <w:r w:rsidRPr="00AB7817">
        <w:rPr>
          <w:rFonts w:ascii="Arial" w:eastAsia="Calibri" w:hAnsi="Arial" w:cs="Arial"/>
          <w:lang w:val="en-ZA"/>
        </w:rPr>
        <w:t xml:space="preserve"> case</w:t>
      </w:r>
      <w:r>
        <w:rPr>
          <w:rFonts w:ascii="Arial" w:eastAsia="Calibri" w:hAnsi="Arial" w:cs="Arial"/>
          <w:lang w:val="en-ZA"/>
        </w:rPr>
        <w:t>s</w:t>
      </w:r>
      <w:r w:rsidR="00025D38">
        <w:rPr>
          <w:rFonts w:ascii="Arial" w:eastAsia="Calibri" w:hAnsi="Arial" w:cs="Arial"/>
          <w:lang w:val="en-ZA"/>
        </w:rPr>
        <w:t>. During</w:t>
      </w:r>
      <w:r w:rsidRPr="00AB7817">
        <w:rPr>
          <w:rFonts w:ascii="Arial" w:eastAsia="Calibri" w:hAnsi="Arial" w:cs="Arial"/>
          <w:lang w:val="en-ZA"/>
        </w:rPr>
        <w:t xml:space="preserve"> the first four month</w:t>
      </w:r>
      <w:r w:rsidR="00025D38">
        <w:rPr>
          <w:rFonts w:ascii="Arial" w:eastAsia="Calibri" w:hAnsi="Arial" w:cs="Arial"/>
          <w:lang w:val="en-ZA"/>
        </w:rPr>
        <w:t>s</w:t>
      </w:r>
      <w:r w:rsidRPr="00AB7817">
        <w:rPr>
          <w:rFonts w:ascii="Arial" w:eastAsia="Calibri" w:hAnsi="Arial" w:cs="Arial"/>
          <w:lang w:val="en-ZA"/>
        </w:rPr>
        <w:t xml:space="preserve"> </w:t>
      </w:r>
      <w:r w:rsidR="00025D38">
        <w:rPr>
          <w:rFonts w:ascii="Arial" w:eastAsia="Calibri" w:hAnsi="Arial" w:cs="Arial"/>
          <w:lang w:val="en-ZA"/>
        </w:rPr>
        <w:t>of</w:t>
      </w:r>
      <w:r w:rsidRPr="00AB7817">
        <w:rPr>
          <w:rFonts w:ascii="Arial" w:eastAsia="Calibri" w:hAnsi="Arial" w:cs="Arial"/>
          <w:lang w:val="en-ZA"/>
        </w:rPr>
        <w:t xml:space="preserve"> the financial year 2019/20</w:t>
      </w:r>
      <w:r w:rsidR="00AA39C0">
        <w:rPr>
          <w:rFonts w:ascii="Arial" w:eastAsia="Calibri" w:hAnsi="Arial" w:cs="Arial"/>
          <w:lang w:val="en-ZA"/>
        </w:rPr>
        <w:t xml:space="preserve"> (Apr</w:t>
      </w:r>
      <w:r w:rsidR="00B03773">
        <w:rPr>
          <w:rFonts w:ascii="Arial" w:eastAsia="Calibri" w:hAnsi="Arial" w:cs="Arial"/>
          <w:lang w:val="en-ZA"/>
        </w:rPr>
        <w:t>il</w:t>
      </w:r>
      <w:r w:rsidR="00AA39C0">
        <w:rPr>
          <w:rFonts w:ascii="Arial" w:eastAsia="Calibri" w:hAnsi="Arial" w:cs="Arial"/>
          <w:lang w:val="en-ZA"/>
        </w:rPr>
        <w:t xml:space="preserve"> – July)</w:t>
      </w:r>
      <w:r w:rsidRPr="00AB7817">
        <w:rPr>
          <w:rFonts w:ascii="Arial" w:eastAsia="Calibri" w:hAnsi="Arial" w:cs="Arial"/>
          <w:lang w:val="en-ZA"/>
        </w:rPr>
        <w:t xml:space="preserve">, 44 cases were withdrawn. </w:t>
      </w:r>
      <w:r>
        <w:rPr>
          <w:rFonts w:ascii="Arial" w:eastAsia="Calibri" w:hAnsi="Arial" w:cs="Arial"/>
          <w:lang w:val="en-ZA"/>
        </w:rPr>
        <w:t>Data</w:t>
      </w:r>
      <w:r w:rsidR="00AA39C0" w:rsidRPr="00AA39C0">
        <w:rPr>
          <w:rFonts w:ascii="Arial" w:eastAsia="Calibri" w:hAnsi="Arial" w:cs="Arial"/>
          <w:lang w:val="en-ZA"/>
        </w:rPr>
        <w:t xml:space="preserve"> </w:t>
      </w:r>
      <w:r w:rsidR="00AA39C0">
        <w:rPr>
          <w:rFonts w:ascii="Arial" w:eastAsia="Calibri" w:hAnsi="Arial" w:cs="Arial"/>
          <w:lang w:val="en-ZA"/>
        </w:rPr>
        <w:t xml:space="preserve">is not available </w:t>
      </w:r>
      <w:r w:rsidR="00726798">
        <w:rPr>
          <w:rFonts w:ascii="Arial" w:eastAsia="Calibri" w:hAnsi="Arial" w:cs="Arial"/>
          <w:lang w:val="en-ZA"/>
        </w:rPr>
        <w:t>for dedicated sexual</w:t>
      </w:r>
      <w:r>
        <w:rPr>
          <w:rFonts w:ascii="Arial" w:eastAsia="Calibri" w:hAnsi="Arial" w:cs="Arial"/>
          <w:lang w:val="en-ZA"/>
        </w:rPr>
        <w:t xml:space="preserve"> offences courts prior to FY2018/19.</w:t>
      </w:r>
      <w:r w:rsidR="00362122">
        <w:rPr>
          <w:rFonts w:ascii="Arial" w:eastAsia="Calibri" w:hAnsi="Arial" w:cs="Arial"/>
          <w:lang w:val="en-ZA"/>
        </w:rPr>
        <w:t xml:space="preserve"> It must be noted that sexual offence cases ar</w:t>
      </w:r>
      <w:r w:rsidR="009837EC">
        <w:rPr>
          <w:rFonts w:ascii="Arial" w:eastAsia="Calibri" w:hAnsi="Arial" w:cs="Arial"/>
          <w:lang w:val="en-ZA"/>
        </w:rPr>
        <w:t>e also withdrawn in other</w:t>
      </w:r>
      <w:r w:rsidR="00362122">
        <w:rPr>
          <w:rFonts w:ascii="Arial" w:eastAsia="Calibri" w:hAnsi="Arial" w:cs="Arial"/>
          <w:lang w:val="en-ZA"/>
        </w:rPr>
        <w:t xml:space="preserve"> courts but we do not have the specific </w:t>
      </w:r>
      <w:r w:rsidR="007F5B10">
        <w:rPr>
          <w:rFonts w:ascii="Arial" w:eastAsia="Calibri" w:hAnsi="Arial" w:cs="Arial"/>
          <w:lang w:val="en-ZA"/>
        </w:rPr>
        <w:t xml:space="preserve">data for </w:t>
      </w:r>
      <w:r w:rsidR="00726798">
        <w:rPr>
          <w:rFonts w:ascii="Arial" w:eastAsia="Calibri" w:hAnsi="Arial" w:cs="Arial"/>
          <w:lang w:val="en-ZA"/>
        </w:rPr>
        <w:t>withdrawn</w:t>
      </w:r>
      <w:r w:rsidR="00362122">
        <w:rPr>
          <w:rFonts w:ascii="Arial" w:eastAsia="Calibri" w:hAnsi="Arial" w:cs="Arial"/>
          <w:lang w:val="en-ZA"/>
        </w:rPr>
        <w:t xml:space="preserve"> sexual offence</w:t>
      </w:r>
      <w:r w:rsidR="00726798">
        <w:rPr>
          <w:rFonts w:ascii="Arial" w:eastAsia="Calibri" w:hAnsi="Arial" w:cs="Arial"/>
          <w:lang w:val="en-ZA"/>
        </w:rPr>
        <w:t xml:space="preserve">s only, because while data is kept on the number </w:t>
      </w:r>
      <w:r w:rsidR="009837EC">
        <w:rPr>
          <w:rFonts w:ascii="Arial" w:eastAsia="Calibri" w:hAnsi="Arial" w:cs="Arial"/>
          <w:lang w:val="en-ZA"/>
        </w:rPr>
        <w:t>of cases withdrawn</w:t>
      </w:r>
      <w:r w:rsidR="00726798">
        <w:rPr>
          <w:rFonts w:ascii="Arial" w:eastAsia="Calibri" w:hAnsi="Arial" w:cs="Arial"/>
          <w:lang w:val="en-ZA"/>
        </w:rPr>
        <w:t xml:space="preserve">, this </w:t>
      </w:r>
      <w:r w:rsidR="009837EC">
        <w:rPr>
          <w:rFonts w:ascii="Arial" w:eastAsia="Calibri" w:hAnsi="Arial" w:cs="Arial"/>
          <w:lang w:val="en-ZA"/>
        </w:rPr>
        <w:t xml:space="preserve">information </w:t>
      </w:r>
      <w:r w:rsidR="00726798">
        <w:rPr>
          <w:rFonts w:ascii="Arial" w:eastAsia="Calibri" w:hAnsi="Arial" w:cs="Arial"/>
          <w:lang w:val="en-ZA"/>
        </w:rPr>
        <w:t xml:space="preserve">is not recorded per crime type, but for the total </w:t>
      </w:r>
      <w:r w:rsidR="009837EC">
        <w:rPr>
          <w:rFonts w:ascii="Arial" w:eastAsia="Calibri" w:hAnsi="Arial" w:cs="Arial"/>
          <w:lang w:val="en-ZA"/>
        </w:rPr>
        <w:t xml:space="preserve">number of the </w:t>
      </w:r>
      <w:r w:rsidR="00362122">
        <w:rPr>
          <w:rFonts w:ascii="Arial" w:eastAsia="Calibri" w:hAnsi="Arial" w:cs="Arial"/>
          <w:lang w:val="en-ZA"/>
        </w:rPr>
        <w:t xml:space="preserve">cases </w:t>
      </w:r>
      <w:r w:rsidR="009837EC">
        <w:rPr>
          <w:rFonts w:ascii="Arial" w:eastAsia="Calibri" w:hAnsi="Arial" w:cs="Arial"/>
          <w:lang w:val="en-ZA"/>
        </w:rPr>
        <w:t>withdrawn.</w:t>
      </w:r>
      <w:r w:rsidR="00362122">
        <w:rPr>
          <w:rFonts w:ascii="Arial" w:eastAsia="Calibri" w:hAnsi="Arial" w:cs="Arial"/>
          <w:lang w:val="en-ZA"/>
        </w:rPr>
        <w:t xml:space="preserve"> </w:t>
      </w:r>
    </w:p>
    <w:sectPr w:rsidR="00983C6B" w:rsidRPr="00AB7817"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14" w:rsidRDefault="00991C14" w:rsidP="00913892">
      <w:r>
        <w:separator/>
      </w:r>
    </w:p>
  </w:endnote>
  <w:endnote w:type="continuationSeparator" w:id="0">
    <w:p w:rsidR="00991C14" w:rsidRDefault="00991C1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91C14" w:rsidRPr="00991C1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14" w:rsidRDefault="00991C14" w:rsidP="00913892">
      <w:r>
        <w:separator/>
      </w:r>
    </w:p>
  </w:footnote>
  <w:footnote w:type="continuationSeparator" w:id="0">
    <w:p w:rsidR="00991C14" w:rsidRDefault="00991C1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E901F1"/>
    <w:multiLevelType w:val="hybridMultilevel"/>
    <w:tmpl w:val="C75CBD32"/>
    <w:lvl w:ilvl="0" w:tplc="C9A4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D8A4429"/>
    <w:multiLevelType w:val="hybridMultilevel"/>
    <w:tmpl w:val="54244EC2"/>
    <w:lvl w:ilvl="0" w:tplc="050026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0586679"/>
    <w:multiLevelType w:val="hybridMultilevel"/>
    <w:tmpl w:val="29D66CB4"/>
    <w:lvl w:ilvl="0" w:tplc="AF6C6F2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66367B"/>
    <w:multiLevelType w:val="hybridMultilevel"/>
    <w:tmpl w:val="803E4E5E"/>
    <w:lvl w:ilvl="0" w:tplc="2A9E34AE">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8B14344"/>
    <w:multiLevelType w:val="hybridMultilevel"/>
    <w:tmpl w:val="427AAD9C"/>
    <w:lvl w:ilvl="0" w:tplc="DBAE4096">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160662A"/>
    <w:multiLevelType w:val="hybridMultilevel"/>
    <w:tmpl w:val="29C00600"/>
    <w:lvl w:ilvl="0" w:tplc="A33E0AD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3A71E9"/>
    <w:multiLevelType w:val="hybridMultilevel"/>
    <w:tmpl w:val="6EC4D74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7">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C923494"/>
    <w:multiLevelType w:val="hybridMultilevel"/>
    <w:tmpl w:val="C082BE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5"/>
  </w:num>
  <w:num w:numId="5">
    <w:abstractNumId w:val="31"/>
  </w:num>
  <w:num w:numId="6">
    <w:abstractNumId w:val="2"/>
  </w:num>
  <w:num w:numId="7">
    <w:abstractNumId w:val="39"/>
  </w:num>
  <w:num w:numId="8">
    <w:abstractNumId w:val="10"/>
  </w:num>
  <w:num w:numId="9">
    <w:abstractNumId w:val="18"/>
  </w:num>
  <w:num w:numId="10">
    <w:abstractNumId w:val="34"/>
  </w:num>
  <w:num w:numId="11">
    <w:abstractNumId w:val="1"/>
  </w:num>
  <w:num w:numId="12">
    <w:abstractNumId w:val="23"/>
  </w:num>
  <w:num w:numId="13">
    <w:abstractNumId w:val="14"/>
  </w:num>
  <w:num w:numId="14">
    <w:abstractNumId w:val="19"/>
  </w:num>
  <w:num w:numId="15">
    <w:abstractNumId w:val="9"/>
  </w:num>
  <w:num w:numId="16">
    <w:abstractNumId w:val="17"/>
  </w:num>
  <w:num w:numId="17">
    <w:abstractNumId w:val="36"/>
  </w:num>
  <w:num w:numId="18">
    <w:abstractNumId w:val="24"/>
  </w:num>
  <w:num w:numId="19">
    <w:abstractNumId w:val="21"/>
  </w:num>
  <w:num w:numId="20">
    <w:abstractNumId w:val="35"/>
  </w:num>
  <w:num w:numId="21">
    <w:abstractNumId w:val="27"/>
  </w:num>
  <w:num w:numId="22">
    <w:abstractNumId w:val="28"/>
  </w:num>
  <w:num w:numId="23">
    <w:abstractNumId w:val="8"/>
  </w:num>
  <w:num w:numId="24">
    <w:abstractNumId w:val="29"/>
  </w:num>
  <w:num w:numId="25">
    <w:abstractNumId w:val="4"/>
  </w:num>
  <w:num w:numId="26">
    <w:abstractNumId w:val="6"/>
  </w:num>
  <w:num w:numId="27">
    <w:abstractNumId w:val="38"/>
  </w:num>
  <w:num w:numId="28">
    <w:abstractNumId w:val="11"/>
  </w:num>
  <w:num w:numId="29">
    <w:abstractNumId w:val="22"/>
  </w:num>
  <w:num w:numId="30">
    <w:abstractNumId w:val="37"/>
  </w:num>
  <w:num w:numId="31">
    <w:abstractNumId w:val="20"/>
  </w:num>
  <w:num w:numId="32">
    <w:abstractNumId w:val="5"/>
  </w:num>
  <w:num w:numId="33">
    <w:abstractNumId w:val="26"/>
  </w:num>
  <w:num w:numId="34">
    <w:abstractNumId w:val="33"/>
  </w:num>
  <w:num w:numId="35">
    <w:abstractNumId w:val="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6"/>
  </w:num>
  <w:num w:numId="39">
    <w:abstractNumId w:val="32"/>
  </w:num>
  <w:num w:numId="40">
    <w:abstractNumId w:val="15"/>
  </w:num>
  <w:num w:numId="41">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5D38"/>
    <w:rsid w:val="00026EC0"/>
    <w:rsid w:val="00030927"/>
    <w:rsid w:val="0004105D"/>
    <w:rsid w:val="0004190C"/>
    <w:rsid w:val="00046588"/>
    <w:rsid w:val="00052CE2"/>
    <w:rsid w:val="00053F8E"/>
    <w:rsid w:val="00070401"/>
    <w:rsid w:val="00072E1B"/>
    <w:rsid w:val="0007655F"/>
    <w:rsid w:val="00084622"/>
    <w:rsid w:val="00084F34"/>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E1BE7"/>
    <w:rsid w:val="001E5730"/>
    <w:rsid w:val="001F445E"/>
    <w:rsid w:val="00203F6A"/>
    <w:rsid w:val="00213182"/>
    <w:rsid w:val="0021549B"/>
    <w:rsid w:val="00245B3C"/>
    <w:rsid w:val="00262407"/>
    <w:rsid w:val="002857B6"/>
    <w:rsid w:val="00286311"/>
    <w:rsid w:val="00294A6E"/>
    <w:rsid w:val="002A0DB1"/>
    <w:rsid w:val="002A7FEC"/>
    <w:rsid w:val="002B2B31"/>
    <w:rsid w:val="002B6D18"/>
    <w:rsid w:val="002C719B"/>
    <w:rsid w:val="002D5BF7"/>
    <w:rsid w:val="002D7BBD"/>
    <w:rsid w:val="002E7253"/>
    <w:rsid w:val="002F0095"/>
    <w:rsid w:val="002F74EA"/>
    <w:rsid w:val="0031652F"/>
    <w:rsid w:val="00322BA4"/>
    <w:rsid w:val="00343B24"/>
    <w:rsid w:val="0034435E"/>
    <w:rsid w:val="00346942"/>
    <w:rsid w:val="0035779C"/>
    <w:rsid w:val="00361E4B"/>
    <w:rsid w:val="00362122"/>
    <w:rsid w:val="0037187E"/>
    <w:rsid w:val="00371B38"/>
    <w:rsid w:val="0037522D"/>
    <w:rsid w:val="003767D7"/>
    <w:rsid w:val="00381B64"/>
    <w:rsid w:val="00386CA6"/>
    <w:rsid w:val="003A07DD"/>
    <w:rsid w:val="003A64C5"/>
    <w:rsid w:val="003B5E27"/>
    <w:rsid w:val="003C1C66"/>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77BA2"/>
    <w:rsid w:val="004865D0"/>
    <w:rsid w:val="004B6B6B"/>
    <w:rsid w:val="004E3695"/>
    <w:rsid w:val="004F6FEC"/>
    <w:rsid w:val="00515B6A"/>
    <w:rsid w:val="005160F8"/>
    <w:rsid w:val="005212C3"/>
    <w:rsid w:val="00525B21"/>
    <w:rsid w:val="0054211D"/>
    <w:rsid w:val="00567640"/>
    <w:rsid w:val="00572F09"/>
    <w:rsid w:val="00580C49"/>
    <w:rsid w:val="005835BC"/>
    <w:rsid w:val="005856A7"/>
    <w:rsid w:val="00585897"/>
    <w:rsid w:val="005945D7"/>
    <w:rsid w:val="005A29A2"/>
    <w:rsid w:val="005E365A"/>
    <w:rsid w:val="00612214"/>
    <w:rsid w:val="00625CD7"/>
    <w:rsid w:val="00630932"/>
    <w:rsid w:val="00635C5D"/>
    <w:rsid w:val="00653FE5"/>
    <w:rsid w:val="00670788"/>
    <w:rsid w:val="0067545A"/>
    <w:rsid w:val="006959E4"/>
    <w:rsid w:val="006B0F80"/>
    <w:rsid w:val="006C0567"/>
    <w:rsid w:val="006D21F9"/>
    <w:rsid w:val="006D3500"/>
    <w:rsid w:val="006D7E71"/>
    <w:rsid w:val="006F2454"/>
    <w:rsid w:val="006F63D7"/>
    <w:rsid w:val="00716B78"/>
    <w:rsid w:val="00720D4C"/>
    <w:rsid w:val="00724689"/>
    <w:rsid w:val="007261FA"/>
    <w:rsid w:val="00726798"/>
    <w:rsid w:val="00740A5A"/>
    <w:rsid w:val="00745638"/>
    <w:rsid w:val="007540CF"/>
    <w:rsid w:val="00755C22"/>
    <w:rsid w:val="00757E02"/>
    <w:rsid w:val="00760BFE"/>
    <w:rsid w:val="00762240"/>
    <w:rsid w:val="00777A77"/>
    <w:rsid w:val="0078425B"/>
    <w:rsid w:val="007910E1"/>
    <w:rsid w:val="00791471"/>
    <w:rsid w:val="007961D4"/>
    <w:rsid w:val="007C0AC3"/>
    <w:rsid w:val="007C25D9"/>
    <w:rsid w:val="007E516B"/>
    <w:rsid w:val="007E7201"/>
    <w:rsid w:val="007F2B0B"/>
    <w:rsid w:val="007F48EA"/>
    <w:rsid w:val="007F5B10"/>
    <w:rsid w:val="00846897"/>
    <w:rsid w:val="00865132"/>
    <w:rsid w:val="008769EF"/>
    <w:rsid w:val="00881381"/>
    <w:rsid w:val="00892846"/>
    <w:rsid w:val="008A1398"/>
    <w:rsid w:val="008A1837"/>
    <w:rsid w:val="008B345F"/>
    <w:rsid w:val="008C0966"/>
    <w:rsid w:val="008C1A56"/>
    <w:rsid w:val="008D4373"/>
    <w:rsid w:val="008E312C"/>
    <w:rsid w:val="008E78E6"/>
    <w:rsid w:val="008F6A5A"/>
    <w:rsid w:val="009025C1"/>
    <w:rsid w:val="00905C38"/>
    <w:rsid w:val="00913892"/>
    <w:rsid w:val="0092193B"/>
    <w:rsid w:val="009229AD"/>
    <w:rsid w:val="009322D6"/>
    <w:rsid w:val="0094372F"/>
    <w:rsid w:val="009541F2"/>
    <w:rsid w:val="009551F2"/>
    <w:rsid w:val="00973033"/>
    <w:rsid w:val="009837EC"/>
    <w:rsid w:val="00983C6B"/>
    <w:rsid w:val="009868D6"/>
    <w:rsid w:val="00991C14"/>
    <w:rsid w:val="00995362"/>
    <w:rsid w:val="009A331A"/>
    <w:rsid w:val="009A6591"/>
    <w:rsid w:val="009A755B"/>
    <w:rsid w:val="009B0CAB"/>
    <w:rsid w:val="009D4F78"/>
    <w:rsid w:val="009E0268"/>
    <w:rsid w:val="009E1C96"/>
    <w:rsid w:val="009F1B70"/>
    <w:rsid w:val="009F2D5C"/>
    <w:rsid w:val="00A0329A"/>
    <w:rsid w:val="00A1541A"/>
    <w:rsid w:val="00A20C74"/>
    <w:rsid w:val="00A42301"/>
    <w:rsid w:val="00A4711C"/>
    <w:rsid w:val="00A64328"/>
    <w:rsid w:val="00A6432A"/>
    <w:rsid w:val="00A66729"/>
    <w:rsid w:val="00A7136B"/>
    <w:rsid w:val="00AA2AB0"/>
    <w:rsid w:val="00AA39AC"/>
    <w:rsid w:val="00AA39C0"/>
    <w:rsid w:val="00AA4153"/>
    <w:rsid w:val="00AA5F87"/>
    <w:rsid w:val="00AA723A"/>
    <w:rsid w:val="00AB3AF9"/>
    <w:rsid w:val="00AB7817"/>
    <w:rsid w:val="00AD7B7A"/>
    <w:rsid w:val="00AF5D91"/>
    <w:rsid w:val="00B03773"/>
    <w:rsid w:val="00B13369"/>
    <w:rsid w:val="00B170EA"/>
    <w:rsid w:val="00B26AB3"/>
    <w:rsid w:val="00B40A2F"/>
    <w:rsid w:val="00B46E62"/>
    <w:rsid w:val="00B46F5D"/>
    <w:rsid w:val="00B5021D"/>
    <w:rsid w:val="00B53930"/>
    <w:rsid w:val="00B553A6"/>
    <w:rsid w:val="00B8345D"/>
    <w:rsid w:val="00B958BA"/>
    <w:rsid w:val="00BA3361"/>
    <w:rsid w:val="00BA3A67"/>
    <w:rsid w:val="00BA61AF"/>
    <w:rsid w:val="00BB53A8"/>
    <w:rsid w:val="00BC7AFB"/>
    <w:rsid w:val="00BD6D36"/>
    <w:rsid w:val="00BE6E88"/>
    <w:rsid w:val="00BF0672"/>
    <w:rsid w:val="00BF0809"/>
    <w:rsid w:val="00BF738D"/>
    <w:rsid w:val="00C052D2"/>
    <w:rsid w:val="00C10297"/>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D4F78"/>
    <w:rsid w:val="00CD587E"/>
    <w:rsid w:val="00CE0598"/>
    <w:rsid w:val="00CF1B81"/>
    <w:rsid w:val="00CF4999"/>
    <w:rsid w:val="00D209A0"/>
    <w:rsid w:val="00D222F0"/>
    <w:rsid w:val="00D24750"/>
    <w:rsid w:val="00D3067D"/>
    <w:rsid w:val="00D341C9"/>
    <w:rsid w:val="00D34AC6"/>
    <w:rsid w:val="00D463C8"/>
    <w:rsid w:val="00D50C5D"/>
    <w:rsid w:val="00D56B43"/>
    <w:rsid w:val="00D74CDB"/>
    <w:rsid w:val="00D764A0"/>
    <w:rsid w:val="00D76DA7"/>
    <w:rsid w:val="00D80139"/>
    <w:rsid w:val="00D86E52"/>
    <w:rsid w:val="00D93903"/>
    <w:rsid w:val="00DA495F"/>
    <w:rsid w:val="00DB11B2"/>
    <w:rsid w:val="00DC255C"/>
    <w:rsid w:val="00DC4D7C"/>
    <w:rsid w:val="00DC592F"/>
    <w:rsid w:val="00DC7CDA"/>
    <w:rsid w:val="00DE1284"/>
    <w:rsid w:val="00DF2638"/>
    <w:rsid w:val="00DF6C7F"/>
    <w:rsid w:val="00E1080E"/>
    <w:rsid w:val="00E17F42"/>
    <w:rsid w:val="00E20358"/>
    <w:rsid w:val="00E2278E"/>
    <w:rsid w:val="00E33257"/>
    <w:rsid w:val="00E44AFC"/>
    <w:rsid w:val="00E55AFD"/>
    <w:rsid w:val="00E771E1"/>
    <w:rsid w:val="00EA4D5C"/>
    <w:rsid w:val="00EA53D2"/>
    <w:rsid w:val="00EA7A64"/>
    <w:rsid w:val="00EB54FA"/>
    <w:rsid w:val="00EC5379"/>
    <w:rsid w:val="00EC7CB5"/>
    <w:rsid w:val="00ED5CF6"/>
    <w:rsid w:val="00ED7A29"/>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B2C7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9704193">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2019-10-10T13:11:00Z</cp:lastPrinted>
  <dcterms:created xsi:type="dcterms:W3CDTF">2019-10-24T10:19:00Z</dcterms:created>
  <dcterms:modified xsi:type="dcterms:W3CDTF">2019-10-24T10:19:00Z</dcterms:modified>
</cp:coreProperties>
</file>