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E82A50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82A50">
        <w:rPr>
          <w:rFonts w:ascii="Arial" w:hAnsi="Arial" w:cs="Arial"/>
          <w:b/>
          <w:sz w:val="22"/>
          <w:szCs w:val="22"/>
        </w:rPr>
        <w:t>QUESTION NUMBER</w:t>
      </w:r>
      <w:r w:rsidR="001B0917" w:rsidRPr="00E82A50">
        <w:rPr>
          <w:rFonts w:ascii="Arial" w:hAnsi="Arial" w:cs="Arial"/>
          <w:b/>
          <w:sz w:val="22"/>
          <w:szCs w:val="22"/>
        </w:rPr>
        <w:t>:</w:t>
      </w:r>
      <w:r w:rsidRPr="00E82A50">
        <w:rPr>
          <w:rFonts w:ascii="Arial" w:hAnsi="Arial" w:cs="Arial"/>
          <w:b/>
          <w:sz w:val="22"/>
          <w:szCs w:val="22"/>
        </w:rPr>
        <w:t xml:space="preserve"> </w:t>
      </w:r>
      <w:r w:rsidR="00E82A50" w:rsidRPr="00E82A50">
        <w:rPr>
          <w:rFonts w:ascii="Arial" w:hAnsi="Arial" w:cs="Arial"/>
          <w:b/>
          <w:sz w:val="22"/>
          <w:szCs w:val="22"/>
        </w:rPr>
        <w:t>885</w:t>
      </w:r>
      <w:r w:rsidR="00AD00CE" w:rsidRPr="00E82A50">
        <w:rPr>
          <w:rFonts w:ascii="Arial" w:hAnsi="Arial" w:cs="Arial"/>
          <w:b/>
          <w:sz w:val="22"/>
          <w:szCs w:val="22"/>
        </w:rPr>
        <w:t xml:space="preserve"> [NW</w:t>
      </w:r>
      <w:r w:rsidR="00E82A50" w:rsidRPr="00E82A50">
        <w:rPr>
          <w:rFonts w:ascii="Arial" w:hAnsi="Arial" w:cs="Arial"/>
          <w:b/>
          <w:sz w:val="22"/>
          <w:szCs w:val="22"/>
        </w:rPr>
        <w:t>951</w:t>
      </w:r>
      <w:r w:rsidR="00AD00CE" w:rsidRPr="00E82A50">
        <w:rPr>
          <w:rFonts w:ascii="Arial" w:hAnsi="Arial" w:cs="Arial"/>
          <w:b/>
          <w:sz w:val="22"/>
          <w:szCs w:val="22"/>
        </w:rPr>
        <w:t>E]</w:t>
      </w:r>
    </w:p>
    <w:p w:rsidR="00C312EA" w:rsidRPr="00E82A50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82A50">
        <w:rPr>
          <w:rFonts w:ascii="Arial" w:hAnsi="Arial" w:cs="Arial"/>
          <w:b/>
          <w:sz w:val="22"/>
          <w:szCs w:val="22"/>
        </w:rPr>
        <w:t xml:space="preserve">DATE OF PUBLICATION: </w:t>
      </w:r>
      <w:r w:rsidR="00E82A50" w:rsidRPr="00E82A50">
        <w:rPr>
          <w:rFonts w:ascii="Arial" w:hAnsi="Arial" w:cs="Arial"/>
          <w:b/>
          <w:sz w:val="22"/>
          <w:szCs w:val="22"/>
        </w:rPr>
        <w:t>31 MARCH 2017</w:t>
      </w:r>
    </w:p>
    <w:p w:rsidR="00E82A50" w:rsidRDefault="00E82A50" w:rsidP="00E82A50">
      <w:pPr>
        <w:spacing w:after="267" w:line="249" w:lineRule="auto"/>
        <w:ind w:left="818" w:hanging="720"/>
        <w:rPr>
          <w:rFonts w:eastAsia="Calibri"/>
          <w:b/>
          <w:lang w:val="en-ZA"/>
        </w:rPr>
      </w:pPr>
    </w:p>
    <w:p w:rsidR="00E82A50" w:rsidRPr="00E82A50" w:rsidRDefault="00E82A50" w:rsidP="00E82A50">
      <w:pPr>
        <w:spacing w:after="267" w:line="276" w:lineRule="auto"/>
        <w:ind w:left="818" w:hanging="720"/>
        <w:rPr>
          <w:rFonts w:ascii="Arial" w:eastAsia="Calibri" w:hAnsi="Arial" w:cs="Arial"/>
          <w:b/>
          <w:sz w:val="22"/>
          <w:szCs w:val="22"/>
          <w:lang w:val="en-ZA"/>
        </w:rPr>
      </w:pPr>
      <w:r w:rsidRPr="00E82A50">
        <w:rPr>
          <w:rFonts w:ascii="Arial" w:eastAsia="Calibri" w:hAnsi="Arial" w:cs="Arial"/>
          <w:b/>
          <w:sz w:val="22"/>
          <w:szCs w:val="22"/>
          <w:lang w:val="en-ZA"/>
        </w:rPr>
        <w:t>885.</w:t>
      </w:r>
      <w:r w:rsidRPr="00E82A50">
        <w:rPr>
          <w:rFonts w:ascii="Arial" w:eastAsia="Calibri" w:hAnsi="Arial" w:cs="Arial"/>
          <w:b/>
          <w:sz w:val="22"/>
          <w:szCs w:val="22"/>
          <w:lang w:val="en-ZA"/>
        </w:rPr>
        <w:tab/>
        <w:t xml:space="preserve">Mr D Bergman (DA) to </w:t>
      </w:r>
      <w:r w:rsidRPr="00E82A50">
        <w:rPr>
          <w:rFonts w:ascii="Arial" w:hAnsi="Arial" w:cs="Arial"/>
          <w:b/>
          <w:color w:val="000000"/>
          <w:sz w:val="22"/>
          <w:szCs w:val="22"/>
          <w:lang w:val="en-ZA" w:eastAsia="en-ZA"/>
        </w:rPr>
        <w:t>ask</w:t>
      </w:r>
      <w:r w:rsidRPr="00E82A50">
        <w:rPr>
          <w:rFonts w:ascii="Arial" w:eastAsia="Calibri" w:hAnsi="Arial" w:cs="Arial"/>
          <w:b/>
          <w:sz w:val="22"/>
          <w:szCs w:val="22"/>
          <w:lang w:val="en-ZA"/>
        </w:rPr>
        <w:t xml:space="preserve"> the Minister of Finance:</w:t>
      </w:r>
    </w:p>
    <w:p w:rsidR="00E82A50" w:rsidRPr="00E82A50" w:rsidRDefault="00E82A50" w:rsidP="00E82A50">
      <w:pPr>
        <w:spacing w:before="100" w:beforeAutospacing="1" w:after="100" w:afterAutospacing="1" w:line="276" w:lineRule="auto"/>
        <w:ind w:left="1440" w:hanging="720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E82A50">
        <w:rPr>
          <w:rFonts w:ascii="Arial" w:eastAsia="Calibri" w:hAnsi="Arial" w:cs="Arial"/>
          <w:sz w:val="22"/>
          <w:szCs w:val="22"/>
          <w:lang w:val="en-ZA"/>
        </w:rPr>
        <w:t>(1)</w:t>
      </w:r>
      <w:r w:rsidRPr="00E82A50">
        <w:rPr>
          <w:rFonts w:ascii="Arial" w:eastAsia="Calibri" w:hAnsi="Arial" w:cs="Arial"/>
          <w:sz w:val="22"/>
          <w:szCs w:val="22"/>
          <w:lang w:val="en-ZA"/>
        </w:rPr>
        <w:tab/>
        <w:t xml:space="preserve">With reference to the amalgamation of the (a) </w:t>
      </w:r>
      <w:proofErr w:type="spellStart"/>
      <w:r w:rsidRPr="00E82A50">
        <w:rPr>
          <w:rFonts w:ascii="Arial" w:eastAsia="Calibri" w:hAnsi="Arial" w:cs="Arial"/>
          <w:sz w:val="22"/>
          <w:szCs w:val="22"/>
          <w:lang w:val="en-ZA"/>
        </w:rPr>
        <w:t>Modimolle</w:t>
      </w:r>
      <w:proofErr w:type="spellEnd"/>
      <w:r w:rsidRPr="00E82A50">
        <w:rPr>
          <w:rFonts w:ascii="Arial" w:eastAsia="Calibri" w:hAnsi="Arial" w:cs="Arial"/>
          <w:sz w:val="22"/>
          <w:szCs w:val="22"/>
          <w:lang w:val="en-ZA"/>
        </w:rPr>
        <w:t xml:space="preserve"> and (b) </w:t>
      </w:r>
      <w:proofErr w:type="spellStart"/>
      <w:r w:rsidRPr="00E82A50">
        <w:rPr>
          <w:rFonts w:ascii="Arial" w:eastAsia="Calibri" w:hAnsi="Arial" w:cs="Arial"/>
          <w:sz w:val="22"/>
          <w:szCs w:val="22"/>
          <w:lang w:val="en-ZA"/>
        </w:rPr>
        <w:t>Mookgophong</w:t>
      </w:r>
      <w:proofErr w:type="spellEnd"/>
      <w:r w:rsidRPr="00E82A50">
        <w:rPr>
          <w:rFonts w:ascii="Arial" w:eastAsia="Calibri" w:hAnsi="Arial" w:cs="Arial"/>
          <w:sz w:val="22"/>
          <w:szCs w:val="22"/>
          <w:lang w:val="en-ZA"/>
        </w:rPr>
        <w:t xml:space="preserve"> Local </w:t>
      </w:r>
      <w:r w:rsidRPr="00E82A50">
        <w:rPr>
          <w:rFonts w:ascii="Arial" w:eastAsia="Calibri" w:hAnsi="Arial" w:cs="Arial"/>
          <w:color w:val="000000"/>
          <w:sz w:val="22"/>
          <w:szCs w:val="22"/>
          <w:lang w:val="en-ZA"/>
        </w:rPr>
        <w:t>Municipalities</w:t>
      </w:r>
      <w:r w:rsidRPr="00E82A50">
        <w:rPr>
          <w:rFonts w:ascii="Arial" w:eastAsia="Calibri" w:hAnsi="Arial" w:cs="Arial"/>
          <w:sz w:val="22"/>
          <w:szCs w:val="22"/>
          <w:lang w:val="en-ZA"/>
        </w:rPr>
        <w:t xml:space="preserve"> in Limpopo, what is the total amount paid to each municipality in equitable share (i) for each of the past five municipal financial years and (ii) since 1 June 2016;</w:t>
      </w:r>
    </w:p>
    <w:p w:rsidR="00E82A50" w:rsidRPr="00E82A50" w:rsidRDefault="00E82A50" w:rsidP="00E82A50">
      <w:pPr>
        <w:spacing w:before="100" w:beforeAutospacing="1" w:after="100" w:afterAutospacing="1" w:line="276" w:lineRule="auto"/>
        <w:ind w:left="1440" w:hanging="720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E82A50">
        <w:rPr>
          <w:rFonts w:ascii="Arial" w:eastAsia="Calibri" w:hAnsi="Arial" w:cs="Arial"/>
          <w:sz w:val="22"/>
          <w:szCs w:val="22"/>
          <w:lang w:val="en-ZA"/>
        </w:rPr>
        <w:t>(2)</w:t>
      </w:r>
      <w:r w:rsidRPr="00E82A50">
        <w:rPr>
          <w:rFonts w:ascii="Arial" w:eastAsia="Calibri" w:hAnsi="Arial" w:cs="Arial"/>
          <w:sz w:val="22"/>
          <w:szCs w:val="22"/>
          <w:lang w:val="en-ZA"/>
        </w:rPr>
        <w:tab/>
      </w:r>
      <w:r w:rsidR="001220F7">
        <w:rPr>
          <w:rFonts w:ascii="Arial" w:eastAsia="Calibri" w:hAnsi="Arial" w:cs="Arial"/>
          <w:sz w:val="22"/>
          <w:szCs w:val="22"/>
          <w:lang w:val="en-ZA"/>
        </w:rPr>
        <w:t>W</w:t>
      </w:r>
      <w:r w:rsidRPr="00E82A50">
        <w:rPr>
          <w:rFonts w:ascii="Arial" w:eastAsia="Calibri" w:hAnsi="Arial" w:cs="Arial"/>
          <w:sz w:val="22"/>
          <w:szCs w:val="22"/>
          <w:lang w:val="en-ZA"/>
        </w:rPr>
        <w:t xml:space="preserve">hat is the total equitable share allocated to Lim368: </w:t>
      </w:r>
      <w:proofErr w:type="spellStart"/>
      <w:r w:rsidRPr="00E82A50">
        <w:rPr>
          <w:rFonts w:ascii="Arial" w:eastAsia="Calibri" w:hAnsi="Arial" w:cs="Arial"/>
          <w:sz w:val="22"/>
          <w:szCs w:val="22"/>
          <w:lang w:val="en-ZA"/>
        </w:rPr>
        <w:t>Modimolle</w:t>
      </w:r>
      <w:proofErr w:type="spellEnd"/>
      <w:r w:rsidRPr="00E82A50">
        <w:rPr>
          <w:rFonts w:ascii="Arial" w:eastAsia="Calibri" w:hAnsi="Arial" w:cs="Arial"/>
          <w:sz w:val="22"/>
          <w:szCs w:val="22"/>
          <w:lang w:val="en-ZA"/>
        </w:rPr>
        <w:t xml:space="preserve"> and </w:t>
      </w:r>
      <w:proofErr w:type="spellStart"/>
      <w:r w:rsidRPr="00E82A50">
        <w:rPr>
          <w:rFonts w:ascii="Arial" w:eastAsia="Calibri" w:hAnsi="Arial" w:cs="Arial"/>
          <w:sz w:val="22"/>
          <w:szCs w:val="22"/>
          <w:lang w:val="en-ZA"/>
        </w:rPr>
        <w:t>Mookgophong</w:t>
      </w:r>
      <w:proofErr w:type="spellEnd"/>
      <w:r w:rsidRPr="00E82A50">
        <w:rPr>
          <w:rFonts w:ascii="Arial" w:eastAsia="Calibri" w:hAnsi="Arial" w:cs="Arial"/>
          <w:sz w:val="22"/>
          <w:szCs w:val="22"/>
          <w:lang w:val="en-ZA"/>
        </w:rPr>
        <w:t xml:space="preserve"> since the amalgamation after the 2016 local government </w:t>
      </w:r>
      <w:proofErr w:type="gramStart"/>
      <w:r w:rsidRPr="00E82A50">
        <w:rPr>
          <w:rFonts w:ascii="Arial" w:eastAsia="Calibri" w:hAnsi="Arial" w:cs="Arial"/>
          <w:sz w:val="22"/>
          <w:szCs w:val="22"/>
          <w:lang w:val="en-ZA"/>
        </w:rPr>
        <w:t>elections;</w:t>
      </w:r>
      <w:proofErr w:type="gramEnd"/>
    </w:p>
    <w:p w:rsidR="00E82A50" w:rsidRDefault="00E82A50" w:rsidP="00E82A50">
      <w:pPr>
        <w:spacing w:before="100" w:beforeAutospacing="1" w:after="100" w:afterAutospacing="1" w:line="276" w:lineRule="auto"/>
        <w:ind w:left="1440" w:hanging="720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E82A50">
        <w:rPr>
          <w:rFonts w:ascii="Arial" w:eastAsia="Calibri" w:hAnsi="Arial" w:cs="Arial"/>
          <w:sz w:val="22"/>
          <w:szCs w:val="22"/>
          <w:lang w:val="en-ZA"/>
        </w:rPr>
        <w:t>(3)</w:t>
      </w:r>
      <w:r w:rsidRPr="00E82A50">
        <w:rPr>
          <w:rFonts w:ascii="Arial" w:eastAsia="Calibri" w:hAnsi="Arial" w:cs="Arial"/>
          <w:sz w:val="22"/>
          <w:szCs w:val="22"/>
          <w:lang w:val="en-ZA"/>
        </w:rPr>
        <w:tab/>
        <w:t>(</w:t>
      </w:r>
      <w:proofErr w:type="gramStart"/>
      <w:r w:rsidRPr="00E82A50">
        <w:rPr>
          <w:rFonts w:ascii="Arial" w:eastAsia="Calibri" w:hAnsi="Arial" w:cs="Arial"/>
          <w:sz w:val="22"/>
          <w:szCs w:val="22"/>
          <w:lang w:val="en-ZA"/>
        </w:rPr>
        <w:t>a</w:t>
      </w:r>
      <w:proofErr w:type="gramEnd"/>
      <w:r w:rsidRPr="00E82A50">
        <w:rPr>
          <w:rFonts w:ascii="Arial" w:eastAsia="Calibri" w:hAnsi="Arial" w:cs="Arial"/>
          <w:sz w:val="22"/>
          <w:szCs w:val="22"/>
          <w:lang w:val="en-ZA"/>
        </w:rPr>
        <w:t xml:space="preserve">) how is the equitable share calculated and (b) on what date were the amounts paid to each </w:t>
      </w:r>
      <w:r w:rsidRPr="00E82A50">
        <w:rPr>
          <w:rFonts w:ascii="Arial" w:eastAsia="Calibri" w:hAnsi="Arial" w:cs="Arial"/>
          <w:color w:val="000000"/>
          <w:sz w:val="22"/>
          <w:szCs w:val="22"/>
          <w:lang w:val="en-ZA"/>
        </w:rPr>
        <w:t>municipality</w:t>
      </w:r>
      <w:r w:rsidRPr="00E82A50">
        <w:rPr>
          <w:rFonts w:ascii="Arial" w:eastAsia="Calibri" w:hAnsi="Arial" w:cs="Arial"/>
          <w:sz w:val="22"/>
          <w:szCs w:val="22"/>
          <w:lang w:val="en-ZA"/>
        </w:rPr>
        <w:t>?</w:t>
      </w:r>
      <w:r w:rsidRPr="00E82A50">
        <w:rPr>
          <w:rFonts w:ascii="Arial" w:eastAsia="Calibri" w:hAnsi="Arial" w:cs="Arial"/>
          <w:sz w:val="22"/>
          <w:szCs w:val="22"/>
          <w:lang w:val="en-ZA"/>
        </w:rPr>
        <w:tab/>
      </w:r>
      <w:r w:rsidRPr="00E82A50">
        <w:rPr>
          <w:rFonts w:ascii="Arial" w:eastAsia="Calibri" w:hAnsi="Arial" w:cs="Arial"/>
          <w:sz w:val="22"/>
          <w:szCs w:val="22"/>
          <w:lang w:val="en-ZA"/>
        </w:rPr>
        <w:tab/>
      </w:r>
      <w:r w:rsidRPr="00E82A50">
        <w:rPr>
          <w:rFonts w:ascii="Arial" w:eastAsia="Calibri" w:hAnsi="Arial" w:cs="Arial"/>
          <w:sz w:val="22"/>
          <w:szCs w:val="22"/>
          <w:lang w:val="en-ZA"/>
        </w:rPr>
        <w:tab/>
      </w:r>
    </w:p>
    <w:p w:rsidR="00E82A50" w:rsidRPr="00E82A50" w:rsidRDefault="00E82A50" w:rsidP="00650241">
      <w:pPr>
        <w:spacing w:before="100" w:beforeAutospacing="1" w:after="100" w:afterAutospacing="1" w:line="276" w:lineRule="auto"/>
        <w:ind w:left="1440" w:hanging="720"/>
        <w:jc w:val="right"/>
        <w:outlineLvl w:val="0"/>
        <w:rPr>
          <w:rFonts w:eastAsia="Calibri"/>
          <w:sz w:val="20"/>
          <w:szCs w:val="20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E82A50">
        <w:rPr>
          <w:rFonts w:ascii="Arial" w:eastAsia="Calibri" w:hAnsi="Arial" w:cs="Arial"/>
          <w:sz w:val="22"/>
          <w:szCs w:val="22"/>
          <w:lang w:val="en-ZA"/>
        </w:rPr>
        <w:tab/>
      </w:r>
      <w:r w:rsidRPr="00E82A50">
        <w:rPr>
          <w:rFonts w:ascii="Arial" w:eastAsia="Calibri" w:hAnsi="Arial" w:cs="Arial"/>
          <w:sz w:val="22"/>
          <w:szCs w:val="22"/>
          <w:lang w:val="en-ZA"/>
        </w:rPr>
        <w:tab/>
      </w:r>
      <w:r w:rsidRPr="00E82A50">
        <w:rPr>
          <w:rFonts w:ascii="Arial" w:eastAsia="Calibri" w:hAnsi="Arial" w:cs="Arial"/>
          <w:sz w:val="22"/>
          <w:szCs w:val="22"/>
          <w:lang w:val="en-ZA"/>
        </w:rPr>
        <w:tab/>
        <w:t>NW951E</w:t>
      </w:r>
    </w:p>
    <w:p w:rsidR="001433AE" w:rsidRPr="001B0917" w:rsidRDefault="001433AE" w:rsidP="00811097">
      <w:pPr>
        <w:pStyle w:val="BodyTextIndent"/>
        <w:tabs>
          <w:tab w:val="left" w:pos="3915"/>
        </w:tabs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REPLY:</w:t>
      </w:r>
      <w:r w:rsidR="00811097">
        <w:rPr>
          <w:rFonts w:ascii="Arial" w:hAnsi="Arial" w:cs="Arial"/>
          <w:b/>
          <w:sz w:val="22"/>
          <w:szCs w:val="22"/>
        </w:rPr>
        <w:tab/>
      </w:r>
      <w:r w:rsidR="00811097">
        <w:rPr>
          <w:rFonts w:ascii="Arial" w:hAnsi="Arial" w:cs="Arial"/>
          <w:b/>
          <w:sz w:val="22"/>
          <w:szCs w:val="22"/>
        </w:rPr>
        <w:tab/>
      </w:r>
    </w:p>
    <w:p w:rsidR="00706690" w:rsidRDefault="00706690" w:rsidP="00706690">
      <w:pPr>
        <w:autoSpaceDE w:val="0"/>
        <w:autoSpaceDN w:val="0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1E6902" w:rsidRPr="00706690" w:rsidRDefault="001E6902" w:rsidP="00706690">
      <w:pPr>
        <w:pStyle w:val="ListParagraph"/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1220F7" w:rsidRPr="00811097" w:rsidRDefault="00A12735" w:rsidP="006871FF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  <w:r w:rsidRPr="00A12735"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 wp14:anchorId="548CDE52" wp14:editId="3B39CA01">
            <wp:simplePos x="0" y="0"/>
            <wp:positionH relativeFrom="column">
              <wp:posOffset>900430</wp:posOffset>
            </wp:positionH>
            <wp:positionV relativeFrom="paragraph">
              <wp:align>top</wp:align>
            </wp:positionV>
            <wp:extent cx="4451350" cy="426085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426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71FF">
        <w:rPr>
          <w:rFonts w:ascii="Arial" w:hAnsi="Arial" w:cs="Arial"/>
          <w:sz w:val="22"/>
          <w:szCs w:val="22"/>
        </w:rPr>
        <w:br w:type="textWrapping" w:clear="all"/>
      </w:r>
    </w:p>
    <w:p w:rsidR="001220F7" w:rsidRPr="00811097" w:rsidRDefault="001220F7" w:rsidP="001220F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220F7" w:rsidRPr="00811097" w:rsidRDefault="001220F7" w:rsidP="00904AE7">
      <w:pPr>
        <w:autoSpaceDE w:val="0"/>
        <w:autoSpaceDN w:val="0"/>
        <w:ind w:left="72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811097">
        <w:rPr>
          <w:rFonts w:ascii="Arial" w:hAnsi="Arial" w:cs="Arial"/>
          <w:sz w:val="22"/>
          <w:szCs w:val="22"/>
        </w:rPr>
        <w:t>(2)</w:t>
      </w:r>
      <w:r w:rsidRPr="00811097">
        <w:rPr>
          <w:rFonts w:ascii="Arial" w:hAnsi="Arial" w:cs="Arial"/>
          <w:sz w:val="22"/>
          <w:szCs w:val="22"/>
        </w:rPr>
        <w:tab/>
      </w:r>
      <w:r w:rsidRPr="00811097">
        <w:rPr>
          <w:rFonts w:ascii="Arial" w:hAnsi="Arial" w:cs="Arial"/>
          <w:bCs/>
          <w:iCs/>
          <w:sz w:val="22"/>
          <w:szCs w:val="22"/>
        </w:rPr>
        <w:t>The local government equitable share allocation for LIM368 for 2016/17 in the 2016</w:t>
      </w:r>
      <w:r w:rsidR="0051529A" w:rsidRPr="00811097">
        <w:rPr>
          <w:rFonts w:ascii="Arial" w:hAnsi="Arial" w:cs="Arial"/>
          <w:bCs/>
          <w:iCs/>
          <w:sz w:val="22"/>
          <w:szCs w:val="22"/>
        </w:rPr>
        <w:t> </w:t>
      </w:r>
      <w:r w:rsidRPr="00811097">
        <w:rPr>
          <w:rFonts w:ascii="Arial" w:hAnsi="Arial" w:cs="Arial"/>
          <w:bCs/>
          <w:iCs/>
          <w:sz w:val="22"/>
          <w:szCs w:val="22"/>
        </w:rPr>
        <w:t>Division of Revenue Act was R92.5 million.</w:t>
      </w:r>
      <w:r w:rsidR="006871FF" w:rsidRPr="00811097"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811097">
        <w:rPr>
          <w:rFonts w:ascii="Arial" w:hAnsi="Arial" w:cs="Arial"/>
          <w:bCs/>
          <w:iCs/>
          <w:sz w:val="22"/>
          <w:szCs w:val="22"/>
        </w:rPr>
        <w:t>In the 2017 Division of Revenue Bill the allocation to LIM368 is R93.4 million</w:t>
      </w:r>
      <w:r w:rsidR="006871FF" w:rsidRPr="00811097">
        <w:rPr>
          <w:rFonts w:ascii="Arial" w:hAnsi="Arial" w:cs="Arial"/>
          <w:bCs/>
          <w:iCs/>
          <w:sz w:val="22"/>
          <w:szCs w:val="22"/>
        </w:rPr>
        <w:t>;</w:t>
      </w:r>
      <w:r w:rsidRPr="00811097">
        <w:rPr>
          <w:rFonts w:ascii="Arial" w:hAnsi="Arial" w:cs="Arial"/>
          <w:bCs/>
          <w:iCs/>
          <w:sz w:val="22"/>
          <w:szCs w:val="22"/>
        </w:rPr>
        <w:t xml:space="preserve"> and the indicative allocations for 2018/19 and 2019/20 are R100.8 million and R107.3 million respectively. </w:t>
      </w:r>
    </w:p>
    <w:p w:rsidR="001220F7" w:rsidRPr="00811097" w:rsidRDefault="001220F7" w:rsidP="00904AE7">
      <w:pPr>
        <w:autoSpaceDE w:val="0"/>
        <w:autoSpaceDN w:val="0"/>
        <w:ind w:left="720" w:hanging="720"/>
        <w:jc w:val="both"/>
        <w:rPr>
          <w:rFonts w:ascii="Arial" w:hAnsi="Arial" w:cs="Arial"/>
          <w:bCs/>
          <w:iCs/>
          <w:sz w:val="22"/>
          <w:szCs w:val="22"/>
        </w:rPr>
      </w:pPr>
    </w:p>
    <w:p w:rsidR="0051529A" w:rsidRPr="00811097" w:rsidRDefault="001220F7" w:rsidP="00904AE7">
      <w:pPr>
        <w:tabs>
          <w:tab w:val="left" w:pos="432"/>
          <w:tab w:val="left" w:pos="864"/>
        </w:tabs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811097">
        <w:rPr>
          <w:rFonts w:ascii="Arial" w:hAnsi="Arial" w:cs="Arial"/>
          <w:sz w:val="22"/>
          <w:szCs w:val="22"/>
        </w:rPr>
        <w:t>(3)(a)</w:t>
      </w:r>
      <w:r w:rsidRPr="00811097">
        <w:rPr>
          <w:rFonts w:ascii="Arial" w:hAnsi="Arial" w:cs="Arial"/>
          <w:sz w:val="22"/>
          <w:szCs w:val="22"/>
        </w:rPr>
        <w:tab/>
        <w:t xml:space="preserve">The Explanatory Memorandum to the Division of Revenue </w:t>
      </w:r>
      <w:r w:rsidR="004E6A01" w:rsidRPr="00811097">
        <w:rPr>
          <w:rFonts w:ascii="Arial" w:hAnsi="Arial" w:cs="Arial"/>
          <w:sz w:val="22"/>
          <w:szCs w:val="22"/>
        </w:rPr>
        <w:t xml:space="preserve">(available at </w:t>
      </w:r>
      <w:hyperlink r:id="rId8" w:history="1">
        <w:r w:rsidR="004E6A01" w:rsidRPr="00811097">
          <w:rPr>
            <w:rStyle w:val="Hyperlink"/>
            <w:rFonts w:ascii="Arial" w:hAnsi="Arial" w:cs="Arial"/>
            <w:color w:val="auto"/>
            <w:sz w:val="22"/>
            <w:szCs w:val="22"/>
          </w:rPr>
          <w:t>www.treasury.gov.za</w:t>
        </w:r>
      </w:hyperlink>
      <w:r w:rsidR="004E6A01" w:rsidRPr="00811097">
        <w:rPr>
          <w:rFonts w:ascii="Arial" w:hAnsi="Arial" w:cs="Arial"/>
          <w:sz w:val="22"/>
          <w:szCs w:val="22"/>
        </w:rPr>
        <w:t xml:space="preserve"> and printed in the 2017 Division of Revenue Bill) </w:t>
      </w:r>
      <w:r w:rsidRPr="00811097">
        <w:rPr>
          <w:rFonts w:ascii="Arial" w:hAnsi="Arial" w:cs="Arial"/>
          <w:sz w:val="22"/>
          <w:szCs w:val="22"/>
        </w:rPr>
        <w:t>sets out in detail how the local government equitable share</w:t>
      </w:r>
      <w:r w:rsidR="004E6A01" w:rsidRPr="00811097">
        <w:rPr>
          <w:rFonts w:ascii="Arial" w:hAnsi="Arial" w:cs="Arial"/>
          <w:sz w:val="22"/>
          <w:szCs w:val="22"/>
        </w:rPr>
        <w:t xml:space="preserve"> </w:t>
      </w:r>
      <w:r w:rsidR="00904AE7" w:rsidRPr="00811097">
        <w:rPr>
          <w:rFonts w:ascii="Arial" w:hAnsi="Arial" w:cs="Arial"/>
          <w:sz w:val="22"/>
          <w:szCs w:val="22"/>
        </w:rPr>
        <w:t>allocations are</w:t>
      </w:r>
      <w:r w:rsidR="004E6A01" w:rsidRPr="00811097">
        <w:rPr>
          <w:rFonts w:ascii="Arial" w:hAnsi="Arial" w:cs="Arial"/>
          <w:sz w:val="22"/>
          <w:szCs w:val="22"/>
        </w:rPr>
        <w:t xml:space="preserve"> calculated. </w:t>
      </w:r>
    </w:p>
    <w:p w:rsidR="0051529A" w:rsidRPr="00811097" w:rsidRDefault="0051529A" w:rsidP="00904AE7">
      <w:pPr>
        <w:tabs>
          <w:tab w:val="left" w:pos="432"/>
          <w:tab w:val="left" w:pos="864"/>
        </w:tabs>
        <w:spacing w:line="276" w:lineRule="auto"/>
        <w:ind w:left="720" w:hanging="720"/>
        <w:jc w:val="both"/>
        <w:rPr>
          <w:rFonts w:ascii="Arial" w:hAnsi="Arial" w:cs="Arial"/>
          <w:bCs/>
          <w:iCs/>
          <w:sz w:val="22"/>
          <w:szCs w:val="22"/>
        </w:rPr>
      </w:pPr>
    </w:p>
    <w:p w:rsidR="004E6A01" w:rsidRPr="00811097" w:rsidRDefault="0051529A" w:rsidP="00904AE7">
      <w:pPr>
        <w:tabs>
          <w:tab w:val="left" w:pos="432"/>
          <w:tab w:val="left" w:pos="864"/>
        </w:tabs>
        <w:spacing w:line="276" w:lineRule="auto"/>
        <w:ind w:left="72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811097">
        <w:rPr>
          <w:rFonts w:ascii="Arial" w:hAnsi="Arial" w:cs="Arial"/>
          <w:bCs/>
          <w:iCs/>
          <w:sz w:val="22"/>
          <w:szCs w:val="22"/>
        </w:rPr>
        <w:tab/>
      </w:r>
      <w:r w:rsidRPr="00811097">
        <w:rPr>
          <w:rFonts w:ascii="Arial" w:hAnsi="Arial" w:cs="Arial"/>
          <w:bCs/>
          <w:iCs/>
          <w:sz w:val="22"/>
          <w:szCs w:val="22"/>
        </w:rPr>
        <w:tab/>
      </w:r>
      <w:r w:rsidR="001220F7" w:rsidRPr="00811097">
        <w:rPr>
          <w:rFonts w:ascii="Arial" w:hAnsi="Arial" w:cs="Arial"/>
          <w:bCs/>
          <w:iCs/>
          <w:sz w:val="22"/>
          <w:szCs w:val="22"/>
        </w:rPr>
        <w:t xml:space="preserve">The Local Government Equitable Share (LGES) mainly funds free basic services for poor households in </w:t>
      </w:r>
      <w:r w:rsidR="004E6A01" w:rsidRPr="00811097">
        <w:rPr>
          <w:rFonts w:ascii="Arial" w:hAnsi="Arial" w:cs="Arial"/>
          <w:bCs/>
          <w:iCs/>
          <w:sz w:val="22"/>
          <w:szCs w:val="22"/>
        </w:rPr>
        <w:t>each</w:t>
      </w:r>
      <w:r w:rsidR="001220F7" w:rsidRPr="00811097">
        <w:rPr>
          <w:rFonts w:ascii="Arial" w:hAnsi="Arial" w:cs="Arial"/>
          <w:bCs/>
          <w:iCs/>
          <w:sz w:val="22"/>
          <w:szCs w:val="22"/>
        </w:rPr>
        <w:t xml:space="preserve"> municipality.</w:t>
      </w:r>
      <w:r w:rsidR="006871FF" w:rsidRPr="00811097">
        <w:rPr>
          <w:rFonts w:ascii="Arial" w:hAnsi="Arial" w:cs="Arial"/>
          <w:bCs/>
          <w:iCs/>
          <w:sz w:val="22"/>
          <w:szCs w:val="22"/>
        </w:rPr>
        <w:t xml:space="preserve">  </w:t>
      </w:r>
      <w:r w:rsidR="001220F7" w:rsidRPr="00811097">
        <w:rPr>
          <w:rFonts w:ascii="Arial" w:hAnsi="Arial" w:cs="Arial"/>
          <w:bCs/>
          <w:iCs/>
          <w:sz w:val="22"/>
          <w:szCs w:val="22"/>
        </w:rPr>
        <w:t>For the purposes of the LGES formula, a poor household is defined as a household with an income less than the value of two state old age pensions.</w:t>
      </w:r>
      <w:r w:rsidR="006871FF" w:rsidRPr="00811097">
        <w:rPr>
          <w:rFonts w:ascii="Arial" w:hAnsi="Arial" w:cs="Arial"/>
          <w:bCs/>
          <w:iCs/>
          <w:sz w:val="22"/>
          <w:szCs w:val="22"/>
        </w:rPr>
        <w:t xml:space="preserve">  </w:t>
      </w:r>
      <w:r w:rsidR="001220F7" w:rsidRPr="00811097">
        <w:rPr>
          <w:rFonts w:ascii="Arial" w:hAnsi="Arial" w:cs="Arial"/>
          <w:bCs/>
          <w:iCs/>
          <w:sz w:val="22"/>
          <w:szCs w:val="22"/>
        </w:rPr>
        <w:t>The number of poor households used in the LGES</w:t>
      </w:r>
      <w:r w:rsidR="007874A7" w:rsidRPr="00811097">
        <w:rPr>
          <w:rFonts w:ascii="Arial" w:hAnsi="Arial" w:cs="Arial"/>
          <w:bCs/>
          <w:iCs/>
          <w:sz w:val="22"/>
          <w:szCs w:val="22"/>
        </w:rPr>
        <w:t xml:space="preserve"> formula</w:t>
      </w:r>
      <w:r w:rsidR="001220F7" w:rsidRPr="00811097">
        <w:rPr>
          <w:rFonts w:ascii="Arial" w:hAnsi="Arial" w:cs="Arial"/>
          <w:bCs/>
          <w:iCs/>
          <w:sz w:val="22"/>
          <w:szCs w:val="22"/>
        </w:rPr>
        <w:t xml:space="preserve"> is based on the 2011 Census</w:t>
      </w:r>
      <w:r w:rsidR="004E6A01" w:rsidRPr="00811097">
        <w:rPr>
          <w:rFonts w:ascii="Arial" w:hAnsi="Arial" w:cs="Arial"/>
          <w:bCs/>
          <w:iCs/>
          <w:sz w:val="22"/>
          <w:szCs w:val="22"/>
        </w:rPr>
        <w:t xml:space="preserve"> but is </w:t>
      </w:r>
      <w:r w:rsidR="001220F7" w:rsidRPr="00811097">
        <w:rPr>
          <w:rFonts w:ascii="Arial" w:hAnsi="Arial" w:cs="Arial"/>
          <w:bCs/>
          <w:iCs/>
          <w:sz w:val="22"/>
          <w:szCs w:val="22"/>
        </w:rPr>
        <w:t>updated each year based on estimated household growth.</w:t>
      </w:r>
      <w:r w:rsidR="006871FF" w:rsidRPr="00811097">
        <w:rPr>
          <w:rFonts w:ascii="Arial" w:hAnsi="Arial" w:cs="Arial"/>
          <w:bCs/>
          <w:iCs/>
          <w:sz w:val="22"/>
          <w:szCs w:val="22"/>
        </w:rPr>
        <w:t xml:space="preserve">  </w:t>
      </w:r>
      <w:r w:rsidR="00904AE7" w:rsidRPr="00811097">
        <w:rPr>
          <w:rFonts w:ascii="Arial" w:hAnsi="Arial" w:cs="Arial"/>
          <w:bCs/>
          <w:iCs/>
          <w:sz w:val="22"/>
          <w:szCs w:val="22"/>
        </w:rPr>
        <w:t xml:space="preserve">The LGES also includes allocations for the institutional costs of municipalities and to </w:t>
      </w:r>
      <w:proofErr w:type="spellStart"/>
      <w:r w:rsidR="00904AE7" w:rsidRPr="00811097">
        <w:rPr>
          <w:rFonts w:ascii="Arial" w:hAnsi="Arial" w:cs="Arial"/>
          <w:bCs/>
          <w:iCs/>
          <w:sz w:val="22"/>
          <w:szCs w:val="22"/>
        </w:rPr>
        <w:t>subsidise</w:t>
      </w:r>
      <w:proofErr w:type="spellEnd"/>
      <w:r w:rsidR="00904AE7" w:rsidRPr="00811097">
        <w:rPr>
          <w:rFonts w:ascii="Arial" w:hAnsi="Arial" w:cs="Arial"/>
          <w:bCs/>
          <w:iCs/>
          <w:sz w:val="22"/>
          <w:szCs w:val="22"/>
        </w:rPr>
        <w:t xml:space="preserve"> </w:t>
      </w:r>
      <w:r w:rsidR="007874A7" w:rsidRPr="00811097">
        <w:rPr>
          <w:rFonts w:ascii="Arial" w:hAnsi="Arial" w:cs="Arial"/>
          <w:bCs/>
          <w:iCs/>
          <w:sz w:val="22"/>
          <w:szCs w:val="22"/>
        </w:rPr>
        <w:t xml:space="preserve">other </w:t>
      </w:r>
      <w:r w:rsidR="00904AE7" w:rsidRPr="00811097">
        <w:rPr>
          <w:rFonts w:ascii="Arial" w:hAnsi="Arial" w:cs="Arial"/>
          <w:bCs/>
          <w:iCs/>
          <w:sz w:val="22"/>
          <w:szCs w:val="22"/>
        </w:rPr>
        <w:t>community services.</w:t>
      </w:r>
      <w:r w:rsidR="006871FF" w:rsidRPr="00811097">
        <w:rPr>
          <w:rFonts w:ascii="Arial" w:hAnsi="Arial" w:cs="Arial"/>
          <w:bCs/>
          <w:iCs/>
          <w:sz w:val="22"/>
          <w:szCs w:val="22"/>
        </w:rPr>
        <w:t xml:space="preserve">  </w:t>
      </w:r>
      <w:r w:rsidR="00904AE7" w:rsidRPr="00811097">
        <w:rPr>
          <w:rFonts w:ascii="Arial" w:hAnsi="Arial" w:cs="Arial"/>
          <w:bCs/>
          <w:iCs/>
          <w:sz w:val="22"/>
          <w:szCs w:val="22"/>
        </w:rPr>
        <w:t>Funds for community services and institutional costs are only allocated to municipalities wi</w:t>
      </w:r>
      <w:r w:rsidR="007874A7" w:rsidRPr="00811097">
        <w:rPr>
          <w:rFonts w:ascii="Arial" w:hAnsi="Arial" w:cs="Arial"/>
          <w:bCs/>
          <w:iCs/>
          <w:sz w:val="22"/>
          <w:szCs w:val="22"/>
        </w:rPr>
        <w:t>th</w:t>
      </w:r>
      <w:r w:rsidR="00904AE7" w:rsidRPr="00811097">
        <w:rPr>
          <w:rFonts w:ascii="Arial" w:hAnsi="Arial" w:cs="Arial"/>
          <w:bCs/>
          <w:iCs/>
          <w:sz w:val="22"/>
          <w:szCs w:val="22"/>
        </w:rPr>
        <w:t xml:space="preserve"> less ability to fund these costs from their own revenues. </w:t>
      </w:r>
    </w:p>
    <w:p w:rsidR="004E6A01" w:rsidRPr="00811097" w:rsidRDefault="004E6A01" w:rsidP="00904AE7">
      <w:pPr>
        <w:tabs>
          <w:tab w:val="left" w:pos="432"/>
          <w:tab w:val="left" w:pos="864"/>
        </w:tabs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811097">
        <w:rPr>
          <w:rFonts w:ascii="Arial" w:hAnsi="Arial" w:cs="Arial"/>
          <w:sz w:val="22"/>
          <w:szCs w:val="22"/>
        </w:rPr>
        <w:tab/>
      </w:r>
      <w:r w:rsidRPr="00811097">
        <w:rPr>
          <w:rFonts w:ascii="Arial" w:hAnsi="Arial" w:cs="Arial"/>
          <w:sz w:val="22"/>
          <w:szCs w:val="22"/>
        </w:rPr>
        <w:tab/>
      </w:r>
    </w:p>
    <w:p w:rsidR="001220F7" w:rsidRPr="00811097" w:rsidRDefault="004E6A01" w:rsidP="00904AE7">
      <w:pPr>
        <w:tabs>
          <w:tab w:val="left" w:pos="432"/>
          <w:tab w:val="left" w:pos="864"/>
        </w:tabs>
        <w:spacing w:line="276" w:lineRule="auto"/>
        <w:ind w:left="720" w:hanging="720"/>
        <w:jc w:val="both"/>
        <w:rPr>
          <w:rFonts w:ascii="Arial" w:hAnsi="Arial" w:cs="Arial"/>
          <w:bCs/>
          <w:iCs/>
          <w:sz w:val="22"/>
          <w:szCs w:val="22"/>
        </w:rPr>
      </w:pPr>
      <w:r w:rsidRPr="00811097">
        <w:rPr>
          <w:rFonts w:ascii="Arial" w:hAnsi="Arial" w:cs="Arial"/>
          <w:bCs/>
          <w:iCs/>
          <w:sz w:val="22"/>
          <w:szCs w:val="22"/>
        </w:rPr>
        <w:tab/>
      </w:r>
      <w:r w:rsidRPr="00811097">
        <w:rPr>
          <w:rFonts w:ascii="Arial" w:hAnsi="Arial" w:cs="Arial"/>
          <w:bCs/>
          <w:iCs/>
          <w:sz w:val="22"/>
          <w:szCs w:val="22"/>
        </w:rPr>
        <w:tab/>
      </w:r>
      <w:r w:rsidR="001220F7" w:rsidRPr="00811097">
        <w:rPr>
          <w:rFonts w:ascii="Arial" w:hAnsi="Arial" w:cs="Arial"/>
          <w:bCs/>
          <w:iCs/>
          <w:sz w:val="22"/>
          <w:szCs w:val="22"/>
        </w:rPr>
        <w:t xml:space="preserve">The household numbers used </w:t>
      </w:r>
      <w:r w:rsidR="00904AE7" w:rsidRPr="00811097">
        <w:rPr>
          <w:rFonts w:ascii="Arial" w:hAnsi="Arial" w:cs="Arial"/>
          <w:bCs/>
          <w:iCs/>
          <w:sz w:val="22"/>
          <w:szCs w:val="22"/>
        </w:rPr>
        <w:t xml:space="preserve">to allocate the LGES </w:t>
      </w:r>
      <w:r w:rsidRPr="00811097">
        <w:rPr>
          <w:rFonts w:ascii="Arial" w:hAnsi="Arial" w:cs="Arial"/>
          <w:bCs/>
          <w:iCs/>
          <w:sz w:val="22"/>
          <w:szCs w:val="22"/>
        </w:rPr>
        <w:t>since</w:t>
      </w:r>
      <w:r w:rsidR="001220F7" w:rsidRPr="00811097">
        <w:rPr>
          <w:rFonts w:ascii="Arial" w:hAnsi="Arial" w:cs="Arial"/>
          <w:bCs/>
          <w:iCs/>
          <w:sz w:val="22"/>
          <w:szCs w:val="22"/>
        </w:rPr>
        <w:t xml:space="preserve"> 2016 reflect the new municipal boundaries.</w:t>
      </w:r>
      <w:r w:rsidR="006871FF" w:rsidRPr="00811097">
        <w:rPr>
          <w:rFonts w:ascii="Arial" w:hAnsi="Arial" w:cs="Arial"/>
          <w:bCs/>
          <w:iCs/>
          <w:sz w:val="22"/>
          <w:szCs w:val="22"/>
        </w:rPr>
        <w:t xml:space="preserve">  </w:t>
      </w:r>
      <w:r w:rsidR="001220F7" w:rsidRPr="00811097">
        <w:rPr>
          <w:rFonts w:ascii="Arial" w:hAnsi="Arial" w:cs="Arial"/>
          <w:bCs/>
          <w:iCs/>
          <w:sz w:val="22"/>
          <w:szCs w:val="22"/>
        </w:rPr>
        <w:t>The changes to municipal boundaries resulted in some significant changes to municipal allocations in 2016/17.</w:t>
      </w:r>
      <w:r w:rsidR="006871FF" w:rsidRPr="00811097">
        <w:rPr>
          <w:rFonts w:ascii="Arial" w:hAnsi="Arial" w:cs="Arial"/>
          <w:bCs/>
          <w:iCs/>
          <w:sz w:val="22"/>
          <w:szCs w:val="22"/>
        </w:rPr>
        <w:t xml:space="preserve">  </w:t>
      </w:r>
      <w:r w:rsidR="001220F7" w:rsidRPr="00811097">
        <w:rPr>
          <w:rFonts w:ascii="Arial" w:hAnsi="Arial" w:cs="Arial"/>
          <w:bCs/>
          <w:iCs/>
          <w:sz w:val="22"/>
          <w:szCs w:val="22"/>
        </w:rPr>
        <w:t>To cushion the impact of these changes, all municipalities received at least 95 per cent of the equitable share formula allocation indicatively allocated to them in 2016/17 in the 2015 Division of Revenue Act.</w:t>
      </w:r>
      <w:r w:rsidR="00811097" w:rsidRPr="00811097">
        <w:rPr>
          <w:rFonts w:ascii="Arial" w:hAnsi="Arial" w:cs="Arial"/>
          <w:bCs/>
          <w:iCs/>
          <w:sz w:val="22"/>
          <w:szCs w:val="22"/>
        </w:rPr>
        <w:t xml:space="preserve">  </w:t>
      </w:r>
      <w:r w:rsidR="001220F7" w:rsidRPr="00811097">
        <w:rPr>
          <w:rFonts w:ascii="Arial" w:hAnsi="Arial" w:cs="Arial"/>
          <w:bCs/>
          <w:iCs/>
          <w:sz w:val="22"/>
          <w:szCs w:val="22"/>
        </w:rPr>
        <w:t>For merged municipalities, this guarantee was based on the sum of the equitable share allocations to the previously separate municipalities.</w:t>
      </w:r>
    </w:p>
    <w:p w:rsidR="001220F7" w:rsidRPr="00811097" w:rsidRDefault="00B7464B" w:rsidP="00B7464B">
      <w:pPr>
        <w:tabs>
          <w:tab w:val="left" w:pos="3960"/>
        </w:tabs>
        <w:autoSpaceDE w:val="0"/>
        <w:autoSpaceDN w:val="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</w:p>
    <w:p w:rsidR="001220F7" w:rsidRPr="00811097" w:rsidRDefault="00904AE7" w:rsidP="00904AE7">
      <w:pPr>
        <w:autoSpaceDE w:val="0"/>
        <w:autoSpaceDN w:val="0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811097">
        <w:rPr>
          <w:rFonts w:ascii="Arial" w:hAnsi="Arial" w:cs="Arial"/>
          <w:bCs/>
          <w:iCs/>
          <w:sz w:val="22"/>
          <w:szCs w:val="22"/>
        </w:rPr>
        <w:t>A</w:t>
      </w:r>
      <w:r w:rsidR="001220F7" w:rsidRPr="00811097">
        <w:rPr>
          <w:rFonts w:ascii="Arial" w:hAnsi="Arial" w:cs="Arial"/>
          <w:bCs/>
          <w:iCs/>
          <w:sz w:val="22"/>
          <w:szCs w:val="22"/>
        </w:rPr>
        <w:t xml:space="preserve">dditional funding was </w:t>
      </w:r>
      <w:r w:rsidRPr="00811097">
        <w:rPr>
          <w:rFonts w:ascii="Arial" w:hAnsi="Arial" w:cs="Arial"/>
          <w:bCs/>
          <w:iCs/>
          <w:sz w:val="22"/>
          <w:szCs w:val="22"/>
        </w:rPr>
        <w:t xml:space="preserve">also </w:t>
      </w:r>
      <w:r w:rsidR="001220F7" w:rsidRPr="00811097">
        <w:rPr>
          <w:rFonts w:ascii="Arial" w:hAnsi="Arial" w:cs="Arial"/>
          <w:bCs/>
          <w:iCs/>
          <w:sz w:val="22"/>
          <w:szCs w:val="22"/>
        </w:rPr>
        <w:t>allocated to the newly formed municipalities</w:t>
      </w:r>
      <w:r w:rsidRPr="00811097">
        <w:rPr>
          <w:rFonts w:ascii="Arial" w:hAnsi="Arial" w:cs="Arial"/>
          <w:bCs/>
          <w:iCs/>
          <w:sz w:val="22"/>
          <w:szCs w:val="22"/>
        </w:rPr>
        <w:t xml:space="preserve"> to support them with the costs of implementing the new demarcations.</w:t>
      </w:r>
      <w:r w:rsidR="00811097" w:rsidRPr="00811097">
        <w:rPr>
          <w:rFonts w:ascii="Arial" w:hAnsi="Arial" w:cs="Arial"/>
          <w:bCs/>
          <w:iCs/>
          <w:sz w:val="22"/>
          <w:szCs w:val="22"/>
        </w:rPr>
        <w:t xml:space="preserve">  </w:t>
      </w:r>
      <w:r w:rsidR="001220F7" w:rsidRPr="00811097">
        <w:rPr>
          <w:rFonts w:ascii="Arial" w:hAnsi="Arial" w:cs="Arial"/>
          <w:bCs/>
          <w:iCs/>
          <w:sz w:val="22"/>
          <w:szCs w:val="22"/>
        </w:rPr>
        <w:t xml:space="preserve">LIM368 </w:t>
      </w:r>
      <w:r w:rsidRPr="00811097">
        <w:rPr>
          <w:rFonts w:ascii="Arial" w:hAnsi="Arial" w:cs="Arial"/>
          <w:bCs/>
          <w:iCs/>
          <w:sz w:val="22"/>
          <w:szCs w:val="22"/>
        </w:rPr>
        <w:t xml:space="preserve">was </w:t>
      </w:r>
      <w:r w:rsidR="001220F7" w:rsidRPr="00811097">
        <w:rPr>
          <w:rFonts w:ascii="Arial" w:hAnsi="Arial" w:cs="Arial"/>
          <w:bCs/>
          <w:iCs/>
          <w:sz w:val="22"/>
          <w:szCs w:val="22"/>
        </w:rPr>
        <w:t>allocated R13.4</w:t>
      </w:r>
      <w:r w:rsidRPr="00811097">
        <w:rPr>
          <w:rFonts w:ascii="Arial" w:hAnsi="Arial" w:cs="Arial"/>
          <w:bCs/>
          <w:iCs/>
          <w:sz w:val="22"/>
          <w:szCs w:val="22"/>
        </w:rPr>
        <w:t> </w:t>
      </w:r>
      <w:r w:rsidR="001220F7" w:rsidRPr="00811097">
        <w:rPr>
          <w:rFonts w:ascii="Arial" w:hAnsi="Arial" w:cs="Arial"/>
          <w:bCs/>
          <w:iCs/>
          <w:sz w:val="22"/>
          <w:szCs w:val="22"/>
        </w:rPr>
        <w:t>million in 2016/17 through the Municipal Demarcation Transition Grant.</w:t>
      </w:r>
      <w:r w:rsidR="00811097" w:rsidRPr="00811097">
        <w:rPr>
          <w:rFonts w:ascii="Arial" w:hAnsi="Arial" w:cs="Arial"/>
          <w:bCs/>
          <w:iCs/>
          <w:sz w:val="22"/>
          <w:szCs w:val="22"/>
        </w:rPr>
        <w:t xml:space="preserve">  </w:t>
      </w:r>
      <w:r w:rsidR="001220F7" w:rsidRPr="00811097">
        <w:rPr>
          <w:rFonts w:ascii="Arial" w:hAnsi="Arial" w:cs="Arial"/>
          <w:bCs/>
          <w:iCs/>
          <w:sz w:val="22"/>
          <w:szCs w:val="22"/>
        </w:rPr>
        <w:t xml:space="preserve">In 2017/18 the municipality is allocated R4.6 million through this grant. </w:t>
      </w:r>
    </w:p>
    <w:p w:rsidR="001E6902" w:rsidRPr="00811097" w:rsidRDefault="001E6902" w:rsidP="00904AE7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6902" w:rsidRPr="00811097" w:rsidRDefault="00261AAD" w:rsidP="00904AE7">
      <w:pPr>
        <w:tabs>
          <w:tab w:val="left" w:pos="432"/>
          <w:tab w:val="left" w:pos="864"/>
        </w:tabs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811097">
        <w:rPr>
          <w:rFonts w:ascii="Arial" w:hAnsi="Arial" w:cs="Arial"/>
          <w:sz w:val="22"/>
          <w:szCs w:val="22"/>
        </w:rPr>
        <w:t>(3)(b)</w:t>
      </w:r>
      <w:r w:rsidRPr="00811097">
        <w:rPr>
          <w:rFonts w:ascii="Arial" w:hAnsi="Arial" w:cs="Arial"/>
          <w:sz w:val="22"/>
          <w:szCs w:val="22"/>
        </w:rPr>
        <w:tab/>
      </w:r>
      <w:r w:rsidR="004E6A01" w:rsidRPr="00811097">
        <w:rPr>
          <w:rFonts w:ascii="Arial" w:hAnsi="Arial" w:cs="Arial"/>
          <w:bCs/>
          <w:iCs/>
          <w:sz w:val="22"/>
          <w:szCs w:val="22"/>
        </w:rPr>
        <w:t xml:space="preserve">The dates on which the </w:t>
      </w:r>
      <w:r w:rsidRPr="00811097">
        <w:rPr>
          <w:rFonts w:ascii="Arial" w:hAnsi="Arial" w:cs="Arial"/>
          <w:bCs/>
          <w:iCs/>
          <w:sz w:val="22"/>
          <w:szCs w:val="22"/>
        </w:rPr>
        <w:t xml:space="preserve">local government </w:t>
      </w:r>
      <w:r w:rsidR="004E6A01" w:rsidRPr="00811097">
        <w:rPr>
          <w:rFonts w:ascii="Arial" w:hAnsi="Arial" w:cs="Arial"/>
          <w:bCs/>
          <w:iCs/>
          <w:sz w:val="22"/>
          <w:szCs w:val="22"/>
        </w:rPr>
        <w:t>equitable share is transferred to each municipality are prescribed in section 5</w:t>
      </w:r>
      <w:r w:rsidRPr="00811097">
        <w:rPr>
          <w:rFonts w:ascii="Arial" w:hAnsi="Arial" w:cs="Arial"/>
          <w:bCs/>
          <w:iCs/>
          <w:sz w:val="22"/>
          <w:szCs w:val="22"/>
        </w:rPr>
        <w:t>(3)</w:t>
      </w:r>
      <w:r w:rsidR="004E6A01" w:rsidRPr="00811097">
        <w:rPr>
          <w:rFonts w:ascii="Arial" w:hAnsi="Arial" w:cs="Arial"/>
          <w:bCs/>
          <w:iCs/>
          <w:sz w:val="22"/>
          <w:szCs w:val="22"/>
        </w:rPr>
        <w:t xml:space="preserve"> of the annual Division of Revenue Act.</w:t>
      </w:r>
      <w:r w:rsidR="00811097" w:rsidRPr="00811097"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811097">
        <w:rPr>
          <w:rFonts w:ascii="Arial" w:hAnsi="Arial" w:cs="Arial"/>
          <w:bCs/>
          <w:iCs/>
          <w:sz w:val="22"/>
          <w:szCs w:val="22"/>
        </w:rPr>
        <w:t xml:space="preserve">In 2016, </w:t>
      </w:r>
      <w:r w:rsidR="00904AE7" w:rsidRPr="00811097">
        <w:rPr>
          <w:rFonts w:ascii="Arial" w:hAnsi="Arial" w:cs="Arial"/>
          <w:bCs/>
          <w:iCs/>
          <w:sz w:val="22"/>
          <w:szCs w:val="22"/>
        </w:rPr>
        <w:t xml:space="preserve">local government </w:t>
      </w:r>
      <w:r w:rsidRPr="00811097">
        <w:rPr>
          <w:rFonts w:ascii="Arial" w:hAnsi="Arial" w:cs="Arial"/>
          <w:bCs/>
          <w:iCs/>
          <w:sz w:val="22"/>
          <w:szCs w:val="22"/>
        </w:rPr>
        <w:t xml:space="preserve">equitable share transfers took place on 4 July 2016, </w:t>
      </w:r>
      <w:r w:rsidR="00904AE7" w:rsidRPr="00811097">
        <w:rPr>
          <w:rFonts w:ascii="Arial" w:hAnsi="Arial" w:cs="Arial"/>
          <w:bCs/>
          <w:iCs/>
          <w:sz w:val="22"/>
          <w:szCs w:val="22"/>
        </w:rPr>
        <w:t xml:space="preserve">31 August 2016, </w:t>
      </w:r>
      <w:r w:rsidRPr="00811097">
        <w:rPr>
          <w:rFonts w:ascii="Arial" w:hAnsi="Arial" w:cs="Arial"/>
          <w:bCs/>
          <w:iCs/>
          <w:sz w:val="22"/>
          <w:szCs w:val="22"/>
        </w:rPr>
        <w:t>1</w:t>
      </w:r>
      <w:r w:rsidR="00904AE7" w:rsidRPr="00811097">
        <w:rPr>
          <w:rFonts w:ascii="Arial" w:hAnsi="Arial" w:cs="Arial"/>
          <w:bCs/>
          <w:iCs/>
          <w:sz w:val="22"/>
          <w:szCs w:val="22"/>
        </w:rPr>
        <w:t> </w:t>
      </w:r>
      <w:r w:rsidRPr="00811097">
        <w:rPr>
          <w:rFonts w:ascii="Arial" w:hAnsi="Arial" w:cs="Arial"/>
          <w:bCs/>
          <w:iCs/>
          <w:sz w:val="22"/>
          <w:szCs w:val="22"/>
        </w:rPr>
        <w:t>December</w:t>
      </w:r>
      <w:r w:rsidR="00904AE7" w:rsidRPr="00811097">
        <w:rPr>
          <w:rFonts w:ascii="Arial" w:hAnsi="Arial" w:cs="Arial"/>
          <w:bCs/>
          <w:iCs/>
          <w:sz w:val="22"/>
          <w:szCs w:val="22"/>
        </w:rPr>
        <w:t> </w:t>
      </w:r>
      <w:r w:rsidRPr="00811097">
        <w:rPr>
          <w:rFonts w:ascii="Arial" w:hAnsi="Arial" w:cs="Arial"/>
          <w:bCs/>
          <w:iCs/>
          <w:sz w:val="22"/>
          <w:szCs w:val="22"/>
        </w:rPr>
        <w:t>2016 and 17 March 2017.</w:t>
      </w:r>
      <w:r w:rsidR="00811097" w:rsidRPr="00811097">
        <w:rPr>
          <w:rFonts w:ascii="Arial" w:hAnsi="Arial" w:cs="Arial"/>
          <w:bCs/>
          <w:iCs/>
          <w:sz w:val="22"/>
          <w:szCs w:val="22"/>
        </w:rPr>
        <w:t xml:space="preserve">  </w:t>
      </w:r>
      <w:r w:rsidR="00904AE7" w:rsidRPr="00811097">
        <w:rPr>
          <w:rFonts w:ascii="Arial" w:hAnsi="Arial" w:cs="Arial"/>
          <w:bCs/>
          <w:iCs/>
          <w:sz w:val="22"/>
          <w:szCs w:val="22"/>
        </w:rPr>
        <w:t xml:space="preserve">The 31 August 2016 transfer was made in terms of section 38 of the 2016 Division of Revenue Act which allowed for an additional transfer date for re-demarcated municipalities. </w:t>
      </w:r>
    </w:p>
    <w:p w:rsidR="001E6902" w:rsidRPr="001220F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77F67" w:rsidRPr="001B0917" w:rsidRDefault="00B77F67" w:rsidP="001B091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B77F67" w:rsidRPr="001B0917" w:rsidSect="00FB6A41">
      <w:pgSz w:w="12240" w:h="15840" w:code="1"/>
      <w:pgMar w:top="993" w:right="1418" w:bottom="1276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E0FB2"/>
    <w:multiLevelType w:val="hybridMultilevel"/>
    <w:tmpl w:val="DB82864C"/>
    <w:lvl w:ilvl="0" w:tplc="B1C6749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E5"/>
    <w:rsid w:val="00020C04"/>
    <w:rsid w:val="000C48D8"/>
    <w:rsid w:val="000F3B14"/>
    <w:rsid w:val="001220F7"/>
    <w:rsid w:val="001433AE"/>
    <w:rsid w:val="0015727B"/>
    <w:rsid w:val="001713D2"/>
    <w:rsid w:val="001B0917"/>
    <w:rsid w:val="001E3FB5"/>
    <w:rsid w:val="001E6902"/>
    <w:rsid w:val="00261AAD"/>
    <w:rsid w:val="002F6E86"/>
    <w:rsid w:val="003421BD"/>
    <w:rsid w:val="004E6A01"/>
    <w:rsid w:val="005141B3"/>
    <w:rsid w:val="0051529A"/>
    <w:rsid w:val="005430CE"/>
    <w:rsid w:val="00574E19"/>
    <w:rsid w:val="00613FC6"/>
    <w:rsid w:val="006239F1"/>
    <w:rsid w:val="00624D20"/>
    <w:rsid w:val="0062770E"/>
    <w:rsid w:val="0064275F"/>
    <w:rsid w:val="00647EF2"/>
    <w:rsid w:val="00650241"/>
    <w:rsid w:val="00653A85"/>
    <w:rsid w:val="006871FF"/>
    <w:rsid w:val="00706690"/>
    <w:rsid w:val="007118EA"/>
    <w:rsid w:val="00726A9C"/>
    <w:rsid w:val="007359BF"/>
    <w:rsid w:val="007874A7"/>
    <w:rsid w:val="007914E0"/>
    <w:rsid w:val="007A32AF"/>
    <w:rsid w:val="007B1BA1"/>
    <w:rsid w:val="00811097"/>
    <w:rsid w:val="00891265"/>
    <w:rsid w:val="008C2559"/>
    <w:rsid w:val="00904AE7"/>
    <w:rsid w:val="00911717"/>
    <w:rsid w:val="009163A5"/>
    <w:rsid w:val="00953363"/>
    <w:rsid w:val="0096007E"/>
    <w:rsid w:val="009A18A7"/>
    <w:rsid w:val="00A12735"/>
    <w:rsid w:val="00A27751"/>
    <w:rsid w:val="00A525F0"/>
    <w:rsid w:val="00A72B9B"/>
    <w:rsid w:val="00AD00CE"/>
    <w:rsid w:val="00AD5C9B"/>
    <w:rsid w:val="00B447E6"/>
    <w:rsid w:val="00B62AC9"/>
    <w:rsid w:val="00B7464B"/>
    <w:rsid w:val="00B77F67"/>
    <w:rsid w:val="00BD31C6"/>
    <w:rsid w:val="00C25C7E"/>
    <w:rsid w:val="00C312EA"/>
    <w:rsid w:val="00C44C35"/>
    <w:rsid w:val="00C60822"/>
    <w:rsid w:val="00CC2F3E"/>
    <w:rsid w:val="00D51FE5"/>
    <w:rsid w:val="00DB2463"/>
    <w:rsid w:val="00DC41DF"/>
    <w:rsid w:val="00DD5296"/>
    <w:rsid w:val="00DF0D26"/>
    <w:rsid w:val="00E77DF6"/>
    <w:rsid w:val="00E82A50"/>
    <w:rsid w:val="00E8352B"/>
    <w:rsid w:val="00EA6A49"/>
    <w:rsid w:val="00F46AD7"/>
    <w:rsid w:val="00F51C17"/>
    <w:rsid w:val="00F5571A"/>
    <w:rsid w:val="00F87EA6"/>
    <w:rsid w:val="00FB6A41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220F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E6A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12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273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06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220F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E6A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12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273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06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asury.gov.za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AC80-12B6-4E1B-8D35-1EDAD978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2017-04-07T11:00:00Z</cp:lastPrinted>
  <dcterms:created xsi:type="dcterms:W3CDTF">2017-04-18T11:41:00Z</dcterms:created>
  <dcterms:modified xsi:type="dcterms:W3CDTF">2017-04-18T11:41:00Z</dcterms:modified>
</cp:coreProperties>
</file>