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FA" w:rsidRDefault="00A96EFA" w:rsidP="008F1057">
      <w:pPr>
        <w:rPr>
          <w:color w:val="000000"/>
          <w:sz w:val="22"/>
        </w:rPr>
      </w:pPr>
      <w:bookmarkStart w:id="0" w:name="_GoBack"/>
      <w:bookmarkEnd w:id="0"/>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F3149C">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F3149C">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F3149C">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F3149C">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371F0A">
        <w:rPr>
          <w:rFonts w:ascii="Tahoma" w:hAnsi="Tahoma" w:cs="Tahoma"/>
          <w:b/>
          <w:bCs/>
          <w:sz w:val="22"/>
          <w:szCs w:val="22"/>
          <w:lang w:val="en-ZA"/>
        </w:rPr>
        <w:t>8</w:t>
      </w:r>
      <w:r w:rsidR="003E1819">
        <w:rPr>
          <w:rFonts w:ascii="Tahoma" w:hAnsi="Tahoma" w:cs="Tahoma"/>
          <w:b/>
          <w:bCs/>
          <w:sz w:val="22"/>
          <w:szCs w:val="22"/>
          <w:lang w:val="en-ZA"/>
        </w:rPr>
        <w:t>65</w:t>
      </w:r>
    </w:p>
    <w:p w:rsidR="008960B2" w:rsidRPr="00987C9F" w:rsidRDefault="008960B2" w:rsidP="008F1057">
      <w:pPr>
        <w:ind w:left="284"/>
        <w:rPr>
          <w:rFonts w:ascii="Tahoma" w:hAnsi="Tahoma" w:cs="Tahoma"/>
          <w:b/>
          <w:bCs/>
          <w:sz w:val="22"/>
          <w:szCs w:val="22"/>
          <w:lang w:val="en-ZA"/>
        </w:rPr>
      </w:pPr>
    </w:p>
    <w:p w:rsidR="003042F7" w:rsidRDefault="00696671" w:rsidP="008F1057">
      <w:pPr>
        <w:autoSpaceDE w:val="0"/>
        <w:autoSpaceDN w:val="0"/>
        <w:adjustRightInd w:val="0"/>
        <w:ind w:left="284"/>
        <w:rPr>
          <w:rFonts w:ascii="Arial" w:hAnsi="Arial" w:cs="Arial"/>
          <w:b/>
          <w:sz w:val="22"/>
          <w:szCs w:val="22"/>
        </w:rPr>
      </w:pPr>
      <w:r w:rsidRPr="00696671">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3E1819" w:rsidRPr="00387DEF" w:rsidRDefault="003E1819" w:rsidP="00387DEF">
      <w:pPr>
        <w:spacing w:before="100" w:beforeAutospacing="1" w:after="100" w:afterAutospacing="1" w:line="360" w:lineRule="auto"/>
        <w:ind w:left="851" w:hanging="567"/>
        <w:jc w:val="both"/>
        <w:rPr>
          <w:rFonts w:ascii="Arial" w:hAnsi="Arial" w:cs="Arial"/>
          <w:b/>
          <w:bCs/>
        </w:rPr>
      </w:pPr>
      <w:r w:rsidRPr="00387DEF">
        <w:rPr>
          <w:rFonts w:ascii="Arial" w:hAnsi="Arial" w:cs="Arial"/>
          <w:b/>
          <w:bCs/>
        </w:rPr>
        <w:t xml:space="preserve">865.     </w:t>
      </w:r>
      <w:proofErr w:type="spellStart"/>
      <w:r w:rsidRPr="00387DEF">
        <w:rPr>
          <w:rFonts w:ascii="Arial" w:hAnsi="Arial" w:cs="Arial"/>
          <w:b/>
          <w:bCs/>
        </w:rPr>
        <w:t>Mr</w:t>
      </w:r>
      <w:proofErr w:type="spellEnd"/>
      <w:r w:rsidRPr="00387DEF">
        <w:rPr>
          <w:rFonts w:ascii="Arial" w:hAnsi="Arial" w:cs="Arial"/>
          <w:b/>
          <w:bCs/>
        </w:rPr>
        <w:t xml:space="preserve"> G K Y </w:t>
      </w:r>
      <w:proofErr w:type="spellStart"/>
      <w:r w:rsidRPr="00387DEF">
        <w:rPr>
          <w:rFonts w:ascii="Arial" w:hAnsi="Arial" w:cs="Arial"/>
          <w:b/>
          <w:bCs/>
        </w:rPr>
        <w:t>Cachalia</w:t>
      </w:r>
      <w:proofErr w:type="spellEnd"/>
      <w:r w:rsidRPr="00387DEF">
        <w:rPr>
          <w:rFonts w:ascii="Arial" w:hAnsi="Arial" w:cs="Arial"/>
          <w:b/>
          <w:bCs/>
        </w:rPr>
        <w:t xml:space="preserve"> (DA) to ask the Minister of Public Enterprises:</w:t>
      </w:r>
    </w:p>
    <w:p w:rsidR="003E1819" w:rsidRPr="00387DEF" w:rsidRDefault="003E1819" w:rsidP="00387DEF">
      <w:pPr>
        <w:spacing w:before="100" w:beforeAutospacing="1" w:after="100" w:afterAutospacing="1" w:line="360" w:lineRule="auto"/>
        <w:ind w:left="1701" w:hanging="567"/>
        <w:jc w:val="both"/>
        <w:rPr>
          <w:rFonts w:ascii="Arial" w:hAnsi="Arial" w:cs="Arial"/>
        </w:rPr>
      </w:pPr>
      <w:r w:rsidRPr="00387DEF">
        <w:rPr>
          <w:rFonts w:ascii="Arial" w:hAnsi="Arial" w:cs="Arial"/>
        </w:rPr>
        <w:t>(1)</w:t>
      </w:r>
      <w:r w:rsidR="00387DEF">
        <w:rPr>
          <w:rFonts w:ascii="Arial" w:hAnsi="Arial" w:cs="Arial"/>
        </w:rPr>
        <w:tab/>
      </w:r>
      <w:r w:rsidRPr="00387DEF">
        <w:rPr>
          <w:rFonts w:ascii="Arial" w:hAnsi="Arial" w:cs="Arial"/>
        </w:rPr>
        <w:t xml:space="preserve">Whether he will furnish </w:t>
      </w:r>
      <w:proofErr w:type="spellStart"/>
      <w:r w:rsidRPr="00387DEF">
        <w:rPr>
          <w:rFonts w:ascii="Arial" w:hAnsi="Arial" w:cs="Arial"/>
        </w:rPr>
        <w:t>Mr</w:t>
      </w:r>
      <w:proofErr w:type="spellEnd"/>
      <w:r w:rsidRPr="00387DEF">
        <w:rPr>
          <w:rFonts w:ascii="Arial" w:hAnsi="Arial" w:cs="Arial"/>
        </w:rPr>
        <w:t xml:space="preserve"> G K Y </w:t>
      </w:r>
      <w:proofErr w:type="spellStart"/>
      <w:r w:rsidRPr="00387DEF">
        <w:rPr>
          <w:rFonts w:ascii="Arial" w:hAnsi="Arial" w:cs="Arial"/>
        </w:rPr>
        <w:t>Cachalia</w:t>
      </w:r>
      <w:proofErr w:type="spellEnd"/>
      <w:r w:rsidRPr="00387DEF">
        <w:rPr>
          <w:rFonts w:ascii="Arial" w:hAnsi="Arial" w:cs="Arial"/>
        </w:rPr>
        <w:t xml:space="preserve"> with a reasonable data-driven estimate on how much more each one of the seven state-owned entities reporting to him spend on a basket of recurring consumables such as bottled water, toilet paper, milk, cleaning products and implements, as (a) a result of the application of the current procurement regime governed by </w:t>
      </w:r>
      <w:proofErr w:type="gramStart"/>
      <w:r w:rsidRPr="00387DEF">
        <w:rPr>
          <w:rFonts w:ascii="Arial" w:hAnsi="Arial" w:cs="Arial"/>
        </w:rPr>
        <w:t>internal</w:t>
      </w:r>
      <w:proofErr w:type="gramEnd"/>
      <w:r w:rsidRPr="00387DEF">
        <w:rPr>
          <w:rFonts w:ascii="Arial" w:hAnsi="Arial" w:cs="Arial"/>
        </w:rPr>
        <w:t xml:space="preserve"> procurement manuals and the Public Financial Management Act, Act 1 of 1999, and (b) against normal wholesale and/or even retail prices; if not, why not; if so, what are the relevant details;</w:t>
      </w:r>
    </w:p>
    <w:p w:rsidR="003E1819" w:rsidRPr="00387DEF" w:rsidRDefault="003E1819" w:rsidP="00387DEF">
      <w:pPr>
        <w:spacing w:before="100" w:beforeAutospacing="1" w:after="100" w:afterAutospacing="1" w:line="360" w:lineRule="auto"/>
        <w:ind w:left="1701" w:hanging="567"/>
        <w:jc w:val="both"/>
        <w:rPr>
          <w:rFonts w:ascii="Arial" w:hAnsi="Arial" w:cs="Arial"/>
        </w:rPr>
      </w:pPr>
      <w:r w:rsidRPr="00387DEF">
        <w:rPr>
          <w:rFonts w:ascii="Arial" w:hAnsi="Arial" w:cs="Arial"/>
        </w:rPr>
        <w:t>(2)</w:t>
      </w:r>
      <w:r w:rsidR="00387DEF">
        <w:rPr>
          <w:rFonts w:ascii="Arial" w:hAnsi="Arial" w:cs="Arial"/>
        </w:rPr>
        <w:tab/>
        <w:t>H</w:t>
      </w:r>
      <w:r w:rsidRPr="00387DEF">
        <w:rPr>
          <w:rFonts w:ascii="Arial" w:hAnsi="Arial" w:cs="Arial"/>
        </w:rPr>
        <w:t>ow has he found that the quantum of the difference, extrapolated across the total spend, might impact cash flow and profitability?                 NW1030E</w:t>
      </w:r>
    </w:p>
    <w:p w:rsidR="003042F7" w:rsidRPr="002806D3" w:rsidRDefault="003042F7" w:rsidP="006449DA">
      <w:pPr>
        <w:spacing w:line="360" w:lineRule="auto"/>
        <w:ind w:left="284"/>
        <w:jc w:val="both"/>
        <w:rPr>
          <w:rFonts w:ascii="Arial" w:hAnsi="Arial" w:cs="Arial"/>
          <w:b/>
          <w:u w:val="single"/>
        </w:rPr>
      </w:pPr>
      <w:r w:rsidRPr="002806D3">
        <w:rPr>
          <w:rFonts w:ascii="Arial" w:hAnsi="Arial" w:cs="Arial"/>
          <w:b/>
          <w:u w:val="single"/>
        </w:rPr>
        <w:t>REPLY:</w:t>
      </w:r>
    </w:p>
    <w:p w:rsidR="00C154E7" w:rsidRDefault="00AA0547" w:rsidP="006449DA">
      <w:pPr>
        <w:spacing w:before="100" w:beforeAutospacing="1" w:after="100" w:afterAutospacing="1"/>
        <w:ind w:left="284"/>
        <w:jc w:val="both"/>
        <w:rPr>
          <w:rFonts w:ascii="Arial" w:hAnsi="Arial" w:cs="Arial"/>
          <w:b/>
        </w:rPr>
      </w:pPr>
      <w:r>
        <w:rPr>
          <w:rFonts w:ascii="Arial" w:hAnsi="Arial" w:cs="Arial"/>
          <w:b/>
        </w:rPr>
        <w:t xml:space="preserve">According to the information received from </w:t>
      </w:r>
      <w:proofErr w:type="spellStart"/>
      <w:r w:rsidR="00484B27">
        <w:rPr>
          <w:rFonts w:ascii="Arial" w:hAnsi="Arial" w:cs="Arial"/>
          <w:b/>
        </w:rPr>
        <w:t>A</w:t>
      </w:r>
      <w:r w:rsidR="002806D3">
        <w:rPr>
          <w:rFonts w:ascii="Arial" w:hAnsi="Arial" w:cs="Arial"/>
          <w:b/>
        </w:rPr>
        <w:t>lexkor</w:t>
      </w:r>
      <w:proofErr w:type="spellEnd"/>
      <w:r w:rsidR="00484B27">
        <w:rPr>
          <w:rFonts w:ascii="Arial" w:hAnsi="Arial" w:cs="Arial"/>
          <w:b/>
        </w:rPr>
        <w:t xml:space="preserve">: </w:t>
      </w:r>
    </w:p>
    <w:tbl>
      <w:tblPr>
        <w:tblStyle w:val="TableGrid"/>
        <w:tblW w:w="102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85"/>
        <w:gridCol w:w="3226"/>
        <w:gridCol w:w="2401"/>
        <w:gridCol w:w="2401"/>
        <w:gridCol w:w="1327"/>
      </w:tblGrid>
      <w:tr w:rsidR="00A55913" w:rsidRPr="001C2219" w:rsidTr="00A55913">
        <w:trPr>
          <w:trHeight w:val="151"/>
        </w:trPr>
        <w:tc>
          <w:tcPr>
            <w:tcW w:w="10240" w:type="dxa"/>
            <w:gridSpan w:val="5"/>
          </w:tcPr>
          <w:p w:rsidR="00A55913" w:rsidRPr="00A55913" w:rsidRDefault="00A55913" w:rsidP="007C7442">
            <w:pPr>
              <w:pStyle w:val="ListParagraph"/>
              <w:numPr>
                <w:ilvl w:val="0"/>
                <w:numId w:val="13"/>
              </w:numPr>
              <w:spacing w:before="100" w:beforeAutospacing="1" w:after="100" w:afterAutospacing="1"/>
              <w:ind w:hanging="720"/>
              <w:jc w:val="both"/>
              <w:rPr>
                <w:rFonts w:ascii="Arial" w:hAnsi="Arial" w:cs="Arial"/>
                <w:lang w:eastAsia="en-US"/>
              </w:rPr>
            </w:pPr>
            <w:proofErr w:type="spellStart"/>
            <w:r w:rsidRPr="00A55913">
              <w:rPr>
                <w:rFonts w:ascii="Arial" w:hAnsi="Arial" w:cs="Arial"/>
                <w:lang w:eastAsia="en-US"/>
              </w:rPr>
              <w:t>Alexkor</w:t>
            </w:r>
            <w:proofErr w:type="spellEnd"/>
            <w:r w:rsidRPr="00A55913">
              <w:rPr>
                <w:rFonts w:ascii="Arial" w:hAnsi="Arial" w:cs="Arial"/>
                <w:lang w:eastAsia="en-US"/>
              </w:rPr>
              <w:t xml:space="preserve"> has always bought these items</w:t>
            </w:r>
            <w:r w:rsidR="00694BEF">
              <w:rPr>
                <w:rFonts w:ascii="Arial" w:hAnsi="Arial" w:cs="Arial"/>
                <w:lang w:eastAsia="en-US"/>
              </w:rPr>
              <w:t xml:space="preserve"> directly</w:t>
            </w:r>
            <w:r w:rsidRPr="00A55913">
              <w:rPr>
                <w:rFonts w:ascii="Arial" w:hAnsi="Arial" w:cs="Arial"/>
                <w:lang w:eastAsia="en-US"/>
              </w:rPr>
              <w:t xml:space="preserve"> from the main retailers.</w:t>
            </w:r>
            <w:r w:rsidRPr="00A55913">
              <w:t xml:space="preserve"> </w:t>
            </w:r>
            <w:r w:rsidR="00694BEF">
              <w:t xml:space="preserve">They are </w:t>
            </w:r>
            <w:r w:rsidR="00694BEF" w:rsidRPr="00A55913">
              <w:rPr>
                <w:rFonts w:ascii="Arial" w:hAnsi="Arial" w:cs="Arial"/>
                <w:lang w:eastAsia="en-US"/>
              </w:rPr>
              <w:t>not procur</w:t>
            </w:r>
            <w:r w:rsidR="00694BEF">
              <w:rPr>
                <w:rFonts w:ascii="Arial" w:hAnsi="Arial" w:cs="Arial"/>
                <w:lang w:eastAsia="en-US"/>
              </w:rPr>
              <w:t>ed</w:t>
            </w:r>
            <w:r w:rsidR="00694BEF" w:rsidRPr="00A55913">
              <w:rPr>
                <w:rFonts w:ascii="Arial" w:hAnsi="Arial" w:cs="Arial"/>
                <w:lang w:eastAsia="en-US"/>
              </w:rPr>
              <w:t xml:space="preserve"> through a third party</w:t>
            </w:r>
          </w:p>
        </w:tc>
      </w:tr>
      <w:tr w:rsidR="00A55913" w:rsidRPr="001C2219" w:rsidTr="00A55913">
        <w:trPr>
          <w:trHeight w:val="151"/>
        </w:trPr>
        <w:tc>
          <w:tcPr>
            <w:tcW w:w="10240" w:type="dxa"/>
            <w:gridSpan w:val="5"/>
          </w:tcPr>
          <w:p w:rsidR="00A55913" w:rsidRPr="00A55913" w:rsidRDefault="00A55913" w:rsidP="006449DA">
            <w:pPr>
              <w:spacing w:before="100" w:beforeAutospacing="1" w:after="100" w:afterAutospacing="1"/>
              <w:ind w:left="720" w:hanging="720"/>
              <w:jc w:val="both"/>
            </w:pPr>
          </w:p>
        </w:tc>
      </w:tr>
      <w:tr w:rsidR="00A55913" w:rsidTr="00A55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85" w:type="dxa"/>
          <w:wAfter w:w="1327" w:type="dxa"/>
        </w:trPr>
        <w:tc>
          <w:tcPr>
            <w:tcW w:w="3226" w:type="dxa"/>
          </w:tcPr>
          <w:p w:rsidR="00A55913" w:rsidRPr="009D4C90" w:rsidRDefault="00A55913" w:rsidP="006449DA">
            <w:pPr>
              <w:spacing w:before="100" w:beforeAutospacing="1" w:after="100" w:afterAutospacing="1"/>
              <w:jc w:val="both"/>
              <w:rPr>
                <w:b/>
              </w:rPr>
            </w:pPr>
            <w:r w:rsidRPr="009D4C90">
              <w:rPr>
                <w:b/>
              </w:rPr>
              <w:t>Consumables</w:t>
            </w:r>
          </w:p>
        </w:tc>
        <w:tc>
          <w:tcPr>
            <w:tcW w:w="2401" w:type="dxa"/>
          </w:tcPr>
          <w:p w:rsidR="00A55913" w:rsidRPr="009D4C90" w:rsidRDefault="00A55913" w:rsidP="006449DA">
            <w:pPr>
              <w:spacing w:before="100" w:beforeAutospacing="1" w:after="100" w:afterAutospacing="1"/>
              <w:jc w:val="both"/>
              <w:rPr>
                <w:b/>
              </w:rPr>
            </w:pPr>
            <w:r w:rsidRPr="009D4C90">
              <w:rPr>
                <w:b/>
              </w:rPr>
              <w:t>YTD Spend</w:t>
            </w:r>
          </w:p>
        </w:tc>
        <w:tc>
          <w:tcPr>
            <w:tcW w:w="2401" w:type="dxa"/>
          </w:tcPr>
          <w:p w:rsidR="00A55913" w:rsidRPr="009D4C90" w:rsidRDefault="00A55913" w:rsidP="006449DA">
            <w:pPr>
              <w:spacing w:before="100" w:beforeAutospacing="1" w:after="100" w:afterAutospacing="1"/>
              <w:jc w:val="both"/>
              <w:rPr>
                <w:b/>
              </w:rPr>
            </w:pPr>
            <w:r w:rsidRPr="009D4C90">
              <w:rPr>
                <w:b/>
              </w:rPr>
              <w:t>Forecast YE Spend</w:t>
            </w:r>
          </w:p>
        </w:tc>
      </w:tr>
      <w:tr w:rsidR="00A55913" w:rsidTr="00A55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85" w:type="dxa"/>
          <w:wAfter w:w="1327" w:type="dxa"/>
        </w:trPr>
        <w:tc>
          <w:tcPr>
            <w:tcW w:w="3226" w:type="dxa"/>
          </w:tcPr>
          <w:p w:rsidR="00A55913" w:rsidRDefault="00A55913" w:rsidP="006449DA">
            <w:pPr>
              <w:spacing w:before="100" w:beforeAutospacing="1" w:after="100" w:afterAutospacing="1"/>
              <w:jc w:val="both"/>
            </w:pPr>
            <w:r>
              <w:t>Cleaning products</w:t>
            </w:r>
          </w:p>
        </w:tc>
        <w:tc>
          <w:tcPr>
            <w:tcW w:w="2401" w:type="dxa"/>
          </w:tcPr>
          <w:p w:rsidR="00A55913" w:rsidRDefault="00A55913" w:rsidP="006449DA">
            <w:pPr>
              <w:spacing w:before="100" w:beforeAutospacing="1" w:after="100" w:afterAutospacing="1"/>
              <w:jc w:val="both"/>
            </w:pPr>
            <w:r>
              <w:t>R12,210</w:t>
            </w:r>
          </w:p>
        </w:tc>
        <w:tc>
          <w:tcPr>
            <w:tcW w:w="2401" w:type="dxa"/>
          </w:tcPr>
          <w:p w:rsidR="00A55913" w:rsidRDefault="00A55913" w:rsidP="006449DA">
            <w:pPr>
              <w:spacing w:before="100" w:beforeAutospacing="1" w:after="100" w:afterAutospacing="1"/>
              <w:jc w:val="both"/>
            </w:pPr>
            <w:r>
              <w:t>R13,320</w:t>
            </w:r>
          </w:p>
        </w:tc>
      </w:tr>
      <w:tr w:rsidR="00A55913" w:rsidTr="00A55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85" w:type="dxa"/>
          <w:wAfter w:w="1327" w:type="dxa"/>
        </w:trPr>
        <w:tc>
          <w:tcPr>
            <w:tcW w:w="3226" w:type="dxa"/>
          </w:tcPr>
          <w:p w:rsidR="00A55913" w:rsidRDefault="00A55913" w:rsidP="006449DA">
            <w:pPr>
              <w:spacing w:before="100" w:beforeAutospacing="1" w:after="100" w:afterAutospacing="1"/>
              <w:jc w:val="both"/>
            </w:pPr>
          </w:p>
        </w:tc>
        <w:tc>
          <w:tcPr>
            <w:tcW w:w="2401" w:type="dxa"/>
          </w:tcPr>
          <w:p w:rsidR="00A55913" w:rsidRDefault="00A55913" w:rsidP="006449DA">
            <w:pPr>
              <w:spacing w:before="100" w:beforeAutospacing="1" w:after="100" w:afterAutospacing="1"/>
              <w:jc w:val="both"/>
            </w:pPr>
          </w:p>
        </w:tc>
        <w:tc>
          <w:tcPr>
            <w:tcW w:w="2401" w:type="dxa"/>
          </w:tcPr>
          <w:p w:rsidR="00A55913" w:rsidRDefault="00A55913" w:rsidP="006449DA">
            <w:pPr>
              <w:spacing w:before="100" w:beforeAutospacing="1" w:after="100" w:afterAutospacing="1"/>
              <w:jc w:val="both"/>
            </w:pPr>
          </w:p>
        </w:tc>
      </w:tr>
    </w:tbl>
    <w:p w:rsidR="00A55913" w:rsidRDefault="00A55913" w:rsidP="006449DA">
      <w:pPr>
        <w:tabs>
          <w:tab w:val="left" w:pos="567"/>
          <w:tab w:val="left" w:pos="7335"/>
        </w:tabs>
        <w:jc w:val="both"/>
        <w:rPr>
          <w:b/>
        </w:rPr>
      </w:pPr>
    </w:p>
    <w:p w:rsidR="00AA0547" w:rsidRPr="00AC253E" w:rsidRDefault="00AA0547" w:rsidP="006449DA">
      <w:pPr>
        <w:tabs>
          <w:tab w:val="left" w:pos="6930"/>
        </w:tabs>
        <w:spacing w:line="360" w:lineRule="auto"/>
        <w:jc w:val="both"/>
        <w:rPr>
          <w:rFonts w:ascii="Arial" w:hAnsi="Arial" w:cs="Arial"/>
          <w:b/>
        </w:rPr>
      </w:pPr>
      <w:bookmarkStart w:id="1" w:name="_Hlk68775548"/>
      <w:r>
        <w:rPr>
          <w:rFonts w:ascii="Arial" w:hAnsi="Arial" w:cs="Arial"/>
          <w:b/>
        </w:rPr>
        <w:t xml:space="preserve">According to the information received from </w:t>
      </w:r>
      <w:bookmarkEnd w:id="1"/>
      <w:r w:rsidR="002806D3">
        <w:rPr>
          <w:rFonts w:ascii="Arial" w:hAnsi="Arial" w:cs="Arial"/>
          <w:b/>
        </w:rPr>
        <w:t>Denel:</w:t>
      </w:r>
      <w:r w:rsidRPr="00AC253E">
        <w:rPr>
          <w:rFonts w:ascii="Arial" w:hAnsi="Arial" w:cs="Arial"/>
          <w:b/>
        </w:rPr>
        <w:tab/>
      </w:r>
    </w:p>
    <w:p w:rsidR="00AA0547" w:rsidRPr="00AC253E" w:rsidRDefault="00AA0547" w:rsidP="006449DA">
      <w:pPr>
        <w:pStyle w:val="Default"/>
        <w:spacing w:after="155" w:line="276" w:lineRule="auto"/>
        <w:ind w:left="720" w:hanging="720"/>
        <w:jc w:val="both"/>
        <w:rPr>
          <w:rFonts w:ascii="Arial" w:hAnsi="Arial" w:cs="Arial"/>
          <w:bCs/>
        </w:rPr>
      </w:pPr>
      <w:r w:rsidRPr="00AC253E">
        <w:rPr>
          <w:rFonts w:ascii="Arial" w:hAnsi="Arial" w:cs="Arial"/>
          <w:bCs/>
        </w:rPr>
        <w:t>(1)(a)</w:t>
      </w:r>
      <w:r w:rsidRPr="00AC253E">
        <w:rPr>
          <w:rFonts w:ascii="Arial" w:hAnsi="Arial" w:cs="Arial"/>
          <w:bCs/>
        </w:rPr>
        <w:tab/>
        <w:t xml:space="preserve">Denel, due to continued and prolonged liquidity challenges </w:t>
      </w:r>
      <w:proofErr w:type="gramStart"/>
      <w:r w:rsidRPr="00AC253E">
        <w:rPr>
          <w:rFonts w:ascii="Arial" w:hAnsi="Arial" w:cs="Arial"/>
          <w:bCs/>
        </w:rPr>
        <w:t>do</w:t>
      </w:r>
      <w:proofErr w:type="gramEnd"/>
      <w:r w:rsidRPr="00AC253E">
        <w:rPr>
          <w:rFonts w:ascii="Arial" w:hAnsi="Arial" w:cs="Arial"/>
          <w:bCs/>
        </w:rPr>
        <w:t xml:space="preserve"> not procure bulk bottled waters, milk etc. Cleaning material is part of the Cleaning contracts, which is a consequence of the competitive bidding process. </w:t>
      </w:r>
    </w:p>
    <w:p w:rsidR="00AA0547" w:rsidRPr="00AC253E" w:rsidRDefault="00AA0547" w:rsidP="006449DA">
      <w:pPr>
        <w:pStyle w:val="Default"/>
        <w:spacing w:after="155" w:line="276" w:lineRule="auto"/>
        <w:jc w:val="both"/>
        <w:rPr>
          <w:rFonts w:ascii="Arial" w:hAnsi="Arial" w:cs="Arial"/>
          <w:bCs/>
        </w:rPr>
      </w:pPr>
      <w:r w:rsidRPr="00AC253E">
        <w:rPr>
          <w:rFonts w:ascii="Arial" w:hAnsi="Arial" w:cs="Arial"/>
          <w:bCs/>
        </w:rPr>
        <w:t>(1)(b)</w:t>
      </w:r>
      <w:r w:rsidRPr="00AC253E">
        <w:rPr>
          <w:rFonts w:ascii="Arial" w:hAnsi="Arial" w:cs="Arial"/>
          <w:bCs/>
        </w:rPr>
        <w:tab/>
        <w:t>N/A</w:t>
      </w:r>
    </w:p>
    <w:p w:rsidR="00AA0547" w:rsidRPr="00AC253E" w:rsidRDefault="00AA0547" w:rsidP="006449DA">
      <w:pPr>
        <w:pStyle w:val="Default"/>
        <w:spacing w:after="155" w:line="276" w:lineRule="auto"/>
        <w:jc w:val="both"/>
        <w:rPr>
          <w:rFonts w:ascii="Arial" w:hAnsi="Arial" w:cs="Arial"/>
          <w:bCs/>
        </w:rPr>
      </w:pPr>
      <w:r w:rsidRPr="00AC253E">
        <w:rPr>
          <w:rFonts w:ascii="Arial" w:hAnsi="Arial" w:cs="Arial"/>
          <w:bCs/>
        </w:rPr>
        <w:lastRenderedPageBreak/>
        <w:t>(2)</w:t>
      </w:r>
      <w:r w:rsidRPr="00AC253E">
        <w:rPr>
          <w:rFonts w:ascii="Arial" w:hAnsi="Arial" w:cs="Arial"/>
          <w:bCs/>
        </w:rPr>
        <w:tab/>
        <w:t>N/A</w:t>
      </w:r>
    </w:p>
    <w:p w:rsidR="00105CBA" w:rsidRPr="00105CBA" w:rsidRDefault="00105CBA" w:rsidP="002806D3">
      <w:pPr>
        <w:spacing w:before="100" w:beforeAutospacing="1" w:after="100" w:afterAutospacing="1"/>
        <w:rPr>
          <w:rFonts w:ascii="Arial" w:hAnsi="Arial" w:cs="Arial"/>
          <w:b/>
        </w:rPr>
      </w:pPr>
      <w:r w:rsidRPr="00105CBA">
        <w:rPr>
          <w:rFonts w:ascii="Arial" w:hAnsi="Arial" w:cs="Arial"/>
          <w:b/>
        </w:rPr>
        <w:t>According to the information received from Eskom</w:t>
      </w:r>
    </w:p>
    <w:p w:rsidR="00105CBA" w:rsidRPr="00105CBA" w:rsidRDefault="00105CBA" w:rsidP="002806D3">
      <w:pPr>
        <w:widowControl w:val="0"/>
        <w:suppressAutoHyphens/>
        <w:jc w:val="both"/>
        <w:rPr>
          <w:rFonts w:ascii="Arial" w:hAnsi="Arial" w:cs="Arial"/>
          <w:u w:val="single"/>
        </w:rPr>
      </w:pPr>
      <w:r w:rsidRPr="00105CBA">
        <w:rPr>
          <w:rFonts w:ascii="Arial" w:hAnsi="Arial" w:cs="Arial"/>
          <w:u w:val="single"/>
        </w:rPr>
        <w:t>Background</w:t>
      </w:r>
    </w:p>
    <w:p w:rsidR="00105CBA" w:rsidRPr="00105CBA" w:rsidRDefault="00105CBA" w:rsidP="006449DA">
      <w:pPr>
        <w:widowControl w:val="0"/>
        <w:suppressAutoHyphens/>
        <w:ind w:left="284"/>
        <w:jc w:val="both"/>
        <w:rPr>
          <w:rFonts w:ascii="Arial" w:hAnsi="Arial" w:cs="Arial"/>
        </w:rPr>
      </w:pPr>
    </w:p>
    <w:p w:rsidR="00105CBA" w:rsidRPr="00105CBA" w:rsidRDefault="00105CBA" w:rsidP="002806D3">
      <w:pPr>
        <w:widowControl w:val="0"/>
        <w:suppressAutoHyphens/>
        <w:jc w:val="both"/>
        <w:rPr>
          <w:rFonts w:ascii="Arial" w:hAnsi="Arial" w:cs="Arial"/>
        </w:rPr>
      </w:pPr>
      <w:r w:rsidRPr="00105CBA">
        <w:rPr>
          <w:rFonts w:ascii="Arial" w:hAnsi="Arial" w:cs="Arial"/>
        </w:rPr>
        <w:t xml:space="preserve">Eskom’s Procurement and Supply Chain Management Procedure states that all prices paid need to be market related, thereby </w:t>
      </w:r>
      <w:proofErr w:type="spellStart"/>
      <w:r w:rsidRPr="00105CBA">
        <w:rPr>
          <w:rFonts w:ascii="Arial" w:hAnsi="Arial" w:cs="Arial"/>
        </w:rPr>
        <w:t>minimising</w:t>
      </w:r>
      <w:proofErr w:type="spellEnd"/>
      <w:r w:rsidRPr="00105CBA">
        <w:rPr>
          <w:rFonts w:ascii="Arial" w:hAnsi="Arial" w:cs="Arial"/>
        </w:rPr>
        <w:t xml:space="preserve"> the total cost of ownership. The cost of ownership may include items such as delivery, which could be included with each payment invoice.   Eskom has since introduced various mechanisms, namely Price Check, e-Auction, Cataloguing, etc., which </w:t>
      </w:r>
      <w:proofErr w:type="gramStart"/>
      <w:r w:rsidRPr="00105CBA">
        <w:rPr>
          <w:rFonts w:ascii="Arial" w:hAnsi="Arial" w:cs="Arial"/>
        </w:rPr>
        <w:t>are</w:t>
      </w:r>
      <w:proofErr w:type="gramEnd"/>
      <w:r w:rsidRPr="00105CBA">
        <w:rPr>
          <w:rFonts w:ascii="Arial" w:hAnsi="Arial" w:cs="Arial"/>
        </w:rPr>
        <w:t xml:space="preserve"> embedded in the procurement system to ensure that the principle of obtaining market related prices is adhered to across Operating Units. </w:t>
      </w:r>
    </w:p>
    <w:p w:rsidR="00105CBA" w:rsidRPr="00105CBA" w:rsidRDefault="00105CBA" w:rsidP="006449DA">
      <w:pPr>
        <w:ind w:left="284"/>
        <w:jc w:val="both"/>
        <w:rPr>
          <w:rFonts w:ascii="Arial" w:hAnsi="Arial" w:cs="Arial"/>
        </w:rPr>
      </w:pPr>
    </w:p>
    <w:p w:rsidR="00105CBA" w:rsidRPr="00105CBA" w:rsidRDefault="00105CBA" w:rsidP="002806D3">
      <w:pPr>
        <w:jc w:val="both"/>
        <w:rPr>
          <w:rFonts w:ascii="Arial" w:hAnsi="Arial" w:cs="Arial"/>
        </w:rPr>
      </w:pPr>
      <w:r w:rsidRPr="00105CBA">
        <w:rPr>
          <w:rFonts w:ascii="Arial" w:hAnsi="Arial" w:cs="Arial"/>
        </w:rPr>
        <w:t xml:space="preserve">The data used to calculate the estimate for Eskom’s spend per unit on a basket of recurring consumables such as bottled water, toilet paper, milk, cleaning products and implements was extracted from SAP based on the text descriptions.  </w:t>
      </w:r>
    </w:p>
    <w:p w:rsidR="00105CBA" w:rsidRPr="00105CBA" w:rsidRDefault="00105CBA" w:rsidP="006449DA">
      <w:pPr>
        <w:ind w:left="284"/>
        <w:jc w:val="both"/>
        <w:rPr>
          <w:rFonts w:ascii="Arial" w:hAnsi="Arial" w:cs="Arial"/>
        </w:rPr>
      </w:pPr>
    </w:p>
    <w:p w:rsidR="00105CBA" w:rsidRPr="00105CBA" w:rsidRDefault="00105CBA" w:rsidP="002806D3">
      <w:pPr>
        <w:jc w:val="both"/>
        <w:rPr>
          <w:rFonts w:ascii="Arial" w:hAnsi="Arial" w:cs="Arial"/>
        </w:rPr>
      </w:pPr>
      <w:r w:rsidRPr="00105CBA">
        <w:rPr>
          <w:rFonts w:ascii="Arial" w:hAnsi="Arial" w:cs="Arial"/>
        </w:rPr>
        <w:t>Eskom systems capture information at invoice level not per unit price.  In order to respond to this question</w:t>
      </w:r>
      <w:r w:rsidR="007C7442">
        <w:rPr>
          <w:rFonts w:ascii="Arial" w:hAnsi="Arial" w:cs="Arial"/>
        </w:rPr>
        <w:t>,</w:t>
      </w:r>
      <w:r w:rsidRPr="00105CBA">
        <w:rPr>
          <w:rFonts w:ascii="Arial" w:hAnsi="Arial" w:cs="Arial"/>
        </w:rPr>
        <w:t xml:space="preserve"> Eskom undertook a manual exercise in order </w:t>
      </w:r>
      <w:r w:rsidR="007C7442">
        <w:rPr>
          <w:rFonts w:ascii="Arial" w:hAnsi="Arial" w:cs="Arial"/>
        </w:rPr>
        <w:t xml:space="preserve">to </w:t>
      </w:r>
      <w:r w:rsidRPr="00105CBA">
        <w:rPr>
          <w:rFonts w:ascii="Arial" w:hAnsi="Arial" w:cs="Arial"/>
        </w:rPr>
        <w:t xml:space="preserve">remove items that are not related to the question, and obtained feedback at local level i.e. stations, operating units and offices. </w:t>
      </w:r>
    </w:p>
    <w:p w:rsidR="00105CBA" w:rsidRPr="00105CBA" w:rsidRDefault="00105CBA" w:rsidP="006449DA">
      <w:pPr>
        <w:widowControl w:val="0"/>
        <w:suppressAutoHyphens/>
        <w:jc w:val="both"/>
        <w:rPr>
          <w:rFonts w:ascii="Arial" w:hAnsi="Arial" w:cs="Arial"/>
        </w:rPr>
      </w:pPr>
    </w:p>
    <w:p w:rsidR="00105CBA" w:rsidRPr="00105CBA" w:rsidRDefault="00105CBA" w:rsidP="006449DA">
      <w:pPr>
        <w:widowControl w:val="0"/>
        <w:numPr>
          <w:ilvl w:val="0"/>
          <w:numId w:val="16"/>
        </w:numPr>
        <w:tabs>
          <w:tab w:val="left" w:pos="1134"/>
        </w:tabs>
        <w:suppressAutoHyphens/>
        <w:contextualSpacing/>
        <w:jc w:val="both"/>
        <w:rPr>
          <w:rFonts w:ascii="Arial" w:hAnsi="Arial" w:cs="Arial"/>
        </w:rPr>
      </w:pPr>
      <w:r w:rsidRPr="00105CBA">
        <w:rPr>
          <w:rFonts w:ascii="Arial" w:hAnsi="Arial" w:cs="Arial"/>
          <w:lang w:val="en-ZA"/>
        </w:rPr>
        <w:t>(a)</w:t>
      </w:r>
      <w:r w:rsidRPr="00105CBA">
        <w:rPr>
          <w:rFonts w:ascii="Arial" w:hAnsi="Arial" w:cs="Arial"/>
          <w:lang w:val="en-ZA"/>
        </w:rPr>
        <w:tab/>
      </w:r>
      <w:r w:rsidRPr="00105CBA">
        <w:rPr>
          <w:rFonts w:ascii="Arial" w:hAnsi="Arial" w:cs="Arial"/>
        </w:rPr>
        <w:t xml:space="preserve">The outcome of an exercise undertaken to determine a reasonable estimate </w:t>
      </w:r>
      <w:r w:rsidRPr="00105CBA">
        <w:rPr>
          <w:rFonts w:ascii="Arial" w:hAnsi="Arial" w:cs="Arial"/>
          <w:lang w:val="en-ZA"/>
        </w:rPr>
        <w:t xml:space="preserve">for </w:t>
      </w:r>
      <w:r w:rsidRPr="00105CBA">
        <w:rPr>
          <w:rFonts w:ascii="Arial" w:hAnsi="Arial" w:cs="Arial"/>
          <w:lang w:val="en-ZA"/>
        </w:rPr>
        <w:tab/>
        <w:t xml:space="preserve">Eskom’s spend per unit on a basket of recurring consumables, such as bottled </w:t>
      </w:r>
      <w:r w:rsidRPr="00105CBA">
        <w:rPr>
          <w:rFonts w:ascii="Arial" w:hAnsi="Arial" w:cs="Arial"/>
          <w:lang w:val="en-ZA"/>
        </w:rPr>
        <w:tab/>
        <w:t xml:space="preserve">water, toilet paper, milk, cleaning products and implements, is summarised in </w:t>
      </w:r>
      <w:r w:rsidRPr="00105CBA">
        <w:rPr>
          <w:rFonts w:ascii="Arial" w:hAnsi="Arial" w:cs="Arial"/>
          <w:lang w:val="en-ZA"/>
        </w:rPr>
        <w:tab/>
        <w:t xml:space="preserve">Table 1 below.  The total spend in April 2020 to February 2020 was R15.6 million </w:t>
      </w:r>
      <w:r w:rsidRPr="00105CBA">
        <w:rPr>
          <w:rFonts w:ascii="Arial" w:hAnsi="Arial" w:cs="Arial"/>
          <w:lang w:val="en-ZA"/>
        </w:rPr>
        <w:tab/>
        <w:t>- 47% less than the 2019/20 financial year spend.</w:t>
      </w:r>
    </w:p>
    <w:p w:rsidR="00105CBA" w:rsidRPr="00105CBA" w:rsidRDefault="00105CBA" w:rsidP="006449DA">
      <w:pPr>
        <w:widowControl w:val="0"/>
        <w:suppressAutoHyphens/>
        <w:jc w:val="both"/>
        <w:rPr>
          <w:rFonts w:ascii="Arial" w:hAnsi="Arial" w:cs="Arial"/>
        </w:rPr>
      </w:pPr>
    </w:p>
    <w:tbl>
      <w:tblPr>
        <w:tblStyle w:val="TableGrid"/>
        <w:tblW w:w="9497" w:type="dxa"/>
        <w:tblInd w:w="279" w:type="dxa"/>
        <w:tblLook w:val="04A0"/>
      </w:tblPr>
      <w:tblGrid>
        <w:gridCol w:w="3549"/>
        <w:gridCol w:w="1190"/>
        <w:gridCol w:w="2078"/>
        <w:gridCol w:w="2680"/>
      </w:tblGrid>
      <w:tr w:rsidR="00105CBA" w:rsidRPr="00105CBA" w:rsidTr="00A83842">
        <w:trPr>
          <w:trHeight w:val="616"/>
        </w:trPr>
        <w:tc>
          <w:tcPr>
            <w:tcW w:w="3549" w:type="dxa"/>
            <w:shd w:val="clear" w:color="auto" w:fill="BFBFBF" w:themeFill="background1" w:themeFillShade="BF"/>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Category</w:t>
            </w:r>
          </w:p>
        </w:tc>
        <w:tc>
          <w:tcPr>
            <w:tcW w:w="1190" w:type="dxa"/>
            <w:shd w:val="clear" w:color="auto" w:fill="BFBFBF" w:themeFill="background1" w:themeFillShade="BF"/>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Currency</w:t>
            </w:r>
          </w:p>
        </w:tc>
        <w:tc>
          <w:tcPr>
            <w:tcW w:w="2078" w:type="dxa"/>
            <w:shd w:val="clear" w:color="auto" w:fill="BFBFBF" w:themeFill="background1" w:themeFillShade="BF"/>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FY 2019/20</w:t>
            </w:r>
          </w:p>
        </w:tc>
        <w:tc>
          <w:tcPr>
            <w:tcW w:w="2680" w:type="dxa"/>
            <w:shd w:val="clear" w:color="auto" w:fill="BFBFBF" w:themeFill="background1" w:themeFillShade="BF"/>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1 April 2020 to 28 February 2021</w:t>
            </w:r>
          </w:p>
        </w:tc>
      </w:tr>
      <w:tr w:rsidR="00105CBA" w:rsidRPr="00105CBA" w:rsidTr="00A83842">
        <w:trPr>
          <w:trHeight w:val="301"/>
        </w:trPr>
        <w:tc>
          <w:tcPr>
            <w:tcW w:w="3549" w:type="dxa"/>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Milk</w:t>
            </w:r>
          </w:p>
        </w:tc>
        <w:tc>
          <w:tcPr>
            <w:tcW w:w="1190" w:type="dxa"/>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ZAR</w:t>
            </w:r>
          </w:p>
        </w:tc>
        <w:tc>
          <w:tcPr>
            <w:tcW w:w="2078" w:type="dxa"/>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 xml:space="preserve">        16 955 622 </w:t>
            </w:r>
          </w:p>
        </w:tc>
        <w:tc>
          <w:tcPr>
            <w:tcW w:w="2680" w:type="dxa"/>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 xml:space="preserve">          7 194 810 </w:t>
            </w:r>
          </w:p>
        </w:tc>
      </w:tr>
      <w:tr w:rsidR="00105CBA" w:rsidRPr="00105CBA" w:rsidTr="00A83842">
        <w:trPr>
          <w:trHeight w:val="301"/>
        </w:trPr>
        <w:tc>
          <w:tcPr>
            <w:tcW w:w="3549" w:type="dxa"/>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Toilet paper</w:t>
            </w:r>
          </w:p>
        </w:tc>
        <w:tc>
          <w:tcPr>
            <w:tcW w:w="1190" w:type="dxa"/>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ZAR</w:t>
            </w:r>
          </w:p>
        </w:tc>
        <w:tc>
          <w:tcPr>
            <w:tcW w:w="2078" w:type="dxa"/>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 xml:space="preserve">          5 560 989 </w:t>
            </w:r>
          </w:p>
        </w:tc>
        <w:tc>
          <w:tcPr>
            <w:tcW w:w="2680" w:type="dxa"/>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 xml:space="preserve">          2 804 401 </w:t>
            </w:r>
          </w:p>
        </w:tc>
      </w:tr>
      <w:tr w:rsidR="00105CBA" w:rsidRPr="00105CBA" w:rsidTr="00A83842">
        <w:trPr>
          <w:trHeight w:val="301"/>
        </w:trPr>
        <w:tc>
          <w:tcPr>
            <w:tcW w:w="3549" w:type="dxa"/>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Bottled water</w:t>
            </w:r>
          </w:p>
        </w:tc>
        <w:tc>
          <w:tcPr>
            <w:tcW w:w="1190" w:type="dxa"/>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ZAR</w:t>
            </w:r>
          </w:p>
        </w:tc>
        <w:tc>
          <w:tcPr>
            <w:tcW w:w="2078" w:type="dxa"/>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 xml:space="preserve">             382 566 </w:t>
            </w:r>
          </w:p>
        </w:tc>
        <w:tc>
          <w:tcPr>
            <w:tcW w:w="2680" w:type="dxa"/>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 xml:space="preserve">             258 627 </w:t>
            </w:r>
          </w:p>
        </w:tc>
      </w:tr>
      <w:tr w:rsidR="00105CBA" w:rsidRPr="00105CBA" w:rsidTr="00A83842">
        <w:trPr>
          <w:trHeight w:val="301"/>
        </w:trPr>
        <w:tc>
          <w:tcPr>
            <w:tcW w:w="3549" w:type="dxa"/>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Cleaning products and implements</w:t>
            </w:r>
          </w:p>
        </w:tc>
        <w:tc>
          <w:tcPr>
            <w:tcW w:w="1190" w:type="dxa"/>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ZAR</w:t>
            </w:r>
          </w:p>
        </w:tc>
        <w:tc>
          <w:tcPr>
            <w:tcW w:w="2078" w:type="dxa"/>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 xml:space="preserve">          6 456 299 </w:t>
            </w:r>
          </w:p>
        </w:tc>
        <w:tc>
          <w:tcPr>
            <w:tcW w:w="2680" w:type="dxa"/>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 xml:space="preserve">          5 383 989 </w:t>
            </w:r>
          </w:p>
        </w:tc>
      </w:tr>
      <w:tr w:rsidR="00105CBA" w:rsidRPr="00105CBA" w:rsidTr="00A83842">
        <w:trPr>
          <w:trHeight w:val="301"/>
        </w:trPr>
        <w:tc>
          <w:tcPr>
            <w:tcW w:w="3549" w:type="dxa"/>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Total</w:t>
            </w:r>
          </w:p>
        </w:tc>
        <w:tc>
          <w:tcPr>
            <w:tcW w:w="1190" w:type="dxa"/>
            <w:noWrap/>
            <w:hideMark/>
          </w:tcPr>
          <w:p w:rsidR="00105CBA" w:rsidRPr="00105CBA" w:rsidRDefault="00105CBA" w:rsidP="006449DA">
            <w:pPr>
              <w:widowControl w:val="0"/>
              <w:suppressAutoHyphens/>
              <w:jc w:val="both"/>
              <w:rPr>
                <w:rFonts w:ascii="Arial" w:hAnsi="Arial" w:cs="Arial"/>
                <w:lang w:val="en-US" w:eastAsia="en-US"/>
              </w:rPr>
            </w:pPr>
          </w:p>
        </w:tc>
        <w:tc>
          <w:tcPr>
            <w:tcW w:w="2078" w:type="dxa"/>
            <w:noWrap/>
            <w:hideMark/>
          </w:tcPr>
          <w:p w:rsidR="00105CBA" w:rsidRPr="00105CBA" w:rsidRDefault="00105CBA" w:rsidP="006449DA">
            <w:pPr>
              <w:widowControl w:val="0"/>
              <w:suppressAutoHyphens/>
              <w:jc w:val="both"/>
              <w:rPr>
                <w:rFonts w:ascii="Arial" w:hAnsi="Arial" w:cs="Arial"/>
                <w:lang w:val="en-US" w:eastAsia="en-US"/>
              </w:rPr>
            </w:pPr>
            <w:r w:rsidRPr="00105CBA">
              <w:rPr>
                <w:rFonts w:ascii="Arial" w:hAnsi="Arial" w:cs="Arial"/>
                <w:lang w:val="en-US" w:eastAsia="en-US"/>
              </w:rPr>
              <w:t xml:space="preserve">        29 355 476 </w:t>
            </w:r>
          </w:p>
        </w:tc>
        <w:tc>
          <w:tcPr>
            <w:tcW w:w="2680" w:type="dxa"/>
            <w:noWrap/>
            <w:hideMark/>
          </w:tcPr>
          <w:p w:rsidR="00105CBA" w:rsidRPr="00105CBA" w:rsidRDefault="00105CBA" w:rsidP="006449DA">
            <w:pPr>
              <w:keepNext/>
              <w:widowControl w:val="0"/>
              <w:suppressAutoHyphens/>
              <w:jc w:val="both"/>
              <w:rPr>
                <w:rFonts w:ascii="Arial" w:hAnsi="Arial" w:cs="Arial"/>
                <w:lang w:val="en-US" w:eastAsia="en-US"/>
              </w:rPr>
            </w:pPr>
            <w:r w:rsidRPr="00105CBA">
              <w:rPr>
                <w:rFonts w:ascii="Arial" w:hAnsi="Arial" w:cs="Arial"/>
                <w:lang w:val="en-US" w:eastAsia="en-US"/>
              </w:rPr>
              <w:t xml:space="preserve">        15 641 827 </w:t>
            </w:r>
          </w:p>
        </w:tc>
      </w:tr>
    </w:tbl>
    <w:p w:rsidR="00105CBA" w:rsidRPr="00105CBA" w:rsidRDefault="00105CBA" w:rsidP="006449DA">
      <w:pPr>
        <w:spacing w:after="200"/>
        <w:ind w:left="284"/>
        <w:jc w:val="both"/>
        <w:rPr>
          <w:rFonts w:ascii="Arial" w:hAnsi="Arial" w:cs="Arial"/>
        </w:rPr>
      </w:pPr>
      <w:r w:rsidRPr="00105CBA">
        <w:rPr>
          <w:rFonts w:ascii="Arial" w:hAnsi="Arial" w:cs="Arial"/>
        </w:rPr>
        <w:t xml:space="preserve">Table </w:t>
      </w:r>
      <w:r w:rsidR="00696671" w:rsidRPr="00105CBA">
        <w:rPr>
          <w:rFonts w:ascii="Arial" w:hAnsi="Arial" w:cs="Arial"/>
        </w:rPr>
        <w:fldChar w:fldCharType="begin"/>
      </w:r>
      <w:r w:rsidRPr="00105CBA">
        <w:rPr>
          <w:rFonts w:ascii="Arial" w:hAnsi="Arial" w:cs="Arial"/>
        </w:rPr>
        <w:instrText xml:space="preserve"> SEQ Figure \* ARABIC </w:instrText>
      </w:r>
      <w:r w:rsidR="00696671" w:rsidRPr="00105CBA">
        <w:rPr>
          <w:rFonts w:ascii="Arial" w:hAnsi="Arial" w:cs="Arial"/>
        </w:rPr>
        <w:fldChar w:fldCharType="separate"/>
      </w:r>
      <w:r w:rsidRPr="00105CBA">
        <w:rPr>
          <w:rFonts w:ascii="Arial" w:hAnsi="Arial" w:cs="Arial"/>
          <w:noProof/>
        </w:rPr>
        <w:t>1</w:t>
      </w:r>
      <w:r w:rsidR="00696671" w:rsidRPr="00105CBA">
        <w:rPr>
          <w:rFonts w:ascii="Arial" w:hAnsi="Arial" w:cs="Arial"/>
        </w:rPr>
        <w:fldChar w:fldCharType="end"/>
      </w:r>
      <w:r w:rsidRPr="00105CBA">
        <w:rPr>
          <w:rFonts w:ascii="Arial" w:hAnsi="Arial" w:cs="Arial"/>
        </w:rPr>
        <w:t>: Total spend on bottled water, toilet paper, milk, cleaning products and implements</w:t>
      </w:r>
    </w:p>
    <w:p w:rsidR="00105CBA" w:rsidRPr="00105CBA" w:rsidRDefault="00105CBA" w:rsidP="006449DA">
      <w:pPr>
        <w:widowControl w:val="0"/>
        <w:suppressAutoHyphens/>
        <w:jc w:val="both"/>
        <w:rPr>
          <w:rFonts w:ascii="Arial" w:hAnsi="Arial" w:cs="Arial"/>
        </w:rPr>
      </w:pPr>
    </w:p>
    <w:p w:rsidR="00105CBA" w:rsidRPr="00105CBA" w:rsidRDefault="00105CBA" w:rsidP="006449DA">
      <w:pPr>
        <w:widowControl w:val="0"/>
        <w:suppressAutoHyphens/>
        <w:ind w:left="284"/>
        <w:jc w:val="both"/>
        <w:rPr>
          <w:rFonts w:ascii="Arial" w:hAnsi="Arial" w:cs="Arial"/>
        </w:rPr>
      </w:pPr>
      <w:r w:rsidRPr="00105CBA">
        <w:rPr>
          <w:rFonts w:ascii="Arial" w:hAnsi="Arial" w:cs="Arial"/>
        </w:rPr>
        <w:t>81.47% of the transactions for the last financial year were procured using the local purchase order (LPO)</w:t>
      </w:r>
    </w:p>
    <w:p w:rsidR="00105CBA" w:rsidRPr="00105CBA" w:rsidRDefault="00105CBA" w:rsidP="006449DA">
      <w:pPr>
        <w:widowControl w:val="0"/>
        <w:suppressAutoHyphens/>
        <w:jc w:val="both"/>
        <w:rPr>
          <w:rFonts w:ascii="Arial" w:hAnsi="Arial" w:cs="Arial"/>
        </w:rPr>
      </w:pPr>
    </w:p>
    <w:p w:rsidR="00105CBA" w:rsidRPr="00105CBA" w:rsidRDefault="00105CBA" w:rsidP="006449DA">
      <w:pPr>
        <w:numPr>
          <w:ilvl w:val="0"/>
          <w:numId w:val="14"/>
        </w:numPr>
        <w:autoSpaceDE w:val="0"/>
        <w:autoSpaceDN w:val="0"/>
        <w:adjustRightInd w:val="0"/>
        <w:ind w:left="851" w:hanging="567"/>
        <w:jc w:val="both"/>
        <w:rPr>
          <w:rFonts w:ascii="Arial" w:hAnsi="Arial" w:cs="Arial"/>
        </w:rPr>
      </w:pPr>
      <w:r w:rsidRPr="00105CBA">
        <w:rPr>
          <w:rFonts w:ascii="Arial" w:hAnsi="Arial" w:cs="Arial"/>
        </w:rPr>
        <w:t xml:space="preserve">According to Eskom Procurement Procedure 32-1034, LPO is a procurement mechanism to be used by an accredited LPO-buyer to procure specific confined categories of goods and services in accordance with the prescribed Delegation of Authority Policy thresholds. The LPO is seen to procure specific confined categories of goods and services below the value of R26 000, excluding VAT. </w:t>
      </w:r>
    </w:p>
    <w:p w:rsidR="00105CBA" w:rsidRPr="00105CBA" w:rsidRDefault="00105CBA" w:rsidP="006449DA">
      <w:pPr>
        <w:widowControl w:val="0"/>
        <w:suppressAutoHyphens/>
        <w:ind w:left="851" w:hanging="567"/>
        <w:jc w:val="both"/>
        <w:rPr>
          <w:rFonts w:ascii="Arial" w:hAnsi="Arial" w:cs="Arial"/>
        </w:rPr>
      </w:pPr>
    </w:p>
    <w:p w:rsidR="00105CBA" w:rsidRPr="00105CBA" w:rsidRDefault="00105CBA" w:rsidP="006449DA">
      <w:pPr>
        <w:widowControl w:val="0"/>
        <w:numPr>
          <w:ilvl w:val="0"/>
          <w:numId w:val="14"/>
        </w:numPr>
        <w:suppressAutoHyphens/>
        <w:ind w:left="851" w:hanging="567"/>
        <w:contextualSpacing/>
        <w:jc w:val="both"/>
        <w:rPr>
          <w:rFonts w:ascii="Arial" w:hAnsi="Arial" w:cs="Arial"/>
        </w:rPr>
      </w:pPr>
      <w:proofErr w:type="gramStart"/>
      <w:r w:rsidRPr="00105CBA">
        <w:rPr>
          <w:rFonts w:ascii="Arial" w:hAnsi="Arial" w:cs="Arial"/>
        </w:rPr>
        <w:t>The spend</w:t>
      </w:r>
      <w:proofErr w:type="gramEnd"/>
      <w:r w:rsidRPr="00105CBA">
        <w:rPr>
          <w:rFonts w:ascii="Arial" w:hAnsi="Arial" w:cs="Arial"/>
        </w:rPr>
        <w:t xml:space="preserve"> on these items is considered as ‘low value’, and most spend is not on long term contracts. This is as a result of Eskom’s footprint across multiple sites, across the country.  Further these items are procured locally, preferably local to site, in order to support to local business.  </w:t>
      </w:r>
    </w:p>
    <w:p w:rsidR="00105CBA" w:rsidRPr="00105CBA" w:rsidRDefault="00105CBA" w:rsidP="006449DA">
      <w:pPr>
        <w:widowControl w:val="0"/>
        <w:suppressAutoHyphens/>
        <w:ind w:left="851" w:hanging="567"/>
        <w:jc w:val="both"/>
        <w:rPr>
          <w:rFonts w:ascii="Arial" w:hAnsi="Arial" w:cs="Arial"/>
        </w:rPr>
      </w:pPr>
    </w:p>
    <w:p w:rsidR="00105CBA" w:rsidRPr="00105CBA" w:rsidRDefault="00105CBA" w:rsidP="006449DA">
      <w:pPr>
        <w:widowControl w:val="0"/>
        <w:numPr>
          <w:ilvl w:val="0"/>
          <w:numId w:val="14"/>
        </w:numPr>
        <w:suppressAutoHyphens/>
        <w:ind w:left="851" w:hanging="567"/>
        <w:contextualSpacing/>
        <w:jc w:val="both"/>
        <w:rPr>
          <w:rFonts w:ascii="Arial" w:hAnsi="Arial" w:cs="Arial"/>
        </w:rPr>
      </w:pPr>
      <w:r w:rsidRPr="00105CBA">
        <w:rPr>
          <w:rFonts w:ascii="Arial" w:hAnsi="Arial" w:cs="Arial"/>
        </w:rPr>
        <w:t xml:space="preserve">Since LPO is the main procurement mechanism used, the transaction captured on the system could only reflect the total amount paid. This means the unit data is not </w:t>
      </w:r>
      <w:proofErr w:type="spellStart"/>
      <w:r w:rsidRPr="00105CBA">
        <w:rPr>
          <w:rFonts w:ascii="Arial" w:hAnsi="Arial" w:cs="Arial"/>
        </w:rPr>
        <w:t>standardised</w:t>
      </w:r>
      <w:proofErr w:type="spellEnd"/>
      <w:r w:rsidRPr="00105CBA">
        <w:rPr>
          <w:rFonts w:ascii="Arial" w:hAnsi="Arial" w:cs="Arial"/>
        </w:rPr>
        <w:t xml:space="preserve"> and could include varying unit sizes e.g.  20litres of milk, a six pack or 1 </w:t>
      </w:r>
      <w:proofErr w:type="spellStart"/>
      <w:r w:rsidRPr="00105CBA">
        <w:rPr>
          <w:rFonts w:ascii="Arial" w:hAnsi="Arial" w:cs="Arial"/>
        </w:rPr>
        <w:t>litre</w:t>
      </w:r>
      <w:proofErr w:type="spellEnd"/>
      <w:r w:rsidRPr="00105CBA">
        <w:rPr>
          <w:rFonts w:ascii="Arial" w:hAnsi="Arial" w:cs="Arial"/>
        </w:rPr>
        <w:t>.  This applies to cleaning materials.</w:t>
      </w:r>
    </w:p>
    <w:p w:rsidR="00105CBA" w:rsidRPr="00105CBA" w:rsidRDefault="00105CBA" w:rsidP="006449DA">
      <w:pPr>
        <w:widowControl w:val="0"/>
        <w:suppressAutoHyphens/>
        <w:jc w:val="both"/>
        <w:rPr>
          <w:rFonts w:ascii="Arial" w:hAnsi="Arial" w:cs="Arial"/>
        </w:rPr>
      </w:pPr>
    </w:p>
    <w:p w:rsidR="00105CBA" w:rsidRPr="00105CBA" w:rsidRDefault="00105CBA" w:rsidP="006449DA">
      <w:pPr>
        <w:widowControl w:val="0"/>
        <w:suppressAutoHyphens/>
        <w:ind w:left="851" w:hanging="567"/>
        <w:jc w:val="both"/>
        <w:rPr>
          <w:rFonts w:ascii="Arial" w:hAnsi="Arial" w:cs="Arial"/>
        </w:rPr>
      </w:pPr>
      <w:r w:rsidRPr="00105CBA">
        <w:rPr>
          <w:rFonts w:ascii="Arial" w:hAnsi="Arial" w:cs="Arial"/>
        </w:rPr>
        <w:t>(b)</w:t>
      </w:r>
      <w:r w:rsidRPr="00105CBA">
        <w:rPr>
          <w:rFonts w:ascii="Arial" w:hAnsi="Arial" w:cs="Arial"/>
        </w:rPr>
        <w:tab/>
        <w:t xml:space="preserve">A total of 1646 transactions were identified for the period 1 April 2020 to 28 February 2021 and 73%, i.e. 1215 transactions, were </w:t>
      </w:r>
      <w:proofErr w:type="spellStart"/>
      <w:r w:rsidRPr="00105CBA">
        <w:rPr>
          <w:rFonts w:ascii="Arial" w:hAnsi="Arial" w:cs="Arial"/>
        </w:rPr>
        <w:t>analysed</w:t>
      </w:r>
      <w:proofErr w:type="spellEnd"/>
      <w:r w:rsidRPr="00105CBA">
        <w:rPr>
          <w:rFonts w:ascii="Arial" w:hAnsi="Arial" w:cs="Arial"/>
        </w:rPr>
        <w:t xml:space="preserve"> further.</w:t>
      </w:r>
    </w:p>
    <w:p w:rsidR="00105CBA" w:rsidRPr="00105CBA" w:rsidRDefault="00105CBA" w:rsidP="006449DA">
      <w:pPr>
        <w:widowControl w:val="0"/>
        <w:suppressAutoHyphens/>
        <w:jc w:val="both"/>
        <w:rPr>
          <w:rFonts w:ascii="Arial" w:hAnsi="Arial" w:cs="Arial"/>
        </w:rPr>
      </w:pPr>
    </w:p>
    <w:p w:rsidR="00105CBA" w:rsidRPr="00105CBA" w:rsidRDefault="00105CBA" w:rsidP="006449DA">
      <w:pPr>
        <w:widowControl w:val="0"/>
        <w:suppressAutoHyphens/>
        <w:ind w:left="284"/>
        <w:jc w:val="both"/>
        <w:rPr>
          <w:rFonts w:ascii="Arial" w:hAnsi="Arial" w:cs="Arial"/>
        </w:rPr>
      </w:pPr>
      <w:r w:rsidRPr="00105CBA">
        <w:rPr>
          <w:rFonts w:ascii="Arial" w:hAnsi="Arial" w:cs="Arial"/>
        </w:rPr>
        <w:t xml:space="preserve">In terms of wholesale or retail prices, the results of the price comparison are as set out in Table 2. </w:t>
      </w:r>
    </w:p>
    <w:p w:rsidR="00105CBA" w:rsidRPr="00105CBA" w:rsidRDefault="00105CBA" w:rsidP="006449DA">
      <w:pPr>
        <w:widowControl w:val="0"/>
        <w:suppressAutoHyphens/>
        <w:jc w:val="both"/>
        <w:rPr>
          <w:rFonts w:ascii="Arial" w:hAnsi="Arial" w:cs="Arial"/>
        </w:rPr>
      </w:pPr>
    </w:p>
    <w:p w:rsidR="00105CBA" w:rsidRPr="00105CBA" w:rsidRDefault="00105CBA" w:rsidP="006449DA">
      <w:pPr>
        <w:widowControl w:val="0"/>
        <w:suppressAutoHyphens/>
        <w:ind w:left="284"/>
        <w:jc w:val="both"/>
        <w:rPr>
          <w:rFonts w:ascii="Arial" w:hAnsi="Arial" w:cs="Arial"/>
        </w:rPr>
      </w:pPr>
      <w:r w:rsidRPr="00105CBA">
        <w:rPr>
          <w:rFonts w:ascii="Arial" w:hAnsi="Arial" w:cs="Arial"/>
        </w:rPr>
        <w:t xml:space="preserve">Eskom notes that the unit prices paid </w:t>
      </w:r>
      <w:proofErr w:type="gramStart"/>
      <w:r w:rsidRPr="00105CBA">
        <w:rPr>
          <w:rFonts w:ascii="Arial" w:hAnsi="Arial" w:cs="Arial"/>
        </w:rPr>
        <w:t>are</w:t>
      </w:r>
      <w:proofErr w:type="gramEnd"/>
      <w:r w:rsidRPr="00105CBA">
        <w:rPr>
          <w:rFonts w:ascii="Arial" w:hAnsi="Arial" w:cs="Arial"/>
        </w:rPr>
        <w:t xml:space="preserve"> above market rates.</w:t>
      </w:r>
      <w:r w:rsidR="00694BEF">
        <w:rPr>
          <w:rFonts w:ascii="Arial" w:hAnsi="Arial" w:cs="Arial"/>
        </w:rPr>
        <w:t xml:space="preserve"> This is being attended to. </w:t>
      </w:r>
    </w:p>
    <w:p w:rsidR="00105CBA" w:rsidRPr="00105CBA" w:rsidRDefault="00105CBA" w:rsidP="006449DA">
      <w:pPr>
        <w:widowControl w:val="0"/>
        <w:suppressAutoHyphens/>
        <w:jc w:val="both"/>
        <w:rPr>
          <w:rFonts w:ascii="Arial" w:hAnsi="Arial" w:cs="Arial"/>
        </w:rPr>
      </w:pPr>
    </w:p>
    <w:p w:rsidR="00105CBA" w:rsidRPr="00105CBA" w:rsidRDefault="00105CBA" w:rsidP="006449DA">
      <w:pPr>
        <w:keepNext/>
        <w:widowControl w:val="0"/>
        <w:suppressAutoHyphens/>
        <w:jc w:val="both"/>
        <w:rPr>
          <w:rFonts w:ascii="Arial" w:hAnsi="Arial" w:cs="Arial"/>
        </w:rPr>
      </w:pPr>
      <w:r w:rsidRPr="00105CBA">
        <w:rPr>
          <w:rFonts w:ascii="Arial" w:hAnsi="Arial" w:cs="Arial"/>
          <w:noProof/>
          <w:lang w:val="en-ZA" w:eastAsia="en-ZA"/>
        </w:rPr>
        <w:drawing>
          <wp:inline distT="0" distB="0" distL="0" distR="0">
            <wp:extent cx="6543675" cy="3024919"/>
            <wp:effectExtent l="0" t="0" r="0" b="4445"/>
            <wp:docPr id="4" name="Picture 4" descr="cid:image007.png@01D73828.C49F9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73828.C49F9900"/>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9270" cy="3032128"/>
                    </a:xfrm>
                    <a:prstGeom prst="rect">
                      <a:avLst/>
                    </a:prstGeom>
                    <a:noFill/>
                    <a:ln>
                      <a:noFill/>
                    </a:ln>
                  </pic:spPr>
                </pic:pic>
              </a:graphicData>
            </a:graphic>
          </wp:inline>
        </w:drawing>
      </w:r>
    </w:p>
    <w:p w:rsidR="00105CBA" w:rsidRPr="00105CBA" w:rsidRDefault="00105CBA" w:rsidP="006449DA">
      <w:pPr>
        <w:spacing w:after="200"/>
        <w:ind w:left="284"/>
        <w:jc w:val="both"/>
        <w:rPr>
          <w:rFonts w:ascii="Arial" w:hAnsi="Arial" w:cs="Arial"/>
        </w:rPr>
      </w:pPr>
      <w:r w:rsidRPr="00105CBA">
        <w:rPr>
          <w:rFonts w:ascii="Arial" w:hAnsi="Arial" w:cs="Arial"/>
        </w:rPr>
        <w:t>Table 2: Price comparison for bottled water, toilet paper, milk, cleaning products and implements</w:t>
      </w:r>
    </w:p>
    <w:p w:rsidR="00105CBA" w:rsidRPr="00105CBA" w:rsidRDefault="00105CBA" w:rsidP="006449DA">
      <w:pPr>
        <w:widowControl w:val="0"/>
        <w:suppressAutoHyphens/>
        <w:jc w:val="both"/>
        <w:rPr>
          <w:rFonts w:ascii="Arial" w:hAnsi="Arial" w:cs="Arial"/>
        </w:rPr>
      </w:pPr>
    </w:p>
    <w:p w:rsidR="00105CBA" w:rsidRPr="00105CBA" w:rsidRDefault="00105CBA" w:rsidP="006449DA">
      <w:pPr>
        <w:widowControl w:val="0"/>
        <w:suppressAutoHyphens/>
        <w:ind w:left="284"/>
        <w:jc w:val="both"/>
        <w:rPr>
          <w:rFonts w:ascii="Arial" w:hAnsi="Arial" w:cs="Arial"/>
        </w:rPr>
      </w:pPr>
      <w:r w:rsidRPr="00105CBA">
        <w:rPr>
          <w:rFonts w:ascii="Arial" w:hAnsi="Arial" w:cs="Arial"/>
        </w:rPr>
        <w:t>In terms of cleaning products and implements:</w:t>
      </w:r>
    </w:p>
    <w:p w:rsidR="00105CBA" w:rsidRPr="00105CBA" w:rsidRDefault="00105CBA" w:rsidP="006449DA">
      <w:pPr>
        <w:widowControl w:val="0"/>
        <w:numPr>
          <w:ilvl w:val="0"/>
          <w:numId w:val="15"/>
        </w:numPr>
        <w:suppressAutoHyphens/>
        <w:contextualSpacing/>
        <w:jc w:val="both"/>
        <w:rPr>
          <w:rFonts w:ascii="Arial" w:hAnsi="Arial" w:cs="Arial"/>
        </w:rPr>
      </w:pPr>
      <w:r w:rsidRPr="00105CBA">
        <w:rPr>
          <w:rFonts w:ascii="Arial" w:hAnsi="Arial" w:cs="Arial"/>
        </w:rPr>
        <w:t xml:space="preserve">Cleaning services are mostly procured as a combined service including </w:t>
      </w:r>
      <w:proofErr w:type="spellStart"/>
      <w:r w:rsidRPr="00105CBA">
        <w:rPr>
          <w:rFonts w:ascii="Arial" w:hAnsi="Arial" w:cs="Arial"/>
        </w:rPr>
        <w:t>labour</w:t>
      </w:r>
      <w:proofErr w:type="spellEnd"/>
      <w:r w:rsidRPr="00105CBA">
        <w:rPr>
          <w:rFonts w:ascii="Arial" w:hAnsi="Arial" w:cs="Arial"/>
        </w:rPr>
        <w:t xml:space="preserve">, material and </w:t>
      </w:r>
      <w:proofErr w:type="gramStart"/>
      <w:r w:rsidRPr="00105CBA">
        <w:rPr>
          <w:rFonts w:ascii="Arial" w:hAnsi="Arial" w:cs="Arial"/>
        </w:rPr>
        <w:t>equipment,</w:t>
      </w:r>
      <w:proofErr w:type="gramEnd"/>
      <w:r w:rsidRPr="00105CBA">
        <w:rPr>
          <w:rFonts w:ascii="Arial" w:hAnsi="Arial" w:cs="Arial"/>
        </w:rPr>
        <w:t xml:space="preserve"> therefore it is not easy to identify cleaning products and implements costs.</w:t>
      </w:r>
    </w:p>
    <w:p w:rsidR="00105CBA" w:rsidRPr="00105CBA" w:rsidRDefault="00105CBA" w:rsidP="006449DA">
      <w:pPr>
        <w:widowControl w:val="0"/>
        <w:suppressAutoHyphens/>
        <w:jc w:val="both"/>
        <w:rPr>
          <w:rFonts w:ascii="Arial" w:hAnsi="Arial" w:cs="Arial"/>
        </w:rPr>
      </w:pPr>
    </w:p>
    <w:p w:rsidR="00105CBA" w:rsidRPr="00105CBA" w:rsidRDefault="00105CBA" w:rsidP="006449DA">
      <w:pPr>
        <w:widowControl w:val="0"/>
        <w:numPr>
          <w:ilvl w:val="0"/>
          <w:numId w:val="15"/>
        </w:numPr>
        <w:suppressAutoHyphens/>
        <w:contextualSpacing/>
        <w:jc w:val="both"/>
        <w:rPr>
          <w:rFonts w:ascii="Arial" w:hAnsi="Arial" w:cs="Arial"/>
        </w:rPr>
      </w:pPr>
      <w:r w:rsidRPr="00105CBA">
        <w:rPr>
          <w:rFonts w:ascii="Arial" w:hAnsi="Arial" w:cs="Arial"/>
        </w:rPr>
        <w:t>There are other costs included in the transactions such as transport and delivery cost. Therefore the individual items could not be rolled up accurately.</w:t>
      </w:r>
    </w:p>
    <w:p w:rsidR="00105CBA" w:rsidRPr="00105CBA" w:rsidRDefault="00105CBA" w:rsidP="006449DA">
      <w:pPr>
        <w:widowControl w:val="0"/>
        <w:suppressAutoHyphens/>
        <w:jc w:val="both"/>
        <w:rPr>
          <w:rFonts w:ascii="Arial" w:hAnsi="Arial" w:cs="Arial"/>
        </w:rPr>
      </w:pPr>
    </w:p>
    <w:p w:rsidR="00105CBA" w:rsidRPr="00105CBA" w:rsidRDefault="00105CBA" w:rsidP="006449DA">
      <w:pPr>
        <w:widowControl w:val="0"/>
        <w:numPr>
          <w:ilvl w:val="0"/>
          <w:numId w:val="16"/>
        </w:numPr>
        <w:suppressAutoHyphens/>
        <w:ind w:left="709" w:hanging="425"/>
        <w:contextualSpacing/>
        <w:jc w:val="both"/>
        <w:rPr>
          <w:rFonts w:ascii="Arial" w:hAnsi="Arial" w:cs="Arial"/>
          <w:lang w:val="en-ZA"/>
        </w:rPr>
      </w:pPr>
      <w:r w:rsidRPr="00105CBA">
        <w:rPr>
          <w:rFonts w:ascii="Arial" w:hAnsi="Arial" w:cs="Arial"/>
          <w:lang w:val="en-ZA"/>
        </w:rPr>
        <w:t>Eskom’ spend per unit on a basket of recurring consumables such as bottled water, toilet paper, milk, cleaning products and implements is a very small portion (less than 0.01%) of the total spend. Therefore it should not be extrapolated across the total spend, to make any conclusions on the rest of the Eskom spend.</w:t>
      </w:r>
    </w:p>
    <w:p w:rsidR="00105CBA" w:rsidRPr="00105CBA" w:rsidRDefault="00105CBA" w:rsidP="006449DA">
      <w:pPr>
        <w:widowControl w:val="0"/>
        <w:suppressAutoHyphens/>
        <w:jc w:val="both"/>
        <w:rPr>
          <w:rFonts w:ascii="Arial" w:hAnsi="Arial" w:cs="Arial"/>
        </w:rPr>
      </w:pPr>
    </w:p>
    <w:p w:rsidR="00105CBA" w:rsidRPr="00105CBA" w:rsidRDefault="00105CBA" w:rsidP="006449DA">
      <w:pPr>
        <w:widowControl w:val="0"/>
        <w:suppressAutoHyphens/>
        <w:ind w:left="284"/>
        <w:jc w:val="both"/>
        <w:rPr>
          <w:rFonts w:ascii="Arial" w:hAnsi="Arial" w:cs="Arial"/>
        </w:rPr>
      </w:pPr>
      <w:r w:rsidRPr="00105CBA">
        <w:rPr>
          <w:rFonts w:ascii="Arial" w:hAnsi="Arial" w:cs="Arial"/>
        </w:rPr>
        <w:t xml:space="preserve">The analysis presented above has been shared with the business and guidance on LPO usage will be provided to the business, since it is monitored at local level.  </w:t>
      </w:r>
    </w:p>
    <w:p w:rsidR="00105CBA" w:rsidRPr="00105CBA" w:rsidRDefault="00105CBA" w:rsidP="006449DA">
      <w:pPr>
        <w:widowControl w:val="0"/>
        <w:suppressAutoHyphens/>
        <w:ind w:left="284"/>
        <w:jc w:val="both"/>
        <w:rPr>
          <w:rFonts w:ascii="Arial" w:hAnsi="Arial" w:cs="Arial"/>
        </w:rPr>
      </w:pPr>
    </w:p>
    <w:p w:rsidR="00105CBA" w:rsidRPr="00105CBA" w:rsidRDefault="00105CBA" w:rsidP="006449DA">
      <w:pPr>
        <w:widowControl w:val="0"/>
        <w:suppressAutoHyphens/>
        <w:ind w:left="284"/>
        <w:jc w:val="both"/>
        <w:rPr>
          <w:rFonts w:ascii="Arial" w:hAnsi="Arial" w:cs="Arial"/>
        </w:rPr>
      </w:pPr>
      <w:r w:rsidRPr="00105CBA">
        <w:rPr>
          <w:rFonts w:ascii="Arial" w:hAnsi="Arial" w:cs="Arial"/>
        </w:rPr>
        <w:t>Overall, the exercise did not reveal issues that would impact on cash flow and profitability.</w:t>
      </w:r>
    </w:p>
    <w:p w:rsidR="00105CBA" w:rsidRDefault="00105CBA" w:rsidP="006449DA">
      <w:pPr>
        <w:widowControl w:val="0"/>
        <w:suppressAutoHyphens/>
        <w:jc w:val="both"/>
        <w:rPr>
          <w:rFonts w:ascii="Arial" w:hAnsi="Arial" w:cs="Arial"/>
          <w:u w:val="single"/>
        </w:rPr>
      </w:pPr>
    </w:p>
    <w:p w:rsidR="00784B7D" w:rsidRDefault="00AA0547" w:rsidP="003F2FF3">
      <w:pPr>
        <w:spacing w:before="100" w:beforeAutospacing="1" w:after="100" w:afterAutospacing="1"/>
        <w:jc w:val="both"/>
        <w:rPr>
          <w:rFonts w:ascii="Arial" w:hAnsi="Arial" w:cs="Arial"/>
          <w:b/>
        </w:rPr>
      </w:pPr>
      <w:bookmarkStart w:id="2" w:name="_Hlk68775755"/>
      <w:r>
        <w:rPr>
          <w:rFonts w:ascii="Arial" w:hAnsi="Arial" w:cs="Arial"/>
          <w:b/>
        </w:rPr>
        <w:t>According to the information received from</w:t>
      </w:r>
      <w:bookmarkEnd w:id="2"/>
      <w:r>
        <w:rPr>
          <w:rFonts w:ascii="Arial" w:hAnsi="Arial" w:cs="Arial"/>
          <w:b/>
        </w:rPr>
        <w:t xml:space="preserve"> </w:t>
      </w:r>
      <w:proofErr w:type="gramStart"/>
      <w:r w:rsidR="00484B27">
        <w:rPr>
          <w:rFonts w:ascii="Arial" w:hAnsi="Arial" w:cs="Arial"/>
          <w:b/>
        </w:rPr>
        <w:t>SAFCOL :</w:t>
      </w:r>
      <w:proofErr w:type="gramEnd"/>
    </w:p>
    <w:p w:rsidR="00A74C67" w:rsidRPr="00777B4F" w:rsidRDefault="00A74C67" w:rsidP="006449DA">
      <w:pPr>
        <w:jc w:val="both"/>
        <w:rPr>
          <w:rFonts w:ascii="Arial" w:eastAsiaTheme="minorHAnsi" w:hAnsi="Arial" w:cs="Arial"/>
          <w:b/>
          <w:szCs w:val="22"/>
        </w:rPr>
      </w:pPr>
      <w:r w:rsidRPr="00777B4F">
        <w:rPr>
          <w:rFonts w:ascii="Arial" w:eastAsiaTheme="minorHAnsi" w:hAnsi="Arial" w:cs="Arial"/>
          <w:b/>
          <w:szCs w:val="22"/>
        </w:rPr>
        <w:t>1 (a) SAFCOL procurement (2019/2020 FY)</w:t>
      </w:r>
    </w:p>
    <w:p w:rsidR="00A74C67" w:rsidRPr="00C60F91" w:rsidRDefault="00A74C67" w:rsidP="006449DA">
      <w:pPr>
        <w:jc w:val="both"/>
        <w:rPr>
          <w:rFonts w:ascii="Arial" w:eastAsiaTheme="minorHAnsi" w:hAnsi="Arial" w:cs="Arial"/>
          <w:szCs w:val="22"/>
        </w:rPr>
      </w:pPr>
    </w:p>
    <w:tbl>
      <w:tblPr>
        <w:tblStyle w:val="TableGrid1"/>
        <w:tblW w:w="10485" w:type="dxa"/>
        <w:tblLook w:val="04A0"/>
      </w:tblPr>
      <w:tblGrid>
        <w:gridCol w:w="2146"/>
        <w:gridCol w:w="2385"/>
        <w:gridCol w:w="1985"/>
        <w:gridCol w:w="3969"/>
      </w:tblGrid>
      <w:tr w:rsidR="00A74C67" w:rsidRPr="00C60F91" w:rsidTr="00462B41">
        <w:tc>
          <w:tcPr>
            <w:tcW w:w="2146" w:type="dxa"/>
            <w:shd w:val="clear" w:color="auto" w:fill="BFBFBF" w:themeFill="background1" w:themeFillShade="BF"/>
          </w:tcPr>
          <w:p w:rsidR="00A74C67" w:rsidRPr="00C60F91" w:rsidRDefault="00A74C67" w:rsidP="006449DA">
            <w:pPr>
              <w:jc w:val="both"/>
              <w:rPr>
                <w:rFonts w:ascii="Arial" w:hAnsi="Arial" w:cs="Arial"/>
                <w:b/>
              </w:rPr>
            </w:pPr>
            <w:r w:rsidRPr="00C60F91">
              <w:rPr>
                <w:rFonts w:ascii="Arial" w:hAnsi="Arial" w:cs="Arial"/>
                <w:b/>
              </w:rPr>
              <w:t xml:space="preserve">Bottled Water 500l </w:t>
            </w:r>
          </w:p>
        </w:tc>
        <w:tc>
          <w:tcPr>
            <w:tcW w:w="2385" w:type="dxa"/>
            <w:shd w:val="clear" w:color="auto" w:fill="BFBFBF" w:themeFill="background1" w:themeFillShade="BF"/>
          </w:tcPr>
          <w:p w:rsidR="00A74C67" w:rsidRPr="00C60F91" w:rsidRDefault="00A74C67" w:rsidP="006449DA">
            <w:pPr>
              <w:jc w:val="both"/>
              <w:rPr>
                <w:rFonts w:ascii="Arial" w:hAnsi="Arial" w:cs="Arial"/>
                <w:b/>
              </w:rPr>
            </w:pPr>
            <w:r w:rsidRPr="00C60F91">
              <w:rPr>
                <w:rFonts w:ascii="Arial" w:hAnsi="Arial" w:cs="Arial"/>
                <w:b/>
              </w:rPr>
              <w:t xml:space="preserve">Toilet Paper one ply pack 24 </w:t>
            </w:r>
          </w:p>
        </w:tc>
        <w:tc>
          <w:tcPr>
            <w:tcW w:w="1985" w:type="dxa"/>
            <w:shd w:val="clear" w:color="auto" w:fill="BFBFBF" w:themeFill="background1" w:themeFillShade="BF"/>
          </w:tcPr>
          <w:p w:rsidR="00A74C67" w:rsidRPr="00C60F91" w:rsidRDefault="00A74C67" w:rsidP="006449DA">
            <w:pPr>
              <w:jc w:val="both"/>
              <w:rPr>
                <w:rFonts w:ascii="Arial" w:hAnsi="Arial" w:cs="Arial"/>
                <w:b/>
              </w:rPr>
            </w:pPr>
            <w:r w:rsidRPr="00C60F91">
              <w:rPr>
                <w:rFonts w:ascii="Arial" w:hAnsi="Arial" w:cs="Arial"/>
                <w:b/>
              </w:rPr>
              <w:t>Milk 1Litre</w:t>
            </w:r>
          </w:p>
        </w:tc>
        <w:tc>
          <w:tcPr>
            <w:tcW w:w="3969" w:type="dxa"/>
            <w:shd w:val="clear" w:color="auto" w:fill="BFBFBF" w:themeFill="background1" w:themeFillShade="BF"/>
          </w:tcPr>
          <w:p w:rsidR="00A74C67" w:rsidRPr="00C60F91" w:rsidRDefault="00A74C67" w:rsidP="006449DA">
            <w:pPr>
              <w:jc w:val="both"/>
              <w:rPr>
                <w:rFonts w:ascii="Arial" w:hAnsi="Arial" w:cs="Arial"/>
                <w:b/>
              </w:rPr>
            </w:pPr>
            <w:r w:rsidRPr="00C60F91">
              <w:rPr>
                <w:rFonts w:ascii="Arial" w:hAnsi="Arial" w:cs="Arial"/>
                <w:b/>
              </w:rPr>
              <w:t>Cleaning Products</w:t>
            </w:r>
          </w:p>
        </w:tc>
      </w:tr>
      <w:tr w:rsidR="00A74C67" w:rsidRPr="00C60F91" w:rsidTr="00462B41">
        <w:tc>
          <w:tcPr>
            <w:tcW w:w="2146" w:type="dxa"/>
            <w:shd w:val="clear" w:color="auto" w:fill="BFBFBF" w:themeFill="background1" w:themeFillShade="BF"/>
          </w:tcPr>
          <w:p w:rsidR="00A74C67" w:rsidRPr="00C60F91" w:rsidRDefault="00A74C67" w:rsidP="006449DA">
            <w:pPr>
              <w:jc w:val="both"/>
              <w:rPr>
                <w:rFonts w:ascii="Arial" w:hAnsi="Arial" w:cs="Arial"/>
                <w:b/>
              </w:rPr>
            </w:pPr>
            <w:r w:rsidRPr="00C60F91">
              <w:rPr>
                <w:rFonts w:ascii="Arial" w:hAnsi="Arial" w:cs="Arial"/>
                <w:b/>
              </w:rPr>
              <w:t>Average Unit Price</w:t>
            </w:r>
          </w:p>
        </w:tc>
        <w:tc>
          <w:tcPr>
            <w:tcW w:w="2385" w:type="dxa"/>
            <w:shd w:val="clear" w:color="auto" w:fill="BFBFBF" w:themeFill="background1" w:themeFillShade="BF"/>
          </w:tcPr>
          <w:p w:rsidR="00A74C67" w:rsidRPr="00C60F91" w:rsidRDefault="00A74C67" w:rsidP="006449DA">
            <w:pPr>
              <w:jc w:val="both"/>
              <w:rPr>
                <w:rFonts w:ascii="Arial" w:hAnsi="Arial" w:cs="Arial"/>
                <w:b/>
              </w:rPr>
            </w:pPr>
            <w:r w:rsidRPr="00C60F91">
              <w:rPr>
                <w:rFonts w:ascii="Arial" w:hAnsi="Arial" w:cs="Arial"/>
                <w:b/>
              </w:rPr>
              <w:t>Average Unit Price</w:t>
            </w:r>
          </w:p>
        </w:tc>
        <w:tc>
          <w:tcPr>
            <w:tcW w:w="1985" w:type="dxa"/>
            <w:shd w:val="clear" w:color="auto" w:fill="BFBFBF" w:themeFill="background1" w:themeFillShade="BF"/>
          </w:tcPr>
          <w:p w:rsidR="00A74C67" w:rsidRPr="00C60F91" w:rsidRDefault="00A74C67" w:rsidP="006449DA">
            <w:pPr>
              <w:jc w:val="both"/>
              <w:rPr>
                <w:rFonts w:ascii="Arial" w:hAnsi="Arial" w:cs="Arial"/>
                <w:b/>
              </w:rPr>
            </w:pPr>
            <w:r w:rsidRPr="00C60F91">
              <w:rPr>
                <w:rFonts w:ascii="Arial" w:hAnsi="Arial" w:cs="Arial"/>
                <w:b/>
              </w:rPr>
              <w:t>Average Unit Price</w:t>
            </w:r>
          </w:p>
        </w:tc>
        <w:tc>
          <w:tcPr>
            <w:tcW w:w="3969" w:type="dxa"/>
            <w:shd w:val="clear" w:color="auto" w:fill="BFBFBF" w:themeFill="background1" w:themeFillShade="BF"/>
          </w:tcPr>
          <w:p w:rsidR="00A74C67" w:rsidRPr="00C60F91" w:rsidRDefault="00A74C67" w:rsidP="006449DA">
            <w:pPr>
              <w:jc w:val="both"/>
              <w:rPr>
                <w:rFonts w:ascii="Arial" w:hAnsi="Arial" w:cs="Arial"/>
                <w:b/>
              </w:rPr>
            </w:pPr>
            <w:r w:rsidRPr="00C60F91">
              <w:rPr>
                <w:rFonts w:ascii="Arial" w:hAnsi="Arial" w:cs="Arial"/>
                <w:b/>
              </w:rPr>
              <w:t>Average Unit Price</w:t>
            </w:r>
          </w:p>
        </w:tc>
      </w:tr>
      <w:tr w:rsidR="00A74C67" w:rsidRPr="00C60F91" w:rsidTr="00462B41">
        <w:tc>
          <w:tcPr>
            <w:tcW w:w="2146" w:type="dxa"/>
          </w:tcPr>
          <w:p w:rsidR="00A74C67" w:rsidRPr="00C60F91" w:rsidRDefault="00A74C67" w:rsidP="006449DA">
            <w:pPr>
              <w:jc w:val="both"/>
              <w:rPr>
                <w:rFonts w:ascii="Arial" w:hAnsi="Arial" w:cs="Arial"/>
              </w:rPr>
            </w:pPr>
            <w:r w:rsidRPr="00C60F91">
              <w:rPr>
                <w:rFonts w:ascii="Arial" w:hAnsi="Arial" w:cs="Arial"/>
              </w:rPr>
              <w:t>R12.00</w:t>
            </w:r>
          </w:p>
        </w:tc>
        <w:tc>
          <w:tcPr>
            <w:tcW w:w="2385" w:type="dxa"/>
          </w:tcPr>
          <w:p w:rsidR="00A74C67" w:rsidRPr="00C60F91" w:rsidRDefault="00A74C67" w:rsidP="006449DA">
            <w:pPr>
              <w:jc w:val="both"/>
              <w:rPr>
                <w:rFonts w:ascii="Arial" w:hAnsi="Arial" w:cs="Arial"/>
              </w:rPr>
            </w:pPr>
            <w:r w:rsidRPr="00C60F91">
              <w:rPr>
                <w:rFonts w:ascii="Arial" w:hAnsi="Arial" w:cs="Arial"/>
              </w:rPr>
              <w:t>R290.00</w:t>
            </w:r>
          </w:p>
        </w:tc>
        <w:tc>
          <w:tcPr>
            <w:tcW w:w="1985" w:type="dxa"/>
          </w:tcPr>
          <w:p w:rsidR="00A74C67" w:rsidRPr="00C60F91" w:rsidRDefault="00A74C67" w:rsidP="006449DA">
            <w:pPr>
              <w:jc w:val="both"/>
              <w:rPr>
                <w:rFonts w:ascii="Arial" w:hAnsi="Arial" w:cs="Arial"/>
              </w:rPr>
            </w:pPr>
            <w:r w:rsidRPr="00C60F91">
              <w:rPr>
                <w:rFonts w:ascii="Arial" w:hAnsi="Arial" w:cs="Arial"/>
              </w:rPr>
              <w:t>R18.00</w:t>
            </w:r>
          </w:p>
        </w:tc>
        <w:tc>
          <w:tcPr>
            <w:tcW w:w="3969" w:type="dxa"/>
          </w:tcPr>
          <w:p w:rsidR="00A74C67" w:rsidRPr="00C60F91" w:rsidRDefault="00A74C67" w:rsidP="006449DA">
            <w:pPr>
              <w:jc w:val="both"/>
              <w:rPr>
                <w:rFonts w:ascii="Arial" w:hAnsi="Arial" w:cs="Arial"/>
              </w:rPr>
            </w:pPr>
            <w:r w:rsidRPr="00C60F91">
              <w:rPr>
                <w:rFonts w:ascii="Arial" w:hAnsi="Arial" w:cs="Arial"/>
              </w:rPr>
              <w:t>Handy Andy 750ML=R30.00</w:t>
            </w:r>
          </w:p>
          <w:p w:rsidR="00A74C67" w:rsidRPr="00C60F91" w:rsidRDefault="00A74C67" w:rsidP="006449DA">
            <w:pPr>
              <w:jc w:val="both"/>
              <w:rPr>
                <w:rFonts w:ascii="Arial" w:hAnsi="Arial" w:cs="Arial"/>
              </w:rPr>
            </w:pPr>
            <w:r w:rsidRPr="00C60F91">
              <w:rPr>
                <w:rFonts w:ascii="Arial" w:hAnsi="Arial" w:cs="Arial"/>
              </w:rPr>
              <w:lastRenderedPageBreak/>
              <w:t>Pine Gel 5Litre         =R180.00</w:t>
            </w:r>
          </w:p>
          <w:p w:rsidR="00A74C67" w:rsidRPr="00C60F91" w:rsidRDefault="00A74C67" w:rsidP="006449DA">
            <w:pPr>
              <w:jc w:val="both"/>
              <w:rPr>
                <w:rFonts w:ascii="Arial" w:hAnsi="Arial" w:cs="Arial"/>
              </w:rPr>
            </w:pPr>
            <w:r w:rsidRPr="00C60F91">
              <w:rPr>
                <w:rFonts w:ascii="Arial" w:hAnsi="Arial" w:cs="Arial"/>
              </w:rPr>
              <w:t>Bleach 5 Litre           =R70.00</w:t>
            </w:r>
          </w:p>
          <w:p w:rsidR="00A74C67" w:rsidRPr="00C60F91" w:rsidRDefault="00A74C67" w:rsidP="006449DA">
            <w:pPr>
              <w:jc w:val="both"/>
              <w:rPr>
                <w:rFonts w:ascii="Arial" w:hAnsi="Arial" w:cs="Arial"/>
              </w:rPr>
            </w:pPr>
            <w:proofErr w:type="spellStart"/>
            <w:r w:rsidRPr="00C60F91">
              <w:rPr>
                <w:rFonts w:ascii="Arial" w:hAnsi="Arial" w:cs="Arial"/>
              </w:rPr>
              <w:t>Domestos</w:t>
            </w:r>
            <w:proofErr w:type="spellEnd"/>
            <w:r w:rsidRPr="00C60F91">
              <w:rPr>
                <w:rFonts w:ascii="Arial" w:hAnsi="Arial" w:cs="Arial"/>
              </w:rPr>
              <w:t xml:space="preserve"> 5 Litre   = R150.00</w:t>
            </w:r>
          </w:p>
        </w:tc>
      </w:tr>
      <w:tr w:rsidR="00A74C67" w:rsidRPr="00C60F91" w:rsidTr="00462B41">
        <w:tc>
          <w:tcPr>
            <w:tcW w:w="2146" w:type="dxa"/>
          </w:tcPr>
          <w:p w:rsidR="00A74C67" w:rsidRPr="00C60F91" w:rsidRDefault="00A74C67" w:rsidP="006449DA">
            <w:pPr>
              <w:jc w:val="both"/>
              <w:rPr>
                <w:rFonts w:ascii="Arial" w:hAnsi="Arial" w:cs="Arial"/>
              </w:rPr>
            </w:pPr>
            <w:r w:rsidRPr="00C60F91">
              <w:rPr>
                <w:rFonts w:ascii="Arial" w:hAnsi="Arial" w:cs="Arial"/>
              </w:rPr>
              <w:lastRenderedPageBreak/>
              <w:t>Total Spend for the Financial Year</w:t>
            </w:r>
          </w:p>
          <w:p w:rsidR="00A74C67" w:rsidRPr="00C60F91" w:rsidRDefault="00A74C67" w:rsidP="006449DA">
            <w:pPr>
              <w:jc w:val="both"/>
              <w:rPr>
                <w:rFonts w:ascii="Arial" w:hAnsi="Arial" w:cs="Arial"/>
                <w:b/>
              </w:rPr>
            </w:pPr>
            <w:r w:rsidRPr="00C60F91">
              <w:rPr>
                <w:rFonts w:ascii="Arial" w:hAnsi="Arial" w:cs="Arial"/>
                <w:b/>
              </w:rPr>
              <w:t>R3 000.00</w:t>
            </w:r>
          </w:p>
        </w:tc>
        <w:tc>
          <w:tcPr>
            <w:tcW w:w="2385" w:type="dxa"/>
          </w:tcPr>
          <w:p w:rsidR="00A74C67" w:rsidRPr="00C60F91" w:rsidRDefault="00A74C67" w:rsidP="006449DA">
            <w:pPr>
              <w:jc w:val="both"/>
              <w:rPr>
                <w:rFonts w:ascii="Arial" w:hAnsi="Arial" w:cs="Arial"/>
              </w:rPr>
            </w:pPr>
            <w:r w:rsidRPr="00C60F91">
              <w:rPr>
                <w:rFonts w:ascii="Arial" w:hAnsi="Arial" w:cs="Arial"/>
              </w:rPr>
              <w:t>Total Spend for the Financial Year</w:t>
            </w:r>
          </w:p>
          <w:p w:rsidR="00A74C67" w:rsidRPr="00C60F91" w:rsidRDefault="00A74C67" w:rsidP="006449DA">
            <w:pPr>
              <w:jc w:val="both"/>
              <w:rPr>
                <w:rFonts w:ascii="Arial" w:hAnsi="Arial" w:cs="Arial"/>
                <w:b/>
              </w:rPr>
            </w:pPr>
            <w:r w:rsidRPr="00C60F91">
              <w:rPr>
                <w:rFonts w:ascii="Arial" w:hAnsi="Arial" w:cs="Arial"/>
                <w:b/>
              </w:rPr>
              <w:t>R120 000.00</w:t>
            </w:r>
          </w:p>
        </w:tc>
        <w:tc>
          <w:tcPr>
            <w:tcW w:w="1985" w:type="dxa"/>
          </w:tcPr>
          <w:p w:rsidR="00A74C67" w:rsidRDefault="00A74C67" w:rsidP="006449DA">
            <w:pPr>
              <w:jc w:val="both"/>
              <w:rPr>
                <w:rFonts w:ascii="Arial" w:hAnsi="Arial" w:cs="Arial"/>
                <w:b/>
              </w:rPr>
            </w:pPr>
            <w:r w:rsidRPr="00C60F91">
              <w:rPr>
                <w:rFonts w:ascii="Arial" w:hAnsi="Arial" w:cs="Arial"/>
              </w:rPr>
              <w:t>Total Spend for the Financial Year</w:t>
            </w:r>
          </w:p>
          <w:p w:rsidR="00A74C67" w:rsidRPr="00C60F91" w:rsidRDefault="00A74C67" w:rsidP="006449DA">
            <w:pPr>
              <w:jc w:val="both"/>
              <w:rPr>
                <w:rFonts w:ascii="Arial" w:hAnsi="Arial" w:cs="Arial"/>
                <w:b/>
              </w:rPr>
            </w:pPr>
            <w:r w:rsidRPr="00C60F91">
              <w:rPr>
                <w:rFonts w:ascii="Arial" w:hAnsi="Arial" w:cs="Arial"/>
                <w:b/>
              </w:rPr>
              <w:t>R15 000.00</w:t>
            </w:r>
          </w:p>
        </w:tc>
        <w:tc>
          <w:tcPr>
            <w:tcW w:w="3969" w:type="dxa"/>
          </w:tcPr>
          <w:p w:rsidR="00A74C67" w:rsidRPr="00C60F91" w:rsidRDefault="00A74C67" w:rsidP="006449DA">
            <w:pPr>
              <w:jc w:val="both"/>
              <w:rPr>
                <w:rFonts w:ascii="Arial" w:hAnsi="Arial" w:cs="Arial"/>
              </w:rPr>
            </w:pPr>
            <w:r w:rsidRPr="00C60F91">
              <w:rPr>
                <w:rFonts w:ascii="Arial" w:hAnsi="Arial" w:cs="Arial"/>
              </w:rPr>
              <w:t>Total Spend for the Financial Year</w:t>
            </w:r>
          </w:p>
          <w:p w:rsidR="00A74C67" w:rsidRPr="00C60F91" w:rsidRDefault="00A74C67" w:rsidP="006449DA">
            <w:pPr>
              <w:jc w:val="both"/>
              <w:rPr>
                <w:rFonts w:ascii="Arial" w:hAnsi="Arial" w:cs="Arial"/>
              </w:rPr>
            </w:pPr>
          </w:p>
          <w:p w:rsidR="00A74C67" w:rsidRPr="00C60F91" w:rsidRDefault="00A74C67" w:rsidP="006449DA">
            <w:pPr>
              <w:jc w:val="both"/>
              <w:rPr>
                <w:rFonts w:ascii="Arial" w:hAnsi="Arial" w:cs="Arial"/>
                <w:b/>
              </w:rPr>
            </w:pPr>
            <w:r w:rsidRPr="00C60F91">
              <w:rPr>
                <w:rFonts w:ascii="Arial" w:hAnsi="Arial" w:cs="Arial"/>
                <w:b/>
              </w:rPr>
              <w:t>R70 000</w:t>
            </w:r>
          </w:p>
        </w:tc>
      </w:tr>
    </w:tbl>
    <w:p w:rsidR="00A74C67" w:rsidRPr="00C60F91" w:rsidRDefault="00A74C67" w:rsidP="006449DA">
      <w:pPr>
        <w:jc w:val="both"/>
        <w:rPr>
          <w:rFonts w:ascii="Arial" w:eastAsiaTheme="minorHAnsi" w:hAnsi="Arial" w:cs="Arial"/>
          <w:szCs w:val="22"/>
          <w:lang w:val="en-ZA"/>
        </w:rPr>
      </w:pPr>
    </w:p>
    <w:p w:rsidR="00A74C67" w:rsidRPr="00C60F91" w:rsidRDefault="00A74C67" w:rsidP="006449DA">
      <w:pPr>
        <w:jc w:val="both"/>
        <w:rPr>
          <w:rFonts w:ascii="Arial" w:eastAsiaTheme="minorHAnsi" w:hAnsi="Arial" w:cs="Arial"/>
          <w:szCs w:val="22"/>
          <w:lang w:val="en-ZA"/>
        </w:rPr>
      </w:pPr>
    </w:p>
    <w:p w:rsidR="00A74C67" w:rsidRPr="003F2FF3" w:rsidRDefault="00A74C67" w:rsidP="006449DA">
      <w:pPr>
        <w:jc w:val="both"/>
        <w:rPr>
          <w:rFonts w:ascii="Arial" w:eastAsiaTheme="minorHAnsi" w:hAnsi="Arial" w:cs="Arial"/>
          <w:b/>
          <w:szCs w:val="22"/>
        </w:rPr>
      </w:pPr>
      <w:r w:rsidRPr="003F2FF3">
        <w:rPr>
          <w:rFonts w:ascii="Arial" w:eastAsiaTheme="minorHAnsi" w:hAnsi="Arial" w:cs="Arial"/>
          <w:b/>
          <w:szCs w:val="22"/>
        </w:rPr>
        <w:t>1(b) Wholesale prices (2019/2020 FY)</w:t>
      </w:r>
    </w:p>
    <w:p w:rsidR="00A74C67" w:rsidRPr="00C60F91" w:rsidRDefault="00A74C67" w:rsidP="006449DA">
      <w:pPr>
        <w:jc w:val="both"/>
        <w:rPr>
          <w:rFonts w:ascii="Arial" w:eastAsiaTheme="minorHAnsi" w:hAnsi="Arial" w:cs="Arial"/>
          <w:szCs w:val="22"/>
          <w:u w:val="single"/>
        </w:rPr>
      </w:pPr>
    </w:p>
    <w:tbl>
      <w:tblPr>
        <w:tblStyle w:val="TableGrid1"/>
        <w:tblW w:w="10485" w:type="dxa"/>
        <w:tblLook w:val="04A0"/>
      </w:tblPr>
      <w:tblGrid>
        <w:gridCol w:w="1696"/>
        <w:gridCol w:w="1948"/>
        <w:gridCol w:w="2033"/>
        <w:gridCol w:w="1800"/>
        <w:gridCol w:w="3008"/>
      </w:tblGrid>
      <w:tr w:rsidR="00A74C67" w:rsidRPr="00C60F91" w:rsidTr="00462B41">
        <w:tc>
          <w:tcPr>
            <w:tcW w:w="1696" w:type="dxa"/>
            <w:shd w:val="clear" w:color="auto" w:fill="BFBFBF" w:themeFill="background1" w:themeFillShade="BF"/>
          </w:tcPr>
          <w:p w:rsidR="00A74C67" w:rsidRPr="00C60F91" w:rsidRDefault="00A74C67" w:rsidP="006449DA">
            <w:pPr>
              <w:jc w:val="both"/>
              <w:rPr>
                <w:rFonts w:ascii="Arial" w:hAnsi="Arial" w:cs="Arial"/>
                <w:b/>
              </w:rPr>
            </w:pPr>
            <w:r w:rsidRPr="00C60F91">
              <w:rPr>
                <w:rFonts w:ascii="Arial" w:hAnsi="Arial" w:cs="Arial"/>
                <w:b/>
              </w:rPr>
              <w:t xml:space="preserve">Description </w:t>
            </w:r>
          </w:p>
        </w:tc>
        <w:tc>
          <w:tcPr>
            <w:tcW w:w="1948" w:type="dxa"/>
            <w:shd w:val="clear" w:color="auto" w:fill="BFBFBF" w:themeFill="background1" w:themeFillShade="BF"/>
          </w:tcPr>
          <w:p w:rsidR="00A74C67" w:rsidRPr="00C60F91" w:rsidRDefault="00A74C67" w:rsidP="006449DA">
            <w:pPr>
              <w:jc w:val="both"/>
              <w:rPr>
                <w:rFonts w:ascii="Arial" w:hAnsi="Arial" w:cs="Arial"/>
                <w:b/>
              </w:rPr>
            </w:pPr>
            <w:r w:rsidRPr="00C60F91">
              <w:rPr>
                <w:rFonts w:ascii="Arial" w:hAnsi="Arial" w:cs="Arial"/>
                <w:b/>
              </w:rPr>
              <w:t>Bottled Water</w:t>
            </w:r>
          </w:p>
        </w:tc>
        <w:tc>
          <w:tcPr>
            <w:tcW w:w="2033" w:type="dxa"/>
            <w:shd w:val="clear" w:color="auto" w:fill="BFBFBF" w:themeFill="background1" w:themeFillShade="BF"/>
          </w:tcPr>
          <w:p w:rsidR="00A74C67" w:rsidRPr="00C60F91" w:rsidRDefault="00A74C67" w:rsidP="006449DA">
            <w:pPr>
              <w:jc w:val="both"/>
              <w:rPr>
                <w:rFonts w:ascii="Arial" w:hAnsi="Arial" w:cs="Arial"/>
                <w:b/>
              </w:rPr>
            </w:pPr>
            <w:r w:rsidRPr="00C60F91">
              <w:rPr>
                <w:rFonts w:ascii="Arial" w:hAnsi="Arial" w:cs="Arial"/>
                <w:b/>
              </w:rPr>
              <w:t xml:space="preserve">Toilet Paper </w:t>
            </w:r>
          </w:p>
        </w:tc>
        <w:tc>
          <w:tcPr>
            <w:tcW w:w="1800" w:type="dxa"/>
            <w:shd w:val="clear" w:color="auto" w:fill="BFBFBF" w:themeFill="background1" w:themeFillShade="BF"/>
          </w:tcPr>
          <w:p w:rsidR="00A74C67" w:rsidRPr="00C60F91" w:rsidRDefault="00A74C67" w:rsidP="006449DA">
            <w:pPr>
              <w:jc w:val="both"/>
              <w:rPr>
                <w:rFonts w:ascii="Arial" w:hAnsi="Arial" w:cs="Arial"/>
                <w:b/>
              </w:rPr>
            </w:pPr>
            <w:r w:rsidRPr="00C60F91">
              <w:rPr>
                <w:rFonts w:ascii="Arial" w:hAnsi="Arial" w:cs="Arial"/>
                <w:b/>
              </w:rPr>
              <w:t>Milk</w:t>
            </w:r>
          </w:p>
        </w:tc>
        <w:tc>
          <w:tcPr>
            <w:tcW w:w="3008" w:type="dxa"/>
            <w:shd w:val="clear" w:color="auto" w:fill="BFBFBF" w:themeFill="background1" w:themeFillShade="BF"/>
          </w:tcPr>
          <w:p w:rsidR="00A74C67" w:rsidRPr="00C60F91" w:rsidRDefault="00A74C67" w:rsidP="006449DA">
            <w:pPr>
              <w:jc w:val="both"/>
              <w:rPr>
                <w:rFonts w:ascii="Arial" w:hAnsi="Arial" w:cs="Arial"/>
                <w:b/>
              </w:rPr>
            </w:pPr>
            <w:r w:rsidRPr="00C60F91">
              <w:rPr>
                <w:rFonts w:ascii="Arial" w:hAnsi="Arial" w:cs="Arial"/>
                <w:b/>
              </w:rPr>
              <w:t>Cleaning Products</w:t>
            </w:r>
          </w:p>
          <w:p w:rsidR="00A74C67" w:rsidRPr="00C60F91" w:rsidRDefault="00A74C67" w:rsidP="006449DA">
            <w:pPr>
              <w:jc w:val="both"/>
              <w:rPr>
                <w:rFonts w:ascii="Arial" w:hAnsi="Arial" w:cs="Arial"/>
                <w:b/>
              </w:rPr>
            </w:pPr>
          </w:p>
        </w:tc>
      </w:tr>
      <w:tr w:rsidR="00A74C67" w:rsidRPr="00C60F91" w:rsidTr="00462B41">
        <w:tc>
          <w:tcPr>
            <w:tcW w:w="1696" w:type="dxa"/>
          </w:tcPr>
          <w:p w:rsidR="00A74C67" w:rsidRPr="00C60F91" w:rsidRDefault="00A74C67" w:rsidP="006449DA">
            <w:pPr>
              <w:jc w:val="both"/>
              <w:rPr>
                <w:rFonts w:ascii="Arial" w:hAnsi="Arial" w:cs="Arial"/>
              </w:rPr>
            </w:pPr>
            <w:r w:rsidRPr="00C60F91">
              <w:rPr>
                <w:rFonts w:ascii="Arial" w:hAnsi="Arial" w:cs="Arial"/>
              </w:rPr>
              <w:t>Unit Price</w:t>
            </w:r>
          </w:p>
        </w:tc>
        <w:tc>
          <w:tcPr>
            <w:tcW w:w="1948" w:type="dxa"/>
          </w:tcPr>
          <w:p w:rsidR="00A74C67" w:rsidRPr="00C60F91" w:rsidRDefault="00A74C67" w:rsidP="006449DA">
            <w:pPr>
              <w:jc w:val="both"/>
              <w:rPr>
                <w:rFonts w:ascii="Arial" w:hAnsi="Arial" w:cs="Arial"/>
              </w:rPr>
            </w:pPr>
            <w:r w:rsidRPr="00C60F91">
              <w:rPr>
                <w:rFonts w:ascii="Arial" w:hAnsi="Arial" w:cs="Arial"/>
              </w:rPr>
              <w:t>R14.00</w:t>
            </w:r>
          </w:p>
        </w:tc>
        <w:tc>
          <w:tcPr>
            <w:tcW w:w="2033" w:type="dxa"/>
          </w:tcPr>
          <w:p w:rsidR="00A74C67" w:rsidRPr="00C60F91" w:rsidRDefault="00A74C67" w:rsidP="006449DA">
            <w:pPr>
              <w:jc w:val="both"/>
              <w:rPr>
                <w:rFonts w:ascii="Arial" w:hAnsi="Arial" w:cs="Arial"/>
              </w:rPr>
            </w:pPr>
            <w:r w:rsidRPr="00C60F91">
              <w:rPr>
                <w:rFonts w:ascii="Arial" w:hAnsi="Arial" w:cs="Arial"/>
              </w:rPr>
              <w:t>R250.00</w:t>
            </w:r>
          </w:p>
        </w:tc>
        <w:tc>
          <w:tcPr>
            <w:tcW w:w="1800" w:type="dxa"/>
          </w:tcPr>
          <w:p w:rsidR="00A74C67" w:rsidRPr="00C60F91" w:rsidRDefault="00A74C67" w:rsidP="006449DA">
            <w:pPr>
              <w:jc w:val="both"/>
              <w:rPr>
                <w:rFonts w:ascii="Arial" w:hAnsi="Arial" w:cs="Arial"/>
              </w:rPr>
            </w:pPr>
            <w:r w:rsidRPr="00C60F91">
              <w:rPr>
                <w:rFonts w:ascii="Arial" w:hAnsi="Arial" w:cs="Arial"/>
              </w:rPr>
              <w:t>R14.00</w:t>
            </w:r>
          </w:p>
        </w:tc>
        <w:tc>
          <w:tcPr>
            <w:tcW w:w="3008" w:type="dxa"/>
          </w:tcPr>
          <w:p w:rsidR="00A74C67" w:rsidRPr="00C60F91" w:rsidRDefault="00A74C67" w:rsidP="006449DA">
            <w:pPr>
              <w:jc w:val="both"/>
              <w:rPr>
                <w:rFonts w:ascii="Arial" w:hAnsi="Arial" w:cs="Arial"/>
              </w:rPr>
            </w:pPr>
            <w:r w:rsidRPr="00C60F91">
              <w:rPr>
                <w:rFonts w:ascii="Arial" w:hAnsi="Arial" w:cs="Arial"/>
              </w:rPr>
              <w:t>Handy –Andy 750ML =R25</w:t>
            </w:r>
          </w:p>
          <w:p w:rsidR="00A74C67" w:rsidRPr="00C60F91" w:rsidRDefault="00A74C67" w:rsidP="006449DA">
            <w:pPr>
              <w:jc w:val="both"/>
              <w:rPr>
                <w:rFonts w:ascii="Arial" w:hAnsi="Arial" w:cs="Arial"/>
              </w:rPr>
            </w:pPr>
            <w:r w:rsidRPr="00C60F91">
              <w:rPr>
                <w:rFonts w:ascii="Arial" w:hAnsi="Arial" w:cs="Arial"/>
              </w:rPr>
              <w:t xml:space="preserve">Pine Gel 5L  =R150 </w:t>
            </w:r>
          </w:p>
          <w:p w:rsidR="00A74C67" w:rsidRPr="00C60F91" w:rsidRDefault="00A74C67" w:rsidP="006449DA">
            <w:pPr>
              <w:jc w:val="both"/>
              <w:rPr>
                <w:rFonts w:ascii="Arial" w:hAnsi="Arial" w:cs="Arial"/>
              </w:rPr>
            </w:pPr>
            <w:r w:rsidRPr="00C60F91">
              <w:rPr>
                <w:rFonts w:ascii="Arial" w:hAnsi="Arial" w:cs="Arial"/>
              </w:rPr>
              <w:t xml:space="preserve">Bleach 5L    =R50 </w:t>
            </w:r>
          </w:p>
          <w:p w:rsidR="00A74C67" w:rsidRPr="00C60F91" w:rsidRDefault="00A74C67" w:rsidP="006449DA">
            <w:pPr>
              <w:jc w:val="both"/>
              <w:rPr>
                <w:rFonts w:ascii="Arial" w:hAnsi="Arial" w:cs="Arial"/>
              </w:rPr>
            </w:pPr>
            <w:proofErr w:type="spellStart"/>
            <w:r w:rsidRPr="00C60F91">
              <w:rPr>
                <w:rFonts w:ascii="Arial" w:hAnsi="Arial" w:cs="Arial"/>
              </w:rPr>
              <w:t>Domestos</w:t>
            </w:r>
            <w:proofErr w:type="spellEnd"/>
            <w:r w:rsidRPr="00C60F91">
              <w:rPr>
                <w:rFonts w:ascii="Arial" w:hAnsi="Arial" w:cs="Arial"/>
              </w:rPr>
              <w:t xml:space="preserve">   =R120</w:t>
            </w:r>
          </w:p>
          <w:p w:rsidR="00A74C67" w:rsidRPr="00C60F91" w:rsidRDefault="00A74C67" w:rsidP="006449DA">
            <w:pPr>
              <w:jc w:val="both"/>
              <w:rPr>
                <w:rFonts w:ascii="Arial" w:hAnsi="Arial" w:cs="Arial"/>
              </w:rPr>
            </w:pPr>
          </w:p>
        </w:tc>
      </w:tr>
      <w:tr w:rsidR="00A74C67" w:rsidRPr="00C60F91" w:rsidTr="00462B41">
        <w:trPr>
          <w:trHeight w:val="1194"/>
        </w:trPr>
        <w:tc>
          <w:tcPr>
            <w:tcW w:w="1696" w:type="dxa"/>
          </w:tcPr>
          <w:p w:rsidR="00A74C67" w:rsidRPr="00C60F91" w:rsidRDefault="00A74C67" w:rsidP="006449DA">
            <w:pPr>
              <w:jc w:val="both"/>
              <w:rPr>
                <w:rFonts w:ascii="Arial" w:hAnsi="Arial" w:cs="Arial"/>
              </w:rPr>
            </w:pPr>
            <w:r w:rsidRPr="00C60F91">
              <w:rPr>
                <w:rFonts w:ascii="Arial" w:hAnsi="Arial" w:cs="Arial"/>
              </w:rPr>
              <w:t xml:space="preserve">Comments </w:t>
            </w:r>
          </w:p>
        </w:tc>
        <w:tc>
          <w:tcPr>
            <w:tcW w:w="1948" w:type="dxa"/>
          </w:tcPr>
          <w:p w:rsidR="00A74C67" w:rsidRPr="00C60F91" w:rsidRDefault="00A74C67" w:rsidP="006449DA">
            <w:pPr>
              <w:jc w:val="both"/>
              <w:rPr>
                <w:rFonts w:ascii="Arial" w:hAnsi="Arial" w:cs="Arial"/>
              </w:rPr>
            </w:pPr>
            <w:r w:rsidRPr="00C60F91">
              <w:rPr>
                <w:rFonts w:ascii="Arial" w:hAnsi="Arial" w:cs="Arial"/>
              </w:rPr>
              <w:t>The price varies depending on the  brand or the supplier</w:t>
            </w:r>
          </w:p>
        </w:tc>
        <w:tc>
          <w:tcPr>
            <w:tcW w:w="2033" w:type="dxa"/>
          </w:tcPr>
          <w:p w:rsidR="00A74C67" w:rsidRPr="00C60F91" w:rsidRDefault="00A74C67" w:rsidP="006449DA">
            <w:pPr>
              <w:jc w:val="both"/>
              <w:rPr>
                <w:rFonts w:ascii="Arial" w:hAnsi="Arial" w:cs="Arial"/>
              </w:rPr>
            </w:pPr>
            <w:r w:rsidRPr="00C60F91">
              <w:rPr>
                <w:rFonts w:ascii="Arial" w:hAnsi="Arial" w:cs="Arial"/>
              </w:rPr>
              <w:t>The price varies depending on the  brand or the supplier</w:t>
            </w:r>
          </w:p>
        </w:tc>
        <w:tc>
          <w:tcPr>
            <w:tcW w:w="1800" w:type="dxa"/>
          </w:tcPr>
          <w:p w:rsidR="00A74C67" w:rsidRPr="00C60F91" w:rsidRDefault="00A74C67" w:rsidP="006449DA">
            <w:pPr>
              <w:jc w:val="both"/>
              <w:rPr>
                <w:rFonts w:ascii="Arial" w:hAnsi="Arial" w:cs="Arial"/>
              </w:rPr>
            </w:pPr>
            <w:r w:rsidRPr="00C60F91">
              <w:rPr>
                <w:rFonts w:ascii="Arial" w:hAnsi="Arial" w:cs="Arial"/>
              </w:rPr>
              <w:t>The price varies depending on the  brand or the supplier</w:t>
            </w:r>
          </w:p>
        </w:tc>
        <w:tc>
          <w:tcPr>
            <w:tcW w:w="3008" w:type="dxa"/>
          </w:tcPr>
          <w:p w:rsidR="00A74C67" w:rsidRPr="00C60F91" w:rsidRDefault="00A74C67" w:rsidP="006449DA">
            <w:pPr>
              <w:jc w:val="both"/>
              <w:rPr>
                <w:rFonts w:ascii="Arial" w:hAnsi="Arial" w:cs="Arial"/>
              </w:rPr>
            </w:pPr>
            <w:r w:rsidRPr="00C60F91">
              <w:rPr>
                <w:rFonts w:ascii="Arial" w:hAnsi="Arial" w:cs="Arial"/>
              </w:rPr>
              <w:t>The price varies depending on the  brand or the supplier</w:t>
            </w:r>
          </w:p>
        </w:tc>
      </w:tr>
    </w:tbl>
    <w:p w:rsidR="00777B4F" w:rsidRPr="00C60F91" w:rsidRDefault="00777B4F" w:rsidP="006449DA">
      <w:pPr>
        <w:jc w:val="both"/>
        <w:rPr>
          <w:rFonts w:ascii="Arial" w:eastAsiaTheme="minorHAnsi" w:hAnsi="Arial" w:cs="Arial"/>
          <w:szCs w:val="22"/>
          <w:u w:val="single"/>
        </w:rPr>
      </w:pPr>
    </w:p>
    <w:p w:rsidR="00A74C67" w:rsidRPr="00CB55D2" w:rsidRDefault="00A74C67" w:rsidP="006449DA">
      <w:pPr>
        <w:jc w:val="both"/>
        <w:rPr>
          <w:rFonts w:ascii="Arial" w:hAnsi="Arial" w:cs="Arial"/>
          <w:szCs w:val="22"/>
        </w:rPr>
      </w:pPr>
      <w:r w:rsidRPr="00CB55D2">
        <w:rPr>
          <w:rFonts w:ascii="Arial" w:eastAsiaTheme="minorHAnsi" w:hAnsi="Arial" w:cs="Arial"/>
          <w:szCs w:val="22"/>
        </w:rPr>
        <w:t>2.</w:t>
      </w:r>
      <w:r w:rsidRPr="00C60F91">
        <w:rPr>
          <w:rFonts w:ascii="Arial" w:eastAsiaTheme="minorHAnsi" w:hAnsi="Arial" w:cs="Arial"/>
          <w:szCs w:val="22"/>
        </w:rPr>
        <w:t xml:space="preserve"> </w:t>
      </w:r>
      <w:r w:rsidRPr="00CB55D2">
        <w:rPr>
          <w:rFonts w:ascii="Arial" w:hAnsi="Arial" w:cs="Arial"/>
        </w:rPr>
        <w:t xml:space="preserve">Total </w:t>
      </w:r>
      <w:proofErr w:type="gramStart"/>
      <w:r w:rsidRPr="00CB55D2">
        <w:rPr>
          <w:rFonts w:ascii="Arial" w:hAnsi="Arial" w:cs="Arial"/>
        </w:rPr>
        <w:t>spend</w:t>
      </w:r>
      <w:proofErr w:type="gramEnd"/>
      <w:r w:rsidRPr="00CB55D2">
        <w:rPr>
          <w:rFonts w:ascii="Arial" w:hAnsi="Arial" w:cs="Arial"/>
        </w:rPr>
        <w:t xml:space="preserve"> does not affect cash flow</w:t>
      </w:r>
      <w:r>
        <w:rPr>
          <w:rFonts w:ascii="Arial" w:hAnsi="Arial" w:cs="Arial"/>
        </w:rPr>
        <w:t xml:space="preserve"> nor profitability</w:t>
      </w:r>
      <w:r w:rsidRPr="00CB55D2">
        <w:rPr>
          <w:rFonts w:ascii="Arial" w:hAnsi="Arial" w:cs="Arial"/>
        </w:rPr>
        <w:t xml:space="preserve">. </w:t>
      </w:r>
    </w:p>
    <w:p w:rsidR="00AA0547" w:rsidRDefault="00AA0547" w:rsidP="006449DA">
      <w:pPr>
        <w:jc w:val="both"/>
        <w:rPr>
          <w:rFonts w:ascii="Arial" w:eastAsiaTheme="minorHAnsi" w:hAnsi="Arial" w:cs="Arial"/>
          <w:szCs w:val="22"/>
          <w:u w:val="single"/>
        </w:rPr>
      </w:pPr>
    </w:p>
    <w:p w:rsidR="00AA0547" w:rsidRDefault="00AA0547" w:rsidP="006449DA">
      <w:pPr>
        <w:jc w:val="both"/>
        <w:rPr>
          <w:rFonts w:ascii="Arial" w:eastAsiaTheme="minorHAnsi" w:hAnsi="Arial" w:cs="Arial"/>
          <w:szCs w:val="22"/>
          <w:u w:val="single"/>
        </w:rPr>
      </w:pPr>
    </w:p>
    <w:p w:rsidR="00AA0547" w:rsidRPr="00C825E4" w:rsidRDefault="00AA0547" w:rsidP="006449DA">
      <w:pPr>
        <w:tabs>
          <w:tab w:val="left" w:pos="6930"/>
        </w:tabs>
        <w:spacing w:line="360" w:lineRule="auto"/>
        <w:jc w:val="both"/>
        <w:rPr>
          <w:rFonts w:ascii="Arial" w:hAnsi="Arial" w:cs="Arial"/>
          <w:b/>
          <w:sz w:val="22"/>
          <w:szCs w:val="22"/>
        </w:rPr>
      </w:pPr>
      <w:r>
        <w:rPr>
          <w:rFonts w:ascii="Arial" w:hAnsi="Arial" w:cs="Arial"/>
          <w:b/>
        </w:rPr>
        <w:t>According to the information received from</w:t>
      </w:r>
      <w:r w:rsidRPr="00C825E4">
        <w:rPr>
          <w:rFonts w:ascii="Arial" w:hAnsi="Arial" w:cs="Arial"/>
          <w:b/>
          <w:sz w:val="22"/>
          <w:szCs w:val="22"/>
        </w:rPr>
        <w:t xml:space="preserve"> South African Express:</w:t>
      </w:r>
      <w:r w:rsidRPr="00C825E4">
        <w:rPr>
          <w:rFonts w:ascii="Arial" w:hAnsi="Arial" w:cs="Arial"/>
          <w:b/>
          <w:sz w:val="22"/>
          <w:szCs w:val="22"/>
        </w:rPr>
        <w:tab/>
      </w:r>
    </w:p>
    <w:p w:rsidR="00AA0547" w:rsidRPr="00C825E4" w:rsidRDefault="00AA0547" w:rsidP="006449DA">
      <w:pPr>
        <w:spacing w:line="360" w:lineRule="auto"/>
        <w:jc w:val="both"/>
        <w:rPr>
          <w:rFonts w:ascii="Arial" w:hAnsi="Arial" w:cs="Arial"/>
          <w:sz w:val="22"/>
          <w:szCs w:val="22"/>
        </w:rPr>
      </w:pPr>
      <w:r w:rsidRPr="00C825E4">
        <w:rPr>
          <w:rFonts w:ascii="Arial" w:hAnsi="Arial" w:cs="Arial"/>
          <w:sz w:val="22"/>
          <w:szCs w:val="22"/>
        </w:rPr>
        <w:t xml:space="preserve">Not applicable. The SOC is under liquidation.  </w:t>
      </w:r>
    </w:p>
    <w:p w:rsidR="00AA0547" w:rsidRDefault="00AA0547" w:rsidP="006449DA">
      <w:pPr>
        <w:jc w:val="both"/>
        <w:rPr>
          <w:rFonts w:ascii="Arial" w:hAnsi="Arial" w:cs="Arial"/>
          <w:bCs/>
          <w:sz w:val="22"/>
          <w:szCs w:val="22"/>
        </w:rPr>
      </w:pPr>
    </w:p>
    <w:p w:rsidR="000767CA" w:rsidRPr="000767CA" w:rsidRDefault="007C7442" w:rsidP="006449DA">
      <w:pPr>
        <w:jc w:val="both"/>
        <w:rPr>
          <w:rFonts w:ascii="Arial" w:hAnsi="Arial" w:cs="Arial"/>
          <w:b/>
          <w:sz w:val="22"/>
          <w:szCs w:val="22"/>
        </w:rPr>
      </w:pPr>
      <w:r>
        <w:rPr>
          <w:rFonts w:ascii="Arial" w:hAnsi="Arial" w:cs="Arial"/>
          <w:b/>
          <w:sz w:val="22"/>
          <w:szCs w:val="22"/>
        </w:rPr>
        <w:t>South African Airways</w:t>
      </w:r>
      <w:r w:rsidR="000767CA" w:rsidRPr="000767CA">
        <w:rPr>
          <w:rFonts w:ascii="Arial" w:hAnsi="Arial" w:cs="Arial"/>
          <w:b/>
          <w:sz w:val="22"/>
          <w:szCs w:val="22"/>
        </w:rPr>
        <w:t>:</w:t>
      </w:r>
    </w:p>
    <w:p w:rsidR="00AA0547" w:rsidRPr="002806D3" w:rsidRDefault="002806D3" w:rsidP="002806D3">
      <w:pPr>
        <w:jc w:val="both"/>
        <w:rPr>
          <w:rFonts w:ascii="Arial" w:hAnsi="Arial" w:cs="Arial"/>
          <w:bCs/>
          <w:sz w:val="22"/>
          <w:szCs w:val="22"/>
          <w:lang w:val="en-ZA"/>
        </w:rPr>
      </w:pPr>
      <w:r>
        <w:rPr>
          <w:rFonts w:ascii="Arial" w:hAnsi="Arial" w:cs="Arial"/>
          <w:bCs/>
          <w:sz w:val="22"/>
          <w:szCs w:val="22"/>
          <w:lang w:val="en-ZA"/>
        </w:rPr>
        <w:t>The information from this entity is outstanding and will be submitted as soon as it becomes available.</w:t>
      </w:r>
    </w:p>
    <w:p w:rsidR="00F67750" w:rsidRDefault="00F67750" w:rsidP="006449DA">
      <w:pPr>
        <w:tabs>
          <w:tab w:val="left" w:pos="6930"/>
        </w:tabs>
        <w:spacing w:line="360" w:lineRule="auto"/>
        <w:jc w:val="both"/>
        <w:rPr>
          <w:rFonts w:ascii="Arial" w:hAnsi="Arial" w:cs="Arial"/>
          <w:b/>
        </w:rPr>
      </w:pPr>
    </w:p>
    <w:p w:rsidR="00AA0547" w:rsidRDefault="00AA0547" w:rsidP="006449DA">
      <w:pPr>
        <w:tabs>
          <w:tab w:val="left" w:pos="6930"/>
        </w:tabs>
        <w:spacing w:line="360" w:lineRule="auto"/>
        <w:jc w:val="both"/>
        <w:rPr>
          <w:rFonts w:ascii="Arial" w:hAnsi="Arial" w:cs="Arial"/>
          <w:b/>
        </w:rPr>
      </w:pPr>
      <w:r>
        <w:rPr>
          <w:rFonts w:ascii="Arial" w:hAnsi="Arial" w:cs="Arial"/>
          <w:b/>
        </w:rPr>
        <w:t>According to the information received from</w:t>
      </w:r>
      <w:r w:rsidRPr="003F65A0">
        <w:rPr>
          <w:rFonts w:ascii="Arial" w:hAnsi="Arial" w:cs="Arial"/>
          <w:b/>
        </w:rPr>
        <w:t xml:space="preserve"> Transnet:</w:t>
      </w:r>
    </w:p>
    <w:p w:rsidR="00AA0547" w:rsidRPr="003F65A0" w:rsidRDefault="00AA0547" w:rsidP="006449DA">
      <w:pPr>
        <w:ind w:left="1440" w:hanging="1440"/>
        <w:jc w:val="both"/>
        <w:rPr>
          <w:rFonts w:ascii="Arial" w:hAnsi="Arial" w:cs="Arial"/>
        </w:rPr>
      </w:pPr>
      <w:proofErr w:type="gramStart"/>
      <w:r w:rsidRPr="003F65A0">
        <w:rPr>
          <w:rFonts w:ascii="Arial" w:hAnsi="Arial" w:cs="Arial"/>
        </w:rPr>
        <w:t>1.(</w:t>
      </w:r>
      <w:proofErr w:type="gramEnd"/>
      <w:r w:rsidRPr="003F65A0">
        <w:rPr>
          <w:rFonts w:ascii="Arial" w:hAnsi="Arial" w:cs="Arial"/>
        </w:rPr>
        <w:t>a)</w:t>
      </w:r>
      <w:r>
        <w:rPr>
          <w:rFonts w:ascii="Arial" w:hAnsi="Arial" w:cs="Arial"/>
        </w:rPr>
        <w:t xml:space="preserve"> &amp;</w:t>
      </w:r>
      <w:r w:rsidRPr="003F65A0">
        <w:rPr>
          <w:rFonts w:ascii="Arial" w:hAnsi="Arial" w:cs="Arial"/>
        </w:rPr>
        <w:t xml:space="preserve">(b): </w:t>
      </w:r>
      <w:r>
        <w:rPr>
          <w:rFonts w:ascii="Arial" w:hAnsi="Arial" w:cs="Arial"/>
        </w:rPr>
        <w:tab/>
      </w:r>
      <w:r w:rsidRPr="003F65A0">
        <w:rPr>
          <w:rFonts w:ascii="Arial" w:hAnsi="Arial" w:cs="Arial"/>
          <w:b/>
          <w:bCs/>
        </w:rPr>
        <w:t>Annexure A</w:t>
      </w:r>
      <w:r w:rsidRPr="003F65A0">
        <w:rPr>
          <w:rFonts w:ascii="Arial" w:hAnsi="Arial" w:cs="Arial"/>
        </w:rPr>
        <w:t xml:space="preserve"> provides details of the spend on a basket of recurring consumables.</w:t>
      </w:r>
    </w:p>
    <w:p w:rsidR="00AA0547" w:rsidRDefault="00AA0547" w:rsidP="006449DA">
      <w:pPr>
        <w:jc w:val="both"/>
        <w:rPr>
          <w:rFonts w:ascii="Arial" w:hAnsi="Arial" w:cs="Arial"/>
          <w:bCs/>
        </w:rPr>
      </w:pPr>
    </w:p>
    <w:p w:rsidR="00AA0547" w:rsidRPr="003F65A0" w:rsidRDefault="00AA0547" w:rsidP="006449DA">
      <w:pPr>
        <w:ind w:left="1418" w:hanging="1418"/>
        <w:jc w:val="both"/>
        <w:rPr>
          <w:rFonts w:ascii="Arial" w:hAnsi="Arial" w:cs="Arial"/>
          <w:bCs/>
        </w:rPr>
      </w:pPr>
      <w:r w:rsidRPr="003F65A0">
        <w:rPr>
          <w:rFonts w:ascii="Arial" w:hAnsi="Arial" w:cs="Arial"/>
          <w:bCs/>
        </w:rPr>
        <w:t>2.</w:t>
      </w:r>
      <w:r>
        <w:rPr>
          <w:rFonts w:ascii="Arial" w:hAnsi="Arial" w:cs="Arial"/>
          <w:bCs/>
        </w:rPr>
        <w:tab/>
      </w:r>
      <w:r w:rsidRPr="003F65A0">
        <w:rPr>
          <w:rFonts w:ascii="Arial" w:hAnsi="Arial" w:cs="Arial"/>
          <w:bCs/>
        </w:rPr>
        <w:t>The rate differences per annum for recurring consumables will not have an impact on the profitability or the cash flow of Transnet. Transnet has no long</w:t>
      </w:r>
      <w:r>
        <w:rPr>
          <w:rFonts w:ascii="Arial" w:hAnsi="Arial" w:cs="Arial"/>
          <w:bCs/>
        </w:rPr>
        <w:t xml:space="preserve"> </w:t>
      </w:r>
      <w:r w:rsidRPr="003F65A0">
        <w:rPr>
          <w:rFonts w:ascii="Arial" w:hAnsi="Arial" w:cs="Arial"/>
          <w:bCs/>
        </w:rPr>
        <w:t>term agreements in place for consumable items and frequent RFQ’s are issued out to the market in order to ensure that the prices paid remain market related. There are certain instances that Transnet pays below the market rate for consumables and this compensates for the items procured above market rate.</w:t>
      </w:r>
    </w:p>
    <w:p w:rsidR="00AA0547" w:rsidRPr="003F65A0" w:rsidRDefault="00AA0547" w:rsidP="006449DA">
      <w:pPr>
        <w:spacing w:line="276" w:lineRule="auto"/>
        <w:ind w:left="568" w:hanging="568"/>
        <w:jc w:val="both"/>
        <w:rPr>
          <w:rFonts w:ascii="Arial" w:hAnsi="Arial" w:cs="Arial"/>
          <w:lang w:val="en-GB"/>
        </w:rPr>
      </w:pPr>
    </w:p>
    <w:p w:rsidR="00AA0547" w:rsidRDefault="00AA0547" w:rsidP="00CC191D">
      <w:pPr>
        <w:ind w:left="284"/>
        <w:jc w:val="both"/>
        <w:rPr>
          <w:rFonts w:ascii="Arial" w:hAnsi="Arial" w:cs="Arial"/>
          <w:b/>
          <w:bCs/>
          <w:lang w:val="en-ZA"/>
        </w:rPr>
      </w:pPr>
    </w:p>
    <w:p w:rsidR="00E575C0" w:rsidRPr="00522234" w:rsidRDefault="00E575C0" w:rsidP="00CC191D">
      <w:pPr>
        <w:ind w:left="284"/>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rsidR="00E575C0" w:rsidRPr="00522234" w:rsidRDefault="00E575C0" w:rsidP="00CC191D">
      <w:pPr>
        <w:ind w:left="284"/>
        <w:jc w:val="both"/>
        <w:rPr>
          <w:rFonts w:ascii="Arial" w:hAnsi="Arial" w:cs="Arial"/>
          <w:b/>
          <w:bCs/>
          <w:lang w:val="en-ZA"/>
        </w:rPr>
      </w:pPr>
    </w:p>
    <w:p w:rsidR="008F1057" w:rsidRDefault="008F1057" w:rsidP="00CC191D">
      <w:pPr>
        <w:ind w:left="284"/>
        <w:jc w:val="both"/>
        <w:rPr>
          <w:rFonts w:ascii="Arial" w:hAnsi="Arial" w:cs="Arial"/>
          <w:b/>
          <w:bCs/>
          <w:lang w:val="en-ZA"/>
        </w:rPr>
      </w:pPr>
    </w:p>
    <w:p w:rsidR="00A74C67" w:rsidRDefault="00A74C67" w:rsidP="00CC191D">
      <w:pPr>
        <w:ind w:left="284"/>
        <w:jc w:val="both"/>
        <w:rPr>
          <w:rFonts w:ascii="Arial" w:hAnsi="Arial" w:cs="Arial"/>
          <w:b/>
          <w:bCs/>
          <w:lang w:val="en-ZA"/>
        </w:rPr>
      </w:pPr>
    </w:p>
    <w:p w:rsidR="00A74C67" w:rsidRDefault="00A74C67" w:rsidP="00CC191D">
      <w:pPr>
        <w:ind w:left="284"/>
        <w:jc w:val="both"/>
        <w:rPr>
          <w:rFonts w:ascii="Arial" w:hAnsi="Arial" w:cs="Arial"/>
          <w:b/>
          <w:bCs/>
          <w:lang w:val="en-ZA"/>
        </w:rPr>
      </w:pPr>
    </w:p>
    <w:p w:rsidR="00A74C67" w:rsidRDefault="00A74C67" w:rsidP="00CC191D">
      <w:pPr>
        <w:ind w:left="284"/>
        <w:jc w:val="both"/>
        <w:rPr>
          <w:rFonts w:ascii="Arial" w:hAnsi="Arial" w:cs="Arial"/>
          <w:b/>
          <w:bCs/>
          <w:lang w:val="en-ZA"/>
        </w:rPr>
      </w:pPr>
    </w:p>
    <w:p w:rsidR="00E575C0" w:rsidRPr="00522234" w:rsidRDefault="008C3840" w:rsidP="00CC191D">
      <w:pPr>
        <w:ind w:left="284"/>
        <w:contextualSpacing/>
        <w:jc w:val="both"/>
        <w:rPr>
          <w:rFonts w:ascii="Arial" w:hAnsi="Arial" w:cs="Arial"/>
          <w:b/>
          <w:bCs/>
          <w:lang w:val="en-ZA"/>
        </w:rPr>
      </w:pPr>
      <w:proofErr w:type="spellStart"/>
      <w:r>
        <w:rPr>
          <w:rFonts w:ascii="Arial" w:hAnsi="Arial" w:cs="Arial"/>
          <w:b/>
          <w:bCs/>
          <w:lang w:val="en-ZA"/>
        </w:rPr>
        <w:t>Kgathatso</w:t>
      </w:r>
      <w:proofErr w:type="spellEnd"/>
      <w:r>
        <w:rPr>
          <w:rFonts w:ascii="Arial" w:hAnsi="Arial" w:cs="Arial"/>
          <w:b/>
          <w:bCs/>
          <w:lang w:val="en-ZA"/>
        </w:rPr>
        <w:t xml:space="preserve"> </w:t>
      </w:r>
      <w:proofErr w:type="spellStart"/>
      <w:r>
        <w:rPr>
          <w:rFonts w:ascii="Arial" w:hAnsi="Arial" w:cs="Arial"/>
          <w:b/>
          <w:bCs/>
          <w:lang w:val="en-ZA"/>
        </w:rPr>
        <w:t>Tlhakudi</w:t>
      </w:r>
      <w:proofErr w:type="spellEnd"/>
      <w:r w:rsidR="00E575C0">
        <w:rPr>
          <w:rFonts w:ascii="Arial" w:hAnsi="Arial" w:cs="Arial"/>
          <w:b/>
          <w:bCs/>
          <w:lang w:val="en-ZA"/>
        </w:rPr>
        <w:tab/>
      </w:r>
      <w:r w:rsidR="00E575C0">
        <w:rPr>
          <w:rFonts w:ascii="Arial" w:hAnsi="Arial" w:cs="Arial"/>
          <w:b/>
          <w:bCs/>
          <w:lang w:val="en-ZA"/>
        </w:rPr>
        <w:tab/>
      </w:r>
      <w:r w:rsidR="00E575C0" w:rsidRPr="00522234">
        <w:rPr>
          <w:rFonts w:ascii="Arial" w:hAnsi="Arial" w:cs="Arial"/>
          <w:b/>
          <w:bCs/>
          <w:lang w:val="en-ZA"/>
        </w:rPr>
        <w:tab/>
      </w:r>
      <w:proofErr w:type="spellStart"/>
      <w:r w:rsidR="00E575C0">
        <w:rPr>
          <w:rFonts w:ascii="Arial" w:hAnsi="Arial" w:cs="Arial"/>
          <w:b/>
          <w:bCs/>
          <w:lang w:val="en-ZA"/>
        </w:rPr>
        <w:t>Pravin</w:t>
      </w:r>
      <w:proofErr w:type="spellEnd"/>
      <w:r w:rsidR="00E575C0">
        <w:rPr>
          <w:rFonts w:ascii="Arial" w:hAnsi="Arial" w:cs="Arial"/>
          <w:b/>
          <w:bCs/>
          <w:lang w:val="en-ZA"/>
        </w:rPr>
        <w:t xml:space="preserve"> </w:t>
      </w:r>
      <w:proofErr w:type="spellStart"/>
      <w:r w:rsidR="00E575C0">
        <w:rPr>
          <w:rFonts w:ascii="Arial" w:hAnsi="Arial" w:cs="Arial"/>
          <w:b/>
          <w:bCs/>
          <w:lang w:val="en-ZA"/>
        </w:rPr>
        <w:t>Gordhan</w:t>
      </w:r>
      <w:proofErr w:type="spellEnd"/>
      <w:r w:rsidR="00E575C0">
        <w:rPr>
          <w:rFonts w:ascii="Arial" w:hAnsi="Arial" w:cs="Arial"/>
          <w:b/>
          <w:bCs/>
          <w:lang w:val="en-ZA"/>
        </w:rPr>
        <w:t>,</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E575C0" w:rsidP="00CC191D">
      <w:pPr>
        <w:ind w:left="284"/>
        <w:contextualSpacing/>
        <w:jc w:val="both"/>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rsidR="009F4B23" w:rsidRDefault="00E575C0" w:rsidP="00CC191D">
      <w:pPr>
        <w:ind w:left="284"/>
        <w:contextualSpacing/>
        <w:jc w:val="both"/>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A5774">
        <w:rPr>
          <w:rFonts w:ascii="Arial" w:hAnsi="Arial" w:cs="Arial"/>
          <w:b/>
          <w:bCs/>
          <w:lang w:val="en-ZA"/>
        </w:rPr>
        <w:t>Date:</w:t>
      </w:r>
    </w:p>
    <w:p w:rsidR="002B59D1" w:rsidRPr="002B59D1" w:rsidRDefault="002B59D1" w:rsidP="002B59D1">
      <w:pPr>
        <w:rPr>
          <w:rFonts w:ascii="Arial" w:hAnsi="Arial" w:cs="Arial"/>
          <w:lang w:val="en-ZA"/>
        </w:rPr>
      </w:pPr>
    </w:p>
    <w:p w:rsidR="002B59D1" w:rsidRPr="002B59D1" w:rsidRDefault="002B59D1" w:rsidP="002B59D1">
      <w:pPr>
        <w:rPr>
          <w:rFonts w:ascii="Arial" w:hAnsi="Arial" w:cs="Arial"/>
          <w:lang w:val="en-ZA"/>
        </w:rPr>
      </w:pPr>
    </w:p>
    <w:p w:rsidR="002B59D1" w:rsidRPr="002B59D1" w:rsidRDefault="002B59D1" w:rsidP="002B59D1">
      <w:pPr>
        <w:rPr>
          <w:rFonts w:ascii="Arial" w:hAnsi="Arial" w:cs="Arial"/>
          <w:lang w:val="en-ZA"/>
        </w:rPr>
      </w:pPr>
    </w:p>
    <w:p w:rsidR="002B59D1" w:rsidRDefault="002B59D1" w:rsidP="002B59D1">
      <w:pPr>
        <w:rPr>
          <w:rFonts w:ascii="Arial" w:hAnsi="Arial" w:cs="Arial"/>
          <w:b/>
          <w:bCs/>
          <w:lang w:val="en-ZA"/>
        </w:rPr>
      </w:pPr>
    </w:p>
    <w:p w:rsidR="002B59D1" w:rsidRPr="002B59D1" w:rsidRDefault="002B59D1" w:rsidP="002B59D1">
      <w:pPr>
        <w:rPr>
          <w:rFonts w:ascii="Arial" w:hAnsi="Arial" w:cs="Arial"/>
          <w:lang w:val="en-ZA"/>
        </w:rPr>
      </w:pPr>
    </w:p>
    <w:sectPr w:rsidR="002B59D1" w:rsidRPr="002B59D1"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7A2" w:rsidRDefault="00A917A2" w:rsidP="006A43DE">
      <w:r>
        <w:separator/>
      </w:r>
    </w:p>
  </w:endnote>
  <w:endnote w:type="continuationSeparator" w:id="0">
    <w:p w:rsidR="00A917A2" w:rsidRDefault="00A917A2"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7A2" w:rsidRDefault="00A917A2" w:rsidP="006A43DE">
      <w:r>
        <w:separator/>
      </w:r>
    </w:p>
  </w:footnote>
  <w:footnote w:type="continuationSeparator" w:id="0">
    <w:p w:rsidR="00A917A2" w:rsidRDefault="00A917A2"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nsid w:val="38B06BF6"/>
    <w:multiLevelType w:val="hybridMultilevel"/>
    <w:tmpl w:val="F698EB12"/>
    <w:lvl w:ilvl="0" w:tplc="D094648C">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6">
    <w:nsid w:val="464631FA"/>
    <w:multiLevelType w:val="hybridMultilevel"/>
    <w:tmpl w:val="9E022C82"/>
    <w:lvl w:ilvl="0" w:tplc="4696792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9">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0">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1">
    <w:nsid w:val="534532E8"/>
    <w:multiLevelType w:val="hybridMultilevel"/>
    <w:tmpl w:val="718471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55B30091"/>
    <w:multiLevelType w:val="hybridMultilevel"/>
    <w:tmpl w:val="BAFCC5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5">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15"/>
  </w:num>
  <w:num w:numId="3">
    <w:abstractNumId w:val="5"/>
  </w:num>
  <w:num w:numId="4">
    <w:abstractNumId w:val="12"/>
  </w:num>
  <w:num w:numId="5">
    <w:abstractNumId w:val="14"/>
  </w:num>
  <w:num w:numId="6">
    <w:abstractNumId w:val="0"/>
  </w:num>
  <w:num w:numId="7">
    <w:abstractNumId w:val="9"/>
  </w:num>
  <w:num w:numId="8">
    <w:abstractNumId w:val="10"/>
  </w:num>
  <w:num w:numId="9">
    <w:abstractNumId w:val="1"/>
  </w:num>
  <w:num w:numId="10">
    <w:abstractNumId w:val="3"/>
  </w:num>
  <w:num w:numId="11">
    <w:abstractNumId w:val="4"/>
  </w:num>
  <w:num w:numId="12">
    <w:abstractNumId w:val="8"/>
  </w:num>
  <w:num w:numId="13">
    <w:abstractNumId w:val="2"/>
  </w:num>
  <w:num w:numId="14">
    <w:abstractNumId w:val="13"/>
  </w:num>
  <w:num w:numId="15">
    <w:abstractNumId w:val="11"/>
  </w:num>
  <w:num w:numId="16">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7170"/>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767CA"/>
    <w:rsid w:val="0008029D"/>
    <w:rsid w:val="00083713"/>
    <w:rsid w:val="00090AD5"/>
    <w:rsid w:val="000B6791"/>
    <w:rsid w:val="000B75A2"/>
    <w:rsid w:val="000C4756"/>
    <w:rsid w:val="000C48EB"/>
    <w:rsid w:val="000F63EA"/>
    <w:rsid w:val="000F6FB5"/>
    <w:rsid w:val="000F701C"/>
    <w:rsid w:val="000F7318"/>
    <w:rsid w:val="00105CBA"/>
    <w:rsid w:val="001204BE"/>
    <w:rsid w:val="00125D8E"/>
    <w:rsid w:val="00141EAA"/>
    <w:rsid w:val="00152E8D"/>
    <w:rsid w:val="00153347"/>
    <w:rsid w:val="00162952"/>
    <w:rsid w:val="001633F2"/>
    <w:rsid w:val="00164073"/>
    <w:rsid w:val="00170AB9"/>
    <w:rsid w:val="00190B29"/>
    <w:rsid w:val="001961F0"/>
    <w:rsid w:val="001B13C2"/>
    <w:rsid w:val="001C647A"/>
    <w:rsid w:val="001D28C7"/>
    <w:rsid w:val="001D4235"/>
    <w:rsid w:val="001E09A9"/>
    <w:rsid w:val="001E1264"/>
    <w:rsid w:val="001F33B3"/>
    <w:rsid w:val="00203FBE"/>
    <w:rsid w:val="00210533"/>
    <w:rsid w:val="00225771"/>
    <w:rsid w:val="00232FDA"/>
    <w:rsid w:val="00243068"/>
    <w:rsid w:val="0024356C"/>
    <w:rsid w:val="00246DF8"/>
    <w:rsid w:val="00252DE2"/>
    <w:rsid w:val="00254818"/>
    <w:rsid w:val="0026770C"/>
    <w:rsid w:val="00270D85"/>
    <w:rsid w:val="00271AFC"/>
    <w:rsid w:val="002806D3"/>
    <w:rsid w:val="00282EB8"/>
    <w:rsid w:val="002B59D1"/>
    <w:rsid w:val="002C030C"/>
    <w:rsid w:val="002C3F65"/>
    <w:rsid w:val="002D411A"/>
    <w:rsid w:val="002E2DC3"/>
    <w:rsid w:val="002F1297"/>
    <w:rsid w:val="002F4676"/>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87DEF"/>
    <w:rsid w:val="00392DA3"/>
    <w:rsid w:val="003E1819"/>
    <w:rsid w:val="003E48CD"/>
    <w:rsid w:val="003F2BC4"/>
    <w:rsid w:val="003F2FF3"/>
    <w:rsid w:val="004019BD"/>
    <w:rsid w:val="00403B84"/>
    <w:rsid w:val="004048A9"/>
    <w:rsid w:val="00420395"/>
    <w:rsid w:val="00426CEF"/>
    <w:rsid w:val="00435FE3"/>
    <w:rsid w:val="004450E6"/>
    <w:rsid w:val="00450239"/>
    <w:rsid w:val="00454415"/>
    <w:rsid w:val="00457802"/>
    <w:rsid w:val="0046053A"/>
    <w:rsid w:val="004653BA"/>
    <w:rsid w:val="0047791E"/>
    <w:rsid w:val="00484B27"/>
    <w:rsid w:val="004A41DC"/>
    <w:rsid w:val="004A4357"/>
    <w:rsid w:val="004A7763"/>
    <w:rsid w:val="004B1D3B"/>
    <w:rsid w:val="004B3EDA"/>
    <w:rsid w:val="004C0939"/>
    <w:rsid w:val="004C6935"/>
    <w:rsid w:val="004E4E93"/>
    <w:rsid w:val="004E50AB"/>
    <w:rsid w:val="004F5833"/>
    <w:rsid w:val="004F6D7D"/>
    <w:rsid w:val="00500074"/>
    <w:rsid w:val="00500581"/>
    <w:rsid w:val="00502990"/>
    <w:rsid w:val="00512022"/>
    <w:rsid w:val="005206AC"/>
    <w:rsid w:val="00521620"/>
    <w:rsid w:val="00533F1A"/>
    <w:rsid w:val="00534DDF"/>
    <w:rsid w:val="0054518F"/>
    <w:rsid w:val="005703CE"/>
    <w:rsid w:val="005B2A1A"/>
    <w:rsid w:val="005C2884"/>
    <w:rsid w:val="005C28EA"/>
    <w:rsid w:val="005C408E"/>
    <w:rsid w:val="005D1885"/>
    <w:rsid w:val="005D4F0C"/>
    <w:rsid w:val="00601570"/>
    <w:rsid w:val="00612054"/>
    <w:rsid w:val="00612C27"/>
    <w:rsid w:val="00614DA3"/>
    <w:rsid w:val="0061602A"/>
    <w:rsid w:val="00627F86"/>
    <w:rsid w:val="006449DA"/>
    <w:rsid w:val="00647844"/>
    <w:rsid w:val="006512FA"/>
    <w:rsid w:val="0065694F"/>
    <w:rsid w:val="0066527A"/>
    <w:rsid w:val="00665425"/>
    <w:rsid w:val="006807DC"/>
    <w:rsid w:val="006825A7"/>
    <w:rsid w:val="00694BEF"/>
    <w:rsid w:val="00694D5B"/>
    <w:rsid w:val="00696671"/>
    <w:rsid w:val="00697CC8"/>
    <w:rsid w:val="006A43DE"/>
    <w:rsid w:val="006C5A5E"/>
    <w:rsid w:val="006D3B92"/>
    <w:rsid w:val="006D650A"/>
    <w:rsid w:val="006E226F"/>
    <w:rsid w:val="006E28F9"/>
    <w:rsid w:val="00711E1F"/>
    <w:rsid w:val="00716A5F"/>
    <w:rsid w:val="007410D8"/>
    <w:rsid w:val="00741768"/>
    <w:rsid w:val="00753188"/>
    <w:rsid w:val="00761EBB"/>
    <w:rsid w:val="00763854"/>
    <w:rsid w:val="00766B05"/>
    <w:rsid w:val="00767C12"/>
    <w:rsid w:val="00772932"/>
    <w:rsid w:val="00777B4F"/>
    <w:rsid w:val="00780828"/>
    <w:rsid w:val="00782018"/>
    <w:rsid w:val="007840BD"/>
    <w:rsid w:val="00784B7D"/>
    <w:rsid w:val="007A0FE4"/>
    <w:rsid w:val="007A77D7"/>
    <w:rsid w:val="007B1C58"/>
    <w:rsid w:val="007B2942"/>
    <w:rsid w:val="007C43A8"/>
    <w:rsid w:val="007C48D9"/>
    <w:rsid w:val="007C7442"/>
    <w:rsid w:val="007F2BDB"/>
    <w:rsid w:val="00817F1E"/>
    <w:rsid w:val="00824E8E"/>
    <w:rsid w:val="00855ABD"/>
    <w:rsid w:val="00887188"/>
    <w:rsid w:val="0089120C"/>
    <w:rsid w:val="00891B19"/>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754D0"/>
    <w:rsid w:val="009A53BF"/>
    <w:rsid w:val="009B4F7B"/>
    <w:rsid w:val="009B6439"/>
    <w:rsid w:val="009C440F"/>
    <w:rsid w:val="009C4542"/>
    <w:rsid w:val="009D531B"/>
    <w:rsid w:val="009E66BC"/>
    <w:rsid w:val="009E6C64"/>
    <w:rsid w:val="009F4B23"/>
    <w:rsid w:val="00A00E8D"/>
    <w:rsid w:val="00A14AA2"/>
    <w:rsid w:val="00A164FA"/>
    <w:rsid w:val="00A165C0"/>
    <w:rsid w:val="00A200DC"/>
    <w:rsid w:val="00A207A4"/>
    <w:rsid w:val="00A21970"/>
    <w:rsid w:val="00A2660A"/>
    <w:rsid w:val="00A3548B"/>
    <w:rsid w:val="00A42DF5"/>
    <w:rsid w:val="00A45C08"/>
    <w:rsid w:val="00A55913"/>
    <w:rsid w:val="00A74C67"/>
    <w:rsid w:val="00A77559"/>
    <w:rsid w:val="00A77EA7"/>
    <w:rsid w:val="00A83BB5"/>
    <w:rsid w:val="00A917A2"/>
    <w:rsid w:val="00A9377A"/>
    <w:rsid w:val="00A96EFA"/>
    <w:rsid w:val="00AA0547"/>
    <w:rsid w:val="00AA1B7C"/>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54E6"/>
    <w:rsid w:val="00C376CE"/>
    <w:rsid w:val="00C46606"/>
    <w:rsid w:val="00C53F6B"/>
    <w:rsid w:val="00C6140B"/>
    <w:rsid w:val="00C71A4E"/>
    <w:rsid w:val="00C7276E"/>
    <w:rsid w:val="00C76C58"/>
    <w:rsid w:val="00CA1C75"/>
    <w:rsid w:val="00CA2555"/>
    <w:rsid w:val="00CB5194"/>
    <w:rsid w:val="00CB7B00"/>
    <w:rsid w:val="00CC191D"/>
    <w:rsid w:val="00CC2B32"/>
    <w:rsid w:val="00CC6424"/>
    <w:rsid w:val="00CE2F8A"/>
    <w:rsid w:val="00CE4ECF"/>
    <w:rsid w:val="00CE72A9"/>
    <w:rsid w:val="00CF1AE8"/>
    <w:rsid w:val="00CF2CE3"/>
    <w:rsid w:val="00D25359"/>
    <w:rsid w:val="00D31EBA"/>
    <w:rsid w:val="00D35463"/>
    <w:rsid w:val="00D433D3"/>
    <w:rsid w:val="00D50332"/>
    <w:rsid w:val="00D53A9C"/>
    <w:rsid w:val="00D543BA"/>
    <w:rsid w:val="00D6168F"/>
    <w:rsid w:val="00D7252A"/>
    <w:rsid w:val="00D7334D"/>
    <w:rsid w:val="00D80F16"/>
    <w:rsid w:val="00DA251F"/>
    <w:rsid w:val="00DB1776"/>
    <w:rsid w:val="00DB6521"/>
    <w:rsid w:val="00DD3D30"/>
    <w:rsid w:val="00DD5878"/>
    <w:rsid w:val="00DE52C7"/>
    <w:rsid w:val="00DF2645"/>
    <w:rsid w:val="00DF6415"/>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3149C"/>
    <w:rsid w:val="00F31673"/>
    <w:rsid w:val="00F31D7B"/>
    <w:rsid w:val="00F34711"/>
    <w:rsid w:val="00F40076"/>
    <w:rsid w:val="00F45181"/>
    <w:rsid w:val="00F62BDA"/>
    <w:rsid w:val="00F63886"/>
    <w:rsid w:val="00F651DA"/>
    <w:rsid w:val="00F67750"/>
    <w:rsid w:val="00F7162E"/>
    <w:rsid w:val="00F77706"/>
    <w:rsid w:val="00F861E9"/>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71"/>
    <w:rPr>
      <w:sz w:val="24"/>
      <w:szCs w:val="24"/>
    </w:rPr>
  </w:style>
  <w:style w:type="paragraph" w:styleId="Heading1">
    <w:name w:val="heading 1"/>
    <w:basedOn w:val="Normal"/>
    <w:next w:val="Normal"/>
    <w:qFormat/>
    <w:rsid w:val="00696671"/>
    <w:pPr>
      <w:keepNext/>
      <w:spacing w:line="312" w:lineRule="auto"/>
      <w:ind w:left="540"/>
      <w:outlineLvl w:val="0"/>
    </w:pPr>
    <w:rPr>
      <w:rFonts w:ascii="Arial" w:hAnsi="Arial" w:cs="Arial"/>
      <w:b/>
      <w:bCs/>
    </w:rPr>
  </w:style>
  <w:style w:type="paragraph" w:styleId="Heading2">
    <w:name w:val="heading 2"/>
    <w:basedOn w:val="Normal"/>
    <w:next w:val="Normal"/>
    <w:qFormat/>
    <w:rsid w:val="00696671"/>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696671"/>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696671"/>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696671"/>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A74C67"/>
    <w:rPr>
      <w:rFonts w:asciiTheme="minorHAnsi" w:eastAsia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AA0547"/>
    <w:pPr>
      <w:autoSpaceDE w:val="0"/>
      <w:autoSpaceDN w:val="0"/>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29421662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7.png@01D73828.C49F990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9A910-469A-4341-8FE1-3AF0D298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8058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2021-03-17T13:00:00Z</cp:lastPrinted>
  <dcterms:created xsi:type="dcterms:W3CDTF">2021-08-05T11:32:00Z</dcterms:created>
  <dcterms:modified xsi:type="dcterms:W3CDTF">2021-08-05T11:32:00Z</dcterms:modified>
</cp:coreProperties>
</file>