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3D" w:rsidRPr="00B057C9" w:rsidRDefault="00622A3D" w:rsidP="00622A3D">
      <w:pPr>
        <w:spacing w:after="200" w:line="276" w:lineRule="auto"/>
        <w:ind w:right="540"/>
        <w:jc w:val="center"/>
        <w:rPr>
          <w:rFonts w:ascii="Arial" w:eastAsia="Times New Roman" w:hAnsi="Arial" w:cs="Arial"/>
          <w:sz w:val="32"/>
          <w:szCs w:val="32"/>
          <w:lang w:eastAsia="en-ZA"/>
        </w:rPr>
      </w:pPr>
      <w:r w:rsidRPr="00B057C9">
        <w:rPr>
          <w:rFonts w:ascii="Arial" w:eastAsia="Times New Roman" w:hAnsi="Arial" w:cs="Arial"/>
          <w:b/>
          <w:bCs/>
          <w:sz w:val="32"/>
          <w:szCs w:val="32"/>
          <w:lang w:eastAsia="en-ZA"/>
        </w:rPr>
        <w:t>NATIONAL ASSEMBLY</w:t>
      </w:r>
    </w:p>
    <w:p w:rsidR="00622A3D" w:rsidRDefault="00622A3D" w:rsidP="00622A3D">
      <w:pPr>
        <w:spacing w:after="0" w:line="276" w:lineRule="auto"/>
        <w:ind w:right="540"/>
        <w:jc w:val="both"/>
        <w:rPr>
          <w:rFonts w:ascii="Arial" w:hAnsi="Arial" w:cs="Arial"/>
          <w:b/>
          <w:bCs/>
          <w:color w:val="FF0000"/>
          <w:sz w:val="32"/>
          <w:szCs w:val="32"/>
          <w:u w:val="single"/>
          <w:lang w:eastAsia="en-ZA"/>
        </w:rPr>
      </w:pPr>
    </w:p>
    <w:p w:rsidR="00622A3D" w:rsidRPr="00B057C9" w:rsidRDefault="00622A3D" w:rsidP="00622A3D">
      <w:pPr>
        <w:spacing w:after="0" w:line="276" w:lineRule="auto"/>
        <w:ind w:right="540"/>
        <w:jc w:val="both"/>
        <w:rPr>
          <w:rFonts w:ascii="Arial" w:eastAsia="Times New Roman" w:hAnsi="Arial" w:cs="Arial"/>
          <w:b/>
          <w:bCs/>
          <w:sz w:val="32"/>
          <w:szCs w:val="32"/>
          <w:u w:val="single"/>
          <w:lang w:eastAsia="en-ZA"/>
        </w:rPr>
      </w:pPr>
      <w:r w:rsidRPr="00B057C9">
        <w:rPr>
          <w:rFonts w:ascii="Arial" w:eastAsia="Times New Roman" w:hAnsi="Arial" w:cs="Arial"/>
          <w:b/>
          <w:bCs/>
          <w:sz w:val="32"/>
          <w:szCs w:val="32"/>
          <w:u w:val="single"/>
          <w:lang w:eastAsia="en-ZA"/>
        </w:rPr>
        <w:t>QUESTION No. 865 -2019</w:t>
      </w:r>
    </w:p>
    <w:p w:rsidR="00622A3D" w:rsidRPr="00B057C9" w:rsidRDefault="00622A3D" w:rsidP="00622A3D">
      <w:pPr>
        <w:spacing w:after="0" w:line="276" w:lineRule="auto"/>
        <w:ind w:right="540"/>
        <w:jc w:val="both"/>
        <w:rPr>
          <w:rFonts w:ascii="Arial" w:eastAsia="Times New Roman" w:hAnsi="Arial" w:cs="Arial"/>
          <w:sz w:val="32"/>
          <w:szCs w:val="32"/>
          <w:lang w:eastAsia="en-ZA"/>
        </w:rPr>
      </w:pPr>
      <w:r w:rsidRPr="00B057C9">
        <w:rPr>
          <w:rFonts w:ascii="Arial" w:eastAsia="Times New Roman" w:hAnsi="Arial" w:cs="Arial"/>
          <w:b/>
          <w:bCs/>
          <w:sz w:val="32"/>
          <w:szCs w:val="32"/>
          <w:u w:val="single"/>
          <w:lang w:eastAsia="en-ZA"/>
        </w:rPr>
        <w:t>FOR WRITTEN REPLY</w:t>
      </w:r>
    </w:p>
    <w:p w:rsidR="00622A3D" w:rsidRPr="00B057C9" w:rsidRDefault="00622A3D" w:rsidP="00622A3D">
      <w:pPr>
        <w:spacing w:after="0" w:line="276" w:lineRule="auto"/>
        <w:ind w:right="540"/>
        <w:jc w:val="both"/>
        <w:rPr>
          <w:rFonts w:ascii="Arial" w:eastAsia="Times New Roman" w:hAnsi="Arial" w:cs="Arial"/>
          <w:sz w:val="32"/>
          <w:szCs w:val="32"/>
          <w:lang w:eastAsia="en-ZA"/>
        </w:rPr>
      </w:pPr>
      <w:r w:rsidRPr="00B057C9">
        <w:rPr>
          <w:rFonts w:ascii="Arial" w:eastAsia="Times New Roman" w:hAnsi="Arial" w:cs="Arial"/>
          <w:b/>
          <w:bCs/>
          <w:sz w:val="32"/>
          <w:szCs w:val="32"/>
          <w:lang w:eastAsia="en-ZA"/>
        </w:rPr>
        <w:t>DATE OF PUBLICATION IN INTERNAL QUESTION PAPER: 06 SEPT 2019:</w:t>
      </w:r>
    </w:p>
    <w:p w:rsidR="00622A3D" w:rsidRPr="00B057C9" w:rsidRDefault="00622A3D" w:rsidP="00622A3D">
      <w:pPr>
        <w:spacing w:before="100" w:beforeAutospacing="1" w:after="0" w:line="276" w:lineRule="auto"/>
        <w:jc w:val="both"/>
        <w:rPr>
          <w:rFonts w:ascii="Arial" w:eastAsia="Times New Roman" w:hAnsi="Arial" w:cs="Arial"/>
          <w:sz w:val="32"/>
          <w:szCs w:val="32"/>
          <w:lang w:eastAsia="en-ZA"/>
        </w:rPr>
      </w:pPr>
      <w:r w:rsidRPr="00B057C9">
        <w:rPr>
          <w:rFonts w:ascii="Arial" w:eastAsia="Times New Roman" w:hAnsi="Arial" w:cs="Arial"/>
          <w:b/>
          <w:bCs/>
          <w:sz w:val="32"/>
          <w:szCs w:val="32"/>
          <w:lang w:eastAsia="en-ZA"/>
        </w:rPr>
        <w:t xml:space="preserve">Mrs V van </w:t>
      </w:r>
      <w:proofErr w:type="spellStart"/>
      <w:r w:rsidRPr="00B057C9">
        <w:rPr>
          <w:rFonts w:ascii="Arial" w:eastAsia="Times New Roman" w:hAnsi="Arial" w:cs="Arial"/>
          <w:b/>
          <w:bCs/>
          <w:sz w:val="32"/>
          <w:szCs w:val="32"/>
          <w:lang w:eastAsia="en-ZA"/>
        </w:rPr>
        <w:t>Dyk</w:t>
      </w:r>
      <w:proofErr w:type="spellEnd"/>
      <w:r w:rsidRPr="00B057C9">
        <w:rPr>
          <w:rFonts w:ascii="Arial" w:eastAsia="Times New Roman" w:hAnsi="Arial" w:cs="Arial"/>
          <w:b/>
          <w:bCs/>
          <w:sz w:val="32"/>
          <w:szCs w:val="32"/>
          <w:lang w:eastAsia="en-ZA"/>
        </w:rPr>
        <w:t xml:space="preserve"> (DA) to ask the Minister of Sports, Arts and Culture</w:t>
      </w:r>
    </w:p>
    <w:p w:rsidR="00622A3D" w:rsidRPr="00B057C9" w:rsidRDefault="00622A3D" w:rsidP="00622A3D">
      <w:pPr>
        <w:spacing w:after="0" w:line="276" w:lineRule="auto"/>
        <w:ind w:left="1440" w:hanging="720"/>
        <w:jc w:val="both"/>
        <w:rPr>
          <w:rFonts w:ascii="Arial" w:eastAsia="Times New Roman" w:hAnsi="Arial" w:cs="Arial"/>
          <w:sz w:val="32"/>
          <w:szCs w:val="32"/>
          <w:lang w:eastAsia="en-ZA"/>
        </w:rPr>
      </w:pPr>
      <w:r w:rsidRPr="00B057C9">
        <w:rPr>
          <w:rFonts w:ascii="Arial" w:eastAsia="Times New Roman" w:hAnsi="Arial" w:cs="Arial"/>
          <w:color w:val="000000"/>
          <w:sz w:val="32"/>
          <w:szCs w:val="32"/>
          <w:lang w:val="af-ZA" w:eastAsia="en-ZA"/>
        </w:rPr>
        <w:t xml:space="preserve">(1) </w:t>
      </w:r>
      <w:r w:rsidRPr="00B057C9">
        <w:rPr>
          <w:rFonts w:ascii="Arial" w:eastAsia="Times New Roman" w:hAnsi="Arial" w:cs="Arial"/>
          <w:sz w:val="32"/>
          <w:szCs w:val="32"/>
          <w:lang w:val="en" w:eastAsia="en-ZA"/>
        </w:rPr>
        <w:t>What (a) action has his department taken to ensure television exposure for sports practiced by women and (b) types of sports practiced by women are being televised;</w:t>
      </w:r>
    </w:p>
    <w:p w:rsidR="00622A3D" w:rsidRPr="00B057C9" w:rsidRDefault="00622A3D" w:rsidP="00622A3D">
      <w:pPr>
        <w:spacing w:after="0" w:line="276" w:lineRule="auto"/>
        <w:ind w:left="1440" w:hanging="720"/>
        <w:jc w:val="both"/>
        <w:rPr>
          <w:rFonts w:ascii="Arial" w:eastAsia="Times New Roman" w:hAnsi="Arial" w:cs="Arial"/>
          <w:sz w:val="32"/>
          <w:szCs w:val="32"/>
          <w:lang w:eastAsia="en-ZA"/>
        </w:rPr>
      </w:pPr>
      <w:r w:rsidRPr="00B057C9">
        <w:rPr>
          <w:rFonts w:ascii="Arial" w:eastAsia="Times New Roman" w:hAnsi="Arial" w:cs="Arial"/>
          <w:color w:val="000000"/>
          <w:sz w:val="32"/>
          <w:szCs w:val="32"/>
          <w:lang w:val="af-ZA" w:eastAsia="en-ZA"/>
        </w:rPr>
        <w:t xml:space="preserve">(2) </w:t>
      </w:r>
      <w:r w:rsidRPr="00B057C9">
        <w:rPr>
          <w:rFonts w:ascii="Arial" w:eastAsia="Times New Roman" w:hAnsi="Arial" w:cs="Arial"/>
          <w:sz w:val="32"/>
          <w:szCs w:val="32"/>
          <w:lang w:val="en" w:eastAsia="en-ZA"/>
        </w:rPr>
        <w:t>what action has his department taken to make football and rugby more accessible to women’s participation at school, national and provincial level;</w:t>
      </w:r>
    </w:p>
    <w:p w:rsidR="00622A3D" w:rsidRPr="00B057C9" w:rsidRDefault="00622A3D" w:rsidP="00622A3D">
      <w:pPr>
        <w:spacing w:after="0" w:line="276" w:lineRule="auto"/>
        <w:ind w:left="1440" w:hanging="720"/>
        <w:jc w:val="both"/>
        <w:rPr>
          <w:rFonts w:ascii="Arial" w:eastAsia="Times New Roman" w:hAnsi="Arial" w:cs="Arial"/>
          <w:sz w:val="32"/>
          <w:szCs w:val="32"/>
          <w:lang w:eastAsia="en-ZA"/>
        </w:rPr>
      </w:pPr>
      <w:r w:rsidRPr="00B057C9">
        <w:rPr>
          <w:rFonts w:ascii="Arial" w:eastAsia="Times New Roman" w:hAnsi="Arial" w:cs="Arial"/>
          <w:color w:val="000000"/>
          <w:sz w:val="32"/>
          <w:szCs w:val="32"/>
          <w:lang w:val="af-ZA" w:eastAsia="en-ZA"/>
        </w:rPr>
        <w:t xml:space="preserve">(3) </w:t>
      </w:r>
      <w:r w:rsidRPr="00B057C9">
        <w:rPr>
          <w:rFonts w:ascii="Arial" w:eastAsia="Times New Roman" w:hAnsi="Arial" w:cs="Arial"/>
          <w:sz w:val="32"/>
          <w:szCs w:val="32"/>
          <w:lang w:eastAsia="en-ZA"/>
        </w:rPr>
        <w:t>whether his department sponsors any provincial and/or national women’s sports tournaments; if not, why not; if so, what are the relevant details;</w:t>
      </w:r>
    </w:p>
    <w:p w:rsidR="00622A3D" w:rsidRPr="00B057C9" w:rsidRDefault="00622A3D" w:rsidP="00622A3D">
      <w:pPr>
        <w:spacing w:after="0" w:line="276" w:lineRule="auto"/>
        <w:ind w:left="1440" w:hanging="720"/>
        <w:jc w:val="both"/>
        <w:rPr>
          <w:rFonts w:ascii="Arial" w:eastAsia="Times New Roman" w:hAnsi="Arial" w:cs="Arial"/>
          <w:sz w:val="32"/>
          <w:szCs w:val="32"/>
          <w:lang w:eastAsia="en-ZA"/>
        </w:rPr>
      </w:pPr>
      <w:r w:rsidRPr="00B057C9">
        <w:rPr>
          <w:rFonts w:ascii="Arial" w:eastAsia="Times New Roman" w:hAnsi="Arial" w:cs="Arial"/>
          <w:color w:val="000000"/>
          <w:sz w:val="32"/>
          <w:szCs w:val="32"/>
          <w:lang w:val="af-ZA" w:eastAsia="en-ZA"/>
        </w:rPr>
        <w:t xml:space="preserve">(4) </w:t>
      </w:r>
      <w:r w:rsidRPr="00B057C9">
        <w:rPr>
          <w:rFonts w:ascii="Arial" w:eastAsia="Times New Roman" w:hAnsi="Arial" w:cs="Arial"/>
          <w:sz w:val="32"/>
          <w:szCs w:val="32"/>
          <w:lang w:val="en" w:eastAsia="en-ZA"/>
        </w:rPr>
        <w:t xml:space="preserve">whether his department has implemented any developmental </w:t>
      </w:r>
      <w:proofErr w:type="spellStart"/>
      <w:r w:rsidRPr="00B057C9">
        <w:rPr>
          <w:rFonts w:ascii="Arial" w:eastAsia="Times New Roman" w:hAnsi="Arial" w:cs="Arial"/>
          <w:sz w:val="32"/>
          <w:szCs w:val="32"/>
          <w:lang w:val="en" w:eastAsia="en-ZA"/>
        </w:rPr>
        <w:t>programmes</w:t>
      </w:r>
      <w:proofErr w:type="spellEnd"/>
      <w:r w:rsidRPr="00B057C9">
        <w:rPr>
          <w:rFonts w:ascii="Arial" w:eastAsia="Times New Roman" w:hAnsi="Arial" w:cs="Arial"/>
          <w:sz w:val="32"/>
          <w:szCs w:val="32"/>
          <w:lang w:val="en" w:eastAsia="en-ZA"/>
        </w:rPr>
        <w:t xml:space="preserve"> to train (a) referees, (b) players and (c) administrators in any type of sports practiced by women in each province; if not, why not; if so, what are the relevant details;</w:t>
      </w:r>
    </w:p>
    <w:p w:rsidR="00622A3D" w:rsidRPr="00B057C9" w:rsidRDefault="00622A3D" w:rsidP="00622A3D">
      <w:pPr>
        <w:spacing w:after="0" w:line="276" w:lineRule="auto"/>
        <w:jc w:val="both"/>
        <w:rPr>
          <w:rFonts w:ascii="Arial" w:eastAsia="Times New Roman" w:hAnsi="Arial" w:cs="Arial"/>
          <w:b/>
          <w:bCs/>
          <w:sz w:val="32"/>
          <w:szCs w:val="32"/>
          <w:lang w:eastAsia="en-ZA"/>
        </w:rPr>
      </w:pPr>
      <w:r w:rsidRPr="00B057C9">
        <w:rPr>
          <w:rFonts w:ascii="Arial" w:eastAsia="Times New Roman" w:hAnsi="Arial" w:cs="Arial"/>
          <w:color w:val="000000"/>
          <w:sz w:val="32"/>
          <w:szCs w:val="32"/>
          <w:lang w:val="af-ZA" w:eastAsia="en-ZA"/>
        </w:rPr>
        <w:t xml:space="preserve">(5) </w:t>
      </w:r>
      <w:r w:rsidRPr="00B057C9">
        <w:rPr>
          <w:rFonts w:ascii="Arial" w:eastAsia="Times New Roman" w:hAnsi="Arial" w:cs="Arial"/>
          <w:sz w:val="32"/>
          <w:szCs w:val="32"/>
          <w:lang w:eastAsia="en-ZA"/>
        </w:rPr>
        <w:t>whether his department pays any financial allocations to provincial governments for the promotion of sports practiced by women; if not, why not; if so, what are the relevant details?</w:t>
      </w:r>
    </w:p>
    <w:p w:rsidR="00622A3D" w:rsidRPr="0048157F" w:rsidRDefault="00622A3D" w:rsidP="00622A3D">
      <w:pPr>
        <w:spacing w:after="0" w:line="276" w:lineRule="auto"/>
        <w:jc w:val="both"/>
        <w:rPr>
          <w:rFonts w:ascii="Arial" w:eastAsia="Times New Roman" w:hAnsi="Arial" w:cs="Arial"/>
          <w:b/>
          <w:bCs/>
          <w:sz w:val="32"/>
          <w:szCs w:val="32"/>
          <w:lang w:eastAsia="en-ZA"/>
        </w:rPr>
      </w:pPr>
      <w:r w:rsidRPr="00B057C9">
        <w:rPr>
          <w:rFonts w:ascii="Arial" w:eastAsia="Times New Roman" w:hAnsi="Arial" w:cs="Arial"/>
          <w:b/>
          <w:bCs/>
          <w:sz w:val="32"/>
          <w:szCs w:val="32"/>
          <w:lang w:eastAsia="en-ZA"/>
        </w:rPr>
        <w:t> </w:t>
      </w:r>
    </w:p>
    <w:p w:rsidR="00622A3D" w:rsidRDefault="00622A3D" w:rsidP="00622A3D">
      <w:pPr>
        <w:spacing w:after="0" w:line="276" w:lineRule="auto"/>
        <w:jc w:val="both"/>
        <w:rPr>
          <w:rFonts w:ascii="Arial" w:eastAsia="Times New Roman" w:hAnsi="Arial" w:cs="Arial"/>
          <w:b/>
          <w:sz w:val="32"/>
          <w:szCs w:val="32"/>
          <w:lang w:val="en-GB"/>
        </w:rPr>
      </w:pPr>
      <w:r>
        <w:rPr>
          <w:rFonts w:ascii="Arial" w:eastAsia="Times New Roman" w:hAnsi="Arial" w:cs="Arial"/>
          <w:b/>
          <w:sz w:val="32"/>
          <w:szCs w:val="32"/>
          <w:lang w:val="en-GB"/>
        </w:rPr>
        <w:t>REPLY</w:t>
      </w:r>
    </w:p>
    <w:p w:rsidR="00622A3D" w:rsidRPr="00B057C9" w:rsidRDefault="00622A3D" w:rsidP="00622A3D">
      <w:pPr>
        <w:spacing w:after="0" w:line="276" w:lineRule="auto"/>
        <w:jc w:val="both"/>
        <w:rPr>
          <w:rFonts w:ascii="Arial" w:eastAsia="Times New Roman" w:hAnsi="Arial" w:cs="Arial"/>
          <w:b/>
          <w:sz w:val="32"/>
          <w:szCs w:val="32"/>
          <w:lang w:val="en-GB"/>
        </w:rPr>
      </w:pPr>
      <w:bookmarkStart w:id="0" w:name="_GoBack"/>
      <w:bookmarkEnd w:id="0"/>
    </w:p>
    <w:p w:rsidR="00622A3D" w:rsidRPr="00B057C9" w:rsidRDefault="00622A3D" w:rsidP="00622A3D">
      <w:pPr>
        <w:numPr>
          <w:ilvl w:val="0"/>
          <w:numId w:val="4"/>
        </w:numPr>
        <w:spacing w:after="0" w:line="276" w:lineRule="auto"/>
        <w:jc w:val="both"/>
        <w:rPr>
          <w:rFonts w:ascii="Arial" w:eastAsia="Times New Roman" w:hAnsi="Arial" w:cs="Arial"/>
          <w:b/>
          <w:sz w:val="32"/>
          <w:szCs w:val="32"/>
          <w:lang w:val="en-GB"/>
        </w:rPr>
      </w:pPr>
      <w:r w:rsidRPr="00B057C9">
        <w:rPr>
          <w:rFonts w:ascii="Arial" w:eastAsia="Calibri" w:hAnsi="Arial" w:cs="Arial"/>
          <w:bCs/>
          <w:sz w:val="32"/>
          <w:szCs w:val="32"/>
        </w:rPr>
        <w:t xml:space="preserve">There is a direct correlation between broadcast coverage and commercial funding of sports codes from the private </w:t>
      </w:r>
      <w:r w:rsidRPr="00B057C9">
        <w:rPr>
          <w:rFonts w:ascii="Arial" w:eastAsia="Calibri" w:hAnsi="Arial" w:cs="Arial"/>
          <w:bCs/>
          <w:sz w:val="32"/>
          <w:szCs w:val="32"/>
        </w:rPr>
        <w:lastRenderedPageBreak/>
        <w:t xml:space="preserve">sector. Without broadcasting hours sports codes have no or little chance to become financially self-sufficient. Financial sustainability required for the survival and development of sporting codes is </w:t>
      </w:r>
      <w:proofErr w:type="gramStart"/>
      <w:r w:rsidRPr="00B057C9">
        <w:rPr>
          <w:rFonts w:ascii="Arial" w:eastAsia="Calibri" w:hAnsi="Arial" w:cs="Arial"/>
          <w:bCs/>
          <w:sz w:val="32"/>
          <w:szCs w:val="32"/>
        </w:rPr>
        <w:t>to a large extent</w:t>
      </w:r>
      <w:proofErr w:type="gramEnd"/>
      <w:r w:rsidRPr="00B057C9">
        <w:rPr>
          <w:rFonts w:ascii="Arial" w:eastAsia="Calibri" w:hAnsi="Arial" w:cs="Arial"/>
          <w:bCs/>
          <w:sz w:val="32"/>
          <w:szCs w:val="32"/>
        </w:rPr>
        <w:t xml:space="preserve"> a function of broadcasting coverage. The Department has an on annual basis had discussions with the public Broadcaster and the Pay TV broadcaster to negotiate the coverage of a basket of sport events. On a yearly basis Sport and Recreation SA identifies a code of Sport that is the Federation of the Year. Additional resources </w:t>
      </w:r>
      <w:proofErr w:type="gramStart"/>
      <w:r w:rsidRPr="00B057C9">
        <w:rPr>
          <w:rFonts w:ascii="Arial" w:eastAsia="Calibri" w:hAnsi="Arial" w:cs="Arial"/>
          <w:bCs/>
          <w:sz w:val="32"/>
          <w:szCs w:val="32"/>
        </w:rPr>
        <w:t>are provided</w:t>
      </w:r>
      <w:proofErr w:type="gramEnd"/>
      <w:r w:rsidRPr="00B057C9">
        <w:rPr>
          <w:rFonts w:ascii="Arial" w:eastAsia="Calibri" w:hAnsi="Arial" w:cs="Arial"/>
          <w:bCs/>
          <w:sz w:val="32"/>
          <w:szCs w:val="32"/>
        </w:rPr>
        <w:t xml:space="preserve"> to those codes in profiling and growing the sport towards </w:t>
      </w:r>
      <w:proofErr w:type="spellStart"/>
      <w:r w:rsidRPr="00B057C9">
        <w:rPr>
          <w:rFonts w:ascii="Arial" w:eastAsia="Calibri" w:hAnsi="Arial" w:cs="Arial"/>
          <w:bCs/>
          <w:sz w:val="32"/>
          <w:szCs w:val="32"/>
        </w:rPr>
        <w:t>professionalisation</w:t>
      </w:r>
      <w:proofErr w:type="spellEnd"/>
      <w:r w:rsidRPr="00B057C9">
        <w:rPr>
          <w:rFonts w:ascii="Arial" w:eastAsia="Calibri" w:hAnsi="Arial" w:cs="Arial"/>
          <w:bCs/>
          <w:sz w:val="32"/>
          <w:szCs w:val="32"/>
        </w:rPr>
        <w:t xml:space="preserve">. Television broadcast </w:t>
      </w:r>
      <w:proofErr w:type="gramStart"/>
      <w:r w:rsidRPr="00B057C9">
        <w:rPr>
          <w:rFonts w:ascii="Arial" w:eastAsia="Calibri" w:hAnsi="Arial" w:cs="Arial"/>
          <w:bCs/>
          <w:sz w:val="32"/>
          <w:szCs w:val="32"/>
        </w:rPr>
        <w:t>is also negotiated</w:t>
      </w:r>
      <w:proofErr w:type="gramEnd"/>
      <w:r w:rsidRPr="00B057C9">
        <w:rPr>
          <w:rFonts w:ascii="Arial" w:eastAsia="Calibri" w:hAnsi="Arial" w:cs="Arial"/>
          <w:bCs/>
          <w:sz w:val="32"/>
          <w:szCs w:val="32"/>
        </w:rPr>
        <w:t xml:space="preserve"> </w:t>
      </w:r>
      <w:r>
        <w:rPr>
          <w:rFonts w:ascii="Arial" w:eastAsia="Calibri" w:hAnsi="Arial" w:cs="Arial"/>
          <w:bCs/>
          <w:sz w:val="32"/>
          <w:szCs w:val="32"/>
        </w:rPr>
        <w:t>o</w:t>
      </w:r>
      <w:r w:rsidRPr="00B057C9">
        <w:rPr>
          <w:rFonts w:ascii="Arial" w:eastAsia="Calibri" w:hAnsi="Arial" w:cs="Arial"/>
          <w:bCs/>
          <w:sz w:val="32"/>
          <w:szCs w:val="32"/>
        </w:rPr>
        <w:t xml:space="preserve">n behalf of those codes. Sport and Recreation SA played a leading role in ensuring that all matches in the Netball Premier League which was initiated in 2013 was televised live with repeated broadcasts every year since inception. The live broadcast of matches in the Premier Hockey </w:t>
      </w:r>
      <w:proofErr w:type="gramStart"/>
      <w:r w:rsidRPr="00B057C9">
        <w:rPr>
          <w:rFonts w:ascii="Arial" w:eastAsia="Calibri" w:hAnsi="Arial" w:cs="Arial"/>
          <w:bCs/>
          <w:sz w:val="32"/>
          <w:szCs w:val="32"/>
        </w:rPr>
        <w:t>League which</w:t>
      </w:r>
      <w:proofErr w:type="gramEnd"/>
      <w:r w:rsidRPr="00B057C9">
        <w:rPr>
          <w:rFonts w:ascii="Arial" w:eastAsia="Calibri" w:hAnsi="Arial" w:cs="Arial"/>
          <w:bCs/>
          <w:sz w:val="32"/>
          <w:szCs w:val="32"/>
        </w:rPr>
        <w:t xml:space="preserve"> caters for both men and women. The inaugural Open Boxing League catering for both men and women </w:t>
      </w:r>
      <w:proofErr w:type="gramStart"/>
      <w:r w:rsidRPr="00B057C9">
        <w:rPr>
          <w:rFonts w:ascii="Arial" w:eastAsia="Calibri" w:hAnsi="Arial" w:cs="Arial"/>
          <w:bCs/>
          <w:sz w:val="32"/>
          <w:szCs w:val="32"/>
        </w:rPr>
        <w:t>was televised</w:t>
      </w:r>
      <w:proofErr w:type="gramEnd"/>
      <w:r w:rsidRPr="00B057C9">
        <w:rPr>
          <w:rFonts w:ascii="Arial" w:eastAsia="Calibri" w:hAnsi="Arial" w:cs="Arial"/>
          <w:bCs/>
          <w:sz w:val="32"/>
          <w:szCs w:val="32"/>
        </w:rPr>
        <w:t>.</w:t>
      </w:r>
    </w:p>
    <w:p w:rsidR="00622A3D" w:rsidRPr="00B057C9" w:rsidRDefault="00622A3D" w:rsidP="00622A3D">
      <w:pPr>
        <w:spacing w:after="0" w:line="276" w:lineRule="auto"/>
        <w:ind w:left="720"/>
        <w:jc w:val="both"/>
        <w:rPr>
          <w:rFonts w:ascii="Arial" w:eastAsia="Times New Roman" w:hAnsi="Arial" w:cs="Arial"/>
          <w:b/>
          <w:sz w:val="32"/>
          <w:szCs w:val="32"/>
          <w:lang w:val="en-GB"/>
        </w:rPr>
      </w:pPr>
    </w:p>
    <w:p w:rsidR="00622A3D" w:rsidRPr="00B057C9" w:rsidRDefault="00622A3D" w:rsidP="00622A3D">
      <w:pPr>
        <w:spacing w:after="0" w:line="276" w:lineRule="auto"/>
        <w:ind w:left="360"/>
        <w:jc w:val="both"/>
        <w:rPr>
          <w:rFonts w:ascii="Arial" w:eastAsia="Times New Roman" w:hAnsi="Arial" w:cs="Arial"/>
          <w:sz w:val="32"/>
          <w:szCs w:val="32"/>
          <w:lang w:eastAsia="en-ZA"/>
        </w:rPr>
      </w:pPr>
      <w:r w:rsidRPr="00B057C9">
        <w:rPr>
          <w:rFonts w:ascii="Arial" w:eastAsia="Times New Roman" w:hAnsi="Arial" w:cs="Arial"/>
          <w:sz w:val="32"/>
          <w:szCs w:val="32"/>
          <w:lang w:eastAsia="en-ZA"/>
        </w:rPr>
        <w:t xml:space="preserve">The broadcast of sports events </w:t>
      </w:r>
      <w:proofErr w:type="gramStart"/>
      <w:r w:rsidRPr="00B057C9">
        <w:rPr>
          <w:rFonts w:ascii="Arial" w:eastAsia="Times New Roman" w:hAnsi="Arial" w:cs="Arial"/>
          <w:sz w:val="32"/>
          <w:szCs w:val="32"/>
          <w:lang w:eastAsia="en-ZA"/>
        </w:rPr>
        <w:t>is regulated</w:t>
      </w:r>
      <w:proofErr w:type="gramEnd"/>
      <w:r w:rsidRPr="00B057C9">
        <w:rPr>
          <w:rFonts w:ascii="Arial" w:eastAsia="Times New Roman" w:hAnsi="Arial" w:cs="Arial"/>
          <w:sz w:val="32"/>
          <w:szCs w:val="32"/>
          <w:lang w:eastAsia="en-ZA"/>
        </w:rPr>
        <w:t xml:space="preserve"> by the Sports Broadcast Service Regulations. In December 2018, The Independent Communications Authority (ICASA) published the draft Broadcast Services Regulations to amend Broadcast Services Regulations of 2010.</w:t>
      </w:r>
    </w:p>
    <w:p w:rsidR="00622A3D" w:rsidRPr="00B057C9" w:rsidRDefault="00622A3D" w:rsidP="00622A3D">
      <w:pPr>
        <w:spacing w:after="0" w:line="276" w:lineRule="auto"/>
        <w:jc w:val="both"/>
        <w:rPr>
          <w:rFonts w:ascii="Arial" w:eastAsia="Calibri" w:hAnsi="Arial" w:cs="Arial"/>
          <w:bCs/>
          <w:sz w:val="32"/>
          <w:szCs w:val="32"/>
        </w:rPr>
      </w:pPr>
    </w:p>
    <w:p w:rsidR="00622A3D" w:rsidRPr="00B057C9" w:rsidRDefault="00622A3D" w:rsidP="00622A3D">
      <w:pPr>
        <w:spacing w:after="0" w:line="276" w:lineRule="auto"/>
        <w:ind w:left="360"/>
        <w:jc w:val="both"/>
        <w:rPr>
          <w:rFonts w:ascii="Arial" w:eastAsia="Times New Roman" w:hAnsi="Arial" w:cs="Arial"/>
          <w:sz w:val="32"/>
          <w:szCs w:val="32"/>
          <w:lang w:eastAsia="en-ZA"/>
        </w:rPr>
      </w:pPr>
      <w:r w:rsidRPr="00B057C9">
        <w:rPr>
          <w:rFonts w:ascii="Arial" w:eastAsia="Times New Roman" w:hAnsi="Arial" w:cs="Arial"/>
          <w:sz w:val="32"/>
          <w:szCs w:val="32"/>
          <w:lang w:eastAsia="en-ZA"/>
        </w:rPr>
        <w:t xml:space="preserve">In order to ensure a long-term sustainable broadcast solution regarding sport broadcast rights, ICASA in consultation with Department of Communications and Digital Technologies conducted public hearings so that it can undertake amendments to the Sports Broadcast Service Regulations of 2010 and concluded the public hearings process in May 2019. </w:t>
      </w:r>
    </w:p>
    <w:p w:rsidR="00622A3D" w:rsidRPr="00B057C9" w:rsidRDefault="00622A3D" w:rsidP="00622A3D">
      <w:pPr>
        <w:spacing w:before="100" w:beforeAutospacing="1" w:after="15" w:line="276" w:lineRule="auto"/>
        <w:ind w:left="360" w:right="120"/>
        <w:jc w:val="both"/>
        <w:rPr>
          <w:rFonts w:ascii="Arial" w:eastAsia="Times New Roman" w:hAnsi="Arial" w:cs="Arial"/>
          <w:sz w:val="32"/>
          <w:szCs w:val="32"/>
          <w:lang w:eastAsia="en-ZA"/>
        </w:rPr>
      </w:pPr>
      <w:r w:rsidRPr="00B057C9">
        <w:rPr>
          <w:rFonts w:ascii="Arial" w:eastAsia="Times New Roman" w:hAnsi="Arial" w:cs="Arial"/>
          <w:sz w:val="32"/>
          <w:szCs w:val="32"/>
          <w:lang w:eastAsia="en-ZA"/>
        </w:rPr>
        <w:lastRenderedPageBreak/>
        <w:t xml:space="preserve">As provided by the Act, ICASA will communicate with the two Ministries Sports, </w:t>
      </w:r>
      <w:proofErr w:type="gramStart"/>
      <w:r w:rsidRPr="00B057C9">
        <w:rPr>
          <w:rFonts w:ascii="Arial" w:eastAsia="Times New Roman" w:hAnsi="Arial" w:cs="Arial"/>
          <w:sz w:val="32"/>
          <w:szCs w:val="32"/>
          <w:lang w:eastAsia="en-ZA"/>
        </w:rPr>
        <w:t>Arts and Culture and Communications</w:t>
      </w:r>
      <w:proofErr w:type="gramEnd"/>
      <w:r w:rsidRPr="00B057C9">
        <w:rPr>
          <w:rFonts w:ascii="Arial" w:eastAsia="Times New Roman" w:hAnsi="Arial" w:cs="Arial"/>
          <w:sz w:val="32"/>
          <w:szCs w:val="32"/>
          <w:lang w:eastAsia="en-ZA"/>
        </w:rPr>
        <w:t xml:space="preserve"> and Digital Technologies prior to publishing the final regulations, giving the Minister an opportunity to make recommendations.</w:t>
      </w:r>
    </w:p>
    <w:p w:rsidR="00622A3D" w:rsidRPr="00B057C9" w:rsidRDefault="00622A3D" w:rsidP="00622A3D">
      <w:pPr>
        <w:numPr>
          <w:ilvl w:val="0"/>
          <w:numId w:val="4"/>
        </w:numPr>
        <w:spacing w:before="100" w:beforeAutospacing="1" w:after="15" w:line="276" w:lineRule="auto"/>
        <w:ind w:right="120"/>
        <w:jc w:val="both"/>
        <w:rPr>
          <w:rFonts w:ascii="Arial" w:eastAsia="Times New Roman" w:hAnsi="Arial" w:cs="Arial"/>
          <w:sz w:val="32"/>
          <w:szCs w:val="32"/>
          <w:lang w:eastAsia="en-ZA"/>
        </w:rPr>
      </w:pPr>
    </w:p>
    <w:p w:rsidR="00622A3D" w:rsidRPr="00892DF4" w:rsidRDefault="00622A3D" w:rsidP="00622A3D">
      <w:pPr>
        <w:pStyle w:val="ListParagraph"/>
        <w:numPr>
          <w:ilvl w:val="0"/>
          <w:numId w:val="1"/>
        </w:numPr>
        <w:spacing w:after="0" w:line="276" w:lineRule="auto"/>
        <w:jc w:val="both"/>
        <w:rPr>
          <w:rFonts w:ascii="Arial" w:eastAsia="Times New Roman" w:hAnsi="Arial" w:cs="Arial"/>
          <w:sz w:val="32"/>
          <w:szCs w:val="32"/>
          <w:lang w:eastAsia="en-ZA"/>
        </w:rPr>
      </w:pPr>
      <w:r w:rsidRPr="00892DF4">
        <w:rPr>
          <w:rFonts w:ascii="Arial" w:eastAsia="Times New Roman" w:hAnsi="Arial" w:cs="Arial"/>
          <w:sz w:val="32"/>
          <w:szCs w:val="32"/>
          <w:lang w:eastAsia="en-ZA"/>
        </w:rPr>
        <w:t xml:space="preserve">The funds that the Department transfers to SAFA </w:t>
      </w:r>
      <w:proofErr w:type="gramStart"/>
      <w:r w:rsidRPr="00892DF4">
        <w:rPr>
          <w:rFonts w:ascii="Arial" w:eastAsia="Times New Roman" w:hAnsi="Arial" w:cs="Arial"/>
          <w:sz w:val="32"/>
          <w:szCs w:val="32"/>
          <w:lang w:eastAsia="en-ZA"/>
        </w:rPr>
        <w:t>are meant</w:t>
      </w:r>
      <w:proofErr w:type="gramEnd"/>
      <w:r w:rsidRPr="00892DF4">
        <w:rPr>
          <w:rFonts w:ascii="Arial" w:eastAsia="Times New Roman" w:hAnsi="Arial" w:cs="Arial"/>
          <w:sz w:val="32"/>
          <w:szCs w:val="32"/>
          <w:lang w:eastAsia="en-ZA"/>
        </w:rPr>
        <w:t xml:space="preserve"> primarily for Women’s Football with a portion for Schools Football.</w:t>
      </w:r>
    </w:p>
    <w:p w:rsidR="00622A3D" w:rsidRPr="00B057C9" w:rsidRDefault="00622A3D" w:rsidP="00622A3D">
      <w:pPr>
        <w:numPr>
          <w:ilvl w:val="0"/>
          <w:numId w:val="1"/>
        </w:numPr>
        <w:spacing w:after="0" w:line="276" w:lineRule="auto"/>
        <w:jc w:val="both"/>
        <w:rPr>
          <w:rFonts w:ascii="Arial" w:eastAsia="Times New Roman" w:hAnsi="Arial" w:cs="Arial"/>
          <w:sz w:val="32"/>
          <w:szCs w:val="32"/>
          <w:lang w:eastAsia="en-ZA"/>
        </w:rPr>
      </w:pPr>
      <w:r w:rsidRPr="00B057C9">
        <w:rPr>
          <w:rFonts w:ascii="Arial" w:eastAsia="Times New Roman" w:hAnsi="Arial" w:cs="Arial"/>
          <w:sz w:val="32"/>
          <w:szCs w:val="32"/>
          <w:lang w:eastAsia="en-ZA"/>
        </w:rPr>
        <w:t>The Department has made special additional allocation to SAFA for the National Women’s League.</w:t>
      </w:r>
    </w:p>
    <w:p w:rsidR="00622A3D" w:rsidRPr="00B057C9" w:rsidRDefault="00622A3D" w:rsidP="00622A3D">
      <w:pPr>
        <w:numPr>
          <w:ilvl w:val="0"/>
          <w:numId w:val="1"/>
        </w:numPr>
        <w:spacing w:after="0" w:line="276" w:lineRule="auto"/>
        <w:jc w:val="both"/>
        <w:rPr>
          <w:rFonts w:ascii="Arial" w:eastAsia="Times New Roman" w:hAnsi="Arial" w:cs="Arial"/>
          <w:sz w:val="32"/>
          <w:szCs w:val="32"/>
          <w:lang w:eastAsia="en-ZA"/>
        </w:rPr>
      </w:pPr>
      <w:r w:rsidRPr="00B057C9">
        <w:rPr>
          <w:rFonts w:ascii="Arial" w:eastAsia="Times New Roman" w:hAnsi="Arial" w:cs="Arial"/>
          <w:sz w:val="32"/>
          <w:szCs w:val="32"/>
          <w:lang w:eastAsia="en-ZA"/>
        </w:rPr>
        <w:t xml:space="preserve">In terms of </w:t>
      </w:r>
      <w:proofErr w:type="gramStart"/>
      <w:r w:rsidRPr="00B057C9">
        <w:rPr>
          <w:rFonts w:ascii="Arial" w:eastAsia="Times New Roman" w:hAnsi="Arial" w:cs="Arial"/>
          <w:sz w:val="32"/>
          <w:szCs w:val="32"/>
          <w:lang w:eastAsia="en-ZA"/>
        </w:rPr>
        <w:t>rugby</w:t>
      </w:r>
      <w:proofErr w:type="gramEnd"/>
      <w:r w:rsidRPr="00B057C9">
        <w:rPr>
          <w:rFonts w:ascii="Arial" w:eastAsia="Times New Roman" w:hAnsi="Arial" w:cs="Arial"/>
          <w:sz w:val="32"/>
          <w:szCs w:val="32"/>
          <w:lang w:eastAsia="en-ZA"/>
        </w:rPr>
        <w:t xml:space="preserve"> the funds allocated to South African Rugby are specifically meant primarily for Women’s Rugby and the Get into Rugby programme which targets development of Women’s Rugby.</w:t>
      </w:r>
    </w:p>
    <w:p w:rsidR="00622A3D" w:rsidRPr="00B057C9" w:rsidRDefault="00622A3D" w:rsidP="00622A3D">
      <w:pPr>
        <w:spacing w:after="0" w:line="276" w:lineRule="auto"/>
        <w:ind w:left="426" w:hanging="426"/>
        <w:jc w:val="both"/>
        <w:rPr>
          <w:rFonts w:ascii="Arial" w:eastAsia="Times New Roman" w:hAnsi="Arial" w:cs="Arial"/>
          <w:sz w:val="32"/>
          <w:szCs w:val="32"/>
          <w:lang w:eastAsia="en-ZA"/>
        </w:rPr>
      </w:pPr>
    </w:p>
    <w:p w:rsidR="00622A3D" w:rsidRPr="00B057C9" w:rsidRDefault="00622A3D" w:rsidP="00622A3D">
      <w:pPr>
        <w:spacing w:after="0" w:line="276" w:lineRule="auto"/>
        <w:ind w:left="426" w:hanging="426"/>
        <w:jc w:val="both"/>
        <w:rPr>
          <w:rFonts w:ascii="Arial" w:eastAsia="Times New Roman" w:hAnsi="Arial" w:cs="Arial"/>
          <w:sz w:val="32"/>
          <w:szCs w:val="32"/>
          <w:lang w:eastAsia="en-ZA"/>
        </w:rPr>
      </w:pPr>
      <w:r w:rsidRPr="00B057C9">
        <w:rPr>
          <w:rFonts w:ascii="Arial" w:eastAsia="Times New Roman" w:hAnsi="Arial" w:cs="Arial"/>
          <w:color w:val="000000"/>
          <w:sz w:val="32"/>
          <w:szCs w:val="32"/>
          <w:lang w:val="af-ZA" w:eastAsia="en-ZA"/>
        </w:rPr>
        <w:t xml:space="preserve">(3) </w:t>
      </w:r>
      <w:r w:rsidRPr="00B057C9">
        <w:rPr>
          <w:rFonts w:ascii="Arial" w:eastAsia="Times New Roman" w:hAnsi="Arial" w:cs="Arial"/>
          <w:sz w:val="32"/>
          <w:szCs w:val="32"/>
          <w:lang w:eastAsia="en-ZA"/>
        </w:rPr>
        <w:t xml:space="preserve"> Yes, The funds referred to in question 2 above are used by SAFA and South African Rugby for National Women’s Tournaments.</w:t>
      </w:r>
    </w:p>
    <w:p w:rsidR="00622A3D" w:rsidRPr="00B057C9" w:rsidRDefault="00622A3D" w:rsidP="00622A3D">
      <w:pPr>
        <w:spacing w:after="0" w:line="276" w:lineRule="auto"/>
        <w:ind w:left="426" w:hanging="426"/>
        <w:jc w:val="both"/>
        <w:rPr>
          <w:rFonts w:ascii="Arial" w:eastAsia="Times New Roman" w:hAnsi="Arial" w:cs="Arial"/>
          <w:sz w:val="32"/>
          <w:szCs w:val="32"/>
          <w:lang w:eastAsia="en-ZA"/>
        </w:rPr>
      </w:pPr>
    </w:p>
    <w:p w:rsidR="00622A3D" w:rsidRPr="00B057C9" w:rsidRDefault="00622A3D" w:rsidP="00622A3D">
      <w:pPr>
        <w:spacing w:after="0" w:line="276" w:lineRule="auto"/>
        <w:ind w:left="426" w:hanging="426"/>
        <w:jc w:val="both"/>
        <w:rPr>
          <w:rFonts w:ascii="Arial" w:eastAsia="Times New Roman" w:hAnsi="Arial" w:cs="Arial"/>
          <w:sz w:val="32"/>
          <w:szCs w:val="32"/>
          <w:lang w:eastAsia="en-ZA"/>
        </w:rPr>
      </w:pPr>
      <w:r w:rsidRPr="00B057C9">
        <w:rPr>
          <w:rFonts w:ascii="Arial" w:eastAsia="Times New Roman" w:hAnsi="Arial" w:cs="Arial"/>
          <w:color w:val="000000"/>
          <w:sz w:val="32"/>
          <w:szCs w:val="32"/>
          <w:lang w:val="af-ZA" w:eastAsia="en-ZA"/>
        </w:rPr>
        <w:t xml:space="preserve">(4) </w:t>
      </w:r>
      <w:r w:rsidRPr="00B057C9">
        <w:rPr>
          <w:rFonts w:ascii="Arial" w:eastAsia="Times New Roman" w:hAnsi="Arial" w:cs="Arial"/>
          <w:sz w:val="32"/>
          <w:szCs w:val="32"/>
          <w:lang w:eastAsia="en-ZA"/>
        </w:rPr>
        <w:t>The National Federations implement the development programme targeting (a) referees (b) players and (c) administrators utilizing the financial support provided by the Department.</w:t>
      </w:r>
    </w:p>
    <w:p w:rsidR="00622A3D" w:rsidRPr="00B057C9" w:rsidRDefault="00622A3D" w:rsidP="00622A3D">
      <w:pPr>
        <w:numPr>
          <w:ilvl w:val="0"/>
          <w:numId w:val="2"/>
        </w:numPr>
        <w:spacing w:after="0" w:line="276" w:lineRule="auto"/>
        <w:jc w:val="both"/>
        <w:rPr>
          <w:rFonts w:ascii="Arial" w:eastAsia="Times New Roman" w:hAnsi="Arial" w:cs="Arial"/>
          <w:sz w:val="32"/>
          <w:szCs w:val="32"/>
          <w:lang w:eastAsia="en-ZA"/>
        </w:rPr>
      </w:pPr>
      <w:r w:rsidRPr="00B057C9">
        <w:rPr>
          <w:rFonts w:ascii="Arial" w:eastAsia="Times New Roman" w:hAnsi="Arial" w:cs="Arial"/>
          <w:sz w:val="32"/>
          <w:szCs w:val="32"/>
          <w:lang w:eastAsia="en-ZA"/>
        </w:rPr>
        <w:t xml:space="preserve">This is in line with the National Sport and Recreation </w:t>
      </w:r>
      <w:proofErr w:type="gramStart"/>
      <w:r w:rsidRPr="00B057C9">
        <w:rPr>
          <w:rFonts w:ascii="Arial" w:eastAsia="Times New Roman" w:hAnsi="Arial" w:cs="Arial"/>
          <w:sz w:val="32"/>
          <w:szCs w:val="32"/>
          <w:lang w:eastAsia="en-ZA"/>
        </w:rPr>
        <w:t>Plan which</w:t>
      </w:r>
      <w:proofErr w:type="gramEnd"/>
      <w:r w:rsidRPr="00B057C9">
        <w:rPr>
          <w:rFonts w:ascii="Arial" w:eastAsia="Times New Roman" w:hAnsi="Arial" w:cs="Arial"/>
          <w:sz w:val="32"/>
          <w:szCs w:val="32"/>
          <w:lang w:eastAsia="en-ZA"/>
        </w:rPr>
        <w:t xml:space="preserve"> places the responsibility of developing referees, players and administrators on Federations and that of providing an enabling environment and support on the Department.</w:t>
      </w:r>
    </w:p>
    <w:p w:rsidR="00622A3D" w:rsidRPr="00B057C9" w:rsidRDefault="00622A3D" w:rsidP="00622A3D">
      <w:pPr>
        <w:numPr>
          <w:ilvl w:val="0"/>
          <w:numId w:val="2"/>
        </w:numPr>
        <w:spacing w:after="0" w:line="276" w:lineRule="auto"/>
        <w:jc w:val="both"/>
        <w:rPr>
          <w:rFonts w:ascii="Arial" w:eastAsia="Times New Roman" w:hAnsi="Arial" w:cs="Arial"/>
          <w:sz w:val="32"/>
          <w:szCs w:val="32"/>
          <w:lang w:eastAsia="en-ZA"/>
        </w:rPr>
      </w:pPr>
      <w:r w:rsidRPr="00B057C9">
        <w:rPr>
          <w:rFonts w:ascii="Arial" w:eastAsia="Times New Roman" w:hAnsi="Arial" w:cs="Arial"/>
          <w:sz w:val="32"/>
          <w:szCs w:val="32"/>
          <w:lang w:eastAsia="en-ZA"/>
        </w:rPr>
        <w:t xml:space="preserve">Within the conditional </w:t>
      </w:r>
      <w:proofErr w:type="gramStart"/>
      <w:r w:rsidRPr="00B057C9">
        <w:rPr>
          <w:rFonts w:ascii="Arial" w:eastAsia="Times New Roman" w:hAnsi="Arial" w:cs="Arial"/>
          <w:sz w:val="32"/>
          <w:szCs w:val="32"/>
          <w:lang w:eastAsia="en-ZA"/>
        </w:rPr>
        <w:t>grant</w:t>
      </w:r>
      <w:proofErr w:type="gramEnd"/>
      <w:r w:rsidRPr="00B057C9">
        <w:rPr>
          <w:rFonts w:ascii="Arial" w:eastAsia="Times New Roman" w:hAnsi="Arial" w:cs="Arial"/>
          <w:sz w:val="32"/>
          <w:szCs w:val="32"/>
          <w:lang w:eastAsia="en-ZA"/>
        </w:rPr>
        <w:t xml:space="preserve"> provision is made for building the capacity of people delivering the school sport programme, club development programme, community sport and active recreation and academies. The allocation </w:t>
      </w:r>
      <w:r w:rsidRPr="00B057C9">
        <w:rPr>
          <w:rFonts w:ascii="Arial" w:eastAsia="Times New Roman" w:hAnsi="Arial" w:cs="Arial"/>
          <w:sz w:val="32"/>
          <w:szCs w:val="32"/>
          <w:lang w:eastAsia="en-ZA"/>
        </w:rPr>
        <w:lastRenderedPageBreak/>
        <w:t>includes the development of (a) referees (b) players (c) administrators and coaches</w:t>
      </w:r>
    </w:p>
    <w:p w:rsidR="00622A3D" w:rsidRDefault="00622A3D" w:rsidP="00622A3D">
      <w:pPr>
        <w:spacing w:after="0" w:line="276" w:lineRule="auto"/>
        <w:ind w:left="426" w:hanging="426"/>
        <w:jc w:val="both"/>
        <w:rPr>
          <w:rFonts w:ascii="Arial" w:eastAsia="Times New Roman" w:hAnsi="Arial" w:cs="Arial"/>
          <w:sz w:val="32"/>
          <w:szCs w:val="32"/>
          <w:lang w:eastAsia="en-ZA"/>
        </w:rPr>
      </w:pPr>
    </w:p>
    <w:p w:rsidR="00622A3D" w:rsidRDefault="00622A3D" w:rsidP="00622A3D">
      <w:pPr>
        <w:spacing w:after="0" w:line="276" w:lineRule="auto"/>
        <w:ind w:left="426" w:hanging="426"/>
        <w:jc w:val="both"/>
        <w:rPr>
          <w:rFonts w:ascii="Arial" w:eastAsia="Times New Roman" w:hAnsi="Arial" w:cs="Arial"/>
          <w:sz w:val="32"/>
          <w:szCs w:val="32"/>
          <w:lang w:eastAsia="en-ZA"/>
        </w:rPr>
      </w:pPr>
    </w:p>
    <w:p w:rsidR="00622A3D" w:rsidRDefault="00622A3D" w:rsidP="00622A3D">
      <w:pPr>
        <w:spacing w:after="0" w:line="276" w:lineRule="auto"/>
        <w:ind w:left="426" w:hanging="426"/>
        <w:jc w:val="both"/>
        <w:rPr>
          <w:rFonts w:ascii="Arial" w:eastAsia="Times New Roman" w:hAnsi="Arial" w:cs="Arial"/>
          <w:sz w:val="32"/>
          <w:szCs w:val="32"/>
          <w:lang w:eastAsia="en-ZA"/>
        </w:rPr>
      </w:pPr>
    </w:p>
    <w:p w:rsidR="00622A3D" w:rsidRPr="00B057C9" w:rsidRDefault="00622A3D" w:rsidP="00622A3D">
      <w:pPr>
        <w:spacing w:after="0" w:line="276" w:lineRule="auto"/>
        <w:ind w:left="426" w:hanging="426"/>
        <w:jc w:val="both"/>
        <w:rPr>
          <w:rFonts w:ascii="Arial" w:eastAsia="Times New Roman" w:hAnsi="Arial" w:cs="Arial"/>
          <w:sz w:val="32"/>
          <w:szCs w:val="32"/>
          <w:lang w:eastAsia="en-ZA"/>
        </w:rPr>
      </w:pPr>
    </w:p>
    <w:p w:rsidR="00622A3D" w:rsidRPr="00B057C9" w:rsidRDefault="00622A3D" w:rsidP="00622A3D">
      <w:pPr>
        <w:spacing w:after="0" w:line="276" w:lineRule="auto"/>
        <w:jc w:val="both"/>
        <w:rPr>
          <w:rFonts w:ascii="Arial" w:eastAsia="Times New Roman" w:hAnsi="Arial" w:cs="Arial"/>
          <w:sz w:val="32"/>
          <w:szCs w:val="32"/>
          <w:lang w:eastAsia="en-ZA"/>
        </w:rPr>
      </w:pPr>
      <w:r w:rsidRPr="00B057C9">
        <w:rPr>
          <w:rFonts w:ascii="Arial" w:eastAsia="Times New Roman" w:hAnsi="Arial" w:cs="Arial"/>
          <w:color w:val="000000"/>
          <w:sz w:val="32"/>
          <w:szCs w:val="32"/>
          <w:lang w:val="af-ZA" w:eastAsia="en-ZA"/>
        </w:rPr>
        <w:t xml:space="preserve">(5) </w:t>
      </w:r>
    </w:p>
    <w:p w:rsidR="00622A3D" w:rsidRPr="00B057C9" w:rsidRDefault="00622A3D" w:rsidP="00622A3D">
      <w:pPr>
        <w:numPr>
          <w:ilvl w:val="0"/>
          <w:numId w:val="3"/>
        </w:numPr>
        <w:spacing w:after="0" w:line="276" w:lineRule="auto"/>
        <w:jc w:val="both"/>
        <w:rPr>
          <w:rFonts w:ascii="Arial" w:eastAsia="Times New Roman" w:hAnsi="Arial" w:cs="Arial"/>
          <w:sz w:val="32"/>
          <w:szCs w:val="32"/>
          <w:lang w:eastAsia="en-ZA"/>
        </w:rPr>
      </w:pPr>
      <w:r w:rsidRPr="00B057C9">
        <w:rPr>
          <w:rFonts w:ascii="Arial" w:eastAsia="Times New Roman" w:hAnsi="Arial" w:cs="Arial"/>
          <w:sz w:val="32"/>
          <w:szCs w:val="32"/>
          <w:lang w:eastAsia="en-ZA"/>
        </w:rPr>
        <w:t xml:space="preserve">The Provinces are beneficiaries of the Mass Participation and Sport Development Grant. There is no </w:t>
      </w:r>
      <w:proofErr w:type="spellStart"/>
      <w:r w:rsidRPr="00B057C9">
        <w:rPr>
          <w:rFonts w:ascii="Arial" w:eastAsia="Times New Roman" w:hAnsi="Arial" w:cs="Arial"/>
          <w:sz w:val="32"/>
          <w:szCs w:val="32"/>
          <w:lang w:eastAsia="en-ZA"/>
        </w:rPr>
        <w:t>ringfenced</w:t>
      </w:r>
      <w:proofErr w:type="spellEnd"/>
      <w:r w:rsidRPr="00B057C9">
        <w:rPr>
          <w:rFonts w:ascii="Arial" w:eastAsia="Times New Roman" w:hAnsi="Arial" w:cs="Arial"/>
          <w:sz w:val="32"/>
          <w:szCs w:val="32"/>
          <w:lang w:eastAsia="en-ZA"/>
        </w:rPr>
        <w:t xml:space="preserve"> amount for </w:t>
      </w:r>
      <w:proofErr w:type="spellStart"/>
      <w:r w:rsidRPr="00B057C9">
        <w:rPr>
          <w:rFonts w:ascii="Arial" w:eastAsia="Times New Roman" w:hAnsi="Arial" w:cs="Arial"/>
          <w:sz w:val="32"/>
          <w:szCs w:val="32"/>
          <w:lang w:eastAsia="en-ZA"/>
        </w:rPr>
        <w:t>Womens</w:t>
      </w:r>
      <w:proofErr w:type="spellEnd"/>
      <w:r w:rsidRPr="00B057C9">
        <w:rPr>
          <w:rFonts w:ascii="Arial" w:eastAsia="Times New Roman" w:hAnsi="Arial" w:cs="Arial"/>
          <w:sz w:val="32"/>
          <w:szCs w:val="32"/>
          <w:lang w:eastAsia="en-ZA"/>
        </w:rPr>
        <w:t xml:space="preserve"> participation in Sport, but in terms of the conditions, programmes must cater for men, women, boys, girls, </w:t>
      </w:r>
      <w:proofErr w:type="gramStart"/>
      <w:r w:rsidRPr="00B057C9">
        <w:rPr>
          <w:rFonts w:ascii="Arial" w:eastAsia="Times New Roman" w:hAnsi="Arial" w:cs="Arial"/>
          <w:sz w:val="32"/>
          <w:szCs w:val="32"/>
          <w:lang w:eastAsia="en-ZA"/>
        </w:rPr>
        <w:t>people</w:t>
      </w:r>
      <w:proofErr w:type="gramEnd"/>
      <w:r w:rsidRPr="00B057C9">
        <w:rPr>
          <w:rFonts w:ascii="Arial" w:eastAsia="Times New Roman" w:hAnsi="Arial" w:cs="Arial"/>
          <w:sz w:val="32"/>
          <w:szCs w:val="32"/>
          <w:lang w:eastAsia="en-ZA"/>
        </w:rPr>
        <w:t xml:space="preserve"> with disabilities and on rural areas. </w:t>
      </w:r>
    </w:p>
    <w:p w:rsidR="00622A3D" w:rsidRPr="00B057C9" w:rsidRDefault="00622A3D" w:rsidP="00622A3D">
      <w:pPr>
        <w:numPr>
          <w:ilvl w:val="0"/>
          <w:numId w:val="3"/>
        </w:numPr>
        <w:spacing w:after="0" w:line="276" w:lineRule="auto"/>
        <w:jc w:val="both"/>
        <w:rPr>
          <w:rFonts w:ascii="Arial" w:eastAsia="Times New Roman" w:hAnsi="Arial" w:cs="Arial"/>
          <w:b/>
          <w:bCs/>
          <w:sz w:val="32"/>
          <w:szCs w:val="32"/>
          <w:lang w:eastAsia="en-ZA"/>
        </w:rPr>
      </w:pPr>
      <w:r w:rsidRPr="00B057C9">
        <w:rPr>
          <w:rFonts w:ascii="Arial" w:eastAsia="Times New Roman" w:hAnsi="Arial" w:cs="Arial"/>
          <w:sz w:val="32"/>
          <w:szCs w:val="32"/>
          <w:lang w:eastAsia="en-ZA"/>
        </w:rPr>
        <w:t>In the 5 years up to 2018, 51% of participants in the National School Sport championships were girls. Other programmes like the youth Camps, Golden Games, National Recreation Day have catered for more women and girls than men.</w:t>
      </w:r>
    </w:p>
    <w:p w:rsidR="00622A3D" w:rsidRPr="00B057C9" w:rsidRDefault="00622A3D" w:rsidP="00622A3D">
      <w:pPr>
        <w:pStyle w:val="DACBODYTEXT"/>
        <w:ind w:left="84"/>
        <w:jc w:val="both"/>
        <w:rPr>
          <w:rFonts w:cs="Arial"/>
          <w:b/>
          <w:sz w:val="32"/>
          <w:szCs w:val="32"/>
        </w:rPr>
      </w:pPr>
    </w:p>
    <w:p w:rsidR="00622A3D" w:rsidRPr="00B057C9" w:rsidRDefault="00622A3D" w:rsidP="00622A3D">
      <w:pPr>
        <w:pStyle w:val="DACBODYTEXT"/>
        <w:ind w:left="84"/>
        <w:jc w:val="both"/>
        <w:rPr>
          <w:rFonts w:cs="Arial"/>
          <w:b/>
          <w:sz w:val="32"/>
          <w:szCs w:val="32"/>
        </w:rPr>
      </w:pPr>
    </w:p>
    <w:p w:rsidR="00622A3D" w:rsidRPr="00B057C9" w:rsidRDefault="00622A3D" w:rsidP="00622A3D">
      <w:pPr>
        <w:pStyle w:val="DACBODYTEXT"/>
        <w:ind w:left="84"/>
        <w:jc w:val="both"/>
        <w:rPr>
          <w:rFonts w:cs="Arial"/>
          <w:b/>
          <w:sz w:val="32"/>
          <w:szCs w:val="32"/>
        </w:rPr>
      </w:pPr>
    </w:p>
    <w:p w:rsidR="00622A3D" w:rsidRPr="00B057C9" w:rsidRDefault="00622A3D" w:rsidP="00622A3D">
      <w:pPr>
        <w:pStyle w:val="DACBODYTEXT"/>
        <w:ind w:left="84"/>
        <w:jc w:val="both"/>
        <w:rPr>
          <w:rFonts w:cs="Arial"/>
          <w:b/>
          <w:sz w:val="32"/>
          <w:szCs w:val="32"/>
        </w:rPr>
      </w:pPr>
    </w:p>
    <w:p w:rsidR="00622A3D" w:rsidRPr="00B057C9" w:rsidRDefault="00622A3D" w:rsidP="00622A3D">
      <w:pPr>
        <w:pStyle w:val="DACBODYTEXT"/>
        <w:ind w:left="84"/>
        <w:jc w:val="both"/>
        <w:rPr>
          <w:rFonts w:cs="Arial"/>
          <w:b/>
          <w:sz w:val="32"/>
          <w:szCs w:val="32"/>
        </w:rPr>
      </w:pPr>
    </w:p>
    <w:p w:rsidR="00622A3D" w:rsidRPr="00B057C9" w:rsidRDefault="00622A3D" w:rsidP="00622A3D">
      <w:pPr>
        <w:pStyle w:val="DACBODYTEXT"/>
        <w:ind w:left="84"/>
        <w:jc w:val="both"/>
        <w:rPr>
          <w:rFonts w:cs="Arial"/>
          <w:b/>
          <w:sz w:val="32"/>
          <w:szCs w:val="32"/>
        </w:rPr>
      </w:pPr>
    </w:p>
    <w:p w:rsidR="00622A3D" w:rsidRPr="00B057C9" w:rsidRDefault="00622A3D" w:rsidP="00622A3D">
      <w:pPr>
        <w:pStyle w:val="DACBODYTEXT"/>
        <w:ind w:left="84"/>
        <w:jc w:val="both"/>
        <w:rPr>
          <w:rFonts w:cs="Arial"/>
          <w:b/>
          <w:sz w:val="32"/>
          <w:szCs w:val="32"/>
        </w:rPr>
      </w:pPr>
    </w:p>
    <w:p w:rsidR="00622A3D" w:rsidRPr="00B057C9" w:rsidRDefault="00622A3D" w:rsidP="00622A3D">
      <w:pPr>
        <w:pStyle w:val="DACBODYTEXT"/>
        <w:ind w:left="84"/>
        <w:jc w:val="both"/>
        <w:rPr>
          <w:rFonts w:cs="Arial"/>
          <w:b/>
          <w:sz w:val="32"/>
          <w:szCs w:val="32"/>
        </w:rPr>
      </w:pPr>
    </w:p>
    <w:p w:rsidR="00622A3D" w:rsidRDefault="00622A3D" w:rsidP="00622A3D">
      <w:pPr>
        <w:pStyle w:val="DACBODYTEXT"/>
        <w:ind w:left="84"/>
        <w:jc w:val="both"/>
        <w:rPr>
          <w:rFonts w:cs="Arial"/>
          <w:b/>
          <w:sz w:val="32"/>
          <w:szCs w:val="32"/>
        </w:rPr>
      </w:pPr>
    </w:p>
    <w:p w:rsidR="006E1EA7" w:rsidRDefault="006E1EA7"/>
    <w:sectPr w:rsidR="006E1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C62"/>
    <w:multiLevelType w:val="hybridMultilevel"/>
    <w:tmpl w:val="934E7A9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8AC6C44"/>
    <w:multiLevelType w:val="hybridMultilevel"/>
    <w:tmpl w:val="4376710E"/>
    <w:lvl w:ilvl="0" w:tplc="7B6EC41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41924D22"/>
    <w:multiLevelType w:val="hybridMultilevel"/>
    <w:tmpl w:val="AA7ABC88"/>
    <w:lvl w:ilvl="0" w:tplc="4A24CB3A">
      <w:start w:val="1"/>
      <w:numFmt w:val="lowerLetter"/>
      <w:lvlText w:val="(%1)"/>
      <w:lvlJc w:val="left"/>
      <w:pPr>
        <w:ind w:left="720" w:hanging="360"/>
      </w:pPr>
      <w:rPr>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7F984304"/>
    <w:multiLevelType w:val="hybridMultilevel"/>
    <w:tmpl w:val="489A896A"/>
    <w:lvl w:ilvl="0" w:tplc="221E64E6">
      <w:start w:val="1"/>
      <w:numFmt w:val="lowerLetter"/>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3D"/>
    <w:rsid w:val="00622A3D"/>
    <w:rsid w:val="006E1E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AB94"/>
  <w15:chartTrackingRefBased/>
  <w15:docId w15:val="{2661C1AB-74D4-48B1-A873-BA771C80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3D"/>
    <w:pPr>
      <w:ind w:left="720"/>
      <w:contextualSpacing/>
    </w:pPr>
  </w:style>
  <w:style w:type="paragraph" w:customStyle="1" w:styleId="DACBODYTEXT">
    <w:name w:val="DAC BODY TEXT"/>
    <w:basedOn w:val="Normal"/>
    <w:qFormat/>
    <w:rsid w:val="00622A3D"/>
    <w:pPr>
      <w:spacing w:after="200" w:line="276" w:lineRule="auto"/>
      <w:ind w:left="993"/>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2019-10-04T13:29:00Z</dcterms:created>
  <dcterms:modified xsi:type="dcterms:W3CDTF">2019-10-04T13:30:00Z</dcterms:modified>
</cp:coreProperties>
</file>