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7408C8">
        <w:rPr>
          <w:b/>
          <w:bCs/>
          <w:sz w:val="24"/>
          <w:u w:val="single"/>
        </w:rPr>
        <w:t>8</w:t>
      </w:r>
      <w:r w:rsidR="004C5C74">
        <w:rPr>
          <w:b/>
          <w:bCs/>
          <w:sz w:val="24"/>
          <w:u w:val="single"/>
        </w:rPr>
        <w:t>60</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D304B">
        <w:rPr>
          <w:b/>
          <w:bCs/>
          <w:sz w:val="24"/>
          <w:u w:val="single"/>
        </w:rPr>
        <w:t>1</w:t>
      </w:r>
      <w:r w:rsidR="00280222">
        <w:rPr>
          <w:b/>
          <w:bCs/>
          <w:sz w:val="24"/>
          <w:u w:val="single"/>
        </w:rPr>
        <w:t>7</w:t>
      </w:r>
      <w:r w:rsidR="00412151">
        <w:rPr>
          <w:b/>
          <w:bCs/>
          <w:sz w:val="24"/>
          <w:u w:val="single"/>
        </w:rPr>
        <w:t xml:space="preserve">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10</w:t>
      </w:r>
      <w:r w:rsidRPr="008C527F">
        <w:rPr>
          <w:rFonts w:ascii="Arial" w:hAnsi="Arial" w:cs="Arial"/>
          <w:b/>
          <w:bCs/>
          <w:sz w:val="24"/>
          <w:u w:val="single"/>
        </w:rPr>
        <w:t>)</w:t>
      </w:r>
    </w:p>
    <w:p w:rsidR="004C5C74" w:rsidRPr="004C5C74" w:rsidRDefault="004C5C74" w:rsidP="004C5C74">
      <w:pPr>
        <w:spacing w:before="100" w:beforeAutospacing="1" w:after="100" w:afterAutospacing="1" w:line="240" w:lineRule="auto"/>
        <w:jc w:val="both"/>
        <w:rPr>
          <w:rFonts w:ascii="Arial" w:hAnsi="Arial" w:cs="Arial"/>
          <w:b/>
          <w:sz w:val="24"/>
          <w:szCs w:val="24"/>
          <w:u w:val="single"/>
        </w:rPr>
      </w:pPr>
      <w:r w:rsidRPr="004C5C74">
        <w:rPr>
          <w:rFonts w:ascii="Arial" w:hAnsi="Arial" w:cs="Arial"/>
          <w:b/>
          <w:sz w:val="24"/>
          <w:szCs w:val="24"/>
          <w:u w:val="single"/>
        </w:rPr>
        <w:t xml:space="preserve">Ms N N Chirwa (EFF) to ask the </w:t>
      </w:r>
      <w:r w:rsidRPr="004C5C74">
        <w:rPr>
          <w:rFonts w:ascii="Arial" w:eastAsia="Times New Roman" w:hAnsi="Arial" w:cs="Arial"/>
          <w:b/>
          <w:bCs/>
          <w:sz w:val="24"/>
          <w:szCs w:val="24"/>
          <w:u w:val="single"/>
        </w:rPr>
        <w:t>Minister</w:t>
      </w:r>
      <w:r w:rsidRPr="004C5C74">
        <w:rPr>
          <w:rFonts w:ascii="Arial" w:hAnsi="Arial" w:cs="Arial"/>
          <w:b/>
          <w:sz w:val="24"/>
          <w:szCs w:val="24"/>
          <w:u w:val="single"/>
        </w:rPr>
        <w:t xml:space="preserve"> of Health</w:t>
      </w:r>
      <w:r w:rsidR="0045680B" w:rsidRPr="004C5C74">
        <w:rPr>
          <w:rFonts w:ascii="Arial" w:hAnsi="Arial" w:cs="Arial"/>
          <w:b/>
          <w:sz w:val="24"/>
          <w:szCs w:val="24"/>
          <w:u w:val="single"/>
        </w:rPr>
        <w:fldChar w:fldCharType="begin"/>
      </w:r>
      <w:r w:rsidRPr="004C5C74">
        <w:rPr>
          <w:rFonts w:ascii="Arial" w:hAnsi="Arial" w:cs="Arial"/>
          <w:u w:val="single"/>
        </w:rPr>
        <w:instrText xml:space="preserve"> XE "</w:instrText>
      </w:r>
      <w:r w:rsidRPr="004C5C74">
        <w:rPr>
          <w:rFonts w:ascii="Arial" w:hAnsi="Arial" w:cs="Arial"/>
          <w:b/>
          <w:sz w:val="24"/>
          <w:szCs w:val="24"/>
          <w:u w:val="single"/>
        </w:rPr>
        <w:instrText>Minister of Health</w:instrText>
      </w:r>
      <w:r w:rsidRPr="004C5C74">
        <w:rPr>
          <w:rFonts w:ascii="Arial" w:hAnsi="Arial" w:cs="Arial"/>
          <w:u w:val="single"/>
        </w:rPr>
        <w:instrText xml:space="preserve">" </w:instrText>
      </w:r>
      <w:r w:rsidR="0045680B" w:rsidRPr="004C5C74">
        <w:rPr>
          <w:rFonts w:ascii="Arial" w:hAnsi="Arial" w:cs="Arial"/>
          <w:b/>
          <w:sz w:val="24"/>
          <w:szCs w:val="24"/>
          <w:u w:val="single"/>
        </w:rPr>
        <w:fldChar w:fldCharType="end"/>
      </w:r>
      <w:r w:rsidRPr="004C5C74">
        <w:rPr>
          <w:rFonts w:ascii="Arial" w:hAnsi="Arial" w:cs="Arial"/>
          <w:b/>
          <w:sz w:val="24"/>
          <w:szCs w:val="24"/>
          <w:u w:val="single"/>
        </w:rPr>
        <w:t>:</w:t>
      </w:r>
    </w:p>
    <w:p w:rsidR="004C5C74" w:rsidRPr="004C5C74" w:rsidRDefault="004C5C74" w:rsidP="004C5C74">
      <w:pPr>
        <w:spacing w:before="100" w:beforeAutospacing="1" w:after="100" w:afterAutospacing="1" w:line="240" w:lineRule="auto"/>
        <w:ind w:left="720" w:hanging="720"/>
        <w:jc w:val="both"/>
        <w:rPr>
          <w:rFonts w:ascii="Arial" w:hAnsi="Arial" w:cs="Arial"/>
          <w:sz w:val="24"/>
          <w:szCs w:val="24"/>
          <w:lang w:val="en-GB"/>
        </w:rPr>
      </w:pPr>
      <w:r w:rsidRPr="004C5C74">
        <w:rPr>
          <w:rFonts w:ascii="Arial" w:hAnsi="Arial" w:cs="Arial"/>
          <w:sz w:val="24"/>
          <w:szCs w:val="24"/>
          <w:lang w:val="en-GB"/>
        </w:rPr>
        <w:t>(1)</w:t>
      </w:r>
      <w:r w:rsidRPr="004C5C74">
        <w:rPr>
          <w:rFonts w:ascii="Arial" w:hAnsi="Arial" w:cs="Arial"/>
          <w:sz w:val="24"/>
          <w:szCs w:val="24"/>
          <w:lang w:val="en-GB"/>
        </w:rPr>
        <w:tab/>
        <w:t xml:space="preserve">Whether, considering the historical concerns with regard to the influence of Mr Bill Gates over the South African healthcare system, with specific reference to the </w:t>
      </w:r>
      <w:r w:rsidRPr="004C5C74">
        <w:rPr>
          <w:rFonts w:ascii="Arial" w:hAnsi="Arial" w:cs="Arial"/>
          <w:sz w:val="24"/>
          <w:szCs w:val="24"/>
        </w:rPr>
        <w:t>vaccine</w:t>
      </w:r>
      <w:r w:rsidRPr="004C5C74">
        <w:rPr>
          <w:rFonts w:ascii="Arial" w:hAnsi="Arial" w:cs="Arial"/>
          <w:sz w:val="24"/>
          <w:szCs w:val="24"/>
          <w:lang w:val="en-GB"/>
        </w:rPr>
        <w:t xml:space="preserve"> programmes during COVID-19 and the funding of the SA Health Products Regulatory Authority, he will furnish Ms N N Chirwa with a detailed breakdown of the (a) funding that the Republic has received from the </w:t>
      </w:r>
      <w:r w:rsidRPr="004C5C74">
        <w:rPr>
          <w:rFonts w:ascii="Arial" w:hAnsi="Arial" w:cs="Arial"/>
          <w:sz w:val="24"/>
          <w:szCs w:val="24"/>
        </w:rPr>
        <w:t>specified</w:t>
      </w:r>
      <w:r w:rsidRPr="004C5C74">
        <w:rPr>
          <w:rFonts w:ascii="Arial" w:hAnsi="Arial" w:cs="Arial"/>
          <w:sz w:val="24"/>
          <w:szCs w:val="24"/>
          <w:lang w:val="en-GB"/>
        </w:rPr>
        <w:t xml:space="preserve"> person since 1 January 2009 and (b) departments and/or entities to which the specified funds and/or d</w:t>
      </w:r>
      <w:r w:rsidRPr="004C5C74">
        <w:rPr>
          <w:rFonts w:ascii="Arial" w:eastAsia="Calibri" w:hAnsi="Arial" w:cs="Arial"/>
          <w:bCs/>
          <w:sz w:val="24"/>
          <w:szCs w:val="24"/>
          <w:lang w:val="en-GB"/>
        </w:rPr>
        <w:t>onations</w:t>
      </w:r>
      <w:r w:rsidRPr="004C5C74">
        <w:rPr>
          <w:rFonts w:ascii="Arial" w:hAnsi="Arial" w:cs="Arial"/>
          <w:sz w:val="24"/>
          <w:szCs w:val="24"/>
          <w:lang w:val="en-GB"/>
        </w:rPr>
        <w:t xml:space="preserve"> were sent and/or directed by either his department or by the specified person as the donor; if not, why not, in each case; if so, by what date;</w:t>
      </w:r>
    </w:p>
    <w:p w:rsidR="002C2A10" w:rsidRPr="00406988" w:rsidRDefault="004C5C74" w:rsidP="004C5C74">
      <w:pPr>
        <w:spacing w:before="100" w:beforeAutospacing="1" w:after="100" w:afterAutospacing="1" w:line="240" w:lineRule="auto"/>
        <w:ind w:left="720" w:hanging="720"/>
        <w:jc w:val="both"/>
        <w:rPr>
          <w:rFonts w:ascii="Times New Roman" w:hAnsi="Times New Roman" w:cs="Times New Roman"/>
          <w:b/>
          <w:sz w:val="20"/>
          <w:szCs w:val="20"/>
          <w:lang w:val="en-GB"/>
        </w:rPr>
      </w:pPr>
      <w:r w:rsidRPr="004C5C74">
        <w:rPr>
          <w:rFonts w:ascii="Arial" w:hAnsi="Arial" w:cs="Arial"/>
          <w:sz w:val="24"/>
          <w:szCs w:val="24"/>
          <w:lang w:val="en-GB"/>
        </w:rPr>
        <w:t>(2)</w:t>
      </w:r>
      <w:r w:rsidRPr="004C5C74">
        <w:rPr>
          <w:rFonts w:ascii="Arial" w:hAnsi="Arial" w:cs="Arial"/>
          <w:sz w:val="24"/>
          <w:szCs w:val="24"/>
          <w:lang w:val="en-GB"/>
        </w:rPr>
        <w:tab/>
        <w:t xml:space="preserve">what (a) programmes has his department been involved in with the specified person and any </w:t>
      </w:r>
      <w:r w:rsidRPr="004C5C74">
        <w:rPr>
          <w:rFonts w:ascii="Arial" w:hAnsi="Arial" w:cs="Arial"/>
          <w:sz w:val="24"/>
          <w:szCs w:val="24"/>
        </w:rPr>
        <w:t>related</w:t>
      </w:r>
      <w:r w:rsidRPr="004C5C74">
        <w:rPr>
          <w:rFonts w:ascii="Arial" w:hAnsi="Arial" w:cs="Arial"/>
          <w:sz w:val="24"/>
          <w:szCs w:val="24"/>
          <w:lang w:val="en-GB"/>
        </w:rPr>
        <w:t xml:space="preserve"> affiliations since 1 January 2009 and (b) programmes and/or associations does he envisage will take place with collaborative effort and/or through the funding of the specified person with the Republic in the current year and/or envisaged for a later period</w:t>
      </w:r>
      <w:r w:rsidRPr="004C5C74">
        <w:rPr>
          <w:rFonts w:ascii="Arial" w:eastAsia="Calibri" w:hAnsi="Arial" w:cs="Arial"/>
          <w:bCs/>
          <w:sz w:val="24"/>
          <w:szCs w:val="24"/>
          <w:lang w:val="en-GB"/>
        </w:rPr>
        <w:t>?</w:t>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sidR="008C527F" w:rsidRPr="0020357C">
        <w:rPr>
          <w:rFonts w:ascii="Arial" w:hAnsi="Arial" w:cs="Arial"/>
          <w:b/>
          <w:bCs/>
          <w:sz w:val="12"/>
          <w:szCs w:val="12"/>
        </w:rPr>
        <w:t>NW</w:t>
      </w:r>
      <w:r w:rsidR="00EB3463">
        <w:rPr>
          <w:rFonts w:ascii="Arial" w:hAnsi="Arial" w:cs="Arial"/>
          <w:b/>
          <w:bCs/>
          <w:sz w:val="12"/>
          <w:szCs w:val="12"/>
        </w:rPr>
        <w:t>9</w:t>
      </w:r>
      <w:r w:rsidR="00280222">
        <w:rPr>
          <w:rFonts w:ascii="Arial" w:hAnsi="Arial" w:cs="Arial"/>
          <w:b/>
          <w:bCs/>
          <w:sz w:val="12"/>
          <w:szCs w:val="12"/>
        </w:rPr>
        <w:t>6</w:t>
      </w:r>
      <w:r>
        <w:rPr>
          <w:rFonts w:ascii="Arial" w:hAnsi="Arial" w:cs="Arial"/>
          <w:b/>
          <w:bCs/>
          <w:sz w:val="12"/>
          <w:szCs w:val="12"/>
        </w:rPr>
        <w:t>6</w:t>
      </w:r>
      <w:r w:rsidR="008C527F" w:rsidRPr="0020357C">
        <w:rPr>
          <w:rFonts w:ascii="Arial" w:hAnsi="Arial" w:cs="Arial"/>
          <w:b/>
          <w:bCs/>
          <w:sz w:val="12"/>
          <w:szCs w:val="12"/>
        </w:rPr>
        <w:t>E</w:t>
      </w:r>
    </w:p>
    <w:p w:rsidR="006228AA" w:rsidRPr="00C057AA" w:rsidRDefault="006228AA" w:rsidP="00527131">
      <w:pPr>
        <w:spacing w:after="360" w:line="240" w:lineRule="auto"/>
        <w:ind w:right="306"/>
        <w:jc w:val="both"/>
        <w:rPr>
          <w:rFonts w:ascii="Times New Roman" w:hAnsi="Times New Roman" w:cs="Times New Roman"/>
          <w:color w:val="000000" w:themeColor="text1"/>
          <w:sz w:val="20"/>
          <w:szCs w:val="20"/>
        </w:rPr>
      </w:pPr>
      <w:r w:rsidRPr="006228AA">
        <w:rPr>
          <w:rFonts w:ascii="Arial" w:hAnsi="Arial" w:cs="Arial"/>
          <w:b/>
          <w:bCs/>
          <w:sz w:val="24"/>
          <w:szCs w:val="24"/>
          <w:u w:val="single"/>
          <w:lang w:val="en-US"/>
        </w:rPr>
        <w:t>REPLY:</w:t>
      </w:r>
    </w:p>
    <w:p w:rsidR="008A4319" w:rsidRPr="008A4319" w:rsidRDefault="008A4319" w:rsidP="008A4319">
      <w:pPr>
        <w:pStyle w:val="ListParagraph"/>
        <w:numPr>
          <w:ilvl w:val="0"/>
          <w:numId w:val="21"/>
        </w:numPr>
        <w:spacing w:line="252" w:lineRule="auto"/>
        <w:ind w:left="709" w:hanging="709"/>
        <w:jc w:val="both"/>
        <w:rPr>
          <w:rFonts w:ascii="Arial" w:eastAsia="Times New Roman" w:hAnsi="Arial" w:cs="Arial"/>
          <w:sz w:val="24"/>
          <w:szCs w:val="24"/>
        </w:rPr>
      </w:pPr>
      <w:r w:rsidRPr="008A4319">
        <w:rPr>
          <w:rFonts w:ascii="Arial" w:hAnsi="Arial" w:cs="Arial"/>
          <w:sz w:val="24"/>
          <w:szCs w:val="24"/>
        </w:rPr>
        <w:t>The department is not aware of “historical concerns with regard to the influence of Mr Bill Gates over the South African healthcare system”. The Bill &amp; Melinda Gates Foundation is one of many philanthropic organisations that contribute to healthcare across the globe. The Foundation “provides funding to organizations to achieve measurable impact in the fight against poverty, disease, and inequity around the world”, and “funds entrepreneurs, companies, and other organizations to create incentives that harness the power of private enterprise to create change for those who need it most.”</w:t>
      </w:r>
    </w:p>
    <w:p w:rsidR="008A4319" w:rsidRPr="008A4319" w:rsidRDefault="008A4319" w:rsidP="008A4319">
      <w:pPr>
        <w:pStyle w:val="ListParagraph"/>
        <w:spacing w:line="252" w:lineRule="auto"/>
        <w:ind w:left="709"/>
        <w:rPr>
          <w:rFonts w:ascii="Arial" w:eastAsia="Times New Roman" w:hAnsi="Arial" w:cs="Arial"/>
          <w:sz w:val="24"/>
          <w:szCs w:val="24"/>
        </w:rPr>
      </w:pPr>
    </w:p>
    <w:p w:rsidR="008A4319" w:rsidRPr="008A4319" w:rsidRDefault="008A4319" w:rsidP="008A4319">
      <w:pPr>
        <w:spacing w:line="252" w:lineRule="auto"/>
        <w:ind w:left="709"/>
        <w:jc w:val="both"/>
        <w:rPr>
          <w:rFonts w:ascii="Arial" w:eastAsia="Times New Roman" w:hAnsi="Arial" w:cs="Arial"/>
          <w:sz w:val="24"/>
          <w:szCs w:val="24"/>
        </w:rPr>
      </w:pPr>
      <w:r w:rsidRPr="008A4319">
        <w:rPr>
          <w:rFonts w:ascii="Arial" w:eastAsia="Times New Roman" w:hAnsi="Arial" w:cs="Arial"/>
          <w:sz w:val="24"/>
          <w:szCs w:val="24"/>
        </w:rPr>
        <w:t>The Gates Foundation supports several programs in South Africa with its major focus on health. During the period 2009-2022, the Gates Foundation invested approximately $907 million dollars in South Africa to some 764 grantees and vendors (which include NGOs, universities, science councils, implementing partners, and manufacturers).</w:t>
      </w:r>
    </w:p>
    <w:p w:rsidR="008A4319" w:rsidRPr="008A4319" w:rsidRDefault="008A4319" w:rsidP="008A4319">
      <w:pPr>
        <w:spacing w:after="0"/>
        <w:ind w:left="709"/>
        <w:jc w:val="both"/>
        <w:rPr>
          <w:rFonts w:ascii="Arial" w:eastAsia="Times New Roman" w:hAnsi="Arial" w:cs="Arial"/>
          <w:sz w:val="24"/>
          <w:szCs w:val="24"/>
        </w:rPr>
      </w:pPr>
      <w:r w:rsidRPr="008A4319">
        <w:rPr>
          <w:rFonts w:ascii="Arial" w:hAnsi="Arial" w:cs="Arial"/>
          <w:sz w:val="24"/>
          <w:szCs w:val="24"/>
        </w:rPr>
        <w:t>With specific reference to t</w:t>
      </w:r>
      <w:r w:rsidRPr="008A4319">
        <w:rPr>
          <w:rFonts w:ascii="Arial" w:eastAsia="Times New Roman" w:hAnsi="Arial" w:cs="Arial"/>
          <w:sz w:val="24"/>
          <w:szCs w:val="24"/>
        </w:rPr>
        <w:t xml:space="preserve">he vaccine programmes during COVID-19, </w:t>
      </w:r>
      <w:r w:rsidRPr="008A4319">
        <w:rPr>
          <w:rFonts w:ascii="Arial" w:hAnsi="Arial" w:cs="Arial"/>
          <w:sz w:val="24"/>
          <w:szCs w:val="24"/>
        </w:rPr>
        <w:t xml:space="preserve">departments and/or entities to which funds and/or donations were sent and/or directed by, include only one government entity, the </w:t>
      </w:r>
      <w:r w:rsidRPr="008A4319">
        <w:rPr>
          <w:rFonts w:ascii="Arial" w:eastAsia="Times New Roman" w:hAnsi="Arial" w:cs="Arial"/>
          <w:sz w:val="24"/>
          <w:szCs w:val="24"/>
        </w:rPr>
        <w:t>SAMRC for the Sisonke healthcare worker COVID 19 vaccination programme, plus several private and non-government organisations.</w:t>
      </w:r>
    </w:p>
    <w:p w:rsidR="008A4319" w:rsidRPr="008A4319" w:rsidRDefault="008A4319" w:rsidP="008A4319">
      <w:pPr>
        <w:spacing w:after="0"/>
        <w:ind w:left="720"/>
        <w:rPr>
          <w:rFonts w:ascii="Arial" w:hAnsi="Arial" w:cs="Arial"/>
          <w:sz w:val="24"/>
          <w:szCs w:val="24"/>
        </w:rPr>
      </w:pPr>
    </w:p>
    <w:p w:rsidR="008A4319" w:rsidRPr="008A4319" w:rsidRDefault="008A4319" w:rsidP="008A4319">
      <w:pPr>
        <w:spacing w:after="0"/>
        <w:ind w:left="709"/>
        <w:jc w:val="both"/>
        <w:rPr>
          <w:rFonts w:ascii="Arial" w:eastAsia="Times New Roman" w:hAnsi="Arial" w:cs="Arial"/>
          <w:sz w:val="24"/>
          <w:szCs w:val="24"/>
        </w:rPr>
      </w:pPr>
      <w:r w:rsidRPr="008A4319">
        <w:rPr>
          <w:rFonts w:ascii="Arial" w:hAnsi="Arial" w:cs="Arial"/>
          <w:sz w:val="24"/>
          <w:szCs w:val="24"/>
        </w:rPr>
        <w:t>With specific reference to SAHPRA since 1 January 2009</w:t>
      </w:r>
      <w:r w:rsidRPr="008A4319">
        <w:rPr>
          <w:rFonts w:ascii="Arial" w:eastAsia="Times New Roman" w:hAnsi="Arial" w:cs="Arial"/>
          <w:sz w:val="24"/>
          <w:szCs w:val="24"/>
        </w:rPr>
        <w:t xml:space="preserve"> the </w:t>
      </w:r>
      <w:r w:rsidRPr="008A4319">
        <w:rPr>
          <w:rFonts w:ascii="Arial" w:hAnsi="Arial" w:cs="Arial"/>
          <w:sz w:val="24"/>
          <w:szCs w:val="24"/>
        </w:rPr>
        <w:t>Gates Foundation direct support to SAHPRA is $7.6million to date.</w:t>
      </w:r>
    </w:p>
    <w:p w:rsidR="008A4319" w:rsidRPr="008A4319" w:rsidRDefault="008A4319" w:rsidP="008A4319">
      <w:pPr>
        <w:spacing w:after="0"/>
        <w:jc w:val="both"/>
        <w:rPr>
          <w:rFonts w:ascii="Arial" w:hAnsi="Arial" w:cs="Arial"/>
          <w:sz w:val="24"/>
          <w:szCs w:val="24"/>
        </w:rPr>
      </w:pPr>
    </w:p>
    <w:p w:rsidR="008A4319" w:rsidRPr="008A4319" w:rsidRDefault="008A4319" w:rsidP="008A4319">
      <w:pPr>
        <w:spacing w:after="0"/>
        <w:jc w:val="both"/>
        <w:rPr>
          <w:rFonts w:ascii="Arial" w:hAnsi="Arial" w:cs="Arial"/>
          <w:sz w:val="24"/>
          <w:szCs w:val="24"/>
        </w:rPr>
      </w:pPr>
    </w:p>
    <w:p w:rsidR="008A4319" w:rsidRPr="008A4319" w:rsidRDefault="008A4319" w:rsidP="008A4319">
      <w:pPr>
        <w:pStyle w:val="ListParagraph"/>
        <w:numPr>
          <w:ilvl w:val="0"/>
          <w:numId w:val="23"/>
        </w:numPr>
        <w:spacing w:after="0"/>
        <w:ind w:left="709" w:hanging="709"/>
        <w:jc w:val="both"/>
        <w:rPr>
          <w:rFonts w:ascii="Arial" w:eastAsia="Times New Roman" w:hAnsi="Arial" w:cs="Arial"/>
          <w:sz w:val="24"/>
          <w:szCs w:val="24"/>
        </w:rPr>
      </w:pPr>
      <w:r w:rsidRPr="008A4319">
        <w:rPr>
          <w:rFonts w:ascii="Arial" w:hAnsi="Arial" w:cs="Arial"/>
          <w:sz w:val="24"/>
          <w:szCs w:val="24"/>
        </w:rPr>
        <w:t xml:space="preserve">The Foundation has provided no direct funding to the NDoH since 1 January 2009 to date. </w:t>
      </w:r>
      <w:r w:rsidRPr="008A4319">
        <w:rPr>
          <w:rFonts w:ascii="Arial" w:eastAsia="Times New Roman" w:hAnsi="Arial" w:cs="Arial"/>
          <w:sz w:val="24"/>
          <w:szCs w:val="24"/>
        </w:rPr>
        <w:t>The focus of the Foundation’s health investments is related to TB and HIV response and span the spectrum from discovery, translation science, product development and delivery of new interventions.</w:t>
      </w:r>
    </w:p>
    <w:p w:rsidR="008A4319" w:rsidRPr="008A4319" w:rsidRDefault="0045680B" w:rsidP="008A4319">
      <w:pPr>
        <w:pStyle w:val="ListParagraph"/>
        <w:spacing w:after="0"/>
        <w:ind w:left="1134" w:hanging="425"/>
        <w:jc w:val="both"/>
        <w:rPr>
          <w:rFonts w:ascii="Arial" w:hAnsi="Arial" w:cs="Arial"/>
          <w:sz w:val="24"/>
          <w:szCs w:val="24"/>
        </w:rPr>
      </w:pPr>
      <w:hyperlink r:id="rId7" w:history="1">
        <w:r w:rsidR="008A4319" w:rsidRPr="008A4319">
          <w:rPr>
            <w:rStyle w:val="Hyperlink"/>
            <w:rFonts w:ascii="Arial" w:eastAsia="Times New Roman" w:hAnsi="Arial" w:cs="Arial"/>
            <w:color w:val="FF0000"/>
            <w:sz w:val="24"/>
            <w:szCs w:val="24"/>
          </w:rPr>
          <w:t>https://www.gatesfoundation.org/about/committed-grants?country=South%20Africa&amp;region=AFRICA</w:t>
        </w:r>
      </w:hyperlink>
      <w:r w:rsidR="008A4319" w:rsidRPr="008A4319">
        <w:rPr>
          <w:rFonts w:ascii="Arial" w:eastAsia="Times New Roman" w:hAnsi="Arial" w:cs="Arial"/>
          <w:color w:val="FF0000"/>
          <w:sz w:val="24"/>
          <w:szCs w:val="24"/>
        </w:rPr>
        <w:t>]</w:t>
      </w:r>
    </w:p>
    <w:p w:rsidR="008A4319" w:rsidRPr="008A4319" w:rsidRDefault="008A4319" w:rsidP="008A4319">
      <w:pPr>
        <w:spacing w:after="0"/>
        <w:ind w:left="1134" w:hanging="425"/>
        <w:jc w:val="both"/>
        <w:rPr>
          <w:rFonts w:ascii="Arial" w:hAnsi="Arial" w:cs="Arial"/>
          <w:sz w:val="24"/>
          <w:szCs w:val="24"/>
        </w:rPr>
      </w:pPr>
    </w:p>
    <w:p w:rsidR="008A4319" w:rsidRDefault="008A4319" w:rsidP="008A4319">
      <w:pPr>
        <w:spacing w:after="0"/>
        <w:ind w:left="709"/>
        <w:jc w:val="both"/>
        <w:rPr>
          <w:rFonts w:ascii="Arial" w:hAnsi="Arial" w:cs="Arial"/>
          <w:color w:val="000000" w:themeColor="text1"/>
          <w:sz w:val="24"/>
          <w:szCs w:val="24"/>
        </w:rPr>
      </w:pPr>
      <w:r w:rsidRPr="008A4319">
        <w:rPr>
          <w:rFonts w:ascii="Arial" w:hAnsi="Arial" w:cs="Arial"/>
          <w:sz w:val="24"/>
          <w:szCs w:val="24"/>
        </w:rPr>
        <w:t xml:space="preserve">According to the Foundation the programmes and/or associations envisaged through the funding of the Foundation, </w:t>
      </w:r>
      <w:r w:rsidRPr="008A4319">
        <w:rPr>
          <w:rFonts w:ascii="Arial" w:hAnsi="Arial" w:cs="Arial"/>
          <w:color w:val="000000" w:themeColor="text1"/>
          <w:sz w:val="24"/>
          <w:szCs w:val="24"/>
        </w:rPr>
        <w:t>include:</w:t>
      </w:r>
    </w:p>
    <w:p w:rsidR="008A4319" w:rsidRDefault="008A4319" w:rsidP="008A4319">
      <w:pPr>
        <w:spacing w:after="0"/>
        <w:ind w:left="709"/>
        <w:jc w:val="both"/>
        <w:rPr>
          <w:rFonts w:ascii="Arial" w:hAnsi="Arial" w:cs="Arial"/>
          <w:color w:val="000000" w:themeColor="text1"/>
          <w:sz w:val="24"/>
          <w:szCs w:val="24"/>
        </w:rPr>
      </w:pPr>
    </w:p>
    <w:p w:rsidR="008A4319" w:rsidRDefault="008A4319" w:rsidP="008A4319">
      <w:pPr>
        <w:pStyle w:val="ListParagraph"/>
        <w:numPr>
          <w:ilvl w:val="0"/>
          <w:numId w:val="28"/>
        </w:numPr>
        <w:spacing w:after="0"/>
        <w:jc w:val="both"/>
        <w:rPr>
          <w:rFonts w:ascii="Arial" w:hAnsi="Arial" w:cs="Arial"/>
          <w:sz w:val="24"/>
          <w:szCs w:val="24"/>
        </w:rPr>
      </w:pPr>
      <w:r w:rsidRPr="008A4319">
        <w:rPr>
          <w:rFonts w:ascii="Arial" w:hAnsi="Arial" w:cs="Arial"/>
          <w:sz w:val="24"/>
          <w:szCs w:val="24"/>
        </w:rPr>
        <w:t>in the current year:</w:t>
      </w:r>
    </w:p>
    <w:p w:rsidR="008A4319" w:rsidRPr="008A4319" w:rsidRDefault="008A4319" w:rsidP="008A4319">
      <w:pPr>
        <w:pStyle w:val="ListParagraph"/>
        <w:spacing w:after="0"/>
        <w:ind w:left="1429"/>
        <w:jc w:val="both"/>
        <w:rPr>
          <w:rFonts w:ascii="Arial" w:hAnsi="Arial" w:cs="Arial"/>
          <w:sz w:val="24"/>
          <w:szCs w:val="24"/>
        </w:rPr>
      </w:pPr>
    </w:p>
    <w:p w:rsidR="008A4319" w:rsidRPr="008A4319" w:rsidRDefault="008A4319" w:rsidP="008A4319">
      <w:pPr>
        <w:pStyle w:val="ListParagraph"/>
        <w:numPr>
          <w:ilvl w:val="0"/>
          <w:numId w:val="19"/>
        </w:numPr>
        <w:spacing w:after="240"/>
        <w:ind w:left="2127" w:hanging="567"/>
        <w:contextualSpacing w:val="0"/>
        <w:jc w:val="both"/>
        <w:rPr>
          <w:rFonts w:ascii="Arial" w:eastAsia="Times New Roman" w:hAnsi="Arial" w:cs="Arial"/>
          <w:sz w:val="24"/>
          <w:szCs w:val="24"/>
        </w:rPr>
      </w:pPr>
      <w:r w:rsidRPr="008A4319">
        <w:rPr>
          <w:rFonts w:ascii="Arial" w:eastAsia="Times New Roman" w:hAnsi="Arial" w:cs="Arial"/>
          <w:sz w:val="24"/>
          <w:szCs w:val="24"/>
        </w:rPr>
        <w:t xml:space="preserve">Technical Support </w:t>
      </w:r>
      <w:r w:rsidRPr="008A4319">
        <w:rPr>
          <w:rFonts w:ascii="Arial" w:eastAsia="Times New Roman" w:hAnsi="Arial" w:cs="Arial"/>
          <w:color w:val="000000" w:themeColor="text1"/>
          <w:sz w:val="24"/>
          <w:szCs w:val="24"/>
        </w:rPr>
        <w:t>to the TB Programme</w:t>
      </w:r>
    </w:p>
    <w:p w:rsidR="008A4319" w:rsidRPr="008A4319" w:rsidRDefault="008A4319" w:rsidP="008A4319">
      <w:pPr>
        <w:pStyle w:val="ListParagraph"/>
        <w:numPr>
          <w:ilvl w:val="0"/>
          <w:numId w:val="19"/>
        </w:numPr>
        <w:spacing w:after="240"/>
        <w:ind w:left="2127" w:hanging="567"/>
        <w:contextualSpacing w:val="0"/>
        <w:jc w:val="both"/>
        <w:rPr>
          <w:rFonts w:ascii="Arial" w:eastAsia="Times New Roman" w:hAnsi="Arial" w:cs="Arial"/>
          <w:sz w:val="24"/>
          <w:szCs w:val="24"/>
        </w:rPr>
      </w:pPr>
      <w:r w:rsidRPr="008A4319">
        <w:rPr>
          <w:rFonts w:ascii="Arial" w:eastAsia="Times New Roman" w:hAnsi="Arial" w:cs="Arial"/>
          <w:sz w:val="24"/>
          <w:szCs w:val="24"/>
        </w:rPr>
        <w:t>Technical Support on HIV quality improvement and HIV Prevention</w:t>
      </w:r>
    </w:p>
    <w:p w:rsidR="008A4319" w:rsidRPr="008A4319" w:rsidRDefault="008A4319" w:rsidP="008A4319">
      <w:pPr>
        <w:pStyle w:val="ListParagraph"/>
        <w:numPr>
          <w:ilvl w:val="0"/>
          <w:numId w:val="19"/>
        </w:numPr>
        <w:spacing w:after="240"/>
        <w:ind w:left="2127" w:hanging="567"/>
        <w:contextualSpacing w:val="0"/>
        <w:jc w:val="both"/>
        <w:rPr>
          <w:rFonts w:ascii="Arial" w:eastAsia="Times New Roman" w:hAnsi="Arial" w:cs="Arial"/>
          <w:sz w:val="24"/>
          <w:szCs w:val="24"/>
        </w:rPr>
      </w:pPr>
      <w:r w:rsidRPr="008A4319">
        <w:rPr>
          <w:rFonts w:ascii="Arial" w:eastAsia="Times New Roman" w:hAnsi="Arial" w:cs="Arial"/>
          <w:sz w:val="24"/>
          <w:szCs w:val="24"/>
        </w:rPr>
        <w:t xml:space="preserve">Technical support to the DDG NHI </w:t>
      </w:r>
    </w:p>
    <w:p w:rsidR="008A4319" w:rsidRPr="008A4319" w:rsidRDefault="008A4319" w:rsidP="008A4319">
      <w:pPr>
        <w:pStyle w:val="ListParagraph"/>
        <w:numPr>
          <w:ilvl w:val="0"/>
          <w:numId w:val="19"/>
        </w:numPr>
        <w:spacing w:after="240"/>
        <w:ind w:left="2127" w:hanging="567"/>
        <w:contextualSpacing w:val="0"/>
        <w:jc w:val="both"/>
        <w:rPr>
          <w:rFonts w:ascii="Arial" w:eastAsia="Times New Roman" w:hAnsi="Arial" w:cs="Arial"/>
          <w:sz w:val="24"/>
          <w:szCs w:val="24"/>
        </w:rPr>
      </w:pPr>
      <w:r w:rsidRPr="008A4319">
        <w:rPr>
          <w:rFonts w:ascii="Arial" w:eastAsia="Times New Roman" w:hAnsi="Arial" w:cs="Arial"/>
          <w:sz w:val="24"/>
          <w:szCs w:val="24"/>
        </w:rPr>
        <w:t>Catalytic support for scale up evidence-based TB and HIV interventions in South Africa</w:t>
      </w:r>
    </w:p>
    <w:p w:rsidR="008A4319" w:rsidRPr="008A4319" w:rsidRDefault="008A4319" w:rsidP="008A4319">
      <w:pPr>
        <w:pStyle w:val="ListParagraph"/>
        <w:numPr>
          <w:ilvl w:val="0"/>
          <w:numId w:val="19"/>
        </w:numPr>
        <w:spacing w:after="240"/>
        <w:ind w:left="2127" w:hanging="567"/>
        <w:contextualSpacing w:val="0"/>
        <w:jc w:val="both"/>
        <w:rPr>
          <w:rFonts w:ascii="Arial" w:eastAsia="Times New Roman" w:hAnsi="Arial" w:cs="Arial"/>
          <w:sz w:val="24"/>
          <w:szCs w:val="24"/>
        </w:rPr>
      </w:pPr>
      <w:r w:rsidRPr="008A4319">
        <w:rPr>
          <w:rFonts w:ascii="Arial" w:eastAsia="Times New Roman" w:hAnsi="Arial" w:cs="Arial"/>
          <w:sz w:val="24"/>
          <w:szCs w:val="24"/>
        </w:rPr>
        <w:t>SAHPRA was</w:t>
      </w:r>
      <w:r w:rsidRPr="008A4319">
        <w:rPr>
          <w:rFonts w:ascii="Arial" w:eastAsia="Times New Roman" w:hAnsi="Arial" w:cs="Arial"/>
          <w:color w:val="FF0000"/>
          <w:sz w:val="24"/>
          <w:szCs w:val="24"/>
        </w:rPr>
        <w:t xml:space="preserve"> </w:t>
      </w:r>
      <w:r w:rsidRPr="008A4319">
        <w:rPr>
          <w:rFonts w:ascii="Arial" w:eastAsia="Times New Roman" w:hAnsi="Arial" w:cs="Arial"/>
          <w:sz w:val="24"/>
          <w:szCs w:val="24"/>
        </w:rPr>
        <w:t>supported with paying for external reviewers (both South Africa and non-South African) selected by SAHPRA to address the large backlog (+/- 16000 applications) inherited from the MCC at the request of the SAHPRA Board.</w:t>
      </w:r>
      <w:r w:rsidRPr="008A4319">
        <w:rPr>
          <w:rStyle w:val="Hyperlink"/>
          <w:rFonts w:ascii="Arial" w:hAnsi="Arial" w:cs="Arial"/>
          <w:sz w:val="24"/>
          <w:szCs w:val="24"/>
        </w:rPr>
        <w:t xml:space="preserve"> </w:t>
      </w:r>
      <w:r w:rsidRPr="008A4319">
        <w:rPr>
          <w:rStyle w:val="cf01"/>
          <w:rFonts w:ascii="Arial" w:hAnsi="Arial" w:cs="Arial"/>
          <w:sz w:val="24"/>
          <w:szCs w:val="24"/>
        </w:rPr>
        <w:t xml:space="preserve">This included all products </w:t>
      </w:r>
      <w:r w:rsidRPr="008A4319">
        <w:rPr>
          <w:rStyle w:val="cf11"/>
          <w:rFonts w:ascii="Arial" w:hAnsi="Arial" w:cs="Arial"/>
          <w:sz w:val="24"/>
          <w:szCs w:val="24"/>
        </w:rPr>
        <w:t>as the Gates Foundation support of external reviewers was not product specific</w:t>
      </w:r>
    </w:p>
    <w:p w:rsidR="008A4319" w:rsidRPr="008A4319" w:rsidRDefault="008A4319" w:rsidP="008A4319">
      <w:pPr>
        <w:pStyle w:val="ListParagraph"/>
        <w:numPr>
          <w:ilvl w:val="0"/>
          <w:numId w:val="19"/>
        </w:numPr>
        <w:spacing w:after="240"/>
        <w:ind w:left="2127" w:hanging="567"/>
        <w:contextualSpacing w:val="0"/>
        <w:jc w:val="both"/>
        <w:rPr>
          <w:rFonts w:ascii="Arial" w:eastAsia="Times New Roman" w:hAnsi="Arial" w:cs="Arial"/>
          <w:sz w:val="24"/>
          <w:szCs w:val="24"/>
        </w:rPr>
      </w:pPr>
      <w:r w:rsidRPr="008A4319">
        <w:rPr>
          <w:rFonts w:ascii="Arial" w:eastAsia="Times New Roman" w:hAnsi="Arial" w:cs="Arial"/>
          <w:sz w:val="24"/>
          <w:szCs w:val="24"/>
        </w:rPr>
        <w:t xml:space="preserve">Africa Resource Centre to provide technical assistance on Supply Chain management </w:t>
      </w:r>
    </w:p>
    <w:p w:rsidR="008A4319" w:rsidRDefault="008A4319" w:rsidP="008A4319">
      <w:pPr>
        <w:pStyle w:val="ListParagraph"/>
        <w:numPr>
          <w:ilvl w:val="0"/>
          <w:numId w:val="28"/>
        </w:numPr>
        <w:spacing w:after="0"/>
        <w:jc w:val="both"/>
        <w:rPr>
          <w:rFonts w:ascii="Arial" w:hAnsi="Arial" w:cs="Arial"/>
          <w:sz w:val="24"/>
          <w:szCs w:val="24"/>
        </w:rPr>
      </w:pPr>
      <w:r w:rsidRPr="008A4319">
        <w:rPr>
          <w:rFonts w:ascii="Arial" w:hAnsi="Arial" w:cs="Arial"/>
          <w:sz w:val="24"/>
          <w:szCs w:val="24"/>
        </w:rPr>
        <w:t>envisaged for a later period:</w:t>
      </w:r>
    </w:p>
    <w:p w:rsidR="008A4319" w:rsidRPr="008A4319" w:rsidRDefault="008A4319" w:rsidP="008A4319">
      <w:pPr>
        <w:pStyle w:val="ListParagraph"/>
        <w:spacing w:after="0"/>
        <w:ind w:left="1429"/>
        <w:jc w:val="both"/>
        <w:rPr>
          <w:rFonts w:ascii="Arial" w:hAnsi="Arial" w:cs="Arial"/>
          <w:sz w:val="24"/>
          <w:szCs w:val="24"/>
        </w:rPr>
      </w:pPr>
    </w:p>
    <w:p w:rsidR="008A4319" w:rsidRPr="008A4319" w:rsidRDefault="008A4319" w:rsidP="008A4319">
      <w:pPr>
        <w:pStyle w:val="ListParagraph"/>
        <w:numPr>
          <w:ilvl w:val="0"/>
          <w:numId w:val="20"/>
        </w:numPr>
        <w:spacing w:after="0"/>
        <w:ind w:left="2127" w:hanging="567"/>
        <w:jc w:val="both"/>
        <w:rPr>
          <w:rFonts w:ascii="Arial" w:hAnsi="Arial" w:cs="Arial"/>
          <w:sz w:val="24"/>
          <w:szCs w:val="24"/>
          <w:lang w:val="en-US"/>
        </w:rPr>
      </w:pPr>
      <w:r w:rsidRPr="008A4319">
        <w:rPr>
          <w:rFonts w:ascii="Arial" w:eastAsia="Times New Roman" w:hAnsi="Arial" w:cs="Arial"/>
          <w:sz w:val="24"/>
          <w:szCs w:val="24"/>
        </w:rPr>
        <w:t>Provision of catalytic support to implement evidence-based TB and HIV interventions in South Africa</w:t>
      </w:r>
    </w:p>
    <w:p w:rsidR="008A4319" w:rsidRPr="008A4319" w:rsidRDefault="008A4319" w:rsidP="008A4319">
      <w:pPr>
        <w:pStyle w:val="ListParagraph"/>
        <w:spacing w:after="0"/>
        <w:ind w:left="2127"/>
        <w:jc w:val="both"/>
        <w:rPr>
          <w:rFonts w:ascii="Arial" w:hAnsi="Arial" w:cs="Arial"/>
          <w:sz w:val="24"/>
          <w:szCs w:val="24"/>
          <w:lang w:val="en-US"/>
        </w:rPr>
      </w:pPr>
    </w:p>
    <w:p w:rsidR="004A44E4" w:rsidRPr="008A4319" w:rsidRDefault="008A4319" w:rsidP="008A4319">
      <w:pPr>
        <w:pStyle w:val="ListParagraph"/>
        <w:numPr>
          <w:ilvl w:val="0"/>
          <w:numId w:val="20"/>
        </w:numPr>
        <w:spacing w:after="0"/>
        <w:ind w:left="2127" w:hanging="567"/>
        <w:jc w:val="both"/>
        <w:rPr>
          <w:rFonts w:ascii="Arial" w:hAnsi="Arial" w:cs="Arial"/>
          <w:sz w:val="24"/>
          <w:szCs w:val="24"/>
          <w:lang w:val="en-US"/>
        </w:rPr>
      </w:pPr>
      <w:r w:rsidRPr="008A4319">
        <w:rPr>
          <w:rFonts w:ascii="Arial" w:eastAsia="Times New Roman" w:hAnsi="Arial" w:cs="Arial"/>
          <w:sz w:val="24"/>
          <w:szCs w:val="24"/>
        </w:rPr>
        <w:t>Support to SAHPRA for digitisation of clinical trials records</w:t>
      </w:r>
    </w:p>
    <w:p w:rsidR="008A4319" w:rsidRDefault="008A4319" w:rsidP="00332425">
      <w:pPr>
        <w:spacing w:line="240" w:lineRule="auto"/>
        <w:jc w:val="both"/>
        <w:rPr>
          <w:rFonts w:ascii="Arial" w:hAnsi="Arial" w:cs="Arial"/>
          <w:color w:val="000000" w:themeColor="text1"/>
          <w:sz w:val="24"/>
          <w:szCs w:val="24"/>
          <w:lang w:val="en-US"/>
        </w:rPr>
      </w:pPr>
    </w:p>
    <w:p w:rsidR="00E134D1" w:rsidRPr="00B268F2" w:rsidRDefault="00E134D1" w:rsidP="00332425">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8"/>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9D2" w:rsidRDefault="00BE79D2" w:rsidP="00BF747C">
      <w:pPr>
        <w:spacing w:after="0" w:line="240" w:lineRule="auto"/>
      </w:pPr>
      <w:r>
        <w:separator/>
      </w:r>
    </w:p>
  </w:endnote>
  <w:endnote w:type="continuationSeparator" w:id="0">
    <w:p w:rsidR="00BE79D2" w:rsidRDefault="00BE79D2"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44375"/>
      <w:docPartObj>
        <w:docPartGallery w:val="Page Numbers (Bottom of Page)"/>
        <w:docPartUnique/>
      </w:docPartObj>
    </w:sdtPr>
    <w:sdtEndPr>
      <w:rPr>
        <w:rFonts w:ascii="Arial" w:hAnsi="Arial" w:cs="Arial"/>
        <w:noProof/>
        <w:sz w:val="24"/>
        <w:szCs w:val="24"/>
      </w:rPr>
    </w:sdtEndPr>
    <w:sdtContent>
      <w:p w:rsidR="004A44E4" w:rsidRPr="004A44E4" w:rsidRDefault="0045680B">
        <w:pPr>
          <w:pStyle w:val="Footer"/>
          <w:jc w:val="center"/>
          <w:rPr>
            <w:rFonts w:ascii="Arial" w:hAnsi="Arial" w:cs="Arial"/>
            <w:sz w:val="24"/>
            <w:szCs w:val="24"/>
          </w:rPr>
        </w:pPr>
        <w:r w:rsidRPr="004A44E4">
          <w:rPr>
            <w:rFonts w:ascii="Arial" w:hAnsi="Arial" w:cs="Arial"/>
            <w:sz w:val="24"/>
            <w:szCs w:val="24"/>
          </w:rPr>
          <w:fldChar w:fldCharType="begin"/>
        </w:r>
        <w:r w:rsidR="004A44E4" w:rsidRPr="004A44E4">
          <w:rPr>
            <w:rFonts w:ascii="Arial" w:hAnsi="Arial" w:cs="Arial"/>
            <w:sz w:val="24"/>
            <w:szCs w:val="24"/>
          </w:rPr>
          <w:instrText xml:space="preserve"> PAGE   \* MERGEFORMAT </w:instrText>
        </w:r>
        <w:r w:rsidRPr="004A44E4">
          <w:rPr>
            <w:rFonts w:ascii="Arial" w:hAnsi="Arial" w:cs="Arial"/>
            <w:sz w:val="24"/>
            <w:szCs w:val="24"/>
          </w:rPr>
          <w:fldChar w:fldCharType="separate"/>
        </w:r>
        <w:r w:rsidR="00BE79D2">
          <w:rPr>
            <w:rFonts w:ascii="Arial" w:hAnsi="Arial" w:cs="Arial"/>
            <w:noProof/>
            <w:sz w:val="24"/>
            <w:szCs w:val="24"/>
          </w:rPr>
          <w:t>1</w:t>
        </w:r>
        <w:r w:rsidRPr="004A44E4">
          <w:rPr>
            <w:rFonts w:ascii="Arial" w:hAnsi="Arial" w:cs="Arial"/>
            <w:noProof/>
            <w:sz w:val="24"/>
            <w:szCs w:val="24"/>
          </w:rPr>
          <w:fldChar w:fldCharType="end"/>
        </w:r>
      </w:p>
    </w:sdtContent>
  </w:sdt>
  <w:p w:rsidR="004A44E4" w:rsidRDefault="004A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9D2" w:rsidRDefault="00BE79D2" w:rsidP="00BF747C">
      <w:pPr>
        <w:spacing w:after="0" w:line="240" w:lineRule="auto"/>
      </w:pPr>
      <w:r>
        <w:separator/>
      </w:r>
    </w:p>
  </w:footnote>
  <w:footnote w:type="continuationSeparator" w:id="0">
    <w:p w:rsidR="00BE79D2" w:rsidRDefault="00BE79D2"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82E2A"/>
    <w:multiLevelType w:val="hybridMultilevel"/>
    <w:tmpl w:val="A0F2DA1E"/>
    <w:lvl w:ilvl="0" w:tplc="263E6E86">
      <w:start w:val="2"/>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E6F6662"/>
    <w:multiLevelType w:val="hybridMultilevel"/>
    <w:tmpl w:val="1B26E03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nsid w:val="244F1419"/>
    <w:multiLevelType w:val="hybridMultilevel"/>
    <w:tmpl w:val="E48EA55C"/>
    <w:lvl w:ilvl="0" w:tplc="FFFFFFFF">
      <w:start w:val="1"/>
      <w:numFmt w:val="decimal"/>
      <w:lvlText w:val="(%1)"/>
      <w:lvlJc w:val="left"/>
      <w:pPr>
        <w:ind w:left="1056" w:hanging="696"/>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257F335B"/>
    <w:multiLevelType w:val="hybridMultilevel"/>
    <w:tmpl w:val="EF682E54"/>
    <w:lvl w:ilvl="0" w:tplc="1C090001">
      <w:start w:val="1"/>
      <w:numFmt w:val="bullet"/>
      <w:lvlText w:val=""/>
      <w:lvlJc w:val="left"/>
      <w:pPr>
        <w:ind w:left="2203" w:hanging="360"/>
      </w:pPr>
      <w:rPr>
        <w:rFonts w:ascii="Symbol" w:hAnsi="Symbol" w:hint="default"/>
      </w:rPr>
    </w:lvl>
    <w:lvl w:ilvl="1" w:tplc="1C090003" w:tentative="1">
      <w:start w:val="1"/>
      <w:numFmt w:val="bullet"/>
      <w:lvlText w:val="o"/>
      <w:lvlJc w:val="left"/>
      <w:pPr>
        <w:ind w:left="2923" w:hanging="360"/>
      </w:pPr>
      <w:rPr>
        <w:rFonts w:ascii="Courier New" w:hAnsi="Courier New" w:cs="Courier New" w:hint="default"/>
      </w:rPr>
    </w:lvl>
    <w:lvl w:ilvl="2" w:tplc="1C090005" w:tentative="1">
      <w:start w:val="1"/>
      <w:numFmt w:val="bullet"/>
      <w:lvlText w:val=""/>
      <w:lvlJc w:val="left"/>
      <w:pPr>
        <w:ind w:left="3643" w:hanging="360"/>
      </w:pPr>
      <w:rPr>
        <w:rFonts w:ascii="Wingdings" w:hAnsi="Wingdings" w:hint="default"/>
      </w:rPr>
    </w:lvl>
    <w:lvl w:ilvl="3" w:tplc="1C090001" w:tentative="1">
      <w:start w:val="1"/>
      <w:numFmt w:val="bullet"/>
      <w:lvlText w:val=""/>
      <w:lvlJc w:val="left"/>
      <w:pPr>
        <w:ind w:left="4363" w:hanging="360"/>
      </w:pPr>
      <w:rPr>
        <w:rFonts w:ascii="Symbol" w:hAnsi="Symbol" w:hint="default"/>
      </w:rPr>
    </w:lvl>
    <w:lvl w:ilvl="4" w:tplc="1C090003" w:tentative="1">
      <w:start w:val="1"/>
      <w:numFmt w:val="bullet"/>
      <w:lvlText w:val="o"/>
      <w:lvlJc w:val="left"/>
      <w:pPr>
        <w:ind w:left="5083" w:hanging="360"/>
      </w:pPr>
      <w:rPr>
        <w:rFonts w:ascii="Courier New" w:hAnsi="Courier New" w:cs="Courier New" w:hint="default"/>
      </w:rPr>
    </w:lvl>
    <w:lvl w:ilvl="5" w:tplc="1C090005" w:tentative="1">
      <w:start w:val="1"/>
      <w:numFmt w:val="bullet"/>
      <w:lvlText w:val=""/>
      <w:lvlJc w:val="left"/>
      <w:pPr>
        <w:ind w:left="5803" w:hanging="360"/>
      </w:pPr>
      <w:rPr>
        <w:rFonts w:ascii="Wingdings" w:hAnsi="Wingdings" w:hint="default"/>
      </w:rPr>
    </w:lvl>
    <w:lvl w:ilvl="6" w:tplc="1C090001" w:tentative="1">
      <w:start w:val="1"/>
      <w:numFmt w:val="bullet"/>
      <w:lvlText w:val=""/>
      <w:lvlJc w:val="left"/>
      <w:pPr>
        <w:ind w:left="6523" w:hanging="360"/>
      </w:pPr>
      <w:rPr>
        <w:rFonts w:ascii="Symbol" w:hAnsi="Symbol" w:hint="default"/>
      </w:rPr>
    </w:lvl>
    <w:lvl w:ilvl="7" w:tplc="1C090003" w:tentative="1">
      <w:start w:val="1"/>
      <w:numFmt w:val="bullet"/>
      <w:lvlText w:val="o"/>
      <w:lvlJc w:val="left"/>
      <w:pPr>
        <w:ind w:left="7243" w:hanging="360"/>
      </w:pPr>
      <w:rPr>
        <w:rFonts w:ascii="Courier New" w:hAnsi="Courier New" w:cs="Courier New" w:hint="default"/>
      </w:rPr>
    </w:lvl>
    <w:lvl w:ilvl="8" w:tplc="1C090005" w:tentative="1">
      <w:start w:val="1"/>
      <w:numFmt w:val="bullet"/>
      <w:lvlText w:val=""/>
      <w:lvlJc w:val="left"/>
      <w:pPr>
        <w:ind w:left="7963" w:hanging="360"/>
      </w:pPr>
      <w:rPr>
        <w:rFonts w:ascii="Wingdings" w:hAnsi="Wingdings" w:hint="default"/>
      </w:rPr>
    </w:lvl>
  </w:abstractNum>
  <w:abstractNum w:abstractNumId="12">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nsid w:val="3AD003BB"/>
    <w:multiLevelType w:val="hybridMultilevel"/>
    <w:tmpl w:val="8294ED1A"/>
    <w:lvl w:ilvl="0" w:tplc="4E6AC358">
      <w:start w:val="2"/>
      <w:numFmt w:val="decimal"/>
      <w:lvlText w:val="(%1)"/>
      <w:lvlJc w:val="left"/>
      <w:pPr>
        <w:ind w:left="2136" w:hanging="696"/>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BD803A6"/>
    <w:multiLevelType w:val="hybridMultilevel"/>
    <w:tmpl w:val="7F00B9A8"/>
    <w:lvl w:ilvl="0" w:tplc="418AC5EC">
      <w:start w:val="1"/>
      <w:numFmt w:val="lowerLetter"/>
      <w:lvlText w:val="(%1)"/>
      <w:lvlJc w:val="left"/>
      <w:pPr>
        <w:ind w:left="1416" w:hanging="360"/>
      </w:pPr>
      <w:rPr>
        <w:rFonts w:hint="default"/>
      </w:rPr>
    </w:lvl>
    <w:lvl w:ilvl="1" w:tplc="1C090019" w:tentative="1">
      <w:start w:val="1"/>
      <w:numFmt w:val="lowerLetter"/>
      <w:lvlText w:val="%2."/>
      <w:lvlJc w:val="left"/>
      <w:pPr>
        <w:ind w:left="2136" w:hanging="360"/>
      </w:pPr>
    </w:lvl>
    <w:lvl w:ilvl="2" w:tplc="1C09001B" w:tentative="1">
      <w:start w:val="1"/>
      <w:numFmt w:val="lowerRoman"/>
      <w:lvlText w:val="%3."/>
      <w:lvlJc w:val="right"/>
      <w:pPr>
        <w:ind w:left="2856" w:hanging="180"/>
      </w:pPr>
    </w:lvl>
    <w:lvl w:ilvl="3" w:tplc="1C09000F" w:tentative="1">
      <w:start w:val="1"/>
      <w:numFmt w:val="decimal"/>
      <w:lvlText w:val="%4."/>
      <w:lvlJc w:val="left"/>
      <w:pPr>
        <w:ind w:left="3576" w:hanging="360"/>
      </w:pPr>
    </w:lvl>
    <w:lvl w:ilvl="4" w:tplc="1C090019" w:tentative="1">
      <w:start w:val="1"/>
      <w:numFmt w:val="lowerLetter"/>
      <w:lvlText w:val="%5."/>
      <w:lvlJc w:val="left"/>
      <w:pPr>
        <w:ind w:left="4296" w:hanging="360"/>
      </w:pPr>
    </w:lvl>
    <w:lvl w:ilvl="5" w:tplc="1C09001B" w:tentative="1">
      <w:start w:val="1"/>
      <w:numFmt w:val="lowerRoman"/>
      <w:lvlText w:val="%6."/>
      <w:lvlJc w:val="right"/>
      <w:pPr>
        <w:ind w:left="5016" w:hanging="180"/>
      </w:pPr>
    </w:lvl>
    <w:lvl w:ilvl="6" w:tplc="1C09000F" w:tentative="1">
      <w:start w:val="1"/>
      <w:numFmt w:val="decimal"/>
      <w:lvlText w:val="%7."/>
      <w:lvlJc w:val="left"/>
      <w:pPr>
        <w:ind w:left="5736" w:hanging="360"/>
      </w:pPr>
    </w:lvl>
    <w:lvl w:ilvl="7" w:tplc="1C090019" w:tentative="1">
      <w:start w:val="1"/>
      <w:numFmt w:val="lowerLetter"/>
      <w:lvlText w:val="%8."/>
      <w:lvlJc w:val="left"/>
      <w:pPr>
        <w:ind w:left="6456" w:hanging="360"/>
      </w:pPr>
    </w:lvl>
    <w:lvl w:ilvl="8" w:tplc="1C09001B" w:tentative="1">
      <w:start w:val="1"/>
      <w:numFmt w:val="lowerRoman"/>
      <w:lvlText w:val="%9."/>
      <w:lvlJc w:val="right"/>
      <w:pPr>
        <w:ind w:left="7176" w:hanging="180"/>
      </w:pPr>
    </w:lvl>
  </w:abstractNum>
  <w:abstractNum w:abstractNumId="16">
    <w:nsid w:val="42A20384"/>
    <w:multiLevelType w:val="hybridMultilevel"/>
    <w:tmpl w:val="9AE83920"/>
    <w:lvl w:ilvl="0" w:tplc="D774FF16">
      <w:start w:val="9"/>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7">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E8670F"/>
    <w:multiLevelType w:val="hybridMultilevel"/>
    <w:tmpl w:val="BD889272"/>
    <w:lvl w:ilvl="0" w:tplc="1C090017">
      <w:start w:val="1"/>
      <w:numFmt w:val="lowerLetter"/>
      <w:lvlText w:val="%1)"/>
      <w:lvlJc w:val="left"/>
      <w:pPr>
        <w:ind w:left="1080" w:hanging="360"/>
      </w:pPr>
      <w:rPr>
        <w:rFonts w:hint="default"/>
        <w:b w:val="0"/>
        <w:i w:val="0"/>
        <w:strike w:val="0"/>
        <w:dstrike w:val="0"/>
        <w:color w:val="000000"/>
        <w:sz w:val="22"/>
        <w:szCs w:val="20"/>
        <w:u w:val="none" w:color="000000"/>
        <w:effect w:val="none"/>
        <w:vertAlign w:val="baseline"/>
      </w:rPr>
    </w:lvl>
    <w:lvl w:ilvl="1" w:tplc="32A2BC5E">
      <w:start w:val="1"/>
      <w:numFmt w:val="lowerLetter"/>
      <w:lvlText w:val="(%2)"/>
      <w:lvlJc w:val="left"/>
      <w:pPr>
        <w:ind w:left="2445" w:hanging="384"/>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9">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7826233"/>
    <w:multiLevelType w:val="hybridMultilevel"/>
    <w:tmpl w:val="8D14C9E6"/>
    <w:lvl w:ilvl="0" w:tplc="4A947352">
      <w:start w:val="1"/>
      <w:numFmt w:val="lowerRoman"/>
      <w:lvlText w:val="(%1)"/>
      <w:lvlJc w:val="left"/>
      <w:pPr>
        <w:ind w:left="1429" w:hanging="720"/>
      </w:pPr>
      <w:rPr>
        <w:rFonts w:hint="default"/>
        <w:color w:val="000000" w:themeColor="text1"/>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2">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B9879A6"/>
    <w:multiLevelType w:val="hybridMultilevel"/>
    <w:tmpl w:val="3AE49CAA"/>
    <w:lvl w:ilvl="0" w:tplc="1C090001">
      <w:start w:val="1"/>
      <w:numFmt w:val="bullet"/>
      <w:lvlText w:val=""/>
      <w:lvlJc w:val="left"/>
      <w:pPr>
        <w:ind w:left="2203" w:hanging="360"/>
      </w:pPr>
      <w:rPr>
        <w:rFonts w:ascii="Symbol" w:hAnsi="Symbol" w:hint="default"/>
      </w:rPr>
    </w:lvl>
    <w:lvl w:ilvl="1" w:tplc="1C090003" w:tentative="1">
      <w:start w:val="1"/>
      <w:numFmt w:val="bullet"/>
      <w:lvlText w:val="o"/>
      <w:lvlJc w:val="left"/>
      <w:pPr>
        <w:ind w:left="2923" w:hanging="360"/>
      </w:pPr>
      <w:rPr>
        <w:rFonts w:ascii="Courier New" w:hAnsi="Courier New" w:cs="Courier New" w:hint="default"/>
      </w:rPr>
    </w:lvl>
    <w:lvl w:ilvl="2" w:tplc="1C090005" w:tentative="1">
      <w:start w:val="1"/>
      <w:numFmt w:val="bullet"/>
      <w:lvlText w:val=""/>
      <w:lvlJc w:val="left"/>
      <w:pPr>
        <w:ind w:left="3643" w:hanging="360"/>
      </w:pPr>
      <w:rPr>
        <w:rFonts w:ascii="Wingdings" w:hAnsi="Wingdings" w:hint="default"/>
      </w:rPr>
    </w:lvl>
    <w:lvl w:ilvl="3" w:tplc="1C090001" w:tentative="1">
      <w:start w:val="1"/>
      <w:numFmt w:val="bullet"/>
      <w:lvlText w:val=""/>
      <w:lvlJc w:val="left"/>
      <w:pPr>
        <w:ind w:left="4363" w:hanging="360"/>
      </w:pPr>
      <w:rPr>
        <w:rFonts w:ascii="Symbol" w:hAnsi="Symbol" w:hint="default"/>
      </w:rPr>
    </w:lvl>
    <w:lvl w:ilvl="4" w:tplc="1C090003" w:tentative="1">
      <w:start w:val="1"/>
      <w:numFmt w:val="bullet"/>
      <w:lvlText w:val="o"/>
      <w:lvlJc w:val="left"/>
      <w:pPr>
        <w:ind w:left="5083" w:hanging="360"/>
      </w:pPr>
      <w:rPr>
        <w:rFonts w:ascii="Courier New" w:hAnsi="Courier New" w:cs="Courier New" w:hint="default"/>
      </w:rPr>
    </w:lvl>
    <w:lvl w:ilvl="5" w:tplc="1C090005" w:tentative="1">
      <w:start w:val="1"/>
      <w:numFmt w:val="bullet"/>
      <w:lvlText w:val=""/>
      <w:lvlJc w:val="left"/>
      <w:pPr>
        <w:ind w:left="5803" w:hanging="360"/>
      </w:pPr>
      <w:rPr>
        <w:rFonts w:ascii="Wingdings" w:hAnsi="Wingdings" w:hint="default"/>
      </w:rPr>
    </w:lvl>
    <w:lvl w:ilvl="6" w:tplc="1C090001" w:tentative="1">
      <w:start w:val="1"/>
      <w:numFmt w:val="bullet"/>
      <w:lvlText w:val=""/>
      <w:lvlJc w:val="left"/>
      <w:pPr>
        <w:ind w:left="6523" w:hanging="360"/>
      </w:pPr>
      <w:rPr>
        <w:rFonts w:ascii="Symbol" w:hAnsi="Symbol" w:hint="default"/>
      </w:rPr>
    </w:lvl>
    <w:lvl w:ilvl="7" w:tplc="1C090003" w:tentative="1">
      <w:start w:val="1"/>
      <w:numFmt w:val="bullet"/>
      <w:lvlText w:val="o"/>
      <w:lvlJc w:val="left"/>
      <w:pPr>
        <w:ind w:left="7243" w:hanging="360"/>
      </w:pPr>
      <w:rPr>
        <w:rFonts w:ascii="Courier New" w:hAnsi="Courier New" w:cs="Courier New" w:hint="default"/>
      </w:rPr>
    </w:lvl>
    <w:lvl w:ilvl="8" w:tplc="1C090005" w:tentative="1">
      <w:start w:val="1"/>
      <w:numFmt w:val="bullet"/>
      <w:lvlText w:val=""/>
      <w:lvlJc w:val="left"/>
      <w:pPr>
        <w:ind w:left="7963" w:hanging="360"/>
      </w:pPr>
      <w:rPr>
        <w:rFonts w:ascii="Wingdings" w:hAnsi="Wingdings" w:hint="default"/>
      </w:rPr>
    </w:lvl>
  </w:abstractNum>
  <w:abstractNum w:abstractNumId="24">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31253A7"/>
    <w:multiLevelType w:val="hybridMultilevel"/>
    <w:tmpl w:val="CC7C32CE"/>
    <w:lvl w:ilvl="0" w:tplc="1C090017">
      <w:start w:val="1"/>
      <w:numFmt w:val="lowerLetter"/>
      <w:lvlText w:val="%1)"/>
      <w:lvlJc w:val="left"/>
      <w:pPr>
        <w:ind w:left="1416" w:hanging="360"/>
      </w:pPr>
    </w:lvl>
    <w:lvl w:ilvl="1" w:tplc="1C090019" w:tentative="1">
      <w:start w:val="1"/>
      <w:numFmt w:val="lowerLetter"/>
      <w:lvlText w:val="%2."/>
      <w:lvlJc w:val="left"/>
      <w:pPr>
        <w:ind w:left="2136" w:hanging="360"/>
      </w:pPr>
    </w:lvl>
    <w:lvl w:ilvl="2" w:tplc="1C09001B" w:tentative="1">
      <w:start w:val="1"/>
      <w:numFmt w:val="lowerRoman"/>
      <w:lvlText w:val="%3."/>
      <w:lvlJc w:val="right"/>
      <w:pPr>
        <w:ind w:left="2856" w:hanging="180"/>
      </w:pPr>
    </w:lvl>
    <w:lvl w:ilvl="3" w:tplc="1C09000F" w:tentative="1">
      <w:start w:val="1"/>
      <w:numFmt w:val="decimal"/>
      <w:lvlText w:val="%4."/>
      <w:lvlJc w:val="left"/>
      <w:pPr>
        <w:ind w:left="3576" w:hanging="360"/>
      </w:pPr>
    </w:lvl>
    <w:lvl w:ilvl="4" w:tplc="1C090019" w:tentative="1">
      <w:start w:val="1"/>
      <w:numFmt w:val="lowerLetter"/>
      <w:lvlText w:val="%5."/>
      <w:lvlJc w:val="left"/>
      <w:pPr>
        <w:ind w:left="4296" w:hanging="360"/>
      </w:pPr>
    </w:lvl>
    <w:lvl w:ilvl="5" w:tplc="1C09001B" w:tentative="1">
      <w:start w:val="1"/>
      <w:numFmt w:val="lowerRoman"/>
      <w:lvlText w:val="%6."/>
      <w:lvlJc w:val="right"/>
      <w:pPr>
        <w:ind w:left="5016" w:hanging="180"/>
      </w:pPr>
    </w:lvl>
    <w:lvl w:ilvl="6" w:tplc="1C09000F" w:tentative="1">
      <w:start w:val="1"/>
      <w:numFmt w:val="decimal"/>
      <w:lvlText w:val="%7."/>
      <w:lvlJc w:val="left"/>
      <w:pPr>
        <w:ind w:left="5736" w:hanging="360"/>
      </w:pPr>
    </w:lvl>
    <w:lvl w:ilvl="7" w:tplc="1C090019" w:tentative="1">
      <w:start w:val="1"/>
      <w:numFmt w:val="lowerLetter"/>
      <w:lvlText w:val="%8."/>
      <w:lvlJc w:val="left"/>
      <w:pPr>
        <w:ind w:left="6456" w:hanging="360"/>
      </w:pPr>
    </w:lvl>
    <w:lvl w:ilvl="8" w:tplc="1C09001B" w:tentative="1">
      <w:start w:val="1"/>
      <w:numFmt w:val="lowerRoman"/>
      <w:lvlText w:val="%9."/>
      <w:lvlJc w:val="right"/>
      <w:pPr>
        <w:ind w:left="7176" w:hanging="180"/>
      </w:pPr>
    </w:lvl>
  </w:abstractNum>
  <w:abstractNum w:abstractNumId="26">
    <w:nsid w:val="79F7492D"/>
    <w:multiLevelType w:val="hybridMultilevel"/>
    <w:tmpl w:val="7858555E"/>
    <w:lvl w:ilvl="0" w:tplc="FFFFFFFF">
      <w:start w:val="1"/>
      <w:numFmt w:val="lowerRoman"/>
      <w:lvlText w:val="%1."/>
      <w:lvlJc w:val="right"/>
      <w:pPr>
        <w:ind w:left="1800" w:hanging="360"/>
      </w:pPr>
      <w:rPr>
        <w:b w:val="0"/>
        <w:i w:val="0"/>
        <w:strike w:val="0"/>
        <w:dstrike w:val="0"/>
        <w:color w:val="000000"/>
        <w:sz w:val="22"/>
        <w:szCs w:val="20"/>
        <w:u w:val="none" w:color="000000"/>
        <w:effect w:val="none"/>
        <w:vertAlign w:val="baseline"/>
      </w:rPr>
    </w:lvl>
    <w:lvl w:ilvl="1" w:tplc="FFFFFFFF">
      <w:start w:val="1"/>
      <w:numFmt w:val="lowerLetter"/>
      <w:lvlText w:val="(%2)"/>
      <w:lvlJc w:val="left"/>
      <w:pPr>
        <w:ind w:left="3165" w:hanging="384"/>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27">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7"/>
  </w:num>
  <w:num w:numId="3">
    <w:abstractNumId w:val="9"/>
  </w:num>
  <w:num w:numId="4">
    <w:abstractNumId w:val="27"/>
  </w:num>
  <w:num w:numId="5">
    <w:abstractNumId w:val="8"/>
  </w:num>
  <w:num w:numId="6">
    <w:abstractNumId w:val="21"/>
  </w:num>
  <w:num w:numId="7">
    <w:abstractNumId w:val="13"/>
  </w:num>
  <w:num w:numId="8">
    <w:abstractNumId w:val="5"/>
  </w:num>
  <w:num w:numId="9">
    <w:abstractNumId w:val="12"/>
  </w:num>
  <w:num w:numId="10">
    <w:abstractNumId w:val="0"/>
  </w:num>
  <w:num w:numId="11">
    <w:abstractNumId w:val="7"/>
  </w:num>
  <w:num w:numId="12">
    <w:abstractNumId w:val="19"/>
  </w:num>
  <w:num w:numId="13">
    <w:abstractNumId w:val="24"/>
  </w:num>
  <w:num w:numId="14">
    <w:abstractNumId w:val="1"/>
  </w:num>
  <w:num w:numId="15">
    <w:abstractNumId w:val="2"/>
  </w:num>
  <w:num w:numId="16">
    <w:abstractNumId w:val="22"/>
  </w:num>
  <w:num w:numId="17">
    <w:abstractNumId w:val="18"/>
  </w:num>
  <w:num w:numId="18">
    <w:abstractNumId w:val="26"/>
  </w:num>
  <w:num w:numId="19">
    <w:abstractNumId w:val="11"/>
  </w:num>
  <w:num w:numId="20">
    <w:abstractNumId w:val="23"/>
  </w:num>
  <w:num w:numId="21">
    <w:abstractNumId w:val="10"/>
  </w:num>
  <w:num w:numId="22">
    <w:abstractNumId w:val="6"/>
  </w:num>
  <w:num w:numId="23">
    <w:abstractNumId w:val="14"/>
  </w:num>
  <w:num w:numId="24">
    <w:abstractNumId w:val="16"/>
  </w:num>
  <w:num w:numId="25">
    <w:abstractNumId w:val="3"/>
  </w:num>
  <w:num w:numId="26">
    <w:abstractNumId w:val="25"/>
  </w:num>
  <w:num w:numId="27">
    <w:abstractNumId w:val="15"/>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314BC"/>
    <w:rsid w:val="0006704A"/>
    <w:rsid w:val="00071657"/>
    <w:rsid w:val="000973CE"/>
    <w:rsid w:val="000B5C30"/>
    <w:rsid w:val="000C12EC"/>
    <w:rsid w:val="000D7AA8"/>
    <w:rsid w:val="00102E24"/>
    <w:rsid w:val="0011067E"/>
    <w:rsid w:val="001979F1"/>
    <w:rsid w:val="001C0A3B"/>
    <w:rsid w:val="001E58AE"/>
    <w:rsid w:val="001F5233"/>
    <w:rsid w:val="002032D2"/>
    <w:rsid w:val="0020357C"/>
    <w:rsid w:val="00245085"/>
    <w:rsid w:val="00250BFB"/>
    <w:rsid w:val="0025225C"/>
    <w:rsid w:val="00275DB0"/>
    <w:rsid w:val="00280222"/>
    <w:rsid w:val="002C2A10"/>
    <w:rsid w:val="002D383B"/>
    <w:rsid w:val="002E1027"/>
    <w:rsid w:val="00306F90"/>
    <w:rsid w:val="00306FFC"/>
    <w:rsid w:val="00332425"/>
    <w:rsid w:val="003648B1"/>
    <w:rsid w:val="0037106C"/>
    <w:rsid w:val="003B1818"/>
    <w:rsid w:val="003B2854"/>
    <w:rsid w:val="00406988"/>
    <w:rsid w:val="00412151"/>
    <w:rsid w:val="0045680B"/>
    <w:rsid w:val="0046053B"/>
    <w:rsid w:val="00464595"/>
    <w:rsid w:val="00464B29"/>
    <w:rsid w:val="0047527C"/>
    <w:rsid w:val="004A44E4"/>
    <w:rsid w:val="004B2E8A"/>
    <w:rsid w:val="004B46FE"/>
    <w:rsid w:val="004C5C74"/>
    <w:rsid w:val="004C6910"/>
    <w:rsid w:val="004D49AE"/>
    <w:rsid w:val="00527131"/>
    <w:rsid w:val="005419B3"/>
    <w:rsid w:val="00555563"/>
    <w:rsid w:val="005A4E67"/>
    <w:rsid w:val="005C3DC0"/>
    <w:rsid w:val="005D2583"/>
    <w:rsid w:val="005E20E3"/>
    <w:rsid w:val="005F024D"/>
    <w:rsid w:val="006228AA"/>
    <w:rsid w:val="00630E06"/>
    <w:rsid w:val="00641363"/>
    <w:rsid w:val="00643DA3"/>
    <w:rsid w:val="00673BCF"/>
    <w:rsid w:val="00690396"/>
    <w:rsid w:val="0069149E"/>
    <w:rsid w:val="0071044C"/>
    <w:rsid w:val="007408C8"/>
    <w:rsid w:val="007645A8"/>
    <w:rsid w:val="007E1F8F"/>
    <w:rsid w:val="007F0AE0"/>
    <w:rsid w:val="00865AA2"/>
    <w:rsid w:val="00887BF4"/>
    <w:rsid w:val="008A4319"/>
    <w:rsid w:val="008B5385"/>
    <w:rsid w:val="008C527F"/>
    <w:rsid w:val="00942EDC"/>
    <w:rsid w:val="00960E2D"/>
    <w:rsid w:val="00980949"/>
    <w:rsid w:val="00994ED7"/>
    <w:rsid w:val="009D32AF"/>
    <w:rsid w:val="00A11769"/>
    <w:rsid w:val="00A14AFD"/>
    <w:rsid w:val="00A30F46"/>
    <w:rsid w:val="00A33B6B"/>
    <w:rsid w:val="00A654CA"/>
    <w:rsid w:val="00A952F9"/>
    <w:rsid w:val="00B268F2"/>
    <w:rsid w:val="00B416FF"/>
    <w:rsid w:val="00BB3958"/>
    <w:rsid w:val="00BB75F5"/>
    <w:rsid w:val="00BE1738"/>
    <w:rsid w:val="00BE79D2"/>
    <w:rsid w:val="00BF747C"/>
    <w:rsid w:val="00C057AA"/>
    <w:rsid w:val="00C2436E"/>
    <w:rsid w:val="00C36128"/>
    <w:rsid w:val="00C94EDC"/>
    <w:rsid w:val="00CD4399"/>
    <w:rsid w:val="00CE2151"/>
    <w:rsid w:val="00CF0B96"/>
    <w:rsid w:val="00D514C2"/>
    <w:rsid w:val="00D566C6"/>
    <w:rsid w:val="00D702F8"/>
    <w:rsid w:val="00DB5964"/>
    <w:rsid w:val="00E04188"/>
    <w:rsid w:val="00E134D1"/>
    <w:rsid w:val="00E165E7"/>
    <w:rsid w:val="00E207B7"/>
    <w:rsid w:val="00E310B6"/>
    <w:rsid w:val="00E41F34"/>
    <w:rsid w:val="00E45F7A"/>
    <w:rsid w:val="00E50004"/>
    <w:rsid w:val="00E5287A"/>
    <w:rsid w:val="00E55476"/>
    <w:rsid w:val="00EA7633"/>
    <w:rsid w:val="00EB3463"/>
    <w:rsid w:val="00EB790D"/>
    <w:rsid w:val="00EC5EED"/>
    <w:rsid w:val="00ED304B"/>
    <w:rsid w:val="00F00309"/>
    <w:rsid w:val="00F10383"/>
    <w:rsid w:val="00F3386F"/>
    <w:rsid w:val="00F469A0"/>
    <w:rsid w:val="00F5530C"/>
    <w:rsid w:val="00F961C5"/>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0B"/>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character" w:styleId="Hyperlink">
    <w:name w:val="Hyperlink"/>
    <w:basedOn w:val="DefaultParagraphFont"/>
    <w:uiPriority w:val="99"/>
    <w:unhideWhenUsed/>
    <w:rsid w:val="00332425"/>
    <w:rPr>
      <w:color w:val="0563C1" w:themeColor="hyperlink"/>
      <w:u w:val="single"/>
    </w:rPr>
  </w:style>
  <w:style w:type="character" w:customStyle="1" w:styleId="cf01">
    <w:name w:val="cf01"/>
    <w:basedOn w:val="DefaultParagraphFont"/>
    <w:rsid w:val="00332425"/>
    <w:rPr>
      <w:rFonts w:ascii="Segoe UI" w:hAnsi="Segoe UI" w:cs="Segoe UI" w:hint="default"/>
      <w:sz w:val="18"/>
      <w:szCs w:val="18"/>
    </w:rPr>
  </w:style>
  <w:style w:type="character" w:customStyle="1" w:styleId="cf11">
    <w:name w:val="cf11"/>
    <w:basedOn w:val="DefaultParagraphFont"/>
    <w:rsid w:val="00332425"/>
    <w:rPr>
      <w:rFonts w:ascii="Segoe UI" w:hAnsi="Segoe UI" w:cs="Segoe UI" w:hint="default"/>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atesfoundation.org/about/committed-grants?country=South%20Africa&amp;region=AF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2023-04-14T08:00:00Z</dcterms:created>
  <dcterms:modified xsi:type="dcterms:W3CDTF">2023-04-14T08:00:00Z</dcterms:modified>
</cp:coreProperties>
</file>