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422EC6">
        <w:rPr>
          <w:rFonts w:ascii="Arial" w:hAnsi="Arial" w:cs="Arial"/>
          <w:b/>
          <w:sz w:val="22"/>
          <w:szCs w:val="22"/>
        </w:rPr>
        <w:t>85</w:t>
      </w:r>
      <w:r w:rsidR="0064512A">
        <w:rPr>
          <w:rFonts w:ascii="Arial" w:hAnsi="Arial" w:cs="Arial"/>
          <w:b/>
          <w:sz w:val="22"/>
          <w:szCs w:val="22"/>
        </w:rPr>
        <w:t>3</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10</w:t>
      </w:r>
      <w:r w:rsidR="0064512A">
        <w:rPr>
          <w:rFonts w:ascii="Arial" w:hAnsi="Arial" w:cs="Arial"/>
          <w:b/>
          <w:sz w:val="22"/>
          <w:szCs w:val="22"/>
        </w:rPr>
        <w:t>60</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8E3D62" w:rsidRPr="0064512A" w:rsidRDefault="008E3D62" w:rsidP="0064512A">
      <w:pPr>
        <w:spacing w:line="276" w:lineRule="auto"/>
        <w:jc w:val="both"/>
        <w:rPr>
          <w:rFonts w:ascii="Arial" w:hAnsi="Arial" w:cs="Arial"/>
          <w:b/>
          <w:sz w:val="22"/>
          <w:szCs w:val="22"/>
        </w:rPr>
      </w:pPr>
    </w:p>
    <w:p w:rsidR="0064512A" w:rsidRPr="0064512A" w:rsidRDefault="0064512A" w:rsidP="0064512A">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64512A">
        <w:rPr>
          <w:rFonts w:ascii="Arial" w:eastAsia="Calibri" w:hAnsi="Arial" w:cs="Arial"/>
          <w:b/>
          <w:sz w:val="22"/>
          <w:szCs w:val="22"/>
          <w:lang w:val="en-ZA"/>
        </w:rPr>
        <w:t>853.</w:t>
      </w:r>
      <w:r w:rsidRPr="0064512A">
        <w:rPr>
          <w:rFonts w:ascii="Arial" w:eastAsia="Calibri" w:hAnsi="Arial" w:cs="Arial"/>
          <w:b/>
          <w:sz w:val="22"/>
          <w:szCs w:val="22"/>
          <w:lang w:val="en-ZA"/>
        </w:rPr>
        <w:tab/>
        <w:t xml:space="preserve">Dr D T George (DA) to ask the </w:t>
      </w:r>
      <w:r w:rsidRPr="0064512A">
        <w:rPr>
          <w:rFonts w:ascii="Arial" w:hAnsi="Arial" w:cs="Arial"/>
          <w:b/>
          <w:bCs/>
          <w:sz w:val="22"/>
          <w:szCs w:val="22"/>
        </w:rPr>
        <w:t>Minister</w:t>
      </w:r>
      <w:r w:rsidRPr="0064512A">
        <w:rPr>
          <w:rFonts w:ascii="Arial" w:eastAsia="Calibri" w:hAnsi="Arial" w:cs="Arial"/>
          <w:b/>
          <w:sz w:val="22"/>
          <w:szCs w:val="22"/>
          <w:lang w:val="en-ZA"/>
        </w:rPr>
        <w:t xml:space="preserve"> of Finance:</w:t>
      </w:r>
    </w:p>
    <w:p w:rsidR="0064512A" w:rsidRDefault="0064512A" w:rsidP="0064512A">
      <w:pPr>
        <w:spacing w:before="100" w:beforeAutospacing="1" w:after="100" w:afterAutospacing="1" w:line="276" w:lineRule="auto"/>
        <w:ind w:left="720"/>
        <w:jc w:val="both"/>
        <w:rPr>
          <w:rFonts w:ascii="Arial" w:eastAsia="Calibri" w:hAnsi="Arial" w:cs="Arial"/>
          <w:sz w:val="22"/>
          <w:szCs w:val="22"/>
          <w:lang w:val="en-ZA"/>
        </w:rPr>
      </w:pPr>
      <w:r w:rsidRPr="0064512A">
        <w:rPr>
          <w:rFonts w:ascii="Arial" w:eastAsia="Calibri" w:hAnsi="Arial" w:cs="Arial"/>
          <w:sz w:val="22"/>
          <w:szCs w:val="22"/>
          <w:lang w:val="en-ZA"/>
        </w:rPr>
        <w:t>What (a) number of companies and businesses in each province have made use of and/or benefited from the tax deferral measures announced on 23 April 2020 and (b) was the Rand value of the tax deferrals in each province?</w:t>
      </w:r>
      <w:r w:rsidRPr="0064512A">
        <w:rPr>
          <w:rFonts w:ascii="Arial" w:eastAsia="Calibri" w:hAnsi="Arial" w:cs="Arial"/>
          <w:sz w:val="22"/>
          <w:szCs w:val="22"/>
          <w:lang w:val="en-ZA"/>
        </w:rPr>
        <w:tab/>
      </w:r>
      <w:r w:rsidRPr="0064512A">
        <w:rPr>
          <w:rFonts w:ascii="Arial" w:eastAsia="Calibri" w:hAnsi="Arial" w:cs="Arial"/>
          <w:sz w:val="22"/>
          <w:szCs w:val="22"/>
          <w:lang w:val="en-ZA"/>
        </w:rPr>
        <w:tab/>
      </w:r>
    </w:p>
    <w:p w:rsidR="0064512A" w:rsidRPr="0064512A" w:rsidRDefault="0064512A" w:rsidP="0064512A">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4512A">
        <w:rPr>
          <w:rFonts w:ascii="Arial" w:eastAsia="Calibri" w:hAnsi="Arial" w:cs="Arial"/>
          <w:sz w:val="22"/>
          <w:szCs w:val="22"/>
          <w:lang w:val="en-ZA"/>
        </w:rPr>
        <w:tab/>
      </w:r>
      <w:bookmarkStart w:id="2" w:name="_GoBack"/>
      <w:r w:rsidRPr="0064512A">
        <w:rPr>
          <w:rFonts w:ascii="Arial" w:eastAsia="Calibri" w:hAnsi="Arial" w:cs="Arial"/>
          <w:sz w:val="22"/>
          <w:szCs w:val="22"/>
          <w:lang w:val="en-ZA"/>
        </w:rPr>
        <w:t>NW1060E</w:t>
      </w:r>
      <w:bookmarkEnd w:id="2"/>
    </w:p>
    <w:p w:rsidR="008E3D62" w:rsidRDefault="008E3D62" w:rsidP="00BB416B">
      <w:pPr>
        <w:spacing w:before="100" w:beforeAutospacing="1" w:after="100" w:afterAutospacing="1" w:line="276" w:lineRule="auto"/>
        <w:ind w:left="720" w:hanging="630"/>
        <w:jc w:val="both"/>
        <w:outlineLvl w:val="0"/>
        <w:rPr>
          <w:rFonts w:ascii="Arial" w:hAnsi="Arial" w:cs="Arial"/>
          <w:sz w:val="22"/>
          <w:szCs w:val="22"/>
        </w:rPr>
      </w:pPr>
      <w:r w:rsidRPr="00BB416B">
        <w:rPr>
          <w:rFonts w:ascii="Arial" w:hAnsi="Arial" w:cs="Arial"/>
          <w:b/>
          <w:sz w:val="22"/>
          <w:szCs w:val="22"/>
        </w:rPr>
        <w:t>REPLY</w:t>
      </w:r>
      <w:r w:rsidRPr="00BB416B">
        <w:rPr>
          <w:rFonts w:ascii="Arial" w:hAnsi="Arial" w:cs="Arial"/>
          <w:sz w:val="22"/>
          <w:szCs w:val="22"/>
        </w:rPr>
        <w:t>:</w:t>
      </w:r>
    </w:p>
    <w:p w:rsidR="00AC69BD" w:rsidRPr="00262E32" w:rsidRDefault="00AC69BD" w:rsidP="00AC69BD">
      <w:pPr>
        <w:pStyle w:val="ListParagraph"/>
        <w:numPr>
          <w:ilvl w:val="0"/>
          <w:numId w:val="14"/>
        </w:numPr>
        <w:contextualSpacing w:val="0"/>
        <w:rPr>
          <w:rFonts w:ascii="Arial" w:hAnsi="Arial" w:cs="Arial"/>
          <w:color w:val="000000" w:themeColor="text1"/>
          <w:sz w:val="22"/>
          <w:szCs w:val="22"/>
        </w:rPr>
      </w:pPr>
      <w:r w:rsidRPr="00262E32">
        <w:rPr>
          <w:rFonts w:ascii="Arial" w:hAnsi="Arial" w:cs="Arial"/>
          <w:color w:val="000000" w:themeColor="text1"/>
          <w:sz w:val="22"/>
          <w:szCs w:val="22"/>
        </w:rPr>
        <w:t>8 957 taxpayers requested PAYE Tax Deferments</w:t>
      </w:r>
      <w:r w:rsidR="00482D2F" w:rsidRPr="00262E32">
        <w:rPr>
          <w:rFonts w:ascii="Arial" w:hAnsi="Arial" w:cs="Arial"/>
          <w:color w:val="000000" w:themeColor="text1"/>
          <w:sz w:val="22"/>
          <w:szCs w:val="22"/>
        </w:rPr>
        <w:t xml:space="preserve"> thus far</w:t>
      </w:r>
      <w:r w:rsidR="00262E32">
        <w:rPr>
          <w:rFonts w:ascii="Arial" w:hAnsi="Arial" w:cs="Arial"/>
          <w:color w:val="000000" w:themeColor="text1"/>
          <w:sz w:val="22"/>
          <w:szCs w:val="22"/>
        </w:rPr>
        <w:t xml:space="preserve"> and 4 taxpayers requested deferrals of excise duties. </w:t>
      </w:r>
    </w:p>
    <w:p w:rsidR="00AC69BD" w:rsidRPr="00262E32" w:rsidRDefault="00AC69BD" w:rsidP="00AC69BD">
      <w:pPr>
        <w:pStyle w:val="ListParagraph"/>
        <w:ind w:left="768"/>
        <w:contextualSpacing w:val="0"/>
        <w:rPr>
          <w:rFonts w:ascii="Arial" w:hAnsi="Arial" w:cs="Arial"/>
          <w:color w:val="000000" w:themeColor="text1"/>
          <w:sz w:val="22"/>
          <w:szCs w:val="22"/>
          <w:lang w:val="en-ZA"/>
        </w:rPr>
      </w:pPr>
    </w:p>
    <w:p w:rsidR="00AC69BD" w:rsidRPr="00262E32" w:rsidRDefault="00AC69BD" w:rsidP="00983BE7">
      <w:pPr>
        <w:pStyle w:val="ListParagraph"/>
        <w:numPr>
          <w:ilvl w:val="0"/>
          <w:numId w:val="14"/>
        </w:numPr>
        <w:contextualSpacing w:val="0"/>
        <w:rPr>
          <w:rFonts w:ascii="Arial" w:hAnsi="Arial" w:cs="Arial"/>
          <w:color w:val="000000" w:themeColor="text1"/>
          <w:sz w:val="22"/>
          <w:szCs w:val="22"/>
        </w:rPr>
      </w:pPr>
      <w:r w:rsidRPr="00262E32">
        <w:rPr>
          <w:rFonts w:ascii="Arial" w:hAnsi="Arial" w:cs="Arial"/>
          <w:color w:val="000000" w:themeColor="text1"/>
          <w:sz w:val="22"/>
          <w:szCs w:val="22"/>
        </w:rPr>
        <w:t>The rand value for the PAYE Tax Deferments is R334m.</w:t>
      </w:r>
    </w:p>
    <w:p w:rsidR="00983BE7" w:rsidRPr="00983BE7" w:rsidRDefault="00983BE7" w:rsidP="00983BE7">
      <w:pPr>
        <w:pStyle w:val="ListParagraph"/>
        <w:rPr>
          <w:color w:val="000000" w:themeColor="text1"/>
        </w:rPr>
      </w:pPr>
    </w:p>
    <w:p w:rsidR="00983BE7" w:rsidRDefault="00983BE7" w:rsidP="00983BE7">
      <w:pPr>
        <w:rPr>
          <w:color w:val="000000" w:themeColor="text1"/>
        </w:rPr>
      </w:pPr>
    </w:p>
    <w:p w:rsidR="00566101" w:rsidRPr="00677130" w:rsidRDefault="00983BE7" w:rsidP="00677130">
      <w:pPr>
        <w:ind w:left="720"/>
        <w:rPr>
          <w:color w:val="000000" w:themeColor="text1"/>
        </w:rPr>
      </w:pPr>
      <w:r w:rsidRPr="00983BE7">
        <w:rPr>
          <w:noProof/>
          <w:lang w:val="en-ZA" w:eastAsia="en-ZA"/>
        </w:rPr>
        <w:drawing>
          <wp:inline distT="0" distB="0" distL="0" distR="0">
            <wp:extent cx="4799047" cy="23164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2434" cy="2318115"/>
                    </a:xfrm>
                    <a:prstGeom prst="rect">
                      <a:avLst/>
                    </a:prstGeom>
                    <a:noFill/>
                    <a:ln>
                      <a:noFill/>
                    </a:ln>
                  </pic:spPr>
                </pic:pic>
              </a:graphicData>
            </a:graphic>
          </wp:inline>
        </w:drawing>
      </w:r>
    </w:p>
    <w:p w:rsidR="00566101" w:rsidRDefault="00566101" w:rsidP="005B6F0A">
      <w:pPr>
        <w:tabs>
          <w:tab w:val="left" w:pos="432"/>
          <w:tab w:val="left" w:pos="864"/>
        </w:tabs>
        <w:spacing w:line="276" w:lineRule="auto"/>
        <w:rPr>
          <w:rFonts w:ascii="Arial" w:hAnsi="Arial" w:cs="Arial"/>
          <w:b/>
          <w:sz w:val="22"/>
          <w:szCs w:val="22"/>
          <w:u w:val="single"/>
        </w:rPr>
      </w:pPr>
    </w:p>
    <w:p w:rsidR="00566101" w:rsidRPr="00262E32" w:rsidRDefault="00566101" w:rsidP="007A78C0">
      <w:pPr>
        <w:tabs>
          <w:tab w:val="left" w:pos="432"/>
          <w:tab w:val="left" w:pos="864"/>
        </w:tabs>
        <w:spacing w:line="360" w:lineRule="auto"/>
        <w:rPr>
          <w:rFonts w:ascii="Arial" w:hAnsi="Arial" w:cs="Arial"/>
          <w:b/>
          <w:sz w:val="22"/>
          <w:szCs w:val="22"/>
          <w:u w:val="single"/>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b/>
          <w:sz w:val="22"/>
          <w:szCs w:val="22"/>
        </w:rPr>
      </w:pPr>
      <w:r w:rsidRPr="00262E32">
        <w:rPr>
          <w:rFonts w:ascii="Arial" w:eastAsia="Calibri" w:hAnsi="Arial" w:cs="Arial"/>
          <w:b/>
          <w:sz w:val="22"/>
          <w:szCs w:val="22"/>
        </w:rPr>
        <w:t>Deferral for the payment of excise duties on alcoholic beverages and tobacco products</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b/>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 xml:space="preserve">Excise duties on alcoholic beverages and tobacco products are payable by manufacturers and the liability for excise duty is assessed and collected on a Duty at Source (DAS) basis - i.e. as close as possible to the point of domestic manufacture </w:t>
      </w:r>
      <w:r w:rsidRPr="00262E32">
        <w:rPr>
          <w:rFonts w:ascii="Arial" w:eastAsia="Calibri" w:hAnsi="Arial" w:cs="Arial"/>
          <w:sz w:val="22"/>
          <w:szCs w:val="22"/>
        </w:rPr>
        <w:lastRenderedPageBreak/>
        <w:t xml:space="preserve">when goods achieve their excisable character or the point of importation of similar excisable products. </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 xml:space="preserve">The liability to account for excise duties and the payment thereof therefore rest with the manufacturer with payment periods following the end of the accounting month ranging from 30 to 130 days depending on the product and the period between the time of manufacture and final sale.   </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 xml:space="preserve">The outbreak of the COVID-19 pandemic resulted in the President declaring a national state of disaster and instituting a nation-wide lockdown with effect from Thursday, 26 March 2020. As a result, the sale of alcoholic beverages and tobacco products was first restricted and has since been prohibited. </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 xml:space="preserve">In order tominimise cash flow difficulties for the manufacturers of alcoholic beverages and tobacco products, the revised Disaster Management Tax Relief Bill, 2020 proposes that the manufacturers in these industries continue to submit their excise duty accounts on time but that the payments due to SARS be deferred for a period of 90 days without incurring interest or penalties. </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Manufacturers will qualify for such deferment provided they have no outstanding excise accounts or payments unless an arrangement has been made for such payments. The proposed deferral, as set out in the proposed amendments to Rule 19A.11 to the Customs and Excise Act No. 91 of 1964, will apply to payments due in the months of May and June and will be for a period of 90 days.</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sz w:val="22"/>
          <w:szCs w:val="22"/>
        </w:rPr>
      </w:pPr>
      <w:r w:rsidRPr="00262E32">
        <w:rPr>
          <w:rFonts w:ascii="Arial" w:eastAsia="Calibri" w:hAnsi="Arial" w:cs="Arial"/>
          <w:sz w:val="22"/>
          <w:szCs w:val="22"/>
        </w:rPr>
        <w:t>The table below provides the detail of tax deferral measures approved to date in this regard.</w:t>
      </w:r>
    </w:p>
    <w:p w:rsid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Pr="00262E32" w:rsidRDefault="00262E32" w:rsidP="00262E32">
      <w:pPr>
        <w:tabs>
          <w:tab w:val="left" w:pos="432"/>
          <w:tab w:val="left" w:pos="864"/>
        </w:tabs>
        <w:spacing w:line="360" w:lineRule="auto"/>
        <w:ind w:left="851"/>
        <w:jc w:val="both"/>
        <w:rPr>
          <w:rFonts w:ascii="Arial" w:eastAsia="Calibri" w:hAnsi="Arial" w:cs="Arial"/>
          <w:sz w:val="22"/>
          <w:szCs w:val="22"/>
        </w:rPr>
      </w:pP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b/>
          <w:i/>
          <w:sz w:val="22"/>
          <w:szCs w:val="22"/>
        </w:rPr>
      </w:pPr>
      <w:r w:rsidRPr="00262E32">
        <w:rPr>
          <w:rFonts w:ascii="Arial" w:eastAsia="Calibri" w:hAnsi="Arial" w:cs="Arial"/>
          <w:b/>
          <w:i/>
          <w:sz w:val="22"/>
          <w:szCs w:val="22"/>
        </w:rPr>
        <w:lastRenderedPageBreak/>
        <w:t>Table A: Tax deferral measures relating to the payment of excise duties on alcoholic beverages and tobacco products</w:t>
      </w:r>
    </w:p>
    <w:p w:rsidR="00262E32" w:rsidRPr="00262E32" w:rsidRDefault="00262E32" w:rsidP="00262E32">
      <w:pPr>
        <w:tabs>
          <w:tab w:val="right" w:pos="284"/>
          <w:tab w:val="left" w:pos="2835"/>
          <w:tab w:val="left" w:pos="6096"/>
          <w:tab w:val="left" w:pos="9072"/>
        </w:tabs>
        <w:spacing w:line="360" w:lineRule="auto"/>
        <w:ind w:left="851"/>
        <w:jc w:val="both"/>
        <w:rPr>
          <w:rFonts w:ascii="Arial" w:eastAsia="Calibri" w:hAnsi="Arial" w:cs="Arial"/>
          <w:b/>
          <w:i/>
          <w:sz w:val="22"/>
          <w:szCs w:val="22"/>
        </w:rPr>
      </w:pPr>
    </w:p>
    <w:tbl>
      <w:tblPr>
        <w:tblStyle w:val="TableGrid"/>
        <w:tblW w:w="0" w:type="auto"/>
        <w:tblLook w:val="04A0"/>
      </w:tblPr>
      <w:tblGrid>
        <w:gridCol w:w="3116"/>
        <w:gridCol w:w="2266"/>
        <w:gridCol w:w="4012"/>
      </w:tblGrid>
      <w:tr w:rsidR="00262E32" w:rsidRPr="00262E32" w:rsidTr="00262E32">
        <w:trPr>
          <w:trHeight w:val="757"/>
        </w:trPr>
        <w:tc>
          <w:tcPr>
            <w:tcW w:w="311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b/>
                <w:sz w:val="22"/>
                <w:szCs w:val="22"/>
              </w:rPr>
            </w:pPr>
            <w:r w:rsidRPr="00262E32">
              <w:rPr>
                <w:rFonts w:ascii="Arial" w:eastAsia="Calibri" w:hAnsi="Arial" w:cs="Arial"/>
                <w:b/>
                <w:sz w:val="22"/>
                <w:szCs w:val="22"/>
              </w:rPr>
              <w:t>Province</w:t>
            </w:r>
          </w:p>
        </w:tc>
        <w:tc>
          <w:tcPr>
            <w:tcW w:w="226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b/>
                <w:sz w:val="22"/>
                <w:szCs w:val="22"/>
              </w:rPr>
            </w:pPr>
            <w:r w:rsidRPr="00262E32">
              <w:rPr>
                <w:rFonts w:ascii="Arial" w:eastAsia="Calibri" w:hAnsi="Arial" w:cs="Arial"/>
                <w:b/>
                <w:sz w:val="22"/>
                <w:szCs w:val="22"/>
              </w:rPr>
              <w:t>Taxpayers Approved</w:t>
            </w:r>
          </w:p>
        </w:tc>
        <w:tc>
          <w:tcPr>
            <w:tcW w:w="4012"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b/>
                <w:sz w:val="22"/>
                <w:szCs w:val="22"/>
              </w:rPr>
            </w:pPr>
            <w:r w:rsidRPr="00262E32">
              <w:rPr>
                <w:rFonts w:ascii="Arial" w:eastAsia="Calibri" w:hAnsi="Arial" w:cs="Arial"/>
                <w:b/>
                <w:sz w:val="22"/>
                <w:szCs w:val="22"/>
              </w:rPr>
              <w:t>Amounts deferred</w:t>
            </w:r>
          </w:p>
        </w:tc>
      </w:tr>
      <w:tr w:rsidR="00262E32" w:rsidRPr="00262E32" w:rsidTr="00262E32">
        <w:trPr>
          <w:trHeight w:val="452"/>
        </w:trPr>
        <w:tc>
          <w:tcPr>
            <w:tcW w:w="311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Gauteng</w:t>
            </w:r>
          </w:p>
        </w:tc>
        <w:tc>
          <w:tcPr>
            <w:tcW w:w="226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1</w:t>
            </w:r>
          </w:p>
        </w:tc>
        <w:tc>
          <w:tcPr>
            <w:tcW w:w="4012"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R546 000 000</w:t>
            </w:r>
          </w:p>
        </w:tc>
      </w:tr>
      <w:tr w:rsidR="00262E32" w:rsidRPr="00262E32" w:rsidTr="00262E32">
        <w:trPr>
          <w:trHeight w:val="430"/>
        </w:trPr>
        <w:tc>
          <w:tcPr>
            <w:tcW w:w="311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KwaZulu Natal</w:t>
            </w:r>
          </w:p>
        </w:tc>
        <w:tc>
          <w:tcPr>
            <w:tcW w:w="2266" w:type="dxa"/>
            <w:tcBorders>
              <w:bottom w:val="single" w:sz="4" w:space="0" w:color="auto"/>
            </w:tcBorders>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1</w:t>
            </w:r>
          </w:p>
        </w:tc>
        <w:tc>
          <w:tcPr>
            <w:tcW w:w="4012" w:type="dxa"/>
            <w:tcBorders>
              <w:bottom w:val="single" w:sz="4" w:space="0" w:color="auto"/>
            </w:tcBorders>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R933 000 000</w:t>
            </w:r>
          </w:p>
        </w:tc>
      </w:tr>
      <w:tr w:rsidR="00262E32" w:rsidRPr="00262E32" w:rsidTr="00262E32">
        <w:trPr>
          <w:trHeight w:val="416"/>
        </w:trPr>
        <w:tc>
          <w:tcPr>
            <w:tcW w:w="311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Western Cape</w:t>
            </w:r>
          </w:p>
        </w:tc>
        <w:tc>
          <w:tcPr>
            <w:tcW w:w="2266"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2</w:t>
            </w:r>
          </w:p>
        </w:tc>
        <w:tc>
          <w:tcPr>
            <w:tcW w:w="4012" w:type="dxa"/>
          </w:tcPr>
          <w:p w:rsidR="00262E32" w:rsidRPr="00262E32" w:rsidRDefault="00262E32" w:rsidP="00262E32">
            <w:pPr>
              <w:tabs>
                <w:tab w:val="right" w:pos="284"/>
                <w:tab w:val="left" w:pos="2835"/>
                <w:tab w:val="left" w:pos="6096"/>
                <w:tab w:val="left" w:pos="9072"/>
              </w:tabs>
              <w:spacing w:line="360" w:lineRule="auto"/>
              <w:jc w:val="center"/>
              <w:rPr>
                <w:rFonts w:ascii="Arial" w:eastAsia="Calibri" w:hAnsi="Arial" w:cs="Arial"/>
                <w:sz w:val="22"/>
                <w:szCs w:val="22"/>
              </w:rPr>
            </w:pPr>
            <w:r w:rsidRPr="00262E32">
              <w:rPr>
                <w:rFonts w:ascii="Arial" w:eastAsia="Calibri" w:hAnsi="Arial" w:cs="Arial"/>
                <w:sz w:val="22"/>
                <w:szCs w:val="22"/>
              </w:rPr>
              <w:t>R1 073 659 864</w:t>
            </w:r>
          </w:p>
        </w:tc>
      </w:tr>
    </w:tbl>
    <w:p w:rsidR="00262E32" w:rsidRPr="00262E32" w:rsidRDefault="00262E32" w:rsidP="00262E32">
      <w:pPr>
        <w:tabs>
          <w:tab w:val="left" w:pos="432"/>
          <w:tab w:val="left" w:pos="864"/>
        </w:tabs>
        <w:spacing w:line="360" w:lineRule="auto"/>
        <w:ind w:left="851"/>
        <w:jc w:val="both"/>
        <w:rPr>
          <w:rFonts w:ascii="Arial" w:eastAsia="Calibri" w:hAnsi="Arial" w:cs="Arial"/>
          <w:sz w:val="22"/>
          <w:szCs w:val="22"/>
        </w:rPr>
      </w:pPr>
    </w:p>
    <w:p w:rsidR="00FE4A54" w:rsidRDefault="00FE4A54"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p w:rsidR="00262E32" w:rsidRDefault="00262E32" w:rsidP="007A78C0">
      <w:pPr>
        <w:tabs>
          <w:tab w:val="left" w:pos="432"/>
          <w:tab w:val="left" w:pos="864"/>
        </w:tabs>
        <w:spacing w:line="360" w:lineRule="auto"/>
        <w:rPr>
          <w:rFonts w:ascii="Arial" w:hAnsi="Arial" w:cs="Arial"/>
          <w:b/>
          <w:sz w:val="22"/>
          <w:szCs w:val="22"/>
          <w:u w:val="single"/>
        </w:rPr>
      </w:pPr>
    </w:p>
    <w:sectPr w:rsidR="00262E32" w:rsidSect="004F43FB">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7C" w:rsidRDefault="009C1A7C" w:rsidP="00380E88">
      <w:r>
        <w:separator/>
      </w:r>
    </w:p>
  </w:endnote>
  <w:endnote w:type="continuationSeparator" w:id="1">
    <w:p w:rsidR="009C1A7C" w:rsidRDefault="009C1A7C"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7C" w:rsidRDefault="009C1A7C" w:rsidP="00380E88">
      <w:r>
        <w:separator/>
      </w:r>
    </w:p>
  </w:footnote>
  <w:footnote w:type="continuationSeparator" w:id="1">
    <w:p w:rsidR="009C1A7C" w:rsidRDefault="009C1A7C"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51"/>
    <w:multiLevelType w:val="hybridMultilevel"/>
    <w:tmpl w:val="5D20E9B0"/>
    <w:lvl w:ilvl="0" w:tplc="07D4B488">
      <w:start w:val="1"/>
      <w:numFmt w:val="lowerLetter"/>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1">
    <w:nsid w:val="2CA16312"/>
    <w:multiLevelType w:val="hybridMultilevel"/>
    <w:tmpl w:val="A4980BC2"/>
    <w:lvl w:ilvl="0" w:tplc="79648960">
      <w:start w:val="2"/>
      <w:numFmt w:val="bullet"/>
      <w:lvlText w:val="-"/>
      <w:lvlJc w:val="left"/>
      <w:pPr>
        <w:ind w:left="408" w:hanging="360"/>
      </w:pPr>
      <w:rPr>
        <w:rFonts w:ascii="Calibri" w:eastAsia="Calibri" w:hAnsi="Calibri" w:cs="Times New Roman" w:hint="default"/>
      </w:rPr>
    </w:lvl>
    <w:lvl w:ilvl="1" w:tplc="1C090003">
      <w:start w:val="1"/>
      <w:numFmt w:val="bullet"/>
      <w:lvlText w:val="o"/>
      <w:lvlJc w:val="left"/>
      <w:pPr>
        <w:ind w:left="1128" w:hanging="360"/>
      </w:pPr>
      <w:rPr>
        <w:rFonts w:ascii="Courier New" w:hAnsi="Courier New" w:cs="Courier New" w:hint="default"/>
      </w:rPr>
    </w:lvl>
    <w:lvl w:ilvl="2" w:tplc="1C090005">
      <w:start w:val="1"/>
      <w:numFmt w:val="bullet"/>
      <w:lvlText w:val=""/>
      <w:lvlJc w:val="left"/>
      <w:pPr>
        <w:ind w:left="1848" w:hanging="360"/>
      </w:pPr>
      <w:rPr>
        <w:rFonts w:ascii="Wingdings" w:hAnsi="Wingdings" w:hint="default"/>
      </w:rPr>
    </w:lvl>
    <w:lvl w:ilvl="3" w:tplc="1C090001">
      <w:start w:val="1"/>
      <w:numFmt w:val="bullet"/>
      <w:lvlText w:val=""/>
      <w:lvlJc w:val="left"/>
      <w:pPr>
        <w:ind w:left="2568" w:hanging="360"/>
      </w:pPr>
      <w:rPr>
        <w:rFonts w:ascii="Symbol" w:hAnsi="Symbol" w:hint="default"/>
      </w:rPr>
    </w:lvl>
    <w:lvl w:ilvl="4" w:tplc="1C090003">
      <w:start w:val="1"/>
      <w:numFmt w:val="bullet"/>
      <w:lvlText w:val="o"/>
      <w:lvlJc w:val="left"/>
      <w:pPr>
        <w:ind w:left="3288" w:hanging="360"/>
      </w:pPr>
      <w:rPr>
        <w:rFonts w:ascii="Courier New" w:hAnsi="Courier New" w:cs="Courier New" w:hint="default"/>
      </w:rPr>
    </w:lvl>
    <w:lvl w:ilvl="5" w:tplc="1C090005">
      <w:start w:val="1"/>
      <w:numFmt w:val="bullet"/>
      <w:lvlText w:val=""/>
      <w:lvlJc w:val="left"/>
      <w:pPr>
        <w:ind w:left="4008" w:hanging="360"/>
      </w:pPr>
      <w:rPr>
        <w:rFonts w:ascii="Wingdings" w:hAnsi="Wingdings" w:hint="default"/>
      </w:rPr>
    </w:lvl>
    <w:lvl w:ilvl="6" w:tplc="1C090001">
      <w:start w:val="1"/>
      <w:numFmt w:val="bullet"/>
      <w:lvlText w:val=""/>
      <w:lvlJc w:val="left"/>
      <w:pPr>
        <w:ind w:left="4728" w:hanging="360"/>
      </w:pPr>
      <w:rPr>
        <w:rFonts w:ascii="Symbol" w:hAnsi="Symbol" w:hint="default"/>
      </w:rPr>
    </w:lvl>
    <w:lvl w:ilvl="7" w:tplc="1C090003">
      <w:start w:val="1"/>
      <w:numFmt w:val="bullet"/>
      <w:lvlText w:val="o"/>
      <w:lvlJc w:val="left"/>
      <w:pPr>
        <w:ind w:left="5448" w:hanging="360"/>
      </w:pPr>
      <w:rPr>
        <w:rFonts w:ascii="Courier New" w:hAnsi="Courier New" w:cs="Courier New" w:hint="default"/>
      </w:rPr>
    </w:lvl>
    <w:lvl w:ilvl="8" w:tplc="1C090005">
      <w:start w:val="1"/>
      <w:numFmt w:val="bullet"/>
      <w:lvlText w:val=""/>
      <w:lvlJc w:val="left"/>
      <w:pPr>
        <w:ind w:left="6168" w:hanging="360"/>
      </w:pPr>
      <w:rPr>
        <w:rFonts w:ascii="Wingdings" w:hAnsi="Wingdings" w:hint="default"/>
      </w:r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1"/>
  </w:num>
  <w:num w:numId="6">
    <w:abstractNumId w:val="3"/>
  </w:num>
  <w:num w:numId="7">
    <w:abstractNumId w:val="3"/>
  </w:num>
  <w:num w:numId="8">
    <w:abstractNumId w:val="12"/>
  </w:num>
  <w:num w:numId="9">
    <w:abstractNumId w:val="2"/>
  </w:num>
  <w:num w:numId="10">
    <w:abstractNumId w:val="5"/>
  </w:num>
  <w:num w:numId="11">
    <w:abstractNumId w:val="10"/>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189B"/>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0EB5"/>
    <w:rsid w:val="000E1349"/>
    <w:rsid w:val="000E1B36"/>
    <w:rsid w:val="000E3AD1"/>
    <w:rsid w:val="000F3B14"/>
    <w:rsid w:val="000F5178"/>
    <w:rsid w:val="00100CC2"/>
    <w:rsid w:val="00110946"/>
    <w:rsid w:val="00122C88"/>
    <w:rsid w:val="00130348"/>
    <w:rsid w:val="00132CAF"/>
    <w:rsid w:val="00132CF0"/>
    <w:rsid w:val="001433AE"/>
    <w:rsid w:val="0014441E"/>
    <w:rsid w:val="0015727B"/>
    <w:rsid w:val="00183EB5"/>
    <w:rsid w:val="00197576"/>
    <w:rsid w:val="001B0917"/>
    <w:rsid w:val="001B7F2A"/>
    <w:rsid w:val="001C1E62"/>
    <w:rsid w:val="001D3CB7"/>
    <w:rsid w:val="001D4937"/>
    <w:rsid w:val="001E3FB5"/>
    <w:rsid w:val="001E6902"/>
    <w:rsid w:val="001F4B50"/>
    <w:rsid w:val="001F7560"/>
    <w:rsid w:val="002065BA"/>
    <w:rsid w:val="00207912"/>
    <w:rsid w:val="00223863"/>
    <w:rsid w:val="0022502D"/>
    <w:rsid w:val="00230BF6"/>
    <w:rsid w:val="00251791"/>
    <w:rsid w:val="00256116"/>
    <w:rsid w:val="00260251"/>
    <w:rsid w:val="00262E32"/>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2D2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07F8"/>
    <w:rsid w:val="00651616"/>
    <w:rsid w:val="00653A85"/>
    <w:rsid w:val="006711E0"/>
    <w:rsid w:val="00675635"/>
    <w:rsid w:val="00677130"/>
    <w:rsid w:val="00685058"/>
    <w:rsid w:val="00685F0E"/>
    <w:rsid w:val="00693A64"/>
    <w:rsid w:val="006B61B0"/>
    <w:rsid w:val="006C2D5C"/>
    <w:rsid w:val="006D1766"/>
    <w:rsid w:val="006D1B36"/>
    <w:rsid w:val="006D2C61"/>
    <w:rsid w:val="006D2F61"/>
    <w:rsid w:val="006E0A2C"/>
    <w:rsid w:val="006E3D49"/>
    <w:rsid w:val="007118EA"/>
    <w:rsid w:val="00712545"/>
    <w:rsid w:val="00712E95"/>
    <w:rsid w:val="00726A9C"/>
    <w:rsid w:val="007359BF"/>
    <w:rsid w:val="00743A7D"/>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C6FF3"/>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29B5"/>
    <w:rsid w:val="0097786E"/>
    <w:rsid w:val="00983BE7"/>
    <w:rsid w:val="00986C1B"/>
    <w:rsid w:val="00987BC9"/>
    <w:rsid w:val="009A18A7"/>
    <w:rsid w:val="009C1A7C"/>
    <w:rsid w:val="009C45D6"/>
    <w:rsid w:val="009E1AB2"/>
    <w:rsid w:val="009E24E9"/>
    <w:rsid w:val="009F2415"/>
    <w:rsid w:val="009F480A"/>
    <w:rsid w:val="00A02200"/>
    <w:rsid w:val="00A15D3C"/>
    <w:rsid w:val="00A23A3E"/>
    <w:rsid w:val="00A337C8"/>
    <w:rsid w:val="00A359DB"/>
    <w:rsid w:val="00A41782"/>
    <w:rsid w:val="00A45496"/>
    <w:rsid w:val="00A45FE5"/>
    <w:rsid w:val="00A51431"/>
    <w:rsid w:val="00A525F0"/>
    <w:rsid w:val="00A55CB3"/>
    <w:rsid w:val="00A566A2"/>
    <w:rsid w:val="00A5731A"/>
    <w:rsid w:val="00A677C3"/>
    <w:rsid w:val="00A72B9B"/>
    <w:rsid w:val="00A84063"/>
    <w:rsid w:val="00A952EA"/>
    <w:rsid w:val="00AA4ED9"/>
    <w:rsid w:val="00AB5748"/>
    <w:rsid w:val="00AC69BD"/>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A40"/>
    <w:rsid w:val="00CC2F3E"/>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299190960">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3DEE-DD56-400F-950D-A006EC7D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2020-08-25T13:13:00Z</dcterms:created>
  <dcterms:modified xsi:type="dcterms:W3CDTF">2020-08-25T13:13:00Z</dcterms:modified>
</cp:coreProperties>
</file>