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9923EF" w:rsidP="00DD23B7">
      <w:pPr>
        <w:pStyle w:val="Title"/>
        <w:rPr>
          <w:rFonts w:ascii="Arial Narrow" w:hAnsi="Arial Narrow"/>
        </w:rPr>
      </w:pPr>
      <w:r>
        <w:rPr>
          <w:rFonts w:ascii="Arial Narrow" w:hAnsi="Arial Narrow"/>
        </w:rPr>
        <w:tab/>
      </w: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F055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96F85">
        <w:rPr>
          <w:u w:val="none"/>
        </w:rPr>
        <w:t>8</w:t>
      </w:r>
      <w:r w:rsidR="001B2CD7">
        <w:rPr>
          <w:u w:val="none"/>
        </w:rPr>
        <w:t>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1B2CD7">
        <w:rPr>
          <w:rFonts w:ascii="Arial" w:hAnsi="Arial" w:cs="Arial"/>
          <w:b/>
          <w:bCs/>
        </w:rPr>
        <w:t>Thursday</w:t>
      </w:r>
      <w:r w:rsidR="00934463">
        <w:rPr>
          <w:rFonts w:ascii="Arial" w:hAnsi="Arial" w:cs="Arial"/>
          <w:b/>
          <w:bCs/>
        </w:rPr>
        <w:t xml:space="preserve">, </w:t>
      </w:r>
      <w:r w:rsidR="001B2CD7">
        <w:rPr>
          <w:rFonts w:ascii="Arial" w:hAnsi="Arial" w:cs="Arial"/>
          <w:b/>
          <w:bCs/>
        </w:rPr>
        <w:t>11 February 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B2CD7">
        <w:rPr>
          <w:u w:val="none"/>
        </w:rPr>
        <w:t xml:space="preserve">1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596F85" w:rsidP="00A80D28">
      <w:pPr>
        <w:spacing w:line="320" w:lineRule="exact"/>
        <w:jc w:val="both"/>
        <w:rPr>
          <w:rFonts w:ascii="Arial" w:hAnsi="Arial" w:cs="Arial"/>
          <w:b/>
          <w:lang w:val="en-US"/>
        </w:rPr>
      </w:pPr>
      <w:r w:rsidRPr="00596F85">
        <w:rPr>
          <w:rFonts w:ascii="Arial" w:hAnsi="Arial" w:cs="Arial"/>
          <w:b/>
          <w:lang w:val="en-US"/>
        </w:rPr>
        <w:t>85.</w:t>
      </w:r>
      <w:r w:rsidRPr="00596F85">
        <w:rPr>
          <w:rFonts w:ascii="Arial" w:hAnsi="Arial" w:cs="Arial"/>
          <w:b/>
          <w:lang w:val="en-US"/>
        </w:rPr>
        <w:tab/>
        <w:t>Mr A M Figlan (DA) to ask the Minister of Home Affairs:</w:t>
      </w:r>
    </w:p>
    <w:p w:rsidR="00596F85" w:rsidRDefault="00596F85" w:rsidP="00A80D28">
      <w:pPr>
        <w:spacing w:line="320" w:lineRule="exact"/>
        <w:jc w:val="both"/>
        <w:rPr>
          <w:rFonts w:ascii="Arial" w:hAnsi="Arial" w:cs="Arial"/>
          <w:lang w:val="en-US"/>
        </w:rPr>
      </w:pPr>
    </w:p>
    <w:p w:rsidR="00596F85" w:rsidRDefault="00596F85" w:rsidP="00596F85">
      <w:pPr>
        <w:spacing w:line="320" w:lineRule="exact"/>
        <w:jc w:val="both"/>
        <w:rPr>
          <w:rFonts w:ascii="Arial" w:hAnsi="Arial" w:cs="Arial"/>
          <w:lang w:val="en-US"/>
        </w:rPr>
      </w:pPr>
      <w:r w:rsidRPr="00596F85">
        <w:rPr>
          <w:rFonts w:ascii="Arial" w:hAnsi="Arial" w:cs="Arial"/>
          <w:lang w:val="en-US"/>
        </w:rPr>
        <w:t xml:space="preserve">Whether he has entered into a performance agreement with the President, </w:t>
      </w:r>
      <w:r w:rsidR="00BC59EB" w:rsidRPr="00596F85">
        <w:rPr>
          <w:rFonts w:ascii="Arial" w:hAnsi="Arial" w:cs="Arial"/>
          <w:lang w:val="en-US"/>
        </w:rPr>
        <w:t>Mr.</w:t>
      </w:r>
      <w:r w:rsidRPr="00596F85">
        <w:rPr>
          <w:rFonts w:ascii="Arial" w:hAnsi="Arial" w:cs="Arial"/>
          <w:lang w:val="en-US"/>
        </w:rPr>
        <w:t xml:space="preserve">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596F85">
        <w:rPr>
          <w:rFonts w:ascii="Arial" w:hAnsi="Arial" w:cs="Arial"/>
          <w:lang w:val="en-US"/>
        </w:rPr>
        <w:tab/>
      </w:r>
      <w:r w:rsidRPr="00596F85">
        <w:rPr>
          <w:rFonts w:ascii="Arial" w:hAnsi="Arial" w:cs="Arial"/>
          <w:lang w:val="en-US"/>
        </w:rPr>
        <w:tab/>
      </w:r>
      <w:r w:rsidRPr="00596F85">
        <w:rPr>
          <w:rFonts w:ascii="Arial" w:hAnsi="Arial" w:cs="Arial"/>
          <w:lang w:val="en-US"/>
        </w:rPr>
        <w:tab/>
      </w:r>
      <w:r w:rsidRPr="00596F85">
        <w:rPr>
          <w:rFonts w:ascii="Arial" w:hAnsi="Arial" w:cs="Arial"/>
          <w:lang w:val="en-US"/>
        </w:rPr>
        <w:tab/>
      </w:r>
      <w:r w:rsidRPr="00596F85">
        <w:rPr>
          <w:rFonts w:ascii="Arial" w:hAnsi="Arial" w:cs="Arial"/>
          <w:lang w:val="en-US"/>
        </w:rPr>
        <w:tab/>
      </w:r>
      <w:r w:rsidRPr="00596F85">
        <w:rPr>
          <w:rFonts w:ascii="Arial" w:hAnsi="Arial" w:cs="Arial"/>
          <w:lang w:val="en-US"/>
        </w:rPr>
        <w:tab/>
      </w:r>
      <w:r w:rsidRPr="00596F85">
        <w:rPr>
          <w:rFonts w:ascii="Arial" w:hAnsi="Arial" w:cs="Arial"/>
          <w:lang w:val="en-US"/>
        </w:rPr>
        <w:tab/>
      </w:r>
    </w:p>
    <w:p w:rsidR="0089708E" w:rsidRDefault="00596F85" w:rsidP="00557CA9">
      <w:pPr>
        <w:spacing w:line="320" w:lineRule="exact"/>
        <w:ind w:left="6480" w:firstLine="720"/>
        <w:jc w:val="both"/>
        <w:rPr>
          <w:rFonts w:ascii="Arial" w:hAnsi="Arial" w:cs="Arial"/>
          <w:b/>
        </w:rPr>
      </w:pPr>
      <w:r w:rsidRPr="00596F85">
        <w:rPr>
          <w:rFonts w:ascii="Arial" w:hAnsi="Arial" w:cs="Arial"/>
          <w:lang w:val="en-US"/>
        </w:rPr>
        <w:t>NW85E</w:t>
      </w:r>
      <w:r w:rsidR="001B2CD7" w:rsidRPr="001B2CD7">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BC59EB" w:rsidRPr="00F8134D" w:rsidRDefault="00BC59EB" w:rsidP="00BC59EB">
      <w:pPr>
        <w:tabs>
          <w:tab w:val="left" w:pos="432"/>
          <w:tab w:val="left" w:pos="864"/>
        </w:tabs>
        <w:spacing w:line="320" w:lineRule="exact"/>
        <w:jc w:val="both"/>
        <w:rPr>
          <w:rFonts w:ascii="Arial" w:hAnsi="Arial" w:cs="Arial"/>
        </w:rPr>
      </w:pPr>
      <w:r>
        <w:rPr>
          <w:rFonts w:ascii="Arial" w:hAnsi="Arial" w:cs="Arial"/>
        </w:rPr>
        <w:t>Yes, t</w:t>
      </w:r>
      <w:r w:rsidRPr="00F8134D">
        <w:rPr>
          <w:rFonts w:ascii="Arial" w:hAnsi="Arial" w:cs="Arial"/>
        </w:rPr>
        <w:t>he Min</w:t>
      </w:r>
      <w:r>
        <w:rPr>
          <w:rFonts w:ascii="Arial" w:hAnsi="Arial" w:cs="Arial"/>
        </w:rPr>
        <w:t>ister of Home Affairs entered into a</w:t>
      </w:r>
      <w:r w:rsidRPr="00F8134D">
        <w:rPr>
          <w:rFonts w:ascii="Arial" w:hAnsi="Arial" w:cs="Arial"/>
        </w:rPr>
        <w:t xml:space="preserve"> performance agreement wi</w:t>
      </w:r>
      <w:r>
        <w:rPr>
          <w:rFonts w:ascii="Arial" w:hAnsi="Arial" w:cs="Arial"/>
        </w:rPr>
        <w:t xml:space="preserve">th President JG Zuma for the </w:t>
      </w:r>
      <w:r w:rsidRPr="00F8134D">
        <w:rPr>
          <w:rFonts w:ascii="Arial" w:hAnsi="Arial" w:cs="Arial"/>
        </w:rPr>
        <w:t>2014</w:t>
      </w:r>
      <w:r>
        <w:rPr>
          <w:rFonts w:ascii="Arial" w:hAnsi="Arial" w:cs="Arial"/>
        </w:rPr>
        <w:t>-2019 term of office.</w:t>
      </w:r>
    </w:p>
    <w:p w:rsidR="00BC59EB" w:rsidRPr="00F8134D" w:rsidRDefault="00BC59EB" w:rsidP="00BC59EB">
      <w:pPr>
        <w:tabs>
          <w:tab w:val="left" w:pos="432"/>
          <w:tab w:val="left" w:pos="864"/>
        </w:tabs>
        <w:spacing w:line="320" w:lineRule="exact"/>
        <w:jc w:val="both"/>
        <w:rPr>
          <w:rFonts w:ascii="Arial" w:hAnsi="Arial" w:cs="Arial"/>
        </w:rPr>
      </w:pPr>
    </w:p>
    <w:p w:rsidR="00BC59EB" w:rsidRPr="008818BD" w:rsidRDefault="00BC59EB" w:rsidP="00587BBF">
      <w:pPr>
        <w:numPr>
          <w:ilvl w:val="0"/>
          <w:numId w:val="37"/>
        </w:numPr>
        <w:tabs>
          <w:tab w:val="left" w:pos="567"/>
        </w:tabs>
        <w:spacing w:line="320" w:lineRule="exact"/>
        <w:ind w:left="567" w:hanging="567"/>
        <w:jc w:val="both"/>
        <w:rPr>
          <w:rFonts w:ascii="Arial" w:hAnsi="Arial" w:cs="Arial"/>
          <w:lang w:val="en-US"/>
        </w:rPr>
      </w:pPr>
      <w:r w:rsidRPr="008818BD">
        <w:rPr>
          <w:rFonts w:ascii="Arial" w:hAnsi="Arial" w:cs="Arial"/>
          <w:lang w:val="en-US"/>
        </w:rPr>
        <w:t>The following key indicators and targets from the MTSF are reflected in the agreement:</w:t>
      </w:r>
    </w:p>
    <w:p w:rsidR="00BC59EB" w:rsidRPr="008818BD" w:rsidRDefault="00BC59EB" w:rsidP="00BC59EB">
      <w:pPr>
        <w:tabs>
          <w:tab w:val="left" w:pos="432"/>
          <w:tab w:val="left" w:pos="864"/>
        </w:tabs>
        <w:spacing w:line="320" w:lineRule="exact"/>
        <w:jc w:val="both"/>
        <w:rPr>
          <w:rFonts w:ascii="Arial" w:hAnsi="Arial" w:cs="Arial"/>
          <w:lang w:val="en-US"/>
        </w:rPr>
      </w:pPr>
    </w:p>
    <w:p w:rsidR="00BC59EB" w:rsidRPr="00F8134D" w:rsidRDefault="00BC59EB" w:rsidP="00587BBF">
      <w:pPr>
        <w:numPr>
          <w:ilvl w:val="0"/>
          <w:numId w:val="36"/>
        </w:numPr>
        <w:tabs>
          <w:tab w:val="left" w:pos="851"/>
        </w:tabs>
        <w:spacing w:line="320" w:lineRule="exact"/>
        <w:ind w:left="851" w:hanging="284"/>
        <w:jc w:val="both"/>
        <w:rPr>
          <w:rFonts w:ascii="Arial" w:hAnsi="Arial" w:cs="Arial"/>
        </w:rPr>
      </w:pPr>
      <w:r w:rsidRPr="00F8134D">
        <w:rPr>
          <w:rFonts w:ascii="Arial" w:hAnsi="Arial" w:cs="Arial"/>
          <w:lang w:val="en-ZA"/>
        </w:rPr>
        <w:t xml:space="preserve">Establish the Integrated Border Management Agency (BMA). </w:t>
      </w:r>
    </w:p>
    <w:p w:rsidR="00BC59EB" w:rsidRPr="00F8134D" w:rsidRDefault="00BC59EB" w:rsidP="00587BBF">
      <w:pPr>
        <w:tabs>
          <w:tab w:val="left" w:pos="851"/>
        </w:tabs>
        <w:spacing w:line="320" w:lineRule="exact"/>
        <w:ind w:left="851" w:hanging="284"/>
        <w:jc w:val="both"/>
        <w:rPr>
          <w:rFonts w:ascii="Arial" w:hAnsi="Arial" w:cs="Arial"/>
        </w:rPr>
      </w:pPr>
    </w:p>
    <w:p w:rsidR="00BC59EB" w:rsidRPr="00F8134D" w:rsidRDefault="00BC59EB" w:rsidP="00587BBF">
      <w:pPr>
        <w:numPr>
          <w:ilvl w:val="0"/>
          <w:numId w:val="36"/>
        </w:numPr>
        <w:tabs>
          <w:tab w:val="left" w:pos="851"/>
        </w:tabs>
        <w:spacing w:line="320" w:lineRule="exact"/>
        <w:ind w:left="851" w:hanging="284"/>
        <w:jc w:val="both"/>
        <w:rPr>
          <w:rFonts w:ascii="Arial" w:hAnsi="Arial" w:cs="Arial"/>
          <w:lang w:val="en-ZA"/>
        </w:rPr>
      </w:pPr>
      <w:r w:rsidRPr="00F8134D">
        <w:rPr>
          <w:rFonts w:ascii="Arial" w:hAnsi="Arial" w:cs="Arial"/>
          <w:lang w:val="en-ZA"/>
        </w:rPr>
        <w:t>Develop an Over-arching Strategy to defend, protect, secure and ensure well-managed borders and ensure it is fully implemented by 2018/19.</w:t>
      </w:r>
    </w:p>
    <w:p w:rsidR="00BC59EB" w:rsidRPr="00F8134D" w:rsidRDefault="00BC59EB" w:rsidP="00587BBF">
      <w:pPr>
        <w:tabs>
          <w:tab w:val="left" w:pos="851"/>
        </w:tabs>
        <w:spacing w:line="320" w:lineRule="exact"/>
        <w:ind w:left="851" w:hanging="284"/>
        <w:jc w:val="both"/>
        <w:rPr>
          <w:rFonts w:ascii="Arial" w:hAnsi="Arial" w:cs="Arial"/>
          <w:lang w:val="en-ZA"/>
        </w:rPr>
      </w:pPr>
    </w:p>
    <w:p w:rsidR="00BC59EB" w:rsidRPr="00F8134D" w:rsidRDefault="00BC59EB" w:rsidP="00587BBF">
      <w:pPr>
        <w:numPr>
          <w:ilvl w:val="0"/>
          <w:numId w:val="36"/>
        </w:numPr>
        <w:tabs>
          <w:tab w:val="left" w:pos="851"/>
        </w:tabs>
        <w:spacing w:line="320" w:lineRule="exact"/>
        <w:ind w:left="851" w:hanging="284"/>
        <w:jc w:val="both"/>
        <w:rPr>
          <w:rFonts w:ascii="Arial" w:hAnsi="Arial" w:cs="Arial"/>
          <w:lang w:val="en-ZA"/>
        </w:rPr>
      </w:pPr>
      <w:r w:rsidRPr="00F8134D">
        <w:rPr>
          <w:rFonts w:ascii="Arial" w:hAnsi="Arial" w:cs="Arial"/>
          <w:lang w:val="en-ZA"/>
        </w:rPr>
        <w:t>Ensure that registration at birth is the only entry point for SA to the new national identity system (</w:t>
      </w:r>
      <w:smartTag w:uri="urn:schemas-microsoft-com:office:smarttags" w:element="City">
        <w:smartTag w:uri="urn:schemas-microsoft-com:office:smarttags" w:element="place">
          <w:r w:rsidRPr="00F8134D">
            <w:rPr>
              <w:rFonts w:ascii="Arial" w:hAnsi="Arial" w:cs="Arial"/>
              <w:lang w:val="en-ZA"/>
            </w:rPr>
            <w:t>NIS</w:t>
          </w:r>
        </w:smartTag>
      </w:smartTag>
      <w:r w:rsidRPr="00F8134D">
        <w:rPr>
          <w:rFonts w:ascii="Arial" w:hAnsi="Arial" w:cs="Arial"/>
          <w:lang w:val="en-ZA"/>
        </w:rPr>
        <w:t>)</w:t>
      </w:r>
      <w:r>
        <w:rPr>
          <w:rFonts w:ascii="Arial" w:hAnsi="Arial" w:cs="Arial"/>
          <w:lang w:val="en-ZA"/>
        </w:rPr>
        <w:t>:</w:t>
      </w:r>
    </w:p>
    <w:p w:rsidR="00BC59EB" w:rsidRPr="00305E81" w:rsidRDefault="00BC59EB" w:rsidP="00587BBF">
      <w:pPr>
        <w:numPr>
          <w:ilvl w:val="0"/>
          <w:numId w:val="39"/>
        </w:numPr>
        <w:spacing w:line="320" w:lineRule="exact"/>
        <w:ind w:left="1134" w:hanging="283"/>
        <w:jc w:val="both"/>
        <w:rPr>
          <w:rFonts w:ascii="Arial" w:hAnsi="Arial" w:cs="Arial"/>
          <w:sz w:val="22"/>
          <w:szCs w:val="22"/>
          <w:lang w:val="en-ZA"/>
        </w:rPr>
      </w:pPr>
      <w:r w:rsidRPr="008818BD">
        <w:rPr>
          <w:rFonts w:ascii="Arial" w:hAnsi="Arial" w:cs="Arial"/>
          <w:sz w:val="22"/>
          <w:szCs w:val="22"/>
          <w:lang w:val="en-ZA"/>
        </w:rPr>
        <w:lastRenderedPageBreak/>
        <w:t>By 2018/19, 90% of total births registered within 30 calendar days as prescribed by law</w:t>
      </w:r>
      <w:r>
        <w:rPr>
          <w:rFonts w:ascii="Arial" w:hAnsi="Arial" w:cs="Arial"/>
          <w:sz w:val="22"/>
          <w:szCs w:val="22"/>
          <w:lang w:val="en-ZA"/>
        </w:rPr>
        <w:t xml:space="preserve"> (a</w:t>
      </w:r>
      <w:r w:rsidRPr="008818BD">
        <w:rPr>
          <w:rFonts w:ascii="Arial" w:hAnsi="Arial" w:cs="Arial"/>
          <w:sz w:val="22"/>
          <w:szCs w:val="22"/>
          <w:lang w:val="en-ZA"/>
        </w:rPr>
        <w:t>pproximately 950 000 births to be registered by 2018/19).</w:t>
      </w:r>
    </w:p>
    <w:p w:rsidR="00BC59EB" w:rsidRPr="00F8134D" w:rsidRDefault="00BC59EB" w:rsidP="00587BBF">
      <w:pPr>
        <w:numPr>
          <w:ilvl w:val="0"/>
          <w:numId w:val="36"/>
        </w:numPr>
        <w:tabs>
          <w:tab w:val="left" w:pos="851"/>
        </w:tabs>
        <w:spacing w:line="320" w:lineRule="exact"/>
        <w:ind w:left="851" w:hanging="284"/>
        <w:jc w:val="both"/>
        <w:rPr>
          <w:rFonts w:ascii="Arial" w:hAnsi="Arial" w:cs="Arial"/>
          <w:lang w:val="en-ZA"/>
        </w:rPr>
      </w:pPr>
      <w:r w:rsidRPr="00F8134D">
        <w:rPr>
          <w:rFonts w:ascii="Arial" w:hAnsi="Arial" w:cs="Arial"/>
          <w:lang w:val="en-ZA"/>
        </w:rPr>
        <w:t xml:space="preserve">Ensure that systems are in place to enable the capturing of biometric </w:t>
      </w:r>
      <w:r w:rsidR="00587BBF">
        <w:rPr>
          <w:rFonts w:ascii="Arial" w:hAnsi="Arial" w:cs="Arial"/>
          <w:lang w:val="en-ZA"/>
        </w:rPr>
        <w:t>d</w:t>
      </w:r>
      <w:r w:rsidRPr="00F8134D">
        <w:rPr>
          <w:rFonts w:ascii="Arial" w:hAnsi="Arial" w:cs="Arial"/>
          <w:lang w:val="en-ZA"/>
        </w:rPr>
        <w:t>ata of all travellers who enter or exit SA legally</w:t>
      </w:r>
      <w:r>
        <w:rPr>
          <w:rFonts w:ascii="Arial" w:hAnsi="Arial" w:cs="Arial"/>
          <w:lang w:val="en-ZA"/>
        </w:rPr>
        <w:t>:</w:t>
      </w:r>
    </w:p>
    <w:p w:rsidR="00BC59EB" w:rsidRPr="008818BD" w:rsidRDefault="00BC59EB" w:rsidP="00587BBF">
      <w:pPr>
        <w:numPr>
          <w:ilvl w:val="1"/>
          <w:numId w:val="36"/>
        </w:numPr>
        <w:spacing w:line="320" w:lineRule="exact"/>
        <w:ind w:left="1134" w:hanging="283"/>
        <w:jc w:val="both"/>
        <w:rPr>
          <w:rFonts w:ascii="Arial" w:hAnsi="Arial" w:cs="Arial"/>
          <w:sz w:val="22"/>
          <w:szCs w:val="22"/>
          <w:lang w:val="en-ZA"/>
        </w:rPr>
      </w:pPr>
      <w:r w:rsidRPr="008818BD">
        <w:rPr>
          <w:rFonts w:ascii="Arial" w:hAnsi="Arial" w:cs="Arial"/>
          <w:sz w:val="22"/>
          <w:szCs w:val="22"/>
          <w:lang w:val="en-ZA"/>
        </w:rPr>
        <w:t>All designated ports of entry equipped with biometric systems capable of processing 100% of travellers (for ports equipped with EMCS) by 2018/19.</w:t>
      </w:r>
    </w:p>
    <w:p w:rsidR="00BC59EB" w:rsidRPr="00F8134D" w:rsidRDefault="00BC59EB" w:rsidP="00BC59EB">
      <w:pPr>
        <w:spacing w:line="320" w:lineRule="exact"/>
        <w:ind w:left="1440"/>
        <w:jc w:val="both"/>
        <w:rPr>
          <w:rFonts w:ascii="Arial" w:hAnsi="Arial" w:cs="Arial"/>
          <w:lang w:val="en-ZA"/>
        </w:rPr>
      </w:pPr>
    </w:p>
    <w:p w:rsidR="00BC59EB" w:rsidRPr="00F8134D" w:rsidRDefault="00BC59EB" w:rsidP="00587BBF">
      <w:pPr>
        <w:numPr>
          <w:ilvl w:val="0"/>
          <w:numId w:val="36"/>
        </w:numPr>
        <w:tabs>
          <w:tab w:val="left" w:pos="851"/>
        </w:tabs>
        <w:spacing w:line="320" w:lineRule="exact"/>
        <w:ind w:left="851" w:hanging="284"/>
        <w:jc w:val="both"/>
        <w:rPr>
          <w:rFonts w:ascii="Arial" w:hAnsi="Arial" w:cs="Arial"/>
          <w:lang w:val="en-US"/>
        </w:rPr>
      </w:pPr>
      <w:r w:rsidRPr="00F8134D">
        <w:rPr>
          <w:rFonts w:ascii="Arial" w:eastAsia="Calibri" w:hAnsi="Arial" w:cs="Arial"/>
          <w:lang w:val="en-ZA"/>
        </w:rPr>
        <w:t>Reduce regulatory burdens and reduce the time required for importing requisite skills for the economy and for investment, including by introducing a “one stop shop” at government level</w:t>
      </w:r>
      <w:r>
        <w:rPr>
          <w:rFonts w:ascii="Arial" w:eastAsia="Calibri" w:hAnsi="Arial" w:cs="Arial"/>
          <w:lang w:val="en-ZA"/>
        </w:rPr>
        <w:t>:</w:t>
      </w:r>
      <w:r w:rsidRPr="00F8134D">
        <w:rPr>
          <w:rFonts w:ascii="Arial" w:eastAsia="Calibri" w:hAnsi="Arial" w:cs="Arial"/>
          <w:lang w:val="en-ZA"/>
        </w:rPr>
        <w:t> </w:t>
      </w:r>
    </w:p>
    <w:p w:rsidR="00BC59EB" w:rsidRPr="00F8134D" w:rsidRDefault="00BC59EB" w:rsidP="00587BBF">
      <w:pPr>
        <w:pStyle w:val="ListParagraph"/>
        <w:numPr>
          <w:ilvl w:val="1"/>
          <w:numId w:val="36"/>
        </w:numPr>
        <w:spacing w:after="0" w:line="320" w:lineRule="exact"/>
        <w:ind w:left="1134" w:hanging="283"/>
        <w:jc w:val="both"/>
        <w:rPr>
          <w:rFonts w:ascii="Arial" w:hAnsi="Arial" w:cs="Arial"/>
          <w:sz w:val="24"/>
          <w:szCs w:val="24"/>
          <w:lang w:val="en-ZA"/>
        </w:rPr>
      </w:pPr>
      <w:r w:rsidRPr="00AC6BA7">
        <w:rPr>
          <w:rFonts w:ascii="Arial" w:hAnsi="Arial" w:cs="Arial"/>
          <w:lang w:val="en-ZA"/>
        </w:rPr>
        <w:t>Changes to subsidiary legislation on immigration to facilitate the importation of economic important skills and for workers as identified by economics and infrastructure departments, SOCs and producers</w:t>
      </w:r>
      <w:r>
        <w:rPr>
          <w:rFonts w:ascii="Arial" w:hAnsi="Arial" w:cs="Arial"/>
          <w:sz w:val="24"/>
          <w:szCs w:val="24"/>
          <w:lang w:val="en-ZA"/>
        </w:rPr>
        <w:t>.</w:t>
      </w:r>
    </w:p>
    <w:p w:rsidR="00BC59EB" w:rsidRPr="00F8134D" w:rsidRDefault="00BC59EB" w:rsidP="00BC59EB">
      <w:pPr>
        <w:pStyle w:val="ListParagraph"/>
        <w:spacing w:after="0" w:line="320" w:lineRule="exact"/>
        <w:ind w:left="1440"/>
        <w:jc w:val="both"/>
        <w:rPr>
          <w:rFonts w:ascii="Arial" w:hAnsi="Arial" w:cs="Arial"/>
          <w:sz w:val="24"/>
          <w:szCs w:val="24"/>
          <w:lang w:val="en-ZA"/>
        </w:rPr>
      </w:pPr>
    </w:p>
    <w:p w:rsidR="00BC59EB" w:rsidRPr="00F8134D" w:rsidRDefault="00BC59EB" w:rsidP="00587BBF">
      <w:pPr>
        <w:numPr>
          <w:ilvl w:val="0"/>
          <w:numId w:val="36"/>
        </w:numPr>
        <w:tabs>
          <w:tab w:val="left" w:pos="851"/>
        </w:tabs>
        <w:spacing w:line="320" w:lineRule="exact"/>
        <w:ind w:left="851" w:hanging="284"/>
        <w:jc w:val="both"/>
        <w:rPr>
          <w:rFonts w:ascii="Arial" w:hAnsi="Arial" w:cs="Arial"/>
          <w:lang w:val="en-ZA"/>
        </w:rPr>
      </w:pPr>
      <w:r w:rsidRPr="00F8134D">
        <w:rPr>
          <w:rFonts w:ascii="Arial" w:hAnsi="Arial" w:cs="Arial"/>
          <w:lang w:val="en-ZA"/>
        </w:rPr>
        <w:t>Maximum period for approval to import required skills</w:t>
      </w:r>
      <w:r>
        <w:rPr>
          <w:rFonts w:ascii="Arial" w:hAnsi="Arial" w:cs="Arial"/>
          <w:lang w:val="en-ZA"/>
        </w:rPr>
        <w:t>:</w:t>
      </w:r>
    </w:p>
    <w:p w:rsidR="00BC59EB" w:rsidRPr="00AC6BA7" w:rsidRDefault="00BC59EB" w:rsidP="00587BBF">
      <w:pPr>
        <w:pStyle w:val="ListParagraph"/>
        <w:numPr>
          <w:ilvl w:val="1"/>
          <w:numId w:val="36"/>
        </w:numPr>
        <w:spacing w:after="0" w:line="320" w:lineRule="exact"/>
        <w:ind w:left="1134" w:hanging="283"/>
        <w:jc w:val="both"/>
        <w:rPr>
          <w:rFonts w:ascii="Arial" w:hAnsi="Arial" w:cs="Arial"/>
        </w:rPr>
      </w:pPr>
      <w:r w:rsidRPr="00AC6BA7">
        <w:rPr>
          <w:rFonts w:ascii="Arial" w:hAnsi="Arial" w:cs="Arial"/>
          <w:lang w:val="en-ZA"/>
        </w:rPr>
        <w:t>3 months approval from application to approval for import of skills for productive investors and SOCs.</w:t>
      </w:r>
    </w:p>
    <w:p w:rsidR="00BC59EB" w:rsidRPr="00AC6BA7" w:rsidRDefault="00BC59EB" w:rsidP="00BC59EB">
      <w:pPr>
        <w:pStyle w:val="ListParagraph"/>
        <w:spacing w:after="0" w:line="320" w:lineRule="exact"/>
        <w:ind w:left="1440"/>
        <w:jc w:val="both"/>
        <w:rPr>
          <w:rFonts w:ascii="Arial" w:hAnsi="Arial" w:cs="Arial"/>
        </w:rPr>
      </w:pPr>
    </w:p>
    <w:p w:rsidR="00BC59EB" w:rsidRPr="00AC6BA7" w:rsidRDefault="00BC59EB" w:rsidP="00587BBF">
      <w:pPr>
        <w:numPr>
          <w:ilvl w:val="0"/>
          <w:numId w:val="36"/>
        </w:numPr>
        <w:tabs>
          <w:tab w:val="left" w:pos="851"/>
        </w:tabs>
        <w:spacing w:line="320" w:lineRule="exact"/>
        <w:ind w:left="851" w:hanging="284"/>
        <w:jc w:val="both"/>
        <w:rPr>
          <w:rFonts w:ascii="Arial" w:hAnsi="Arial" w:cs="Arial"/>
        </w:rPr>
      </w:pPr>
      <w:r w:rsidRPr="00F8134D">
        <w:rPr>
          <w:rFonts w:ascii="Arial" w:eastAsia="MS PGothic" w:hAnsi="Arial" w:cs="Arial"/>
        </w:rPr>
        <w:t>Improved feedback opportunities for citizens and other service users</w:t>
      </w:r>
      <w:r>
        <w:rPr>
          <w:rFonts w:ascii="Arial" w:eastAsia="MS PGothic" w:hAnsi="Arial" w:cs="Arial"/>
        </w:rPr>
        <w:t>:</w:t>
      </w:r>
    </w:p>
    <w:p w:rsidR="00BC59EB" w:rsidRPr="00AC6BA7" w:rsidRDefault="00BC59EB" w:rsidP="00587BBF">
      <w:pPr>
        <w:pStyle w:val="ListParagraph"/>
        <w:numPr>
          <w:ilvl w:val="1"/>
          <w:numId w:val="36"/>
        </w:numPr>
        <w:spacing w:after="0" w:line="320" w:lineRule="exact"/>
        <w:ind w:left="1134" w:hanging="283"/>
        <w:jc w:val="both"/>
        <w:rPr>
          <w:rFonts w:ascii="Arial" w:hAnsi="Arial" w:cs="Arial"/>
        </w:rPr>
      </w:pPr>
      <w:r w:rsidRPr="00AC6BA7">
        <w:rPr>
          <w:rFonts w:ascii="Arial" w:hAnsi="Arial" w:cs="Arial"/>
          <w:lang w:val="en-GB"/>
        </w:rPr>
        <w:t>Improvements in facilities based on repeat monitoring and feedback.</w:t>
      </w:r>
    </w:p>
    <w:p w:rsidR="00BC59EB" w:rsidRDefault="00BC59EB" w:rsidP="00BC59EB">
      <w:pPr>
        <w:tabs>
          <w:tab w:val="left" w:pos="432"/>
          <w:tab w:val="left" w:pos="864"/>
        </w:tabs>
        <w:spacing w:line="320" w:lineRule="exact"/>
        <w:jc w:val="both"/>
        <w:rPr>
          <w:rFonts w:ascii="Arial" w:hAnsi="Arial" w:cs="Arial"/>
        </w:rPr>
      </w:pPr>
    </w:p>
    <w:p w:rsidR="00BC59EB" w:rsidRPr="00AC6BA7" w:rsidRDefault="00BC59EB" w:rsidP="00587BBF">
      <w:pPr>
        <w:numPr>
          <w:ilvl w:val="0"/>
          <w:numId w:val="37"/>
        </w:numPr>
        <w:tabs>
          <w:tab w:val="left" w:pos="567"/>
        </w:tabs>
        <w:spacing w:line="320" w:lineRule="exact"/>
        <w:ind w:left="567" w:hanging="567"/>
        <w:jc w:val="both"/>
        <w:rPr>
          <w:rFonts w:ascii="Arial" w:hAnsi="Arial" w:cs="Arial"/>
          <w:lang w:val="en-US"/>
        </w:rPr>
      </w:pPr>
      <w:r w:rsidRPr="00AC6BA7">
        <w:rPr>
          <w:rFonts w:ascii="Arial" w:hAnsi="Arial" w:cs="Arial"/>
          <w:lang w:val="en-US"/>
        </w:rPr>
        <w:t>No formal performance assessments have been undertaken but the MTSF indicators and targets in the agreement are monitored through departmental reports to clusters, cabinet memoranda and through Minister’s bilateral with the President</w:t>
      </w:r>
    </w:p>
    <w:p w:rsidR="00BC59EB" w:rsidRPr="00F8134D" w:rsidRDefault="00BC59EB" w:rsidP="00BC59EB">
      <w:pPr>
        <w:tabs>
          <w:tab w:val="left" w:pos="432"/>
          <w:tab w:val="left" w:pos="864"/>
        </w:tabs>
        <w:spacing w:line="320" w:lineRule="exact"/>
        <w:jc w:val="both"/>
        <w:rPr>
          <w:rFonts w:ascii="Arial" w:hAnsi="Arial" w:cs="Arial"/>
          <w:lang w:val="en-US"/>
        </w:rPr>
      </w:pPr>
    </w:p>
    <w:p w:rsidR="00BC59EB" w:rsidRPr="00AE23D3" w:rsidRDefault="00BC59EB" w:rsidP="00587BBF">
      <w:pPr>
        <w:numPr>
          <w:ilvl w:val="0"/>
          <w:numId w:val="37"/>
        </w:numPr>
        <w:tabs>
          <w:tab w:val="left" w:pos="567"/>
        </w:tabs>
        <w:spacing w:line="320" w:lineRule="exact"/>
        <w:ind w:left="567" w:hanging="567"/>
        <w:jc w:val="both"/>
        <w:rPr>
          <w:rFonts w:ascii="Arial" w:hAnsi="Arial" w:cs="Arial"/>
          <w:lang w:val="en-US"/>
        </w:rPr>
      </w:pPr>
      <w:r w:rsidRPr="00AE23D3">
        <w:rPr>
          <w:rFonts w:ascii="Arial" w:hAnsi="Arial" w:cs="Arial"/>
          <w:lang w:val="en-US"/>
        </w:rPr>
        <w:t xml:space="preserve">Refer to attached table </w:t>
      </w:r>
      <w:r w:rsidR="00E95ADC">
        <w:rPr>
          <w:rFonts w:ascii="Arial" w:hAnsi="Arial" w:cs="Arial"/>
          <w:lang w:val="en-US"/>
        </w:rPr>
        <w:t xml:space="preserve">marked </w:t>
      </w:r>
      <w:r w:rsidR="00E95ADC" w:rsidRPr="00E95ADC">
        <w:rPr>
          <w:rFonts w:ascii="Arial" w:hAnsi="Arial" w:cs="Arial"/>
          <w:b/>
          <w:lang w:val="en-US"/>
        </w:rPr>
        <w:t>Annexure A</w:t>
      </w:r>
      <w:r w:rsidR="00E95ADC">
        <w:rPr>
          <w:rFonts w:ascii="Arial" w:hAnsi="Arial" w:cs="Arial"/>
          <w:lang w:val="en-US"/>
        </w:rPr>
        <w:t xml:space="preserve"> </w:t>
      </w:r>
      <w:r w:rsidRPr="00AE23D3">
        <w:rPr>
          <w:rFonts w:ascii="Arial" w:hAnsi="Arial" w:cs="Arial"/>
          <w:lang w:val="en-US"/>
        </w:rPr>
        <w:t>for progress against MTSF priorities.</w:t>
      </w:r>
    </w:p>
    <w:p w:rsidR="00BC59EB" w:rsidRPr="00AE23D3" w:rsidRDefault="00BC59EB" w:rsidP="00BC59EB">
      <w:pPr>
        <w:tabs>
          <w:tab w:val="left" w:pos="432"/>
          <w:tab w:val="left" w:pos="864"/>
        </w:tabs>
        <w:spacing w:line="320" w:lineRule="exact"/>
        <w:ind w:left="420"/>
        <w:jc w:val="both"/>
        <w:rPr>
          <w:rFonts w:ascii="Arial" w:hAnsi="Arial" w:cs="Arial"/>
          <w:lang w:val="en-US"/>
        </w:rPr>
      </w:pPr>
    </w:p>
    <w:p w:rsidR="00BC59EB" w:rsidRPr="00305E81" w:rsidRDefault="00BC59EB" w:rsidP="00587BBF">
      <w:pPr>
        <w:numPr>
          <w:ilvl w:val="0"/>
          <w:numId w:val="37"/>
        </w:numPr>
        <w:tabs>
          <w:tab w:val="left" w:pos="567"/>
        </w:tabs>
        <w:spacing w:line="320" w:lineRule="exact"/>
        <w:ind w:left="567" w:hanging="567"/>
        <w:jc w:val="both"/>
        <w:rPr>
          <w:rFonts w:ascii="Arial" w:hAnsi="Arial" w:cs="Arial"/>
          <w:lang w:val="en-US"/>
        </w:rPr>
      </w:pPr>
      <w:r w:rsidRPr="00AE23D3">
        <w:rPr>
          <w:rFonts w:ascii="Arial" w:hAnsi="Arial" w:cs="Arial"/>
          <w:lang w:val="en-US"/>
        </w:rPr>
        <w:t>The</w:t>
      </w:r>
      <w:r>
        <w:rPr>
          <w:rFonts w:ascii="Arial" w:hAnsi="Arial" w:cs="Arial"/>
          <w:lang w:val="en-US"/>
        </w:rPr>
        <w:t xml:space="preserve"> environment and t</w:t>
      </w:r>
      <w:r w:rsidRPr="00305E81">
        <w:rPr>
          <w:rFonts w:ascii="Arial" w:hAnsi="Arial" w:cs="Arial"/>
          <w:lang w:val="en-US"/>
        </w:rPr>
        <w:t>he complexity of issues within which the D</w:t>
      </w:r>
      <w:r w:rsidR="003B30AA">
        <w:rPr>
          <w:rFonts w:ascii="Arial" w:hAnsi="Arial" w:cs="Arial"/>
          <w:lang w:val="en-US"/>
        </w:rPr>
        <w:t xml:space="preserve">epartment of Home Affairs (DHA) </w:t>
      </w:r>
      <w:r w:rsidRPr="00305E81">
        <w:rPr>
          <w:rFonts w:ascii="Arial" w:hAnsi="Arial" w:cs="Arial"/>
          <w:lang w:val="en-US"/>
        </w:rPr>
        <w:t>has to function in the implementation of key priorities such as the immigration policy and Border Management Agency</w:t>
      </w:r>
      <w:r>
        <w:rPr>
          <w:rFonts w:ascii="Arial" w:hAnsi="Arial" w:cs="Arial"/>
          <w:lang w:val="en-US"/>
        </w:rPr>
        <w:t xml:space="preserve"> is </w:t>
      </w:r>
      <w:r w:rsidR="003B30AA">
        <w:rPr>
          <w:rFonts w:ascii="Arial" w:hAnsi="Arial" w:cs="Arial"/>
          <w:lang w:val="en-US"/>
        </w:rPr>
        <w:t xml:space="preserve">a </w:t>
      </w:r>
      <w:r>
        <w:rPr>
          <w:rFonts w:ascii="Arial" w:hAnsi="Arial" w:cs="Arial"/>
          <w:lang w:val="en-US"/>
        </w:rPr>
        <w:t>highly contested</w:t>
      </w:r>
      <w:r w:rsidR="003B30AA">
        <w:rPr>
          <w:rFonts w:ascii="Arial" w:hAnsi="Arial" w:cs="Arial"/>
          <w:lang w:val="en-US"/>
        </w:rPr>
        <w:t xml:space="preserve"> one</w:t>
      </w:r>
      <w:r w:rsidRPr="00305E81">
        <w:rPr>
          <w:rFonts w:ascii="Arial" w:hAnsi="Arial" w:cs="Arial"/>
          <w:lang w:val="en-US"/>
        </w:rPr>
        <w:t>.</w:t>
      </w:r>
      <w:r w:rsidR="003B30AA">
        <w:rPr>
          <w:rFonts w:ascii="Arial" w:hAnsi="Arial" w:cs="Arial"/>
          <w:lang w:val="en-US"/>
        </w:rPr>
        <w:t xml:space="preserve"> </w:t>
      </w:r>
      <w:r>
        <w:rPr>
          <w:rFonts w:ascii="Arial" w:hAnsi="Arial" w:cs="Arial"/>
          <w:lang w:val="en-US"/>
        </w:rPr>
        <w:t>Also t</w:t>
      </w:r>
      <w:r w:rsidRPr="00305E81">
        <w:rPr>
          <w:rFonts w:ascii="Arial" w:hAnsi="Arial" w:cs="Arial"/>
          <w:lang w:val="en-US"/>
        </w:rPr>
        <w:t xml:space="preserve">he perception </w:t>
      </w:r>
      <w:r w:rsidR="003B30AA">
        <w:rPr>
          <w:rFonts w:ascii="Arial" w:hAnsi="Arial" w:cs="Arial"/>
          <w:lang w:val="en-US"/>
        </w:rPr>
        <w:t xml:space="preserve">is </w:t>
      </w:r>
      <w:r w:rsidRPr="00305E81">
        <w:rPr>
          <w:rFonts w:ascii="Arial" w:hAnsi="Arial" w:cs="Arial"/>
          <w:lang w:val="en-US"/>
        </w:rPr>
        <w:t>that the DHA is a purely administrative department</w:t>
      </w:r>
      <w:r w:rsidR="003B30AA">
        <w:rPr>
          <w:rFonts w:ascii="Arial" w:hAnsi="Arial" w:cs="Arial"/>
          <w:lang w:val="en-US"/>
        </w:rPr>
        <w:t>. Wi</w:t>
      </w:r>
      <w:r w:rsidRPr="00305E81">
        <w:rPr>
          <w:rFonts w:ascii="Arial" w:hAnsi="Arial" w:cs="Arial"/>
          <w:lang w:val="en-US"/>
        </w:rPr>
        <w:t>thout recogni</w:t>
      </w:r>
      <w:r w:rsidR="003B30AA">
        <w:rPr>
          <w:rFonts w:ascii="Arial" w:hAnsi="Arial" w:cs="Arial"/>
          <w:lang w:val="en-US"/>
        </w:rPr>
        <w:t>s</w:t>
      </w:r>
      <w:r w:rsidRPr="00305E81">
        <w:rPr>
          <w:rFonts w:ascii="Arial" w:hAnsi="Arial" w:cs="Arial"/>
          <w:lang w:val="en-US"/>
        </w:rPr>
        <w:t>ing the need for the DHA to function within a highly secure environment</w:t>
      </w:r>
      <w:r w:rsidR="003B30AA">
        <w:rPr>
          <w:rFonts w:ascii="Arial" w:hAnsi="Arial" w:cs="Arial"/>
          <w:lang w:val="en-US"/>
        </w:rPr>
        <w:t xml:space="preserve"> this can be an obstacle. </w:t>
      </w:r>
      <w:r w:rsidRPr="00305E81">
        <w:rPr>
          <w:rFonts w:ascii="Arial" w:hAnsi="Arial" w:cs="Arial"/>
          <w:lang w:val="en-US"/>
        </w:rPr>
        <w:t xml:space="preserve">This has </w:t>
      </w:r>
      <w:r w:rsidR="003B30AA">
        <w:rPr>
          <w:rFonts w:ascii="Arial" w:hAnsi="Arial" w:cs="Arial"/>
          <w:lang w:val="en-US"/>
        </w:rPr>
        <w:t xml:space="preserve">also </w:t>
      </w:r>
      <w:r w:rsidRPr="00305E81">
        <w:rPr>
          <w:rFonts w:ascii="Arial" w:hAnsi="Arial" w:cs="Arial"/>
          <w:lang w:val="en-US"/>
        </w:rPr>
        <w:t>exacerbated the historical under-funding of the DHA over time.</w:t>
      </w:r>
    </w:p>
    <w:p w:rsidR="00BC59EB" w:rsidRPr="00305E81" w:rsidRDefault="00BC59EB" w:rsidP="003B30AA">
      <w:pPr>
        <w:pStyle w:val="ListParagraph"/>
        <w:spacing w:after="0"/>
        <w:ind w:left="0"/>
        <w:rPr>
          <w:rFonts w:ascii="Arial" w:hAnsi="Arial" w:cs="Arial"/>
        </w:rPr>
      </w:pPr>
    </w:p>
    <w:p w:rsidR="00BC59EB" w:rsidRPr="00BC59EB" w:rsidRDefault="00BC59EB" w:rsidP="00587BBF">
      <w:pPr>
        <w:numPr>
          <w:ilvl w:val="0"/>
          <w:numId w:val="37"/>
        </w:numPr>
        <w:tabs>
          <w:tab w:val="left" w:pos="567"/>
        </w:tabs>
        <w:spacing w:line="320" w:lineRule="exact"/>
        <w:ind w:left="567" w:hanging="567"/>
        <w:jc w:val="both"/>
        <w:rPr>
          <w:rFonts w:ascii="Arial" w:hAnsi="Arial" w:cs="Arial"/>
          <w:b/>
          <w:lang w:val="en-US"/>
        </w:rPr>
      </w:pPr>
      <w:r w:rsidRPr="00305E81">
        <w:rPr>
          <w:rFonts w:ascii="Arial" w:hAnsi="Arial" w:cs="Arial"/>
          <w:lang w:val="en-US"/>
        </w:rPr>
        <w:t>In order to address some of the challenges the Department will be developing</w:t>
      </w:r>
      <w:r>
        <w:rPr>
          <w:rFonts w:ascii="Arial" w:hAnsi="Arial" w:cs="Arial"/>
          <w:b/>
          <w:lang w:val="en-US"/>
        </w:rPr>
        <w:t xml:space="preserve"> </w:t>
      </w:r>
      <w:r w:rsidRPr="00305E81">
        <w:rPr>
          <w:rFonts w:ascii="Arial" w:hAnsi="Arial" w:cs="Arial"/>
          <w:lang w:val="en-US"/>
        </w:rPr>
        <w:t>a business case to reposition the DHA as a highly secure, professional and modern department.</w:t>
      </w:r>
      <w:r>
        <w:rPr>
          <w:rFonts w:ascii="Arial" w:hAnsi="Arial" w:cs="Arial"/>
          <w:lang w:val="en-US"/>
        </w:rPr>
        <w:t xml:space="preserve"> Some of the key priorities include the following</w:t>
      </w:r>
      <w:r w:rsidR="00587BBF">
        <w:rPr>
          <w:rFonts w:ascii="Arial" w:hAnsi="Arial" w:cs="Arial"/>
          <w:lang w:val="en-US"/>
        </w:rPr>
        <w:t xml:space="preserve">: </w:t>
      </w:r>
    </w:p>
    <w:p w:rsidR="00BC59EB" w:rsidRPr="00430C9F" w:rsidRDefault="00BC59EB" w:rsidP="00587BBF">
      <w:pPr>
        <w:numPr>
          <w:ilvl w:val="0"/>
          <w:numId w:val="38"/>
        </w:numPr>
        <w:tabs>
          <w:tab w:val="left" w:pos="851"/>
        </w:tabs>
        <w:spacing w:after="200" w:line="252" w:lineRule="auto"/>
        <w:ind w:left="851" w:hanging="284"/>
        <w:jc w:val="both"/>
        <w:rPr>
          <w:rFonts w:ascii="Arial" w:hAnsi="Arial" w:cs="Arial"/>
          <w:lang w:val="en-ZA"/>
        </w:rPr>
      </w:pPr>
      <w:r w:rsidRPr="00AA155F">
        <w:rPr>
          <w:rFonts w:ascii="Arial" w:hAnsi="Arial" w:cs="Arial"/>
        </w:rPr>
        <w:lastRenderedPageBreak/>
        <w:t xml:space="preserve">Completion of the </w:t>
      </w:r>
      <w:r w:rsidRPr="00AA155F">
        <w:rPr>
          <w:rFonts w:ascii="Arial" w:hAnsi="Arial" w:cs="Arial"/>
          <w:lang w:val="en-ZA"/>
        </w:rPr>
        <w:t xml:space="preserve">Modernisation Programme with the main deliverables being </w:t>
      </w:r>
      <w:r w:rsidRPr="00AA155F">
        <w:rPr>
          <w:rFonts w:ascii="Arial" w:hAnsi="Arial" w:cs="Arial"/>
        </w:rPr>
        <w:t>integrated digital systems and re-engineered processes managed and protected by the required compliment of effective professionals.</w:t>
      </w:r>
    </w:p>
    <w:p w:rsidR="00BC59EB" w:rsidRPr="000249E6" w:rsidRDefault="00BC59EB" w:rsidP="00587BBF">
      <w:pPr>
        <w:numPr>
          <w:ilvl w:val="0"/>
          <w:numId w:val="38"/>
        </w:numPr>
        <w:tabs>
          <w:tab w:val="left" w:pos="851"/>
        </w:tabs>
        <w:spacing w:after="200" w:line="252" w:lineRule="auto"/>
        <w:ind w:left="851" w:hanging="284"/>
        <w:jc w:val="both"/>
        <w:rPr>
          <w:rFonts w:ascii="Arial" w:hAnsi="Arial" w:cs="Arial"/>
          <w:lang w:val="en-ZA"/>
        </w:rPr>
      </w:pPr>
      <w:r>
        <w:rPr>
          <w:rFonts w:ascii="Arial" w:hAnsi="Arial" w:cs="Arial"/>
          <w:lang w:val="en-ZA"/>
        </w:rPr>
        <w:t xml:space="preserve">Upgrading of key ports of </w:t>
      </w:r>
      <w:r w:rsidRPr="000249E6">
        <w:rPr>
          <w:rFonts w:ascii="Arial" w:hAnsi="Arial" w:cs="Arial"/>
          <w:lang w:val="en-ZA"/>
        </w:rPr>
        <w:t>entry focusing on the piloting of a n</w:t>
      </w:r>
      <w:r w:rsidRPr="000249E6">
        <w:rPr>
          <w:rFonts w:ascii="Arial" w:hAnsi="Arial" w:cs="Arial"/>
        </w:rPr>
        <w:t>ew model with significant improvements in respect of infrastructure, processes and leadership.</w:t>
      </w:r>
    </w:p>
    <w:p w:rsidR="00BC59EB" w:rsidRPr="00D51E07" w:rsidRDefault="00BC59EB" w:rsidP="00587BBF">
      <w:pPr>
        <w:numPr>
          <w:ilvl w:val="0"/>
          <w:numId w:val="38"/>
        </w:numPr>
        <w:tabs>
          <w:tab w:val="left" w:pos="851"/>
        </w:tabs>
        <w:spacing w:after="200" w:line="252" w:lineRule="auto"/>
        <w:ind w:left="851" w:hanging="284"/>
        <w:jc w:val="both"/>
        <w:rPr>
          <w:rFonts w:ascii="Arial" w:hAnsi="Arial" w:cs="Arial"/>
          <w:lang w:val="en-ZA"/>
        </w:rPr>
      </w:pPr>
      <w:r w:rsidRPr="000249E6">
        <w:rPr>
          <w:rFonts w:ascii="Arial" w:hAnsi="Arial" w:cs="Arial"/>
          <w:lang w:val="en-ZA"/>
        </w:rPr>
        <w:t xml:space="preserve">Comprehensive review of </w:t>
      </w:r>
      <w:r>
        <w:rPr>
          <w:rFonts w:ascii="Arial" w:hAnsi="Arial" w:cs="Arial"/>
          <w:lang w:val="en-ZA"/>
        </w:rPr>
        <w:t xml:space="preserve">the </w:t>
      </w:r>
      <w:r w:rsidRPr="000249E6">
        <w:rPr>
          <w:rFonts w:ascii="Arial" w:hAnsi="Arial" w:cs="Arial"/>
          <w:lang w:val="en-ZA"/>
        </w:rPr>
        <w:t xml:space="preserve">Immigration Policy culminating in the approval of a </w:t>
      </w:r>
      <w:r w:rsidRPr="000249E6">
        <w:rPr>
          <w:rFonts w:ascii="Arial" w:hAnsi="Arial" w:cs="Arial"/>
        </w:rPr>
        <w:t>Green Paper and White Paper and new comprehensive legislation drafted.</w:t>
      </w:r>
    </w:p>
    <w:p w:rsidR="00BC59EB" w:rsidRDefault="00BC59EB" w:rsidP="00587BBF">
      <w:pPr>
        <w:numPr>
          <w:ilvl w:val="0"/>
          <w:numId w:val="38"/>
        </w:numPr>
        <w:tabs>
          <w:tab w:val="left" w:pos="851"/>
        </w:tabs>
        <w:spacing w:after="200" w:line="252" w:lineRule="auto"/>
        <w:ind w:left="851" w:hanging="284"/>
        <w:jc w:val="both"/>
        <w:rPr>
          <w:rFonts w:ascii="Arial" w:hAnsi="Arial" w:cs="Arial"/>
        </w:rPr>
      </w:pPr>
      <w:r w:rsidRPr="00D51E07">
        <w:rPr>
          <w:rFonts w:ascii="Arial" w:hAnsi="Arial" w:cs="Arial"/>
          <w:lang w:val="en-ZA"/>
        </w:rPr>
        <w:t xml:space="preserve">Improving client experience through leadership </w:t>
      </w:r>
      <w:r>
        <w:rPr>
          <w:rFonts w:ascii="Arial" w:hAnsi="Arial" w:cs="Arial"/>
          <w:lang w:val="en-ZA"/>
        </w:rPr>
        <w:t xml:space="preserve">– the </w:t>
      </w:r>
      <w:r w:rsidRPr="00150509">
        <w:rPr>
          <w:rFonts w:ascii="Arial" w:hAnsi="Arial" w:cs="Arial"/>
          <w:lang w:val="en-ZA"/>
        </w:rPr>
        <w:t>Moetapele</w:t>
      </w:r>
      <w:r>
        <w:rPr>
          <w:rFonts w:ascii="Arial" w:hAnsi="Arial" w:cs="Arial"/>
          <w:lang w:val="en-ZA"/>
        </w:rPr>
        <w:t xml:space="preserve"> programme</w:t>
      </w:r>
      <w:r w:rsidRPr="00D51E07">
        <w:rPr>
          <w:rFonts w:ascii="Arial" w:hAnsi="Arial" w:cs="Arial"/>
          <w:lang w:val="en-ZA"/>
        </w:rPr>
        <w:t xml:space="preserve">. </w:t>
      </w:r>
    </w:p>
    <w:p w:rsidR="00BC59EB" w:rsidRPr="00885E43" w:rsidRDefault="00BC59EB" w:rsidP="00587BBF">
      <w:pPr>
        <w:numPr>
          <w:ilvl w:val="0"/>
          <w:numId w:val="38"/>
        </w:numPr>
        <w:tabs>
          <w:tab w:val="left" w:pos="432"/>
          <w:tab w:val="left" w:pos="851"/>
          <w:tab w:val="left" w:pos="1134"/>
        </w:tabs>
        <w:spacing w:line="320" w:lineRule="exact"/>
        <w:ind w:left="851" w:hanging="284"/>
        <w:jc w:val="both"/>
        <w:rPr>
          <w:rFonts w:ascii="Arial" w:hAnsi="Arial" w:cs="Arial"/>
          <w:lang w:val="en-US"/>
        </w:rPr>
      </w:pPr>
      <w:r w:rsidRPr="00885E43">
        <w:rPr>
          <w:rFonts w:ascii="Arial" w:hAnsi="Arial" w:cs="Arial"/>
          <w:lang w:val="en-US"/>
        </w:rPr>
        <w:t xml:space="preserve">Improved stakeholder consultation and forging of partnerships with the private sector </w:t>
      </w:r>
      <w:r>
        <w:rPr>
          <w:rFonts w:ascii="Arial" w:hAnsi="Arial" w:cs="Arial"/>
          <w:lang w:val="en-US"/>
        </w:rPr>
        <w:t xml:space="preserve">to deliver </w:t>
      </w:r>
      <w:r w:rsidRPr="00885E43">
        <w:rPr>
          <w:rFonts w:ascii="Arial" w:hAnsi="Arial" w:cs="Arial"/>
          <w:lang w:val="en-US"/>
        </w:rPr>
        <w:t xml:space="preserve">on key departmental priorities, for example signing of memoranda of understandings with the banking sector for issuance of smart ID cards and passports. </w:t>
      </w:r>
      <w:r w:rsidRPr="00885E43">
        <w:rPr>
          <w:rFonts w:ascii="Arial" w:hAnsi="Arial" w:cs="Arial"/>
          <w:lang w:val="en-US"/>
        </w:rPr>
        <w:tab/>
      </w:r>
    </w:p>
    <w:p w:rsidR="00BC59EB" w:rsidRPr="00F8134D" w:rsidRDefault="00BC59EB" w:rsidP="00BC59EB">
      <w:pPr>
        <w:tabs>
          <w:tab w:val="left" w:pos="432"/>
          <w:tab w:val="left" w:pos="864"/>
        </w:tabs>
        <w:spacing w:line="320" w:lineRule="exact"/>
        <w:ind w:left="450"/>
        <w:jc w:val="both"/>
        <w:rPr>
          <w:rFonts w:ascii="Arial" w:hAnsi="Arial" w:cs="Arial"/>
          <w:lang w:val="en-US"/>
        </w:rPr>
      </w:pPr>
    </w:p>
    <w:sectPr w:rsidR="00BC59EB" w:rsidRPr="00F8134D"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65" w:rsidRDefault="001B1365">
      <w:r>
        <w:separator/>
      </w:r>
    </w:p>
  </w:endnote>
  <w:endnote w:type="continuationSeparator" w:id="0">
    <w:p w:rsidR="001B1365" w:rsidRDefault="001B13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65" w:rsidRDefault="001B1365">
      <w:r>
        <w:separator/>
      </w:r>
    </w:p>
  </w:footnote>
  <w:footnote w:type="continuationSeparator" w:id="0">
    <w:p w:rsidR="001B1365" w:rsidRDefault="001B1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551">
      <w:rPr>
        <w:rStyle w:val="PageNumber"/>
        <w:noProof/>
      </w:rPr>
      <w:t>2</w:t>
    </w:r>
    <w:r>
      <w:rPr>
        <w:rStyle w:val="PageNumber"/>
      </w:rPr>
      <w:fldChar w:fldCharType="end"/>
    </w:r>
  </w:p>
  <w:p w:rsidR="007914E8" w:rsidRDefault="007914E8">
    <w:pPr>
      <w:pStyle w:val="Header"/>
    </w:pPr>
  </w:p>
  <w:p w:rsidR="00587BBF" w:rsidRDefault="00587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BE3"/>
    <w:multiLevelType w:val="hybridMultilevel"/>
    <w:tmpl w:val="5E984656"/>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40310D"/>
    <w:multiLevelType w:val="hybridMultilevel"/>
    <w:tmpl w:val="0362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141AFD"/>
    <w:multiLevelType w:val="hybridMultilevel"/>
    <w:tmpl w:val="479A6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504380"/>
    <w:multiLevelType w:val="hybridMultilevel"/>
    <w:tmpl w:val="9B02473E"/>
    <w:lvl w:ilvl="0" w:tplc="7C1A80D2">
      <w:start w:val="1"/>
      <w:numFmt w:val="lowerLetter"/>
      <w:lvlText w:val="(%1)"/>
      <w:lvlJc w:val="left"/>
      <w:pPr>
        <w:ind w:left="510" w:hanging="4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0"/>
  </w:num>
  <w:num w:numId="5">
    <w:abstractNumId w:val="4"/>
  </w:num>
  <w:num w:numId="6">
    <w:abstractNumId w:val="19"/>
  </w:num>
  <w:num w:numId="7">
    <w:abstractNumId w:val="30"/>
  </w:num>
  <w:num w:numId="8">
    <w:abstractNumId w:val="36"/>
  </w:num>
  <w:num w:numId="9">
    <w:abstractNumId w:val="11"/>
  </w:num>
  <w:num w:numId="10">
    <w:abstractNumId w:val="33"/>
  </w:num>
  <w:num w:numId="11">
    <w:abstractNumId w:val="15"/>
  </w:num>
  <w:num w:numId="12">
    <w:abstractNumId w:val="7"/>
  </w:num>
  <w:num w:numId="13">
    <w:abstractNumId w:val="24"/>
  </w:num>
  <w:num w:numId="14">
    <w:abstractNumId w:val="32"/>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1"/>
  </w:num>
  <w:num w:numId="23">
    <w:abstractNumId w:val="9"/>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8"/>
  </w:num>
  <w:num w:numId="31">
    <w:abstractNumId w:val="8"/>
  </w:num>
  <w:num w:numId="32">
    <w:abstractNumId w:val="13"/>
  </w:num>
  <w:num w:numId="33">
    <w:abstractNumId w:val="21"/>
  </w:num>
  <w:num w:numId="34">
    <w:abstractNumId w:val="35"/>
  </w:num>
  <w:num w:numId="35">
    <w:abstractNumId w:val="2"/>
  </w:num>
  <w:num w:numId="36">
    <w:abstractNumId w:val="12"/>
  </w:num>
  <w:num w:numId="37">
    <w:abstractNumId w:val="34"/>
  </w:num>
  <w:num w:numId="38">
    <w:abstractNumId w:val="2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830"/>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365"/>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097"/>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0AA"/>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1B1"/>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87BBF"/>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0600"/>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3A8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97E"/>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2C4B"/>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23EF"/>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551"/>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B7F78"/>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59EB"/>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5D5C"/>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27F1"/>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5ADC"/>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11"/>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587BBF"/>
    <w:pPr>
      <w:tabs>
        <w:tab w:val="center" w:pos="4513"/>
        <w:tab w:val="right" w:pos="9026"/>
      </w:tabs>
    </w:pPr>
  </w:style>
  <w:style w:type="character" w:customStyle="1" w:styleId="FooterChar">
    <w:name w:val="Footer Char"/>
    <w:link w:val="Footer"/>
    <w:rsid w:val="00587BBF"/>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2016-02-18T08:32:00Z</cp:lastPrinted>
  <dcterms:created xsi:type="dcterms:W3CDTF">2016-02-29T11:27:00Z</dcterms:created>
  <dcterms:modified xsi:type="dcterms:W3CDTF">2016-02-29T11:27:00Z</dcterms:modified>
</cp:coreProperties>
</file>