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1" w:name="_Hlk65832587"/>
      <w:bookmarkStart w:id="2" w:name="_Hlk55548705"/>
      <w:r w:rsidRPr="00C60A55">
        <w:rPr>
          <w:rFonts w:ascii="Arial" w:hAnsi="Arial" w:cs="Arial"/>
          <w:b/>
          <w:sz w:val="22"/>
          <w:szCs w:val="22"/>
        </w:rPr>
        <w:t xml:space="preserve">QUESTION NUMBER: </w:t>
      </w:r>
      <w:bookmarkStart w:id="3" w:name="_Hlk34208942"/>
      <w:bookmarkStart w:id="4" w:name="_Hlk49113957"/>
      <w:r w:rsidR="00E950AD">
        <w:rPr>
          <w:rFonts w:ascii="Arial" w:hAnsi="Arial" w:cs="Arial"/>
          <w:b/>
          <w:bCs/>
          <w:sz w:val="22"/>
          <w:lang w:val="en-GB"/>
        </w:rPr>
        <w:t>84</w:t>
      </w:r>
      <w:r w:rsidR="00A96A79">
        <w:rPr>
          <w:rFonts w:ascii="Arial" w:hAnsi="Arial" w:cs="Arial"/>
          <w:b/>
          <w:bCs/>
          <w:sz w:val="22"/>
          <w:lang w:val="en-GB"/>
        </w:rPr>
        <w:t>6</w:t>
      </w:r>
      <w:r w:rsidR="008D3E86">
        <w:rPr>
          <w:rFonts w:ascii="Arial" w:hAnsi="Arial" w:cs="Arial"/>
          <w:b/>
          <w:bCs/>
          <w:sz w:val="22"/>
          <w:lang w:val="en-GB"/>
        </w:rPr>
        <w:t xml:space="preserve"> </w:t>
      </w:r>
      <w:r w:rsidRPr="000147EE">
        <w:rPr>
          <w:rFonts w:ascii="Arial" w:hAnsi="Arial" w:cs="Arial"/>
          <w:b/>
          <w:sz w:val="22"/>
          <w:szCs w:val="22"/>
        </w:rPr>
        <w:t>[</w:t>
      </w:r>
      <w:r w:rsidR="00732A53" w:rsidRPr="00732A53">
        <w:rPr>
          <w:rFonts w:ascii="Arial" w:hAnsi="Arial" w:cs="Arial"/>
          <w:b/>
          <w:sz w:val="22"/>
          <w:szCs w:val="22"/>
        </w:rPr>
        <w:t>NW</w:t>
      </w:r>
      <w:r w:rsidR="005313B2">
        <w:rPr>
          <w:rFonts w:ascii="Arial" w:hAnsi="Arial" w:cs="Arial"/>
          <w:b/>
          <w:sz w:val="22"/>
          <w:szCs w:val="22"/>
        </w:rPr>
        <w:t>10</w:t>
      </w:r>
      <w:r w:rsidR="00A96A79">
        <w:rPr>
          <w:rFonts w:ascii="Arial" w:hAnsi="Arial" w:cs="Arial"/>
          <w:b/>
          <w:sz w:val="22"/>
          <w:szCs w:val="22"/>
        </w:rPr>
        <w:t>08</w:t>
      </w:r>
      <w:r w:rsidR="00732A53" w:rsidRPr="00732A53">
        <w:rPr>
          <w:rFonts w:ascii="Arial" w:hAnsi="Arial" w:cs="Arial"/>
          <w:b/>
          <w:sz w:val="22"/>
          <w:szCs w:val="22"/>
        </w:rPr>
        <w:t>E</w:t>
      </w:r>
      <w:r w:rsidRPr="000147EE">
        <w:rPr>
          <w:rFonts w:ascii="Arial" w:hAnsi="Arial" w:cs="Arial"/>
          <w:b/>
          <w:sz w:val="22"/>
          <w:szCs w:val="22"/>
        </w:rPr>
        <w:t>]</w:t>
      </w:r>
      <w:bookmarkEnd w:id="3"/>
    </w:p>
    <w:bookmarkEnd w:id="0"/>
    <w:bookmarkEnd w:id="1"/>
    <w:bookmarkEnd w:id="2"/>
    <w:bookmarkEnd w:id="4"/>
    <w:p w:rsidR="008E3D62" w:rsidRPr="00E950AD" w:rsidRDefault="008E3D62" w:rsidP="00E950AD">
      <w:pPr>
        <w:spacing w:line="360" w:lineRule="auto"/>
        <w:jc w:val="both"/>
        <w:rPr>
          <w:rFonts w:ascii="Arial" w:hAnsi="Arial" w:cs="Arial"/>
          <w:b/>
          <w:sz w:val="22"/>
          <w:szCs w:val="22"/>
        </w:rPr>
      </w:pPr>
    </w:p>
    <w:p w:rsidR="00A96A79" w:rsidRPr="00A96A79" w:rsidRDefault="00A96A79" w:rsidP="00A96A79">
      <w:pPr>
        <w:spacing w:before="100" w:beforeAutospacing="1" w:after="100" w:afterAutospacing="1" w:line="360" w:lineRule="auto"/>
        <w:ind w:left="720" w:hanging="720"/>
        <w:jc w:val="both"/>
        <w:outlineLvl w:val="0"/>
        <w:rPr>
          <w:rFonts w:ascii="Arial" w:hAnsi="Arial" w:cs="Arial"/>
          <w:b/>
          <w:bCs/>
          <w:sz w:val="22"/>
          <w:szCs w:val="22"/>
        </w:rPr>
      </w:pPr>
      <w:r w:rsidRPr="00A96A79">
        <w:rPr>
          <w:rFonts w:ascii="Arial" w:hAnsi="Arial" w:cs="Arial"/>
          <w:b/>
          <w:bCs/>
          <w:sz w:val="22"/>
          <w:szCs w:val="22"/>
        </w:rPr>
        <w:t>846.</w:t>
      </w:r>
      <w:r w:rsidRPr="00A96A79">
        <w:rPr>
          <w:rFonts w:ascii="Arial" w:hAnsi="Arial" w:cs="Arial"/>
          <w:b/>
          <w:bCs/>
          <w:sz w:val="22"/>
          <w:szCs w:val="22"/>
        </w:rPr>
        <w:tab/>
      </w:r>
      <w:proofErr w:type="spellStart"/>
      <w:r w:rsidRPr="00A96A79">
        <w:rPr>
          <w:rFonts w:ascii="Arial" w:hAnsi="Arial" w:cs="Arial"/>
          <w:b/>
          <w:bCs/>
          <w:sz w:val="22"/>
          <w:szCs w:val="22"/>
        </w:rPr>
        <w:t>Mrs</w:t>
      </w:r>
      <w:proofErr w:type="spellEnd"/>
      <w:r w:rsidRPr="00A96A79">
        <w:rPr>
          <w:rFonts w:ascii="Arial" w:hAnsi="Arial" w:cs="Arial"/>
          <w:b/>
          <w:bCs/>
          <w:sz w:val="22"/>
          <w:szCs w:val="22"/>
        </w:rPr>
        <w:t xml:space="preserve"> A </w:t>
      </w:r>
      <w:proofErr w:type="spellStart"/>
      <w:r w:rsidRPr="00A96A79">
        <w:rPr>
          <w:rFonts w:ascii="Arial" w:hAnsi="Arial" w:cs="Arial"/>
          <w:b/>
          <w:bCs/>
          <w:sz w:val="22"/>
          <w:szCs w:val="22"/>
        </w:rPr>
        <w:t>Steyn</w:t>
      </w:r>
      <w:proofErr w:type="spellEnd"/>
      <w:r w:rsidRPr="00A96A79">
        <w:rPr>
          <w:rFonts w:ascii="Arial" w:hAnsi="Arial" w:cs="Arial"/>
          <w:b/>
          <w:bCs/>
          <w:sz w:val="22"/>
          <w:szCs w:val="22"/>
        </w:rPr>
        <w:t xml:space="preserve"> (DA) to ask the Minister of Finance</w:t>
      </w:r>
      <w:r w:rsidR="00DC5DD9" w:rsidRPr="00A96A79">
        <w:rPr>
          <w:rFonts w:ascii="Arial" w:hAnsi="Arial" w:cs="Arial"/>
          <w:b/>
          <w:bCs/>
          <w:sz w:val="22"/>
          <w:szCs w:val="22"/>
        </w:rPr>
        <w:fldChar w:fldCharType="begin"/>
      </w:r>
      <w:r w:rsidRPr="00A96A79">
        <w:rPr>
          <w:rFonts w:ascii="Arial" w:hAnsi="Arial" w:cs="Arial"/>
          <w:sz w:val="22"/>
          <w:szCs w:val="22"/>
        </w:rPr>
        <w:instrText xml:space="preserve"> XE "</w:instrText>
      </w:r>
      <w:r w:rsidRPr="00A96A79">
        <w:rPr>
          <w:rFonts w:ascii="Arial" w:hAnsi="Arial" w:cs="Arial"/>
          <w:b/>
          <w:sz w:val="22"/>
          <w:szCs w:val="22"/>
        </w:rPr>
        <w:instrText>Finance</w:instrText>
      </w:r>
      <w:r w:rsidRPr="00A96A79">
        <w:rPr>
          <w:rFonts w:ascii="Arial" w:hAnsi="Arial" w:cs="Arial"/>
          <w:sz w:val="22"/>
          <w:szCs w:val="22"/>
        </w:rPr>
        <w:instrText xml:space="preserve">" </w:instrText>
      </w:r>
      <w:r w:rsidR="00DC5DD9" w:rsidRPr="00A96A79">
        <w:rPr>
          <w:rFonts w:ascii="Arial" w:hAnsi="Arial" w:cs="Arial"/>
          <w:b/>
          <w:bCs/>
          <w:sz w:val="22"/>
          <w:szCs w:val="22"/>
        </w:rPr>
        <w:fldChar w:fldCharType="end"/>
      </w:r>
      <w:r w:rsidRPr="00A96A79">
        <w:rPr>
          <w:rFonts w:ascii="Arial" w:hAnsi="Arial" w:cs="Arial"/>
          <w:b/>
          <w:bCs/>
          <w:sz w:val="22"/>
          <w:szCs w:val="22"/>
        </w:rPr>
        <w:t xml:space="preserve">: </w:t>
      </w:r>
    </w:p>
    <w:p w:rsidR="00A96A79" w:rsidRPr="00A96A79" w:rsidRDefault="00A96A79" w:rsidP="00A96A79">
      <w:pPr>
        <w:spacing w:before="100" w:beforeAutospacing="1" w:after="100" w:afterAutospacing="1" w:line="360" w:lineRule="auto"/>
        <w:ind w:left="720" w:hanging="720"/>
        <w:jc w:val="both"/>
        <w:outlineLvl w:val="0"/>
        <w:rPr>
          <w:rFonts w:ascii="Arial" w:hAnsi="Arial" w:cs="Arial"/>
          <w:sz w:val="22"/>
          <w:szCs w:val="22"/>
          <w:lang w:val="en-ZA"/>
        </w:rPr>
      </w:pPr>
      <w:r w:rsidRPr="00A96A79">
        <w:rPr>
          <w:rFonts w:ascii="Arial" w:hAnsi="Arial" w:cs="Arial"/>
          <w:sz w:val="22"/>
          <w:szCs w:val="22"/>
        </w:rPr>
        <w:t>(1)</w:t>
      </w:r>
      <w:r w:rsidRPr="00A96A79">
        <w:rPr>
          <w:rFonts w:ascii="Arial" w:hAnsi="Arial" w:cs="Arial"/>
          <w:sz w:val="22"/>
          <w:szCs w:val="22"/>
        </w:rPr>
        <w:tab/>
        <w:t xml:space="preserve">(a) What reasons did the Department of Agriculture, Land Reform and Rural Development (DALRRD) give to the National Treasury for spending only  49% or R1,3 billion of its allocated funds for its Agricultural Land Holding Account (ALHA), which was allocated R2,7 billion, by the end of the 2019-20 financial year when it requested a rollover of the unspent funds and (b) what proposed spending changes did the DALRRD provide in their application to the National Treasury for a rollover of funds that were originally meant for the ALHA; </w:t>
      </w:r>
    </w:p>
    <w:p w:rsidR="00A96A79" w:rsidRPr="00A96A79" w:rsidRDefault="00A96A79" w:rsidP="00A96A79">
      <w:pPr>
        <w:spacing w:before="100" w:beforeAutospacing="1" w:after="100" w:afterAutospacing="1" w:line="360" w:lineRule="auto"/>
        <w:ind w:left="720" w:hanging="720"/>
        <w:jc w:val="both"/>
        <w:outlineLvl w:val="0"/>
        <w:rPr>
          <w:rFonts w:ascii="Arial" w:hAnsi="Arial" w:cs="Arial"/>
          <w:sz w:val="22"/>
          <w:szCs w:val="22"/>
        </w:rPr>
      </w:pPr>
      <w:r w:rsidRPr="00A96A79">
        <w:rPr>
          <w:rFonts w:ascii="Arial" w:hAnsi="Arial" w:cs="Arial"/>
          <w:sz w:val="22"/>
          <w:szCs w:val="22"/>
        </w:rPr>
        <w:t>(2)</w:t>
      </w:r>
      <w:r w:rsidRPr="00A96A79">
        <w:rPr>
          <w:rFonts w:ascii="Arial" w:hAnsi="Arial" w:cs="Arial"/>
          <w:sz w:val="22"/>
          <w:szCs w:val="22"/>
        </w:rPr>
        <w:tab/>
        <w:t>whether the DALRRD provided the National Treasury with a schedule indicating the month(s) in which the expenditure is expected to be incurred; if not, what is the position in this regard; if so, what are the relevant details?</w:t>
      </w:r>
      <w:r w:rsidRPr="00A96A79">
        <w:rPr>
          <w:rFonts w:ascii="Arial" w:hAnsi="Arial" w:cs="Arial"/>
          <w:sz w:val="22"/>
          <w:szCs w:val="22"/>
        </w:rPr>
        <w:tab/>
      </w:r>
      <w:r w:rsidRPr="00A96A79">
        <w:rPr>
          <w:rFonts w:ascii="Arial" w:hAnsi="Arial" w:cs="Arial"/>
          <w:sz w:val="22"/>
          <w:szCs w:val="22"/>
        </w:rPr>
        <w:tab/>
      </w:r>
      <w:r w:rsidRPr="00A96A79">
        <w:rPr>
          <w:rFonts w:ascii="Arial" w:hAnsi="Arial" w:cs="Arial"/>
          <w:sz w:val="22"/>
          <w:szCs w:val="22"/>
        </w:rPr>
        <w:tab/>
      </w:r>
      <w:r w:rsidRPr="00A96A79">
        <w:rPr>
          <w:rFonts w:ascii="Arial" w:hAnsi="Arial" w:cs="Arial"/>
          <w:sz w:val="22"/>
          <w:szCs w:val="22"/>
        </w:rPr>
        <w:tab/>
      </w:r>
      <w:r w:rsidRPr="00A96A79">
        <w:rPr>
          <w:rFonts w:ascii="Arial" w:hAnsi="Arial" w:cs="Arial"/>
          <w:sz w:val="22"/>
          <w:szCs w:val="22"/>
        </w:rPr>
        <w:tab/>
      </w:r>
      <w:r w:rsidRPr="00A96A79">
        <w:rPr>
          <w:rFonts w:ascii="Arial" w:hAnsi="Arial" w:cs="Arial"/>
          <w:sz w:val="22"/>
          <w:szCs w:val="22"/>
        </w:rPr>
        <w:tab/>
      </w:r>
      <w:r w:rsidRPr="00A96A79">
        <w:rPr>
          <w:rFonts w:ascii="Arial" w:hAnsi="Arial" w:cs="Arial"/>
          <w:sz w:val="22"/>
          <w:szCs w:val="22"/>
        </w:rPr>
        <w:tab/>
      </w:r>
      <w:r w:rsidRPr="00A96A79">
        <w:rPr>
          <w:rFonts w:ascii="Arial" w:hAnsi="Arial" w:cs="Arial"/>
          <w:sz w:val="22"/>
          <w:szCs w:val="22"/>
        </w:rPr>
        <w:tab/>
      </w:r>
      <w:r w:rsidRPr="00A96A7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96A79">
        <w:rPr>
          <w:rFonts w:ascii="Arial" w:hAnsi="Arial" w:cs="Arial"/>
          <w:sz w:val="22"/>
          <w:szCs w:val="22"/>
        </w:rPr>
        <w:tab/>
        <w:t>NW1008E</w:t>
      </w:r>
    </w:p>
    <w:p w:rsidR="008E3D62" w:rsidRDefault="008E3D62" w:rsidP="00A96A79">
      <w:pPr>
        <w:spacing w:before="100" w:beforeAutospacing="1" w:after="100" w:afterAutospacing="1" w:line="360" w:lineRule="auto"/>
        <w:jc w:val="both"/>
        <w:outlineLvl w:val="0"/>
        <w:rPr>
          <w:rFonts w:ascii="Arial" w:hAnsi="Arial" w:cs="Arial"/>
          <w:sz w:val="22"/>
          <w:szCs w:val="22"/>
        </w:rPr>
      </w:pPr>
      <w:r w:rsidRPr="00A96A79">
        <w:rPr>
          <w:rFonts w:ascii="Arial" w:hAnsi="Arial" w:cs="Arial"/>
          <w:b/>
          <w:sz w:val="22"/>
          <w:szCs w:val="22"/>
        </w:rPr>
        <w:t>REPLY</w:t>
      </w:r>
      <w:r w:rsidRPr="00A96A79">
        <w:rPr>
          <w:rFonts w:ascii="Arial" w:hAnsi="Arial" w:cs="Arial"/>
          <w:sz w:val="22"/>
          <w:szCs w:val="22"/>
        </w:rPr>
        <w:t>:</w:t>
      </w:r>
    </w:p>
    <w:p w:rsidR="00DD687C" w:rsidRDefault="001553DF" w:rsidP="00DD687C">
      <w:pPr>
        <w:pStyle w:val="ListParagraph"/>
        <w:numPr>
          <w:ilvl w:val="0"/>
          <w:numId w:val="13"/>
        </w:numPr>
        <w:jc w:val="both"/>
        <w:outlineLvl w:val="0"/>
        <w:rPr>
          <w:rFonts w:ascii="Arial" w:hAnsi="Arial" w:cs="Arial"/>
          <w:sz w:val="22"/>
          <w:szCs w:val="22"/>
        </w:rPr>
      </w:pPr>
      <w:r w:rsidRPr="00DD687C">
        <w:rPr>
          <w:rFonts w:ascii="Arial" w:hAnsi="Arial" w:cs="Arial"/>
          <w:sz w:val="22"/>
          <w:szCs w:val="22"/>
        </w:rPr>
        <w:t>(a)</w:t>
      </w:r>
      <w:r w:rsidR="00DD687C">
        <w:rPr>
          <w:rFonts w:ascii="Arial" w:hAnsi="Arial" w:cs="Arial"/>
          <w:sz w:val="22"/>
          <w:szCs w:val="22"/>
        </w:rPr>
        <w:tab/>
      </w:r>
      <w:r w:rsidRPr="00DD687C">
        <w:rPr>
          <w:rFonts w:ascii="Arial" w:hAnsi="Arial" w:cs="Arial"/>
          <w:sz w:val="22"/>
          <w:szCs w:val="22"/>
        </w:rPr>
        <w:t>The DALRRD</w:t>
      </w:r>
      <w:r w:rsidR="00463692" w:rsidRPr="00DD687C">
        <w:rPr>
          <w:rFonts w:ascii="Arial" w:hAnsi="Arial" w:cs="Arial"/>
          <w:sz w:val="22"/>
          <w:szCs w:val="22"/>
        </w:rPr>
        <w:t>’s</w:t>
      </w:r>
      <w:r w:rsidR="00811C40" w:rsidRPr="00DD687C">
        <w:rPr>
          <w:rFonts w:ascii="Arial" w:hAnsi="Arial" w:cs="Arial"/>
          <w:sz w:val="22"/>
          <w:szCs w:val="22"/>
        </w:rPr>
        <w:t xml:space="preserve"> request</w:t>
      </w:r>
      <w:r w:rsidR="005C39D2" w:rsidRPr="00DD687C">
        <w:rPr>
          <w:rFonts w:ascii="Arial" w:hAnsi="Arial" w:cs="Arial"/>
          <w:sz w:val="22"/>
          <w:szCs w:val="22"/>
        </w:rPr>
        <w:t xml:space="preserve">ed </w:t>
      </w:r>
      <w:r w:rsidR="00784F72" w:rsidRPr="00DD687C">
        <w:rPr>
          <w:rFonts w:ascii="Arial" w:hAnsi="Arial" w:cs="Arial"/>
          <w:sz w:val="22"/>
          <w:szCs w:val="22"/>
        </w:rPr>
        <w:t xml:space="preserve">the </w:t>
      </w:r>
      <w:r w:rsidR="005C39D2" w:rsidRPr="00DD687C">
        <w:rPr>
          <w:rFonts w:ascii="Arial" w:hAnsi="Arial" w:cs="Arial"/>
          <w:sz w:val="22"/>
          <w:szCs w:val="22"/>
        </w:rPr>
        <w:t>National Treasury to retain the surplus from the</w:t>
      </w:r>
    </w:p>
    <w:p w:rsidR="00C11AD3" w:rsidRDefault="005C39D2" w:rsidP="00DD687C">
      <w:pPr>
        <w:pStyle w:val="ListParagraph"/>
        <w:ind w:left="1440"/>
        <w:jc w:val="both"/>
        <w:outlineLvl w:val="0"/>
        <w:rPr>
          <w:rFonts w:ascii="Arial" w:hAnsi="Arial" w:cs="Arial"/>
          <w:sz w:val="22"/>
          <w:szCs w:val="22"/>
        </w:rPr>
      </w:pPr>
      <w:proofErr w:type="gramStart"/>
      <w:r w:rsidRPr="00DD687C">
        <w:rPr>
          <w:rFonts w:ascii="Arial" w:hAnsi="Arial" w:cs="Arial"/>
          <w:sz w:val="22"/>
          <w:szCs w:val="22"/>
        </w:rPr>
        <w:t>2019/20 financial year due to underspending on a number of projects for the following reasons.</w:t>
      </w:r>
      <w:proofErr w:type="gramEnd"/>
      <w:r w:rsidR="00811C40" w:rsidRPr="00DD687C">
        <w:rPr>
          <w:rFonts w:ascii="Arial" w:hAnsi="Arial" w:cs="Arial"/>
          <w:sz w:val="22"/>
          <w:szCs w:val="22"/>
        </w:rPr>
        <w:t xml:space="preserve"> </w:t>
      </w:r>
    </w:p>
    <w:p w:rsidR="00DD687C" w:rsidRPr="00DD687C" w:rsidRDefault="00DD687C" w:rsidP="00DD687C">
      <w:pPr>
        <w:pStyle w:val="ListParagraph"/>
        <w:ind w:left="1440"/>
        <w:jc w:val="both"/>
        <w:outlineLvl w:val="0"/>
        <w:rPr>
          <w:rFonts w:ascii="Arial" w:hAnsi="Arial" w:cs="Arial"/>
          <w:sz w:val="22"/>
          <w:szCs w:val="22"/>
        </w:rPr>
      </w:pPr>
    </w:p>
    <w:p w:rsidR="00811C40" w:rsidRDefault="00463692" w:rsidP="00DD687C">
      <w:pPr>
        <w:pStyle w:val="ListParagraph"/>
        <w:numPr>
          <w:ilvl w:val="0"/>
          <w:numId w:val="21"/>
        </w:numPr>
        <w:jc w:val="both"/>
        <w:outlineLvl w:val="0"/>
        <w:rPr>
          <w:rFonts w:ascii="Arial" w:hAnsi="Arial" w:cs="Arial"/>
          <w:sz w:val="22"/>
          <w:szCs w:val="22"/>
        </w:rPr>
      </w:pPr>
      <w:proofErr w:type="spellStart"/>
      <w:r w:rsidRPr="00DD687C">
        <w:rPr>
          <w:rFonts w:ascii="Arial" w:hAnsi="Arial" w:cs="Arial"/>
          <w:i/>
          <w:sz w:val="22"/>
          <w:szCs w:val="22"/>
        </w:rPr>
        <w:t>Recapitalisation</w:t>
      </w:r>
      <w:proofErr w:type="spellEnd"/>
      <w:r w:rsidRPr="00DD687C">
        <w:rPr>
          <w:rFonts w:ascii="Arial" w:hAnsi="Arial" w:cs="Arial"/>
          <w:i/>
          <w:sz w:val="22"/>
          <w:szCs w:val="22"/>
        </w:rPr>
        <w:t xml:space="preserve"> and </w:t>
      </w:r>
      <w:r w:rsidR="0094404D" w:rsidRPr="00DD687C">
        <w:rPr>
          <w:rFonts w:ascii="Arial" w:hAnsi="Arial" w:cs="Arial"/>
          <w:i/>
          <w:sz w:val="22"/>
          <w:szCs w:val="22"/>
        </w:rPr>
        <w:t>d</w:t>
      </w:r>
      <w:r w:rsidRPr="00DD687C">
        <w:rPr>
          <w:rFonts w:ascii="Arial" w:hAnsi="Arial" w:cs="Arial"/>
          <w:i/>
          <w:sz w:val="22"/>
          <w:szCs w:val="22"/>
        </w:rPr>
        <w:t>evelopment projects</w:t>
      </w:r>
      <w:r w:rsidRPr="00DD687C">
        <w:rPr>
          <w:rFonts w:ascii="Arial" w:hAnsi="Arial" w:cs="Arial"/>
          <w:color w:val="000000"/>
          <w:sz w:val="22"/>
          <w:szCs w:val="22"/>
        </w:rPr>
        <w:t xml:space="preserve">: </w:t>
      </w:r>
      <w:r w:rsidR="00811C40" w:rsidRPr="00DD687C">
        <w:rPr>
          <w:rFonts w:ascii="Arial" w:hAnsi="Arial" w:cs="Arial"/>
          <w:color w:val="000000"/>
          <w:sz w:val="22"/>
          <w:szCs w:val="22"/>
        </w:rPr>
        <w:t>Non</w:t>
      </w:r>
      <w:r w:rsidR="00BE62C8" w:rsidRPr="00DD687C">
        <w:rPr>
          <w:rFonts w:ascii="Arial" w:hAnsi="Arial" w:cs="Arial"/>
          <w:color w:val="000000"/>
          <w:sz w:val="22"/>
          <w:szCs w:val="22"/>
        </w:rPr>
        <w:t>-</w:t>
      </w:r>
      <w:r w:rsidR="00811C40" w:rsidRPr="00DD687C">
        <w:rPr>
          <w:rFonts w:ascii="Arial" w:hAnsi="Arial" w:cs="Arial"/>
          <w:color w:val="000000"/>
          <w:sz w:val="22"/>
          <w:szCs w:val="22"/>
        </w:rPr>
        <w:t xml:space="preserve"> </w:t>
      </w:r>
      <w:r w:rsidR="00BE62C8" w:rsidRPr="00DD687C">
        <w:rPr>
          <w:rFonts w:ascii="Arial" w:hAnsi="Arial" w:cs="Arial"/>
          <w:color w:val="000000"/>
          <w:sz w:val="22"/>
          <w:szCs w:val="22"/>
        </w:rPr>
        <w:t>A</w:t>
      </w:r>
      <w:r w:rsidR="00811C40" w:rsidRPr="00DD687C">
        <w:rPr>
          <w:rFonts w:ascii="Arial" w:hAnsi="Arial" w:cs="Arial"/>
          <w:color w:val="000000"/>
          <w:sz w:val="22"/>
          <w:szCs w:val="22"/>
        </w:rPr>
        <w:t>ccountability of previous disbursements</w:t>
      </w:r>
      <w:r w:rsidR="0015280F" w:rsidRPr="00DD687C">
        <w:rPr>
          <w:rFonts w:ascii="Arial" w:hAnsi="Arial" w:cs="Arial"/>
          <w:sz w:val="22"/>
          <w:szCs w:val="22"/>
        </w:rPr>
        <w:t>.</w:t>
      </w:r>
    </w:p>
    <w:p w:rsidR="00DD687C" w:rsidRPr="00DD687C" w:rsidRDefault="00DD687C" w:rsidP="00DD687C">
      <w:pPr>
        <w:pStyle w:val="ListParagraph"/>
        <w:ind w:left="1800"/>
        <w:jc w:val="both"/>
        <w:outlineLvl w:val="0"/>
        <w:rPr>
          <w:rFonts w:ascii="Arial" w:hAnsi="Arial" w:cs="Arial"/>
          <w:sz w:val="22"/>
          <w:szCs w:val="22"/>
        </w:rPr>
      </w:pPr>
    </w:p>
    <w:p w:rsidR="00811C40" w:rsidRDefault="00811C40" w:rsidP="00DD687C">
      <w:pPr>
        <w:pStyle w:val="ListParagraph"/>
        <w:numPr>
          <w:ilvl w:val="0"/>
          <w:numId w:val="21"/>
        </w:numPr>
        <w:jc w:val="both"/>
        <w:outlineLvl w:val="0"/>
        <w:rPr>
          <w:rFonts w:ascii="Arial" w:hAnsi="Arial" w:cs="Arial"/>
          <w:sz w:val="22"/>
          <w:szCs w:val="22"/>
        </w:rPr>
      </w:pPr>
      <w:r w:rsidRPr="005C39D2">
        <w:rPr>
          <w:rFonts w:ascii="Arial" w:hAnsi="Arial" w:cs="Arial"/>
          <w:i/>
          <w:sz w:val="22"/>
          <w:szCs w:val="22"/>
        </w:rPr>
        <w:t>Guarantees on Land Acquisition</w:t>
      </w:r>
      <w:r w:rsidRPr="005C39D2">
        <w:rPr>
          <w:rFonts w:ascii="Arial" w:hAnsi="Arial" w:cs="Arial"/>
          <w:sz w:val="22"/>
          <w:szCs w:val="22"/>
        </w:rPr>
        <w:t xml:space="preserve">: </w:t>
      </w:r>
      <w:r w:rsidR="00463692" w:rsidRPr="005C39D2">
        <w:rPr>
          <w:rFonts w:ascii="Arial" w:hAnsi="Arial" w:cs="Arial"/>
          <w:sz w:val="22"/>
          <w:szCs w:val="22"/>
        </w:rPr>
        <w:t xml:space="preserve">The </w:t>
      </w:r>
      <w:r w:rsidR="005C39D2" w:rsidRPr="005C39D2">
        <w:rPr>
          <w:rFonts w:ascii="Arial" w:hAnsi="Arial" w:cs="Arial"/>
          <w:sz w:val="22"/>
          <w:szCs w:val="22"/>
        </w:rPr>
        <w:t xml:space="preserve">DALRRD </w:t>
      </w:r>
      <w:r w:rsidR="00463692" w:rsidRPr="005C39D2">
        <w:rPr>
          <w:rFonts w:ascii="Arial" w:hAnsi="Arial" w:cs="Arial"/>
          <w:sz w:val="22"/>
          <w:szCs w:val="22"/>
        </w:rPr>
        <w:t xml:space="preserve">indicated that </w:t>
      </w:r>
      <w:r w:rsidR="001553DF" w:rsidRPr="005C39D2">
        <w:rPr>
          <w:rFonts w:ascii="Arial" w:hAnsi="Arial" w:cs="Arial"/>
          <w:sz w:val="22"/>
          <w:szCs w:val="22"/>
        </w:rPr>
        <w:t>there w</w:t>
      </w:r>
      <w:r w:rsidR="00463692" w:rsidRPr="005C39D2">
        <w:rPr>
          <w:rFonts w:ascii="Arial" w:hAnsi="Arial" w:cs="Arial"/>
          <w:sz w:val="22"/>
          <w:szCs w:val="22"/>
        </w:rPr>
        <w:t>ere</w:t>
      </w:r>
      <w:r w:rsidR="001553DF" w:rsidRPr="005C39D2">
        <w:rPr>
          <w:rFonts w:ascii="Arial" w:hAnsi="Arial" w:cs="Arial"/>
          <w:sz w:val="22"/>
          <w:szCs w:val="22"/>
        </w:rPr>
        <w:t xml:space="preserve"> lengthy negotiations on some projects between seller</w:t>
      </w:r>
      <w:r w:rsidR="007E23CF">
        <w:rPr>
          <w:rFonts w:ascii="Arial" w:hAnsi="Arial" w:cs="Arial"/>
          <w:sz w:val="22"/>
          <w:szCs w:val="22"/>
        </w:rPr>
        <w:t>s</w:t>
      </w:r>
      <w:r w:rsidR="0094404D">
        <w:rPr>
          <w:rFonts w:ascii="Arial" w:hAnsi="Arial" w:cs="Arial"/>
          <w:sz w:val="22"/>
          <w:szCs w:val="22"/>
        </w:rPr>
        <w:t xml:space="preserve"> of land</w:t>
      </w:r>
      <w:r w:rsidR="001553DF" w:rsidRPr="005C39D2">
        <w:rPr>
          <w:rFonts w:ascii="Arial" w:hAnsi="Arial" w:cs="Arial"/>
          <w:sz w:val="22"/>
          <w:szCs w:val="22"/>
        </w:rPr>
        <w:t xml:space="preserve"> and</w:t>
      </w:r>
      <w:r w:rsidR="0094404D">
        <w:rPr>
          <w:rFonts w:ascii="Arial" w:hAnsi="Arial" w:cs="Arial"/>
          <w:sz w:val="22"/>
          <w:szCs w:val="22"/>
        </w:rPr>
        <w:t xml:space="preserve"> the</w:t>
      </w:r>
      <w:r w:rsidR="001553DF" w:rsidRPr="005C39D2">
        <w:rPr>
          <w:rFonts w:ascii="Arial" w:hAnsi="Arial" w:cs="Arial"/>
          <w:sz w:val="22"/>
          <w:szCs w:val="22"/>
        </w:rPr>
        <w:t xml:space="preserve"> department which concluded </w:t>
      </w:r>
      <w:r w:rsidR="0094404D">
        <w:rPr>
          <w:rFonts w:ascii="Arial" w:hAnsi="Arial" w:cs="Arial"/>
          <w:sz w:val="22"/>
          <w:szCs w:val="22"/>
        </w:rPr>
        <w:t xml:space="preserve">at the </w:t>
      </w:r>
      <w:r w:rsidR="001553DF" w:rsidRPr="005C39D2">
        <w:rPr>
          <w:rFonts w:ascii="Arial" w:hAnsi="Arial" w:cs="Arial"/>
          <w:sz w:val="22"/>
          <w:szCs w:val="22"/>
        </w:rPr>
        <w:t>end of quarter 3 and beginning of quarter 4</w:t>
      </w:r>
      <w:r w:rsidR="007E23CF">
        <w:rPr>
          <w:rFonts w:ascii="Arial" w:hAnsi="Arial" w:cs="Arial"/>
          <w:sz w:val="22"/>
          <w:szCs w:val="22"/>
        </w:rPr>
        <w:t xml:space="preserve">. After conclusion of </w:t>
      </w:r>
      <w:r w:rsidR="001553DF" w:rsidRPr="005C39D2">
        <w:rPr>
          <w:rFonts w:ascii="Arial" w:hAnsi="Arial" w:cs="Arial"/>
          <w:sz w:val="22"/>
          <w:szCs w:val="22"/>
        </w:rPr>
        <w:t>agreement</w:t>
      </w:r>
      <w:r w:rsidR="007E23CF">
        <w:rPr>
          <w:rFonts w:ascii="Arial" w:hAnsi="Arial" w:cs="Arial"/>
          <w:sz w:val="22"/>
          <w:szCs w:val="22"/>
        </w:rPr>
        <w:t>s</w:t>
      </w:r>
      <w:r w:rsidR="0094404D">
        <w:rPr>
          <w:rFonts w:ascii="Arial" w:hAnsi="Arial" w:cs="Arial"/>
          <w:sz w:val="22"/>
          <w:szCs w:val="22"/>
        </w:rPr>
        <w:t xml:space="preserve">, </w:t>
      </w:r>
      <w:proofErr w:type="gramStart"/>
      <w:r w:rsidR="0094404D">
        <w:rPr>
          <w:rFonts w:ascii="Arial" w:hAnsi="Arial" w:cs="Arial"/>
          <w:sz w:val="22"/>
          <w:szCs w:val="22"/>
        </w:rPr>
        <w:t xml:space="preserve">the </w:t>
      </w:r>
      <w:r w:rsidR="001553DF" w:rsidRPr="005C39D2">
        <w:rPr>
          <w:rFonts w:ascii="Arial" w:hAnsi="Arial" w:cs="Arial"/>
          <w:sz w:val="22"/>
          <w:szCs w:val="22"/>
        </w:rPr>
        <w:t xml:space="preserve"> projects</w:t>
      </w:r>
      <w:proofErr w:type="gramEnd"/>
      <w:r w:rsidR="001553DF" w:rsidRPr="005C39D2">
        <w:rPr>
          <w:rFonts w:ascii="Arial" w:hAnsi="Arial" w:cs="Arial"/>
          <w:sz w:val="22"/>
          <w:szCs w:val="22"/>
        </w:rPr>
        <w:t xml:space="preserve"> ha</w:t>
      </w:r>
      <w:r w:rsidR="0094404D">
        <w:rPr>
          <w:rFonts w:ascii="Arial" w:hAnsi="Arial" w:cs="Arial"/>
          <w:sz w:val="22"/>
          <w:szCs w:val="22"/>
        </w:rPr>
        <w:t>d</w:t>
      </w:r>
      <w:r w:rsidR="001553DF" w:rsidRPr="005C39D2">
        <w:rPr>
          <w:rFonts w:ascii="Arial" w:hAnsi="Arial" w:cs="Arial"/>
          <w:sz w:val="22"/>
          <w:szCs w:val="22"/>
        </w:rPr>
        <w:t xml:space="preserve"> to go for conveyancing and registration process by Deeds Office</w:t>
      </w:r>
      <w:r w:rsidR="00C11AD3">
        <w:rPr>
          <w:rFonts w:ascii="Arial" w:hAnsi="Arial" w:cs="Arial"/>
          <w:sz w:val="22"/>
          <w:szCs w:val="22"/>
        </w:rPr>
        <w:t xml:space="preserve"> which delayed the payments</w:t>
      </w:r>
      <w:r w:rsidR="0015280F" w:rsidRPr="005C39D2">
        <w:rPr>
          <w:rFonts w:ascii="Arial" w:hAnsi="Arial" w:cs="Arial"/>
          <w:sz w:val="22"/>
          <w:szCs w:val="22"/>
        </w:rPr>
        <w:t>.</w:t>
      </w:r>
    </w:p>
    <w:p w:rsidR="00DD687C" w:rsidRPr="00DD687C" w:rsidRDefault="00DD687C" w:rsidP="00DD687C">
      <w:pPr>
        <w:pStyle w:val="ListParagraph"/>
        <w:rPr>
          <w:rFonts w:ascii="Arial" w:hAnsi="Arial" w:cs="Arial"/>
          <w:sz w:val="22"/>
          <w:szCs w:val="22"/>
        </w:rPr>
      </w:pPr>
    </w:p>
    <w:p w:rsidR="00811C40" w:rsidRDefault="00C11AD3" w:rsidP="00DD687C">
      <w:pPr>
        <w:pStyle w:val="ListParagraph"/>
        <w:numPr>
          <w:ilvl w:val="0"/>
          <w:numId w:val="21"/>
        </w:numPr>
        <w:jc w:val="both"/>
        <w:outlineLvl w:val="0"/>
        <w:rPr>
          <w:rFonts w:ascii="Arial" w:hAnsi="Arial" w:cs="Arial"/>
          <w:sz w:val="22"/>
          <w:szCs w:val="22"/>
        </w:rPr>
      </w:pPr>
      <w:r w:rsidRPr="00C11AD3">
        <w:rPr>
          <w:rFonts w:ascii="Arial" w:hAnsi="Arial" w:cs="Arial"/>
          <w:i/>
          <w:sz w:val="22"/>
          <w:szCs w:val="22"/>
        </w:rPr>
        <w:t>C</w:t>
      </w:r>
      <w:r w:rsidR="001553DF" w:rsidRPr="00C11AD3">
        <w:rPr>
          <w:rFonts w:ascii="Arial" w:hAnsi="Arial" w:cs="Arial"/>
          <w:i/>
          <w:sz w:val="22"/>
          <w:szCs w:val="22"/>
        </w:rPr>
        <w:t>ontracted one Hectare one Household projects</w:t>
      </w:r>
      <w:r w:rsidR="00811C40" w:rsidRPr="00C11AD3">
        <w:rPr>
          <w:rFonts w:ascii="Arial" w:hAnsi="Arial" w:cs="Arial"/>
          <w:sz w:val="22"/>
          <w:szCs w:val="22"/>
        </w:rPr>
        <w:t>:</w:t>
      </w:r>
      <w:r w:rsidR="001553DF" w:rsidRPr="00C11AD3">
        <w:rPr>
          <w:rFonts w:ascii="Arial" w:hAnsi="Arial" w:cs="Arial"/>
          <w:sz w:val="22"/>
          <w:szCs w:val="22"/>
        </w:rPr>
        <w:t xml:space="preserve"> w</w:t>
      </w:r>
      <w:r w:rsidR="00811C40" w:rsidRPr="00C11AD3">
        <w:rPr>
          <w:rFonts w:ascii="Arial" w:hAnsi="Arial" w:cs="Arial"/>
          <w:sz w:val="22"/>
          <w:szCs w:val="22"/>
        </w:rPr>
        <w:t xml:space="preserve">ere </w:t>
      </w:r>
      <w:r w:rsidR="001553DF" w:rsidRPr="00C11AD3">
        <w:rPr>
          <w:rFonts w:ascii="Arial" w:hAnsi="Arial" w:cs="Arial"/>
          <w:sz w:val="22"/>
          <w:szCs w:val="22"/>
        </w:rPr>
        <w:t>not completed due to slow mobilization of the projects due to lengthy stakeholder consultation process</w:t>
      </w:r>
      <w:r w:rsidR="00784F72">
        <w:rPr>
          <w:rFonts w:ascii="Arial" w:hAnsi="Arial" w:cs="Arial"/>
          <w:sz w:val="22"/>
          <w:szCs w:val="22"/>
        </w:rPr>
        <w:t>,</w:t>
      </w:r>
      <w:r w:rsidR="001553DF" w:rsidRPr="00C11AD3">
        <w:rPr>
          <w:rFonts w:ascii="Arial" w:hAnsi="Arial" w:cs="Arial"/>
          <w:sz w:val="22"/>
          <w:szCs w:val="22"/>
        </w:rPr>
        <w:t xml:space="preserve"> </w:t>
      </w:r>
      <w:r w:rsidR="00811C40" w:rsidRPr="00C11AD3">
        <w:rPr>
          <w:rFonts w:ascii="Arial" w:hAnsi="Arial" w:cs="Arial"/>
          <w:sz w:val="22"/>
          <w:szCs w:val="22"/>
        </w:rPr>
        <w:t xml:space="preserve">and </w:t>
      </w:r>
      <w:r w:rsidR="001553DF" w:rsidRPr="00C11AD3">
        <w:rPr>
          <w:rFonts w:ascii="Arial" w:hAnsi="Arial" w:cs="Arial"/>
          <w:sz w:val="22"/>
          <w:szCs w:val="22"/>
        </w:rPr>
        <w:t>disputes amongst beneficiaries</w:t>
      </w:r>
      <w:r w:rsidR="0015280F" w:rsidRPr="00C11AD3">
        <w:rPr>
          <w:rFonts w:ascii="Arial" w:hAnsi="Arial" w:cs="Arial"/>
          <w:sz w:val="22"/>
          <w:szCs w:val="22"/>
        </w:rPr>
        <w:t xml:space="preserve">. </w:t>
      </w:r>
    </w:p>
    <w:p w:rsidR="00DD687C" w:rsidRDefault="00DD687C" w:rsidP="00DD687C">
      <w:pPr>
        <w:pStyle w:val="ListParagraph"/>
        <w:ind w:left="1800"/>
        <w:jc w:val="both"/>
        <w:outlineLvl w:val="0"/>
        <w:rPr>
          <w:rFonts w:ascii="Arial" w:hAnsi="Arial" w:cs="Arial"/>
          <w:sz w:val="22"/>
          <w:szCs w:val="22"/>
        </w:rPr>
      </w:pPr>
    </w:p>
    <w:p w:rsidR="0042131F" w:rsidRPr="0086781D" w:rsidRDefault="001553DF" w:rsidP="00DD687C">
      <w:pPr>
        <w:pStyle w:val="ListParagraph"/>
        <w:numPr>
          <w:ilvl w:val="0"/>
          <w:numId w:val="21"/>
        </w:numPr>
        <w:jc w:val="both"/>
        <w:outlineLvl w:val="0"/>
        <w:rPr>
          <w:rFonts w:ascii="Arial" w:hAnsi="Arial" w:cs="Arial"/>
          <w:sz w:val="22"/>
          <w:szCs w:val="22"/>
        </w:rPr>
      </w:pPr>
      <w:r w:rsidRPr="00DD687C">
        <w:rPr>
          <w:rFonts w:ascii="Arial" w:hAnsi="Arial" w:cs="Arial"/>
          <w:i/>
          <w:sz w:val="22"/>
          <w:szCs w:val="22"/>
        </w:rPr>
        <w:t>Contracted</w:t>
      </w:r>
      <w:r w:rsidRPr="00C11AD3">
        <w:rPr>
          <w:rFonts w:ascii="Arial" w:hAnsi="Arial" w:cs="Arial"/>
          <w:i/>
          <w:color w:val="000000"/>
          <w:sz w:val="22"/>
          <w:szCs w:val="22"/>
        </w:rPr>
        <w:t xml:space="preserve"> Land Development Support:</w:t>
      </w:r>
      <w:r w:rsidRPr="00C11AD3">
        <w:rPr>
          <w:rFonts w:ascii="Arial" w:hAnsi="Arial" w:cs="Arial"/>
          <w:color w:val="000000"/>
          <w:sz w:val="22"/>
          <w:szCs w:val="22"/>
        </w:rPr>
        <w:t xml:space="preserve"> The </w:t>
      </w:r>
      <w:r w:rsidR="00C11AD3" w:rsidRPr="00C11AD3">
        <w:rPr>
          <w:rFonts w:ascii="Arial" w:hAnsi="Arial" w:cs="Arial"/>
          <w:color w:val="000000"/>
          <w:sz w:val="22"/>
          <w:szCs w:val="22"/>
        </w:rPr>
        <w:t xml:space="preserve">DALRRD </w:t>
      </w:r>
      <w:r w:rsidRPr="00C11AD3">
        <w:rPr>
          <w:rFonts w:ascii="Arial" w:hAnsi="Arial" w:cs="Arial"/>
          <w:color w:val="000000"/>
          <w:sz w:val="22"/>
          <w:szCs w:val="22"/>
        </w:rPr>
        <w:t xml:space="preserve">indicated that they had to request Section 66 and Section 72 approvals </w:t>
      </w:r>
      <w:r w:rsidR="0042131F" w:rsidRPr="00C11AD3">
        <w:rPr>
          <w:rFonts w:ascii="Arial" w:hAnsi="Arial" w:cs="Arial"/>
          <w:color w:val="000000"/>
          <w:sz w:val="22"/>
          <w:szCs w:val="22"/>
        </w:rPr>
        <w:t>(</w:t>
      </w:r>
      <w:r w:rsidR="00C33A0A" w:rsidRPr="00C11AD3">
        <w:rPr>
          <w:rFonts w:ascii="Arial" w:hAnsi="Arial" w:cs="Arial"/>
          <w:color w:val="000000"/>
          <w:sz w:val="22"/>
          <w:szCs w:val="22"/>
        </w:rPr>
        <w:t xml:space="preserve">PFMA </w:t>
      </w:r>
      <w:r w:rsidR="0042131F" w:rsidRPr="00C11AD3">
        <w:rPr>
          <w:rFonts w:ascii="Arial" w:hAnsi="Arial" w:cs="Arial"/>
          <w:color w:val="000000"/>
          <w:sz w:val="22"/>
          <w:szCs w:val="22"/>
        </w:rPr>
        <w:t xml:space="preserve">restrictions on borrowing, guarantees and other commitments) </w:t>
      </w:r>
      <w:r w:rsidRPr="00C11AD3">
        <w:rPr>
          <w:rFonts w:ascii="Arial" w:hAnsi="Arial" w:cs="Arial"/>
          <w:color w:val="000000"/>
          <w:sz w:val="22"/>
          <w:szCs w:val="22"/>
        </w:rPr>
        <w:t xml:space="preserve">from </w:t>
      </w:r>
      <w:r w:rsidR="00784F72">
        <w:rPr>
          <w:rFonts w:ascii="Arial" w:hAnsi="Arial" w:cs="Arial"/>
          <w:color w:val="000000"/>
          <w:sz w:val="22"/>
          <w:szCs w:val="22"/>
        </w:rPr>
        <w:t xml:space="preserve">the </w:t>
      </w:r>
      <w:r w:rsidR="0042131F" w:rsidRPr="00C11AD3">
        <w:rPr>
          <w:rFonts w:ascii="Arial" w:hAnsi="Arial" w:cs="Arial"/>
          <w:color w:val="000000"/>
          <w:sz w:val="22"/>
          <w:szCs w:val="22"/>
        </w:rPr>
        <w:t xml:space="preserve">National </w:t>
      </w:r>
      <w:r w:rsidRPr="00C11AD3">
        <w:rPr>
          <w:rFonts w:ascii="Arial" w:hAnsi="Arial" w:cs="Arial"/>
          <w:color w:val="000000"/>
          <w:sz w:val="22"/>
          <w:szCs w:val="22"/>
        </w:rPr>
        <w:t xml:space="preserve">Treasury to </w:t>
      </w:r>
      <w:r w:rsidRPr="00C11AD3">
        <w:rPr>
          <w:rFonts w:ascii="Arial" w:hAnsi="Arial" w:cs="Arial"/>
          <w:color w:val="000000"/>
          <w:sz w:val="22"/>
          <w:szCs w:val="22"/>
        </w:rPr>
        <w:lastRenderedPageBreak/>
        <w:t>enter into contracts with ABSA and FNB for the purpose of mitigati</w:t>
      </w:r>
      <w:r w:rsidR="0094404D">
        <w:rPr>
          <w:rFonts w:ascii="Arial" w:hAnsi="Arial" w:cs="Arial"/>
          <w:color w:val="000000"/>
          <w:sz w:val="22"/>
          <w:szCs w:val="22"/>
        </w:rPr>
        <w:t>ng</w:t>
      </w:r>
      <w:r w:rsidR="0042131F" w:rsidRPr="00C11AD3">
        <w:rPr>
          <w:rFonts w:ascii="Arial" w:hAnsi="Arial" w:cs="Arial"/>
          <w:color w:val="000000"/>
          <w:sz w:val="22"/>
          <w:szCs w:val="22"/>
        </w:rPr>
        <w:t xml:space="preserve"> </w:t>
      </w:r>
      <w:r w:rsidRPr="00C11AD3">
        <w:rPr>
          <w:rFonts w:ascii="Arial" w:hAnsi="Arial" w:cs="Arial"/>
          <w:color w:val="000000"/>
          <w:sz w:val="22"/>
          <w:szCs w:val="22"/>
        </w:rPr>
        <w:t xml:space="preserve">the risk of farmers misusing the funds as experienced in the past with the </w:t>
      </w:r>
      <w:r w:rsidR="00C11AD3" w:rsidRPr="00C11AD3">
        <w:rPr>
          <w:rFonts w:ascii="Arial" w:hAnsi="Arial" w:cs="Arial"/>
          <w:color w:val="000000"/>
          <w:sz w:val="22"/>
          <w:szCs w:val="22"/>
        </w:rPr>
        <w:t xml:space="preserve">Recapitalization and Development </w:t>
      </w:r>
      <w:proofErr w:type="spellStart"/>
      <w:r w:rsidR="00C11AD3" w:rsidRPr="00C11AD3">
        <w:rPr>
          <w:rFonts w:ascii="Arial" w:hAnsi="Arial" w:cs="Arial"/>
          <w:color w:val="000000"/>
          <w:sz w:val="22"/>
          <w:szCs w:val="22"/>
        </w:rPr>
        <w:t>Programme</w:t>
      </w:r>
      <w:proofErr w:type="spellEnd"/>
      <w:r w:rsidR="00C11AD3" w:rsidRPr="00C11AD3">
        <w:rPr>
          <w:rFonts w:ascii="Arial" w:hAnsi="Arial" w:cs="Arial"/>
          <w:color w:val="000000"/>
          <w:sz w:val="22"/>
          <w:szCs w:val="22"/>
        </w:rPr>
        <w:t xml:space="preserve"> (RADP) </w:t>
      </w:r>
      <w:r w:rsidRPr="00C11AD3">
        <w:rPr>
          <w:rFonts w:ascii="Arial" w:hAnsi="Arial" w:cs="Arial"/>
          <w:color w:val="000000"/>
          <w:sz w:val="22"/>
          <w:szCs w:val="22"/>
        </w:rPr>
        <w:t xml:space="preserve">program. The approval was granted during December 2019.  A team of </w:t>
      </w:r>
      <w:r w:rsidR="0086781D">
        <w:rPr>
          <w:rFonts w:ascii="Arial" w:hAnsi="Arial" w:cs="Arial"/>
          <w:color w:val="000000"/>
          <w:sz w:val="22"/>
          <w:szCs w:val="22"/>
        </w:rPr>
        <w:t>a</w:t>
      </w:r>
      <w:r w:rsidRPr="00C11AD3">
        <w:rPr>
          <w:rFonts w:ascii="Arial" w:hAnsi="Arial" w:cs="Arial"/>
          <w:color w:val="000000"/>
          <w:sz w:val="22"/>
          <w:szCs w:val="22"/>
        </w:rPr>
        <w:t xml:space="preserve">gricultural </w:t>
      </w:r>
      <w:r w:rsidR="0086781D">
        <w:rPr>
          <w:rFonts w:ascii="Arial" w:hAnsi="Arial" w:cs="Arial"/>
          <w:color w:val="000000"/>
          <w:sz w:val="22"/>
          <w:szCs w:val="22"/>
        </w:rPr>
        <w:t>e</w:t>
      </w:r>
      <w:r w:rsidRPr="00C11AD3">
        <w:rPr>
          <w:rFonts w:ascii="Arial" w:hAnsi="Arial" w:cs="Arial"/>
          <w:color w:val="000000"/>
          <w:sz w:val="22"/>
          <w:szCs w:val="22"/>
        </w:rPr>
        <w:t xml:space="preserve">ngineers from former </w:t>
      </w:r>
      <w:r w:rsidR="00784F72">
        <w:rPr>
          <w:rFonts w:ascii="Arial" w:hAnsi="Arial" w:cs="Arial"/>
          <w:color w:val="000000"/>
          <w:sz w:val="22"/>
          <w:szCs w:val="22"/>
        </w:rPr>
        <w:t xml:space="preserve">the </w:t>
      </w:r>
      <w:r w:rsidRPr="00C11AD3">
        <w:rPr>
          <w:rFonts w:ascii="Arial" w:hAnsi="Arial" w:cs="Arial"/>
          <w:color w:val="000000"/>
          <w:sz w:val="22"/>
          <w:szCs w:val="22"/>
        </w:rPr>
        <w:t xml:space="preserve">Department of </w:t>
      </w:r>
      <w:r w:rsidR="00784F72">
        <w:rPr>
          <w:rFonts w:ascii="Arial" w:hAnsi="Arial" w:cs="Arial"/>
          <w:color w:val="000000"/>
          <w:sz w:val="22"/>
          <w:szCs w:val="22"/>
        </w:rPr>
        <w:t>A</w:t>
      </w:r>
      <w:r w:rsidRPr="00C11AD3">
        <w:rPr>
          <w:rFonts w:ascii="Arial" w:hAnsi="Arial" w:cs="Arial"/>
          <w:color w:val="000000"/>
          <w:sz w:val="22"/>
          <w:szCs w:val="22"/>
        </w:rPr>
        <w:t>griculture, Forestry and Fisheries (DAFF) were assembled and deployed to the farms to reassess the infrastructure. Transfers were made after receipt of the assessment report</w:t>
      </w:r>
      <w:r w:rsidR="00784F72">
        <w:rPr>
          <w:rFonts w:ascii="Arial" w:hAnsi="Arial" w:cs="Arial"/>
          <w:color w:val="000000"/>
          <w:sz w:val="22"/>
          <w:szCs w:val="22"/>
        </w:rPr>
        <w:t>s</w:t>
      </w:r>
      <w:r w:rsidRPr="00C11AD3">
        <w:rPr>
          <w:rFonts w:ascii="Arial" w:hAnsi="Arial" w:cs="Arial"/>
          <w:color w:val="000000"/>
          <w:sz w:val="22"/>
          <w:szCs w:val="22"/>
        </w:rPr>
        <w:t xml:space="preserve"> of relevant infrastructure required on farms</w:t>
      </w:r>
      <w:r w:rsidR="00B35A12" w:rsidRPr="00C11AD3">
        <w:rPr>
          <w:rFonts w:ascii="Arial" w:hAnsi="Arial" w:cs="Arial"/>
          <w:color w:val="000000"/>
          <w:sz w:val="22"/>
          <w:szCs w:val="22"/>
        </w:rPr>
        <w:t>, and s</w:t>
      </w:r>
      <w:r w:rsidRPr="00C11AD3">
        <w:rPr>
          <w:rFonts w:ascii="Arial" w:hAnsi="Arial" w:cs="Arial"/>
          <w:color w:val="000000"/>
          <w:sz w:val="22"/>
          <w:szCs w:val="22"/>
        </w:rPr>
        <w:t xml:space="preserve">ome of these project assessments were only concluded </w:t>
      </w:r>
      <w:r w:rsidR="0086781D">
        <w:rPr>
          <w:rFonts w:ascii="Arial" w:hAnsi="Arial" w:cs="Arial"/>
          <w:color w:val="000000"/>
          <w:sz w:val="22"/>
          <w:szCs w:val="22"/>
        </w:rPr>
        <w:t>during</w:t>
      </w:r>
      <w:r w:rsidRPr="00C11AD3">
        <w:rPr>
          <w:rFonts w:ascii="Arial" w:hAnsi="Arial" w:cs="Arial"/>
          <w:color w:val="000000"/>
          <w:sz w:val="22"/>
          <w:szCs w:val="22"/>
        </w:rPr>
        <w:t xml:space="preserve"> the 2020/21 financial year.</w:t>
      </w:r>
    </w:p>
    <w:p w:rsidR="00DD687C" w:rsidRPr="00DD687C" w:rsidRDefault="00DD687C" w:rsidP="00DD687C">
      <w:pPr>
        <w:pStyle w:val="ListParagraph"/>
        <w:ind w:left="1800"/>
        <w:jc w:val="both"/>
        <w:outlineLvl w:val="0"/>
        <w:rPr>
          <w:rFonts w:ascii="Arial" w:hAnsi="Arial" w:cs="Arial"/>
          <w:sz w:val="22"/>
          <w:szCs w:val="22"/>
        </w:rPr>
      </w:pPr>
    </w:p>
    <w:p w:rsidR="0042131F" w:rsidRDefault="001553DF" w:rsidP="00DD687C">
      <w:pPr>
        <w:pStyle w:val="ListParagraph"/>
        <w:numPr>
          <w:ilvl w:val="0"/>
          <w:numId w:val="21"/>
        </w:numPr>
        <w:jc w:val="both"/>
        <w:outlineLvl w:val="0"/>
        <w:rPr>
          <w:rFonts w:ascii="Arial" w:hAnsi="Arial" w:cs="Arial"/>
          <w:sz w:val="22"/>
          <w:szCs w:val="22"/>
        </w:rPr>
      </w:pPr>
      <w:r w:rsidRPr="0086781D">
        <w:rPr>
          <w:rFonts w:ascii="Arial" w:hAnsi="Arial" w:cs="Arial"/>
          <w:i/>
          <w:sz w:val="22"/>
          <w:szCs w:val="22"/>
        </w:rPr>
        <w:t>Contracted forensic audit:</w:t>
      </w:r>
      <w:r w:rsidRPr="0086781D">
        <w:rPr>
          <w:rFonts w:ascii="Arial" w:hAnsi="Arial" w:cs="Arial"/>
          <w:sz w:val="22"/>
          <w:szCs w:val="22"/>
        </w:rPr>
        <w:t xml:space="preserve"> </w:t>
      </w:r>
      <w:r w:rsidR="0042131F" w:rsidRPr="0086781D">
        <w:rPr>
          <w:rFonts w:ascii="Arial" w:hAnsi="Arial" w:cs="Arial"/>
          <w:sz w:val="22"/>
          <w:szCs w:val="22"/>
        </w:rPr>
        <w:t xml:space="preserve">delays due to ongoing forensic audit. The </w:t>
      </w:r>
      <w:r w:rsidRPr="0086781D">
        <w:rPr>
          <w:rFonts w:ascii="Arial" w:hAnsi="Arial" w:cs="Arial"/>
          <w:sz w:val="22"/>
          <w:szCs w:val="22"/>
        </w:rPr>
        <w:t>D</w:t>
      </w:r>
      <w:r w:rsidR="0042131F" w:rsidRPr="0086781D">
        <w:rPr>
          <w:rFonts w:ascii="Arial" w:hAnsi="Arial" w:cs="Arial"/>
          <w:sz w:val="22"/>
          <w:szCs w:val="22"/>
        </w:rPr>
        <w:t xml:space="preserve">ALRRD </w:t>
      </w:r>
      <w:r w:rsidRPr="0086781D">
        <w:rPr>
          <w:rFonts w:ascii="Arial" w:hAnsi="Arial" w:cs="Arial"/>
          <w:sz w:val="22"/>
          <w:szCs w:val="22"/>
        </w:rPr>
        <w:t>indicated that the amount w</w:t>
      </w:r>
      <w:r w:rsidR="0042131F" w:rsidRPr="0086781D">
        <w:rPr>
          <w:rFonts w:ascii="Arial" w:hAnsi="Arial" w:cs="Arial"/>
          <w:sz w:val="22"/>
          <w:szCs w:val="22"/>
        </w:rPr>
        <w:t xml:space="preserve">ould be paid after close up report </w:t>
      </w:r>
      <w:r w:rsidR="00BE62C8">
        <w:rPr>
          <w:rFonts w:ascii="Arial" w:hAnsi="Arial" w:cs="Arial"/>
          <w:sz w:val="22"/>
          <w:szCs w:val="22"/>
        </w:rPr>
        <w:t>is</w:t>
      </w:r>
      <w:r w:rsidRPr="0086781D">
        <w:rPr>
          <w:rFonts w:ascii="Arial" w:hAnsi="Arial" w:cs="Arial"/>
          <w:sz w:val="22"/>
          <w:szCs w:val="22"/>
        </w:rPr>
        <w:t xml:space="preserve"> received on forensic audit performed.</w:t>
      </w:r>
      <w:r w:rsidR="0015280F" w:rsidRPr="0086781D">
        <w:rPr>
          <w:rFonts w:ascii="Arial" w:hAnsi="Arial" w:cs="Arial"/>
          <w:sz w:val="22"/>
          <w:szCs w:val="22"/>
        </w:rPr>
        <w:t xml:space="preserve"> </w:t>
      </w:r>
      <w:r w:rsidR="00B35A12" w:rsidRPr="0086781D">
        <w:rPr>
          <w:rFonts w:ascii="Arial" w:hAnsi="Arial" w:cs="Arial"/>
          <w:sz w:val="22"/>
          <w:szCs w:val="22"/>
        </w:rPr>
        <w:t>The expenditure was expected to be disbursed within</w:t>
      </w:r>
      <w:r w:rsidR="0015280F" w:rsidRPr="0086781D">
        <w:rPr>
          <w:rFonts w:ascii="Arial" w:hAnsi="Arial" w:cs="Arial"/>
          <w:sz w:val="22"/>
          <w:szCs w:val="22"/>
        </w:rPr>
        <w:t xml:space="preserve"> 30 days after receipt of invoice.</w:t>
      </w:r>
    </w:p>
    <w:p w:rsidR="00DD687C" w:rsidRPr="00DD687C" w:rsidRDefault="00DD687C" w:rsidP="00DD687C">
      <w:pPr>
        <w:pStyle w:val="ListParagraph"/>
        <w:ind w:left="1800"/>
        <w:jc w:val="both"/>
        <w:outlineLvl w:val="0"/>
        <w:rPr>
          <w:rFonts w:ascii="Arial" w:hAnsi="Arial" w:cs="Arial"/>
          <w:sz w:val="22"/>
          <w:szCs w:val="22"/>
        </w:rPr>
      </w:pPr>
    </w:p>
    <w:p w:rsidR="0042131F" w:rsidRDefault="001553DF" w:rsidP="00DD687C">
      <w:pPr>
        <w:pStyle w:val="ListParagraph"/>
        <w:numPr>
          <w:ilvl w:val="0"/>
          <w:numId w:val="21"/>
        </w:numPr>
        <w:jc w:val="both"/>
        <w:outlineLvl w:val="0"/>
        <w:rPr>
          <w:rFonts w:ascii="Arial" w:hAnsi="Arial" w:cs="Arial"/>
          <w:sz w:val="22"/>
          <w:szCs w:val="22"/>
        </w:rPr>
      </w:pPr>
      <w:r w:rsidRPr="0086781D">
        <w:rPr>
          <w:rFonts w:ascii="Arial" w:hAnsi="Arial" w:cs="Arial"/>
          <w:i/>
          <w:sz w:val="22"/>
          <w:szCs w:val="22"/>
        </w:rPr>
        <w:t>Open orders</w:t>
      </w:r>
      <w:r w:rsidRPr="0086781D">
        <w:rPr>
          <w:rFonts w:ascii="Arial" w:hAnsi="Arial" w:cs="Arial"/>
          <w:sz w:val="22"/>
          <w:szCs w:val="22"/>
        </w:rPr>
        <w:t>: Valuations for land acquisition projects not yet concluded a</w:t>
      </w:r>
      <w:r w:rsidR="00463692" w:rsidRPr="0086781D">
        <w:rPr>
          <w:rFonts w:ascii="Arial" w:hAnsi="Arial" w:cs="Arial"/>
          <w:sz w:val="22"/>
          <w:szCs w:val="22"/>
        </w:rPr>
        <w:t>t the end of the financial year</w:t>
      </w:r>
      <w:r w:rsidR="0015280F" w:rsidRPr="0086781D">
        <w:rPr>
          <w:rFonts w:ascii="Arial" w:hAnsi="Arial" w:cs="Arial"/>
          <w:sz w:val="22"/>
          <w:szCs w:val="22"/>
        </w:rPr>
        <w:t>.</w:t>
      </w:r>
    </w:p>
    <w:p w:rsidR="00DD687C" w:rsidRPr="00DD687C" w:rsidRDefault="00DD687C" w:rsidP="00DD687C">
      <w:pPr>
        <w:pStyle w:val="ListParagraph"/>
        <w:ind w:left="1800"/>
        <w:jc w:val="both"/>
        <w:outlineLvl w:val="0"/>
        <w:rPr>
          <w:rFonts w:ascii="Arial" w:hAnsi="Arial" w:cs="Arial"/>
          <w:sz w:val="22"/>
          <w:szCs w:val="22"/>
        </w:rPr>
      </w:pPr>
    </w:p>
    <w:p w:rsidR="001553DF" w:rsidRPr="00DD687C" w:rsidRDefault="0086781D" w:rsidP="00DD687C">
      <w:pPr>
        <w:pStyle w:val="ListParagraph"/>
        <w:numPr>
          <w:ilvl w:val="0"/>
          <w:numId w:val="21"/>
        </w:numPr>
        <w:jc w:val="both"/>
        <w:outlineLvl w:val="0"/>
        <w:rPr>
          <w:rFonts w:ascii="Arial" w:hAnsi="Arial" w:cs="Arial"/>
          <w:sz w:val="22"/>
          <w:szCs w:val="22"/>
        </w:rPr>
      </w:pPr>
      <w:r w:rsidRPr="00DD687C">
        <w:rPr>
          <w:rFonts w:ascii="Arial" w:hAnsi="Arial" w:cs="Arial"/>
          <w:sz w:val="22"/>
          <w:szCs w:val="22"/>
        </w:rPr>
        <w:t>Further</w:t>
      </w:r>
      <w:r w:rsidRPr="00DD687C">
        <w:rPr>
          <w:rFonts w:ascii="Arial" w:hAnsi="Arial" w:cs="Arial"/>
          <w:color w:val="000000"/>
          <w:sz w:val="22"/>
          <w:szCs w:val="22"/>
        </w:rPr>
        <w:t xml:space="preserve"> </w:t>
      </w:r>
      <w:r w:rsidR="001553DF" w:rsidRPr="00DD687C">
        <w:rPr>
          <w:rFonts w:ascii="Arial" w:hAnsi="Arial" w:cs="Arial"/>
          <w:color w:val="000000"/>
          <w:sz w:val="22"/>
          <w:szCs w:val="22"/>
        </w:rPr>
        <w:t xml:space="preserve">ALHA </w:t>
      </w:r>
      <w:r w:rsidR="0042131F" w:rsidRPr="00DD687C">
        <w:rPr>
          <w:rFonts w:ascii="Arial" w:hAnsi="Arial" w:cs="Arial"/>
          <w:color w:val="000000"/>
          <w:sz w:val="22"/>
          <w:szCs w:val="22"/>
        </w:rPr>
        <w:t>r</w:t>
      </w:r>
      <w:r w:rsidR="001553DF" w:rsidRPr="00DD687C">
        <w:rPr>
          <w:rFonts w:ascii="Arial" w:hAnsi="Arial" w:cs="Arial"/>
          <w:color w:val="000000"/>
          <w:sz w:val="22"/>
          <w:szCs w:val="22"/>
        </w:rPr>
        <w:t>eceived an additional R277 million towards the end of March</w:t>
      </w:r>
      <w:r w:rsidR="001553DF" w:rsidRPr="0086781D">
        <w:rPr>
          <w:rFonts w:ascii="Arial" w:hAnsi="Arial" w:cs="Arial"/>
          <w:color w:val="000000"/>
          <w:sz w:val="22"/>
          <w:szCs w:val="22"/>
        </w:rPr>
        <w:t xml:space="preserve"> 2020 (end of 2019/20 financial year) for COVID</w:t>
      </w:r>
      <w:r w:rsidR="00784F72">
        <w:rPr>
          <w:rFonts w:ascii="Arial" w:hAnsi="Arial" w:cs="Arial"/>
          <w:color w:val="000000"/>
          <w:sz w:val="22"/>
          <w:szCs w:val="22"/>
        </w:rPr>
        <w:t>-19</w:t>
      </w:r>
      <w:r w:rsidR="001553DF" w:rsidRPr="0086781D">
        <w:rPr>
          <w:rFonts w:ascii="Arial" w:hAnsi="Arial" w:cs="Arial"/>
          <w:color w:val="000000"/>
          <w:sz w:val="22"/>
          <w:szCs w:val="22"/>
        </w:rPr>
        <w:t xml:space="preserve"> Disaster Fund</w:t>
      </w:r>
      <w:r w:rsidR="00BE62C8">
        <w:rPr>
          <w:rFonts w:ascii="Arial" w:hAnsi="Arial" w:cs="Arial"/>
          <w:color w:val="000000"/>
          <w:sz w:val="22"/>
          <w:szCs w:val="22"/>
        </w:rPr>
        <w:t>.</w:t>
      </w:r>
    </w:p>
    <w:p w:rsidR="00DD687C" w:rsidRPr="0086781D" w:rsidRDefault="00DD687C" w:rsidP="00DD687C">
      <w:pPr>
        <w:pStyle w:val="ListParagraph"/>
        <w:ind w:left="1800"/>
        <w:jc w:val="both"/>
        <w:outlineLvl w:val="0"/>
        <w:rPr>
          <w:rFonts w:ascii="Arial" w:hAnsi="Arial" w:cs="Arial"/>
          <w:sz w:val="22"/>
          <w:szCs w:val="22"/>
        </w:rPr>
      </w:pPr>
    </w:p>
    <w:p w:rsidR="00DD687C" w:rsidRDefault="00DD687C" w:rsidP="00DD687C">
      <w:pPr>
        <w:jc w:val="both"/>
        <w:outlineLvl w:val="0"/>
        <w:rPr>
          <w:rFonts w:ascii="Arial" w:hAnsi="Arial" w:cs="Arial"/>
          <w:sz w:val="22"/>
          <w:szCs w:val="22"/>
        </w:rPr>
      </w:pPr>
      <w:r w:rsidRPr="00DD687C">
        <w:rPr>
          <w:rFonts w:ascii="Arial" w:hAnsi="Arial" w:cs="Arial"/>
          <w:sz w:val="22"/>
          <w:szCs w:val="22"/>
        </w:rPr>
        <w:t>(</w:t>
      </w:r>
      <w:r w:rsidR="0086781D" w:rsidRPr="00DD687C">
        <w:rPr>
          <w:rFonts w:ascii="Arial" w:hAnsi="Arial" w:cs="Arial"/>
          <w:sz w:val="22"/>
          <w:szCs w:val="22"/>
        </w:rPr>
        <w:t>b)</w:t>
      </w:r>
      <w:r w:rsidRPr="00DD687C">
        <w:rPr>
          <w:rFonts w:ascii="Arial" w:hAnsi="Arial" w:cs="Arial"/>
          <w:sz w:val="22"/>
          <w:szCs w:val="22"/>
        </w:rPr>
        <w:tab/>
        <w:t>Th</w:t>
      </w:r>
      <w:r w:rsidR="0086781D" w:rsidRPr="00DD687C">
        <w:rPr>
          <w:rFonts w:ascii="Arial" w:hAnsi="Arial" w:cs="Arial"/>
          <w:sz w:val="22"/>
          <w:szCs w:val="22"/>
        </w:rPr>
        <w:t>e</w:t>
      </w:r>
      <w:r w:rsidR="0086781D" w:rsidRPr="00BE62C8">
        <w:rPr>
          <w:rFonts w:ascii="Arial" w:hAnsi="Arial" w:cs="Arial"/>
          <w:sz w:val="22"/>
          <w:szCs w:val="22"/>
        </w:rPr>
        <w:t xml:space="preserve"> DALRRD, did not provide any proposed spending changes. The retained surplus </w:t>
      </w:r>
      <w:r w:rsidR="00BE62C8" w:rsidRPr="00BE62C8">
        <w:rPr>
          <w:rFonts w:ascii="Arial" w:hAnsi="Arial" w:cs="Arial"/>
          <w:sz w:val="22"/>
          <w:szCs w:val="22"/>
        </w:rPr>
        <w:t>is</w:t>
      </w:r>
      <w:r w:rsidR="0086781D" w:rsidRPr="00BE62C8">
        <w:rPr>
          <w:rFonts w:ascii="Arial" w:hAnsi="Arial" w:cs="Arial"/>
          <w:sz w:val="22"/>
          <w:szCs w:val="22"/>
        </w:rPr>
        <w:t xml:space="preserve"> </w:t>
      </w:r>
    </w:p>
    <w:p w:rsidR="0086781D" w:rsidRDefault="00DD687C" w:rsidP="00DD687C">
      <w:pPr>
        <w:jc w:val="both"/>
        <w:outlineLvl w:val="0"/>
        <w:rPr>
          <w:rFonts w:ascii="Arial" w:hAnsi="Arial" w:cs="Arial"/>
          <w:sz w:val="22"/>
          <w:szCs w:val="22"/>
        </w:rPr>
      </w:pPr>
      <w:r>
        <w:rPr>
          <w:rFonts w:ascii="Arial" w:hAnsi="Arial" w:cs="Arial"/>
          <w:sz w:val="22"/>
          <w:szCs w:val="22"/>
        </w:rPr>
        <w:tab/>
      </w:r>
      <w:r w:rsidR="0086781D" w:rsidRPr="00BE62C8">
        <w:rPr>
          <w:rFonts w:ascii="Arial" w:hAnsi="Arial" w:cs="Arial"/>
          <w:sz w:val="22"/>
          <w:szCs w:val="22"/>
        </w:rPr>
        <w:t xml:space="preserve">supposed to be spend during the 2020/21, during which the approval would be </w:t>
      </w:r>
      <w:r w:rsidR="007E23CF" w:rsidRPr="00BE62C8">
        <w:rPr>
          <w:rFonts w:ascii="Arial" w:hAnsi="Arial" w:cs="Arial"/>
          <w:sz w:val="22"/>
          <w:szCs w:val="22"/>
        </w:rPr>
        <w:t xml:space="preserve">valid. </w:t>
      </w:r>
    </w:p>
    <w:p w:rsidR="00DD687C" w:rsidRDefault="00DD687C" w:rsidP="00DD687C">
      <w:pPr>
        <w:jc w:val="both"/>
        <w:rPr>
          <w:rFonts w:ascii="Arial" w:hAnsi="Arial" w:cs="Arial"/>
          <w:sz w:val="22"/>
          <w:szCs w:val="22"/>
        </w:rPr>
      </w:pPr>
    </w:p>
    <w:p w:rsidR="00DD687C" w:rsidRPr="00DD687C" w:rsidRDefault="00DD687C" w:rsidP="00DD687C">
      <w:pPr>
        <w:pStyle w:val="ListParagraph"/>
        <w:numPr>
          <w:ilvl w:val="0"/>
          <w:numId w:val="13"/>
        </w:numPr>
        <w:jc w:val="both"/>
        <w:outlineLvl w:val="0"/>
        <w:rPr>
          <w:rFonts w:ascii="Arial" w:hAnsi="Arial" w:cs="Arial"/>
          <w:sz w:val="22"/>
          <w:szCs w:val="22"/>
        </w:rPr>
      </w:pPr>
    </w:p>
    <w:p w:rsidR="00BE62C8" w:rsidRDefault="00DD687C" w:rsidP="00DD687C">
      <w:pPr>
        <w:pStyle w:val="ListParagraph"/>
        <w:numPr>
          <w:ilvl w:val="0"/>
          <w:numId w:val="21"/>
        </w:numPr>
        <w:ind w:left="1134" w:hanging="425"/>
        <w:jc w:val="both"/>
        <w:outlineLvl w:val="0"/>
        <w:rPr>
          <w:rFonts w:ascii="Arial" w:hAnsi="Arial" w:cs="Arial"/>
          <w:sz w:val="22"/>
          <w:szCs w:val="22"/>
        </w:rPr>
      </w:pPr>
      <w:r>
        <w:rPr>
          <w:rFonts w:ascii="Arial" w:hAnsi="Arial" w:cs="Arial"/>
          <w:sz w:val="22"/>
          <w:szCs w:val="22"/>
        </w:rPr>
        <w:t>T</w:t>
      </w:r>
      <w:r w:rsidR="0015280F" w:rsidRPr="00BE62C8">
        <w:rPr>
          <w:rFonts w:ascii="Arial" w:hAnsi="Arial" w:cs="Arial"/>
          <w:sz w:val="22"/>
          <w:szCs w:val="22"/>
        </w:rPr>
        <w:t>he DALRRD provided the ca</w:t>
      </w:r>
      <w:r w:rsidR="00B35A12" w:rsidRPr="00BE62C8">
        <w:rPr>
          <w:rFonts w:ascii="Arial" w:hAnsi="Arial" w:cs="Arial"/>
          <w:sz w:val="22"/>
          <w:szCs w:val="22"/>
        </w:rPr>
        <w:t>sh</w:t>
      </w:r>
      <w:r>
        <w:rPr>
          <w:rFonts w:ascii="Arial" w:hAnsi="Arial" w:cs="Arial"/>
          <w:sz w:val="22"/>
          <w:szCs w:val="22"/>
        </w:rPr>
        <w:t xml:space="preserve"> </w:t>
      </w:r>
      <w:r w:rsidR="0015280F" w:rsidRPr="00BE62C8">
        <w:rPr>
          <w:rFonts w:ascii="Arial" w:hAnsi="Arial" w:cs="Arial"/>
          <w:sz w:val="22"/>
          <w:szCs w:val="22"/>
        </w:rPr>
        <w:t>flow</w:t>
      </w:r>
      <w:r>
        <w:rPr>
          <w:rFonts w:ascii="Arial" w:hAnsi="Arial" w:cs="Arial"/>
          <w:sz w:val="22"/>
          <w:szCs w:val="22"/>
        </w:rPr>
        <w:t xml:space="preserve"> </w:t>
      </w:r>
      <w:r w:rsidR="00463692" w:rsidRPr="00BE62C8">
        <w:rPr>
          <w:rFonts w:ascii="Arial" w:hAnsi="Arial" w:cs="Arial"/>
          <w:sz w:val="22"/>
          <w:szCs w:val="22"/>
        </w:rPr>
        <w:t>/</w:t>
      </w:r>
      <w:r>
        <w:rPr>
          <w:rFonts w:ascii="Arial" w:hAnsi="Arial" w:cs="Arial"/>
          <w:sz w:val="22"/>
          <w:szCs w:val="22"/>
        </w:rPr>
        <w:t xml:space="preserve"> </w:t>
      </w:r>
      <w:r w:rsidR="00463692" w:rsidRPr="00BE62C8">
        <w:rPr>
          <w:rFonts w:ascii="Arial" w:hAnsi="Arial" w:cs="Arial"/>
          <w:sz w:val="22"/>
          <w:szCs w:val="22"/>
        </w:rPr>
        <w:t xml:space="preserve">expenditure </w:t>
      </w:r>
      <w:r w:rsidR="0015280F" w:rsidRPr="00BE62C8">
        <w:rPr>
          <w:rFonts w:ascii="Arial" w:hAnsi="Arial" w:cs="Arial"/>
          <w:sz w:val="22"/>
          <w:szCs w:val="22"/>
        </w:rPr>
        <w:t xml:space="preserve">disbursement </w:t>
      </w:r>
      <w:r w:rsidR="00463692" w:rsidRPr="00BE62C8">
        <w:rPr>
          <w:rFonts w:ascii="Arial" w:hAnsi="Arial" w:cs="Arial"/>
          <w:sz w:val="22"/>
          <w:szCs w:val="22"/>
        </w:rPr>
        <w:t xml:space="preserve">terms, which </w:t>
      </w:r>
      <w:r w:rsidR="0015280F" w:rsidRPr="00BE62C8">
        <w:rPr>
          <w:rFonts w:ascii="Arial" w:hAnsi="Arial" w:cs="Arial"/>
          <w:sz w:val="22"/>
          <w:szCs w:val="22"/>
        </w:rPr>
        <w:t>rang</w:t>
      </w:r>
      <w:r w:rsidR="00463692" w:rsidRPr="00BE62C8">
        <w:rPr>
          <w:rFonts w:ascii="Arial" w:hAnsi="Arial" w:cs="Arial"/>
          <w:sz w:val="22"/>
          <w:szCs w:val="22"/>
        </w:rPr>
        <w:t xml:space="preserve">es </w:t>
      </w:r>
      <w:r w:rsidR="0015280F" w:rsidRPr="00BE62C8">
        <w:rPr>
          <w:rFonts w:ascii="Arial" w:hAnsi="Arial" w:cs="Arial"/>
          <w:sz w:val="22"/>
          <w:szCs w:val="22"/>
        </w:rPr>
        <w:t xml:space="preserve">from </w:t>
      </w:r>
      <w:r w:rsidR="00463692" w:rsidRPr="00BE62C8">
        <w:rPr>
          <w:rFonts w:ascii="Arial" w:hAnsi="Arial" w:cs="Arial"/>
          <w:sz w:val="22"/>
          <w:szCs w:val="22"/>
        </w:rPr>
        <w:t xml:space="preserve">2 days after registration of land by Deeds </w:t>
      </w:r>
      <w:r w:rsidR="00BE62C8" w:rsidRPr="00BE62C8">
        <w:rPr>
          <w:rFonts w:ascii="Arial" w:hAnsi="Arial" w:cs="Arial"/>
          <w:sz w:val="22"/>
          <w:szCs w:val="22"/>
        </w:rPr>
        <w:t>O</w:t>
      </w:r>
      <w:r w:rsidR="00463692" w:rsidRPr="00BE62C8">
        <w:rPr>
          <w:rFonts w:ascii="Arial" w:hAnsi="Arial" w:cs="Arial"/>
          <w:sz w:val="22"/>
          <w:szCs w:val="22"/>
        </w:rPr>
        <w:t xml:space="preserve">ffice; </w:t>
      </w:r>
      <w:r w:rsidR="00B35A12" w:rsidRPr="00BE62C8">
        <w:rPr>
          <w:rFonts w:ascii="Arial" w:hAnsi="Arial" w:cs="Arial"/>
          <w:sz w:val="22"/>
          <w:szCs w:val="22"/>
        </w:rPr>
        <w:t xml:space="preserve">30 days after </w:t>
      </w:r>
      <w:r w:rsidR="00463692" w:rsidRPr="00BE62C8">
        <w:rPr>
          <w:rFonts w:ascii="Arial" w:hAnsi="Arial" w:cs="Arial"/>
          <w:sz w:val="22"/>
          <w:szCs w:val="22"/>
        </w:rPr>
        <w:t>receipt of invoice;</w:t>
      </w:r>
      <w:r w:rsidR="00B35A12" w:rsidRPr="00BE62C8">
        <w:rPr>
          <w:rFonts w:ascii="Arial" w:hAnsi="Arial" w:cs="Arial"/>
          <w:sz w:val="22"/>
          <w:szCs w:val="22"/>
        </w:rPr>
        <w:t xml:space="preserve"> and some projects expenditure to be disbursed within 1</w:t>
      </w:r>
      <w:r w:rsidR="0015280F" w:rsidRPr="00BE62C8">
        <w:rPr>
          <w:rFonts w:ascii="Arial" w:hAnsi="Arial" w:cs="Arial"/>
          <w:sz w:val="22"/>
          <w:szCs w:val="22"/>
        </w:rPr>
        <w:t xml:space="preserve"> </w:t>
      </w:r>
      <w:r w:rsidR="00B35A12" w:rsidRPr="00BE62C8">
        <w:rPr>
          <w:rFonts w:ascii="Arial" w:hAnsi="Arial" w:cs="Arial"/>
          <w:sz w:val="22"/>
          <w:szCs w:val="22"/>
        </w:rPr>
        <w:t>year.</w:t>
      </w:r>
      <w:r w:rsidR="007E23CF" w:rsidRPr="00BE62C8">
        <w:rPr>
          <w:rFonts w:ascii="Arial" w:hAnsi="Arial" w:cs="Arial"/>
          <w:sz w:val="22"/>
          <w:szCs w:val="22"/>
        </w:rPr>
        <w:t xml:space="preserve"> </w:t>
      </w:r>
    </w:p>
    <w:p w:rsidR="00BE62C8" w:rsidRDefault="00BE62C8" w:rsidP="00BE62C8">
      <w:pPr>
        <w:pStyle w:val="ListParagraph"/>
        <w:ind w:left="643"/>
        <w:jc w:val="both"/>
        <w:rPr>
          <w:rFonts w:ascii="Arial" w:hAnsi="Arial" w:cs="Arial"/>
          <w:sz w:val="22"/>
          <w:szCs w:val="22"/>
        </w:rPr>
      </w:pPr>
    </w:p>
    <w:p w:rsidR="00BE62C8" w:rsidRDefault="007E23CF" w:rsidP="00DD687C">
      <w:pPr>
        <w:pStyle w:val="ListParagraph"/>
        <w:numPr>
          <w:ilvl w:val="0"/>
          <w:numId w:val="21"/>
        </w:numPr>
        <w:ind w:left="1134" w:hanging="425"/>
        <w:jc w:val="both"/>
        <w:outlineLvl w:val="0"/>
        <w:rPr>
          <w:rFonts w:ascii="Arial" w:hAnsi="Arial" w:cs="Arial"/>
          <w:sz w:val="22"/>
          <w:szCs w:val="22"/>
        </w:rPr>
      </w:pPr>
      <w:r w:rsidRPr="00BE62C8">
        <w:rPr>
          <w:rFonts w:ascii="Arial" w:hAnsi="Arial" w:cs="Arial"/>
          <w:sz w:val="22"/>
          <w:szCs w:val="22"/>
        </w:rPr>
        <w:t xml:space="preserve">The table below indicates the disbursement terms, project values and project terms. </w:t>
      </w:r>
    </w:p>
    <w:p w:rsidR="00BE62C8" w:rsidRPr="00BE62C8" w:rsidRDefault="00BE62C8" w:rsidP="00BE62C8">
      <w:pPr>
        <w:pStyle w:val="ListParagraph"/>
        <w:ind w:left="643"/>
        <w:jc w:val="both"/>
        <w:rPr>
          <w:rFonts w:ascii="Arial" w:hAnsi="Arial" w:cs="Arial"/>
          <w:sz w:val="22"/>
          <w:szCs w:val="22"/>
        </w:rPr>
      </w:pPr>
    </w:p>
    <w:p w:rsidR="00463692" w:rsidRPr="00BE62C8" w:rsidRDefault="00BE62C8" w:rsidP="00BE62C8">
      <w:pPr>
        <w:ind w:left="142"/>
        <w:jc w:val="both"/>
        <w:rPr>
          <w:rFonts w:ascii="Arial" w:hAnsi="Arial" w:cs="Arial"/>
          <w:b/>
          <w:sz w:val="22"/>
          <w:szCs w:val="22"/>
          <w:lang w:val="en-ZA"/>
        </w:rPr>
      </w:pPr>
      <w:r w:rsidRPr="00BE62C8">
        <w:rPr>
          <w:rFonts w:ascii="Arial" w:hAnsi="Arial" w:cs="Arial"/>
          <w:b/>
          <w:sz w:val="22"/>
          <w:szCs w:val="22"/>
          <w:lang w:val="en-ZA"/>
        </w:rPr>
        <w:t>Table 1: List of commitments at the end of 2019/20</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4"/>
        <w:gridCol w:w="758"/>
        <w:gridCol w:w="906"/>
        <w:gridCol w:w="5458"/>
        <w:gridCol w:w="746"/>
        <w:gridCol w:w="908"/>
      </w:tblGrid>
      <w:tr w:rsidR="009817E9" w:rsidRPr="009817E9" w:rsidTr="00DD687C">
        <w:trPr>
          <w:trHeight w:val="164"/>
          <w:tblHeader/>
        </w:trPr>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9817E9" w:rsidRPr="009817E9" w:rsidRDefault="009817E9" w:rsidP="009817E9">
            <w:pPr>
              <w:jc w:val="both"/>
              <w:rPr>
                <w:rFonts w:ascii="Arial Narrow" w:hAnsi="Arial Narrow" w:cs="Arial"/>
                <w:b/>
                <w:sz w:val="14"/>
                <w:szCs w:val="14"/>
                <w:lang w:val="en-GB"/>
              </w:rPr>
            </w:pPr>
            <w:r w:rsidRPr="009817E9">
              <w:rPr>
                <w:rFonts w:ascii="Arial Narrow" w:hAnsi="Arial Narrow" w:cs="Arial"/>
                <w:b/>
                <w:sz w:val="14"/>
                <w:szCs w:val="14"/>
                <w:lang w:val="en-GB"/>
              </w:rPr>
              <w:t>Commitment description</w:t>
            </w:r>
          </w:p>
        </w:tc>
        <w:tc>
          <w:tcPr>
            <w:tcW w:w="374" w:type="pct"/>
            <w:tcBorders>
              <w:top w:val="single" w:sz="4" w:space="0" w:color="auto"/>
              <w:left w:val="single" w:sz="4" w:space="0" w:color="auto"/>
              <w:bottom w:val="single" w:sz="4" w:space="0" w:color="auto"/>
              <w:right w:val="single" w:sz="4" w:space="0" w:color="auto"/>
            </w:tcBorders>
            <w:shd w:val="clear" w:color="auto" w:fill="D9D9D9"/>
          </w:tcPr>
          <w:p w:rsidR="009817E9" w:rsidRPr="009817E9" w:rsidRDefault="009817E9" w:rsidP="009817E9">
            <w:pPr>
              <w:jc w:val="center"/>
              <w:rPr>
                <w:rFonts w:ascii="Arial Narrow" w:hAnsi="Arial Narrow" w:cs="Arial"/>
                <w:b/>
                <w:sz w:val="14"/>
                <w:szCs w:val="14"/>
                <w:lang w:val="en-GB"/>
              </w:rPr>
            </w:pPr>
            <w:r w:rsidRPr="009817E9">
              <w:rPr>
                <w:rFonts w:ascii="Arial Narrow" w:hAnsi="Arial Narrow" w:cs="Arial"/>
                <w:b/>
                <w:sz w:val="14"/>
                <w:szCs w:val="14"/>
                <w:lang w:val="en-GB"/>
              </w:rPr>
              <w:t>Project term (years)</w:t>
            </w:r>
          </w:p>
        </w:tc>
        <w:tc>
          <w:tcPr>
            <w:tcW w:w="447" w:type="pct"/>
            <w:tcBorders>
              <w:top w:val="single" w:sz="4" w:space="0" w:color="auto"/>
              <w:left w:val="single" w:sz="4" w:space="0" w:color="auto"/>
              <w:bottom w:val="single" w:sz="4" w:space="0" w:color="auto"/>
              <w:right w:val="single" w:sz="4" w:space="0" w:color="auto"/>
            </w:tcBorders>
            <w:shd w:val="clear" w:color="auto" w:fill="D9D9D9"/>
          </w:tcPr>
          <w:p w:rsidR="009817E9" w:rsidRPr="009817E9" w:rsidRDefault="009817E9" w:rsidP="009817E9">
            <w:pPr>
              <w:rPr>
                <w:rFonts w:ascii="Arial Narrow" w:hAnsi="Arial Narrow" w:cs="Arial"/>
                <w:b/>
                <w:sz w:val="14"/>
                <w:szCs w:val="14"/>
                <w:lang w:val="en-GB"/>
              </w:rPr>
            </w:pPr>
            <w:r w:rsidRPr="009817E9">
              <w:rPr>
                <w:rFonts w:ascii="Arial Narrow" w:hAnsi="Arial Narrow" w:cs="Arial"/>
                <w:b/>
                <w:sz w:val="14"/>
                <w:szCs w:val="14"/>
                <w:lang w:val="en-GB"/>
              </w:rPr>
              <w:t>Cash</w:t>
            </w:r>
            <w:r w:rsidR="00DD687C">
              <w:rPr>
                <w:rFonts w:ascii="Arial Narrow" w:hAnsi="Arial Narrow" w:cs="Arial"/>
                <w:b/>
                <w:sz w:val="14"/>
                <w:szCs w:val="14"/>
                <w:lang w:val="en-GB"/>
              </w:rPr>
              <w:t xml:space="preserve"> </w:t>
            </w:r>
            <w:r w:rsidRPr="009817E9">
              <w:rPr>
                <w:rFonts w:ascii="Arial Narrow" w:hAnsi="Arial Narrow" w:cs="Arial"/>
                <w:b/>
                <w:sz w:val="14"/>
                <w:szCs w:val="14"/>
                <w:lang w:val="en-GB"/>
              </w:rPr>
              <w:t>flow disbursement term</w:t>
            </w:r>
          </w:p>
        </w:tc>
        <w:tc>
          <w:tcPr>
            <w:tcW w:w="2693" w:type="pct"/>
            <w:tcBorders>
              <w:top w:val="single" w:sz="4" w:space="0" w:color="auto"/>
              <w:left w:val="single" w:sz="4" w:space="0" w:color="auto"/>
              <w:bottom w:val="single" w:sz="4" w:space="0" w:color="auto"/>
              <w:right w:val="single" w:sz="4" w:space="0" w:color="auto"/>
            </w:tcBorders>
            <w:shd w:val="clear" w:color="auto" w:fill="D9D9D9"/>
          </w:tcPr>
          <w:p w:rsidR="009817E9" w:rsidRPr="009817E9" w:rsidRDefault="009817E9" w:rsidP="009817E9">
            <w:pPr>
              <w:rPr>
                <w:rFonts w:ascii="Arial Narrow" w:hAnsi="Arial Narrow" w:cs="Arial"/>
                <w:b/>
                <w:sz w:val="14"/>
                <w:szCs w:val="14"/>
                <w:lang w:val="en-GB"/>
              </w:rPr>
            </w:pPr>
            <w:r w:rsidRPr="009817E9">
              <w:rPr>
                <w:rFonts w:ascii="Arial Narrow" w:hAnsi="Arial Narrow" w:cs="Arial"/>
                <w:b/>
                <w:sz w:val="14"/>
                <w:szCs w:val="14"/>
                <w:lang w:val="en-GB"/>
              </w:rPr>
              <w:t>Reason for slow spending</w:t>
            </w:r>
          </w:p>
        </w:tc>
        <w:tc>
          <w:tcPr>
            <w:tcW w:w="368" w:type="pct"/>
            <w:tcBorders>
              <w:top w:val="single" w:sz="4" w:space="0" w:color="auto"/>
              <w:left w:val="single" w:sz="4" w:space="0" w:color="auto"/>
              <w:bottom w:val="single" w:sz="4" w:space="0" w:color="auto"/>
              <w:right w:val="single" w:sz="4" w:space="0" w:color="auto"/>
            </w:tcBorders>
            <w:shd w:val="clear" w:color="auto" w:fill="D9D9D9"/>
          </w:tcPr>
          <w:p w:rsidR="009817E9" w:rsidRPr="009817E9" w:rsidRDefault="009817E9" w:rsidP="009817E9">
            <w:pPr>
              <w:jc w:val="center"/>
              <w:rPr>
                <w:rFonts w:ascii="Arial Narrow" w:hAnsi="Arial Narrow" w:cs="Arial"/>
                <w:b/>
                <w:sz w:val="14"/>
                <w:szCs w:val="14"/>
                <w:lang w:val="en-GB"/>
              </w:rPr>
            </w:pPr>
            <w:r w:rsidRPr="009817E9">
              <w:rPr>
                <w:rFonts w:ascii="Arial Narrow" w:hAnsi="Arial Narrow" w:cs="Arial"/>
                <w:b/>
                <w:sz w:val="14"/>
                <w:szCs w:val="14"/>
                <w:lang w:val="en-GB"/>
              </w:rPr>
              <w:t>Project budget (R’000)</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9817E9" w:rsidRPr="009817E9" w:rsidRDefault="009817E9" w:rsidP="009817E9">
            <w:pPr>
              <w:jc w:val="center"/>
              <w:rPr>
                <w:rFonts w:ascii="Arial Narrow" w:hAnsi="Arial Narrow" w:cs="Arial"/>
                <w:b/>
                <w:sz w:val="14"/>
                <w:szCs w:val="14"/>
                <w:lang w:val="en-GB"/>
              </w:rPr>
            </w:pPr>
            <w:r w:rsidRPr="009817E9">
              <w:rPr>
                <w:rFonts w:ascii="Arial Narrow" w:hAnsi="Arial Narrow" w:cs="Arial"/>
                <w:b/>
                <w:sz w:val="14"/>
                <w:szCs w:val="14"/>
                <w:lang w:val="en-GB"/>
              </w:rPr>
              <w:t>Project Surplus (R’000)</w:t>
            </w:r>
          </w:p>
        </w:tc>
      </w:tr>
      <w:tr w:rsidR="009817E9" w:rsidRPr="009817E9" w:rsidTr="00532584">
        <w:trPr>
          <w:trHeight w:val="163"/>
        </w:trPr>
        <w:tc>
          <w:tcPr>
            <w:tcW w:w="669" w:type="pct"/>
            <w:tcBorders>
              <w:top w:val="single" w:sz="4" w:space="0" w:color="auto"/>
              <w:left w:val="single" w:sz="4" w:space="0" w:color="auto"/>
              <w:bottom w:val="single" w:sz="4" w:space="0" w:color="auto"/>
              <w:right w:val="single" w:sz="4" w:space="0" w:color="auto"/>
            </w:tcBorders>
            <w:shd w:val="clear" w:color="auto" w:fill="auto"/>
            <w:vAlign w:val="bottom"/>
          </w:tcPr>
          <w:p w:rsidR="009817E9" w:rsidRPr="009817E9" w:rsidRDefault="009817E9" w:rsidP="009817E9">
            <w:pPr>
              <w:rPr>
                <w:rFonts w:ascii="Arial Narrow" w:hAnsi="Arial Narrow" w:cs="Arial"/>
                <w:sz w:val="14"/>
                <w:szCs w:val="14"/>
                <w:lang w:val="en-GB"/>
              </w:rPr>
            </w:pPr>
            <w:r w:rsidRPr="009817E9">
              <w:rPr>
                <w:rFonts w:ascii="Arial Narrow" w:hAnsi="Arial Narrow" w:cs="Arial"/>
                <w:sz w:val="14"/>
                <w:szCs w:val="14"/>
                <w:lang w:val="en-GB"/>
              </w:rPr>
              <w:t>Recapitalisation and Development projects</w:t>
            </w:r>
          </w:p>
        </w:tc>
        <w:tc>
          <w:tcPr>
            <w:tcW w:w="374"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5</w:t>
            </w:r>
          </w:p>
        </w:tc>
        <w:tc>
          <w:tcPr>
            <w:tcW w:w="447"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both"/>
              <w:rPr>
                <w:rFonts w:ascii="Arial Narrow" w:hAnsi="Arial Narrow" w:cs="Arial"/>
                <w:color w:val="000000"/>
                <w:sz w:val="14"/>
                <w:szCs w:val="14"/>
                <w:lang w:val="en-GB"/>
              </w:rPr>
            </w:pPr>
            <w:r w:rsidRPr="009817E9">
              <w:rPr>
                <w:rFonts w:ascii="Arial Narrow" w:hAnsi="Arial Narrow" w:cs="Arial"/>
                <w:color w:val="000000"/>
                <w:sz w:val="14"/>
                <w:szCs w:val="14"/>
                <w:lang w:val="en-GB"/>
              </w:rPr>
              <w:t>1 year</w:t>
            </w:r>
          </w:p>
        </w:tc>
        <w:tc>
          <w:tcPr>
            <w:tcW w:w="2693" w:type="pct"/>
            <w:tcBorders>
              <w:top w:val="single" w:sz="4" w:space="0" w:color="auto"/>
              <w:left w:val="single" w:sz="4" w:space="0" w:color="auto"/>
              <w:bottom w:val="single" w:sz="4" w:space="0" w:color="auto"/>
              <w:right w:val="single" w:sz="4" w:space="0" w:color="auto"/>
            </w:tcBorders>
            <w:shd w:val="clear" w:color="auto" w:fill="auto"/>
          </w:tcPr>
          <w:p w:rsidR="009817E9" w:rsidRPr="009817E9" w:rsidRDefault="009817E9" w:rsidP="009817E9">
            <w:pPr>
              <w:jc w:val="both"/>
              <w:rPr>
                <w:rFonts w:ascii="Arial Narrow" w:hAnsi="Arial Narrow" w:cs="Arial"/>
                <w:sz w:val="14"/>
                <w:szCs w:val="14"/>
                <w:lang w:val="en-GB"/>
              </w:rPr>
            </w:pPr>
            <w:r w:rsidRPr="009817E9">
              <w:rPr>
                <w:rFonts w:ascii="Arial Narrow" w:hAnsi="Arial Narrow" w:cs="Arial"/>
                <w:color w:val="000000"/>
                <w:sz w:val="14"/>
                <w:szCs w:val="14"/>
                <w:lang w:val="en-GB"/>
              </w:rPr>
              <w:t>Non Accountability of previous disbursements</w:t>
            </w:r>
          </w:p>
        </w:tc>
        <w:tc>
          <w:tcPr>
            <w:tcW w:w="368"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122 436</w:t>
            </w:r>
          </w:p>
        </w:tc>
        <w:tc>
          <w:tcPr>
            <w:tcW w:w="448"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122 436</w:t>
            </w:r>
          </w:p>
          <w:p w:rsidR="009817E9" w:rsidRPr="009817E9" w:rsidRDefault="009817E9" w:rsidP="009817E9">
            <w:pPr>
              <w:jc w:val="center"/>
              <w:rPr>
                <w:rFonts w:ascii="Arial Narrow" w:hAnsi="Arial Narrow" w:cs="Arial"/>
                <w:sz w:val="14"/>
                <w:szCs w:val="14"/>
                <w:lang w:val="en-GB"/>
              </w:rPr>
            </w:pPr>
          </w:p>
        </w:tc>
      </w:tr>
      <w:tr w:rsidR="009817E9" w:rsidRPr="009817E9" w:rsidTr="00532584">
        <w:trPr>
          <w:trHeight w:val="637"/>
        </w:trPr>
        <w:tc>
          <w:tcPr>
            <w:tcW w:w="669" w:type="pct"/>
            <w:tcBorders>
              <w:top w:val="single" w:sz="4" w:space="0" w:color="auto"/>
              <w:left w:val="single" w:sz="4" w:space="0" w:color="auto"/>
              <w:bottom w:val="single" w:sz="4" w:space="0" w:color="auto"/>
              <w:right w:val="single" w:sz="4" w:space="0" w:color="auto"/>
            </w:tcBorders>
            <w:shd w:val="clear" w:color="auto" w:fill="auto"/>
            <w:vAlign w:val="bottom"/>
          </w:tcPr>
          <w:p w:rsidR="009817E9" w:rsidRPr="009817E9" w:rsidRDefault="009817E9" w:rsidP="009817E9">
            <w:pPr>
              <w:rPr>
                <w:rFonts w:ascii="Arial Narrow" w:hAnsi="Arial Narrow" w:cs="Arial"/>
                <w:sz w:val="14"/>
                <w:szCs w:val="14"/>
                <w:lang w:val="en-GB"/>
              </w:rPr>
            </w:pPr>
            <w:r w:rsidRPr="009817E9">
              <w:rPr>
                <w:rFonts w:ascii="Arial Narrow" w:hAnsi="Arial Narrow" w:cs="Arial"/>
                <w:sz w:val="14"/>
                <w:szCs w:val="14"/>
                <w:lang w:val="en-GB"/>
              </w:rPr>
              <w:t>Guarantees on Land Acquisition</w:t>
            </w:r>
          </w:p>
        </w:tc>
        <w:tc>
          <w:tcPr>
            <w:tcW w:w="374"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0.5</w:t>
            </w:r>
          </w:p>
        </w:tc>
        <w:tc>
          <w:tcPr>
            <w:tcW w:w="447"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both"/>
              <w:rPr>
                <w:rFonts w:ascii="Arial Narrow" w:hAnsi="Arial Narrow" w:cs="Arial"/>
                <w:sz w:val="14"/>
                <w:szCs w:val="14"/>
                <w:lang w:val="en-GB"/>
              </w:rPr>
            </w:pPr>
            <w:r w:rsidRPr="009817E9">
              <w:rPr>
                <w:rFonts w:ascii="Arial Narrow" w:hAnsi="Arial Narrow" w:cs="Arial"/>
                <w:sz w:val="14"/>
                <w:szCs w:val="14"/>
                <w:lang w:val="en-GB"/>
              </w:rPr>
              <w:t>2 days after land registration by Deeds</w:t>
            </w:r>
          </w:p>
        </w:tc>
        <w:tc>
          <w:tcPr>
            <w:tcW w:w="2693" w:type="pct"/>
            <w:tcBorders>
              <w:top w:val="single" w:sz="4" w:space="0" w:color="auto"/>
              <w:left w:val="single" w:sz="4" w:space="0" w:color="auto"/>
              <w:bottom w:val="single" w:sz="4" w:space="0" w:color="auto"/>
              <w:right w:val="single" w:sz="4" w:space="0" w:color="auto"/>
            </w:tcBorders>
            <w:shd w:val="clear" w:color="auto" w:fill="auto"/>
          </w:tcPr>
          <w:p w:rsidR="009817E9" w:rsidRPr="009817E9" w:rsidRDefault="009817E9" w:rsidP="009817E9">
            <w:pPr>
              <w:jc w:val="both"/>
              <w:rPr>
                <w:rFonts w:ascii="Arial Narrow" w:hAnsi="Arial Narrow" w:cs="Arial"/>
                <w:sz w:val="14"/>
                <w:szCs w:val="14"/>
                <w:u w:val="single"/>
                <w:lang w:val="en-GB"/>
              </w:rPr>
            </w:pPr>
            <w:r w:rsidRPr="009817E9">
              <w:rPr>
                <w:rFonts w:ascii="Arial Narrow" w:hAnsi="Arial Narrow" w:cs="Arial"/>
                <w:sz w:val="14"/>
                <w:szCs w:val="14"/>
                <w:lang w:val="en-GB"/>
              </w:rPr>
              <w:t>Lengthy negotiations on some projects between seller and department which concluded end of quarter 3 and beginning of quarter 4, after agreement projects have to go for conveyancing and registration process by Deeds Office.</w:t>
            </w:r>
          </w:p>
        </w:tc>
        <w:tc>
          <w:tcPr>
            <w:tcW w:w="368"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146 436</w:t>
            </w:r>
          </w:p>
        </w:tc>
        <w:tc>
          <w:tcPr>
            <w:tcW w:w="448"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146 436</w:t>
            </w:r>
          </w:p>
        </w:tc>
      </w:tr>
      <w:tr w:rsidR="009817E9" w:rsidRPr="009817E9" w:rsidTr="00532584">
        <w:trPr>
          <w:trHeight w:val="270"/>
        </w:trPr>
        <w:tc>
          <w:tcPr>
            <w:tcW w:w="669" w:type="pct"/>
            <w:tcBorders>
              <w:top w:val="single" w:sz="4" w:space="0" w:color="auto"/>
              <w:left w:val="single" w:sz="4" w:space="0" w:color="auto"/>
              <w:bottom w:val="single" w:sz="4" w:space="0" w:color="auto"/>
              <w:right w:val="single" w:sz="4" w:space="0" w:color="auto"/>
            </w:tcBorders>
            <w:shd w:val="clear" w:color="auto" w:fill="auto"/>
            <w:vAlign w:val="bottom"/>
          </w:tcPr>
          <w:p w:rsidR="009817E9" w:rsidRPr="009817E9" w:rsidRDefault="009817E9" w:rsidP="009817E9">
            <w:pPr>
              <w:rPr>
                <w:rFonts w:ascii="Arial Narrow" w:hAnsi="Arial Narrow" w:cs="Arial"/>
                <w:sz w:val="14"/>
                <w:szCs w:val="14"/>
                <w:lang w:val="en-GB"/>
              </w:rPr>
            </w:pPr>
            <w:r w:rsidRPr="009817E9">
              <w:rPr>
                <w:rFonts w:ascii="Arial Narrow" w:hAnsi="Arial Narrow" w:cs="Arial"/>
                <w:sz w:val="14"/>
                <w:szCs w:val="14"/>
                <w:lang w:val="en-GB"/>
              </w:rPr>
              <w:t>Contracted one Hectare one Household projects</w:t>
            </w:r>
          </w:p>
        </w:tc>
        <w:tc>
          <w:tcPr>
            <w:tcW w:w="374"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unlimited</w:t>
            </w:r>
          </w:p>
        </w:tc>
        <w:tc>
          <w:tcPr>
            <w:tcW w:w="447"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both"/>
              <w:rPr>
                <w:rFonts w:ascii="Arial Narrow" w:hAnsi="Arial Narrow" w:cs="Arial"/>
                <w:sz w:val="14"/>
                <w:szCs w:val="14"/>
                <w:lang w:val="en-GB"/>
              </w:rPr>
            </w:pPr>
            <w:r w:rsidRPr="009817E9">
              <w:rPr>
                <w:rFonts w:ascii="Arial Narrow" w:hAnsi="Arial Narrow" w:cs="Arial"/>
                <w:sz w:val="14"/>
                <w:szCs w:val="14"/>
                <w:lang w:val="en-GB"/>
              </w:rPr>
              <w:t>1 year</w:t>
            </w:r>
          </w:p>
        </w:tc>
        <w:tc>
          <w:tcPr>
            <w:tcW w:w="2693" w:type="pct"/>
            <w:tcBorders>
              <w:top w:val="single" w:sz="4" w:space="0" w:color="auto"/>
              <w:left w:val="single" w:sz="4" w:space="0" w:color="auto"/>
              <w:bottom w:val="single" w:sz="4" w:space="0" w:color="auto"/>
              <w:right w:val="single" w:sz="4" w:space="0" w:color="auto"/>
            </w:tcBorders>
            <w:shd w:val="clear" w:color="auto" w:fill="auto"/>
          </w:tcPr>
          <w:p w:rsidR="009817E9" w:rsidRPr="009817E9" w:rsidRDefault="009817E9" w:rsidP="009817E9">
            <w:pPr>
              <w:jc w:val="both"/>
              <w:rPr>
                <w:rFonts w:ascii="Arial Narrow" w:hAnsi="Arial Narrow" w:cs="Arial"/>
                <w:sz w:val="14"/>
                <w:szCs w:val="14"/>
                <w:lang w:val="en-GB"/>
              </w:rPr>
            </w:pPr>
            <w:r w:rsidRPr="009817E9">
              <w:rPr>
                <w:rFonts w:ascii="Arial Narrow" w:hAnsi="Arial Narrow" w:cs="Arial"/>
                <w:sz w:val="14"/>
                <w:szCs w:val="14"/>
                <w:lang w:val="en-GB"/>
              </w:rPr>
              <w:t>Slow mobilization of the projects due to lengthy stakeholder consultation process. Disputes amongst beneficiaries These commitments are mainly second or third tranches, which are earmarked to be finalised this financial year.</w:t>
            </w:r>
          </w:p>
        </w:tc>
        <w:tc>
          <w:tcPr>
            <w:tcW w:w="368"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28 257</w:t>
            </w:r>
          </w:p>
        </w:tc>
        <w:tc>
          <w:tcPr>
            <w:tcW w:w="448"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28257</w:t>
            </w:r>
          </w:p>
        </w:tc>
      </w:tr>
      <w:tr w:rsidR="009817E9" w:rsidRPr="009817E9" w:rsidTr="00532584">
        <w:trPr>
          <w:trHeight w:val="270"/>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9817E9" w:rsidRPr="009817E9" w:rsidRDefault="009817E9" w:rsidP="009817E9">
            <w:pPr>
              <w:rPr>
                <w:rFonts w:ascii="Arial Narrow" w:hAnsi="Arial Narrow" w:cs="Arial"/>
                <w:sz w:val="14"/>
                <w:szCs w:val="14"/>
                <w:lang w:val="en-GB"/>
              </w:rPr>
            </w:pPr>
            <w:r w:rsidRPr="009817E9">
              <w:rPr>
                <w:rFonts w:ascii="Arial Narrow" w:hAnsi="Arial Narrow" w:cs="Arial"/>
                <w:sz w:val="14"/>
                <w:szCs w:val="14"/>
                <w:lang w:val="en-GB"/>
              </w:rPr>
              <w:t>Contracted Land Development Support</w:t>
            </w:r>
          </w:p>
        </w:tc>
        <w:tc>
          <w:tcPr>
            <w:tcW w:w="374"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5</w:t>
            </w:r>
          </w:p>
        </w:tc>
        <w:tc>
          <w:tcPr>
            <w:tcW w:w="447"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both"/>
              <w:rPr>
                <w:rFonts w:ascii="Arial Narrow" w:hAnsi="Arial Narrow" w:cs="Arial"/>
                <w:color w:val="000000"/>
                <w:sz w:val="14"/>
                <w:szCs w:val="14"/>
                <w:lang w:val="en-GB"/>
              </w:rPr>
            </w:pPr>
            <w:r w:rsidRPr="009817E9">
              <w:rPr>
                <w:rFonts w:ascii="Arial Narrow" w:hAnsi="Arial Narrow" w:cs="Arial"/>
                <w:color w:val="000000"/>
                <w:sz w:val="14"/>
                <w:szCs w:val="14"/>
                <w:lang w:val="en-GB"/>
              </w:rPr>
              <w:t>1 year</w:t>
            </w:r>
          </w:p>
        </w:tc>
        <w:tc>
          <w:tcPr>
            <w:tcW w:w="2693" w:type="pct"/>
            <w:tcBorders>
              <w:top w:val="single" w:sz="4" w:space="0" w:color="auto"/>
              <w:left w:val="single" w:sz="4" w:space="0" w:color="auto"/>
              <w:bottom w:val="single" w:sz="4" w:space="0" w:color="auto"/>
              <w:right w:val="single" w:sz="4" w:space="0" w:color="auto"/>
            </w:tcBorders>
            <w:shd w:val="clear" w:color="auto" w:fill="auto"/>
          </w:tcPr>
          <w:p w:rsidR="009817E9" w:rsidRPr="009817E9" w:rsidRDefault="009817E9" w:rsidP="009817E9">
            <w:pPr>
              <w:jc w:val="both"/>
              <w:rPr>
                <w:rFonts w:ascii="Arial Narrow" w:hAnsi="Arial Narrow" w:cs="Arial"/>
                <w:sz w:val="14"/>
                <w:szCs w:val="14"/>
                <w:u w:val="single"/>
                <w:lang w:val="en-GB"/>
              </w:rPr>
            </w:pPr>
            <w:r w:rsidRPr="009817E9">
              <w:rPr>
                <w:rFonts w:ascii="Arial Narrow" w:hAnsi="Arial Narrow" w:cs="Arial"/>
                <w:color w:val="000000"/>
                <w:sz w:val="14"/>
                <w:szCs w:val="14"/>
                <w:lang w:val="en-GB"/>
              </w:rPr>
              <w:t>The Department had to request Section 66 and Section 72 approvals from Treasury to enter into contracts with ABSA and FNB for the purpose of mitigation the risk of farmers misusing the funds as experienced in the past with the RADP program. The approval was granted during December 2019.  A team of Agricultural Engineers from DAFF were assembled and deployed to the farms to reassess the infrastructure. Transfers were made after receipt of the assessment report of relevant infrastructure required on farms. Some of these project assessments were only concluded in the current financial year.</w:t>
            </w:r>
          </w:p>
        </w:tc>
        <w:tc>
          <w:tcPr>
            <w:tcW w:w="368"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716 990</w:t>
            </w:r>
          </w:p>
        </w:tc>
        <w:tc>
          <w:tcPr>
            <w:tcW w:w="448"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716 990</w:t>
            </w:r>
          </w:p>
        </w:tc>
      </w:tr>
      <w:tr w:rsidR="009817E9" w:rsidRPr="009817E9" w:rsidTr="00532584">
        <w:trPr>
          <w:trHeight w:val="270"/>
        </w:trPr>
        <w:tc>
          <w:tcPr>
            <w:tcW w:w="669" w:type="pct"/>
            <w:tcBorders>
              <w:top w:val="single" w:sz="4" w:space="0" w:color="auto"/>
              <w:left w:val="single" w:sz="4" w:space="0" w:color="auto"/>
              <w:bottom w:val="single" w:sz="4" w:space="0" w:color="auto"/>
              <w:right w:val="single" w:sz="4" w:space="0" w:color="auto"/>
            </w:tcBorders>
            <w:shd w:val="clear" w:color="auto" w:fill="auto"/>
            <w:vAlign w:val="bottom"/>
          </w:tcPr>
          <w:p w:rsidR="009817E9" w:rsidRPr="009817E9" w:rsidRDefault="009817E9" w:rsidP="009817E9">
            <w:pPr>
              <w:rPr>
                <w:rFonts w:ascii="Arial Narrow" w:hAnsi="Arial Narrow" w:cs="Arial"/>
                <w:sz w:val="14"/>
                <w:szCs w:val="14"/>
                <w:lang w:val="en-GB"/>
              </w:rPr>
            </w:pPr>
            <w:r w:rsidRPr="009817E9">
              <w:rPr>
                <w:rFonts w:ascii="Arial Narrow" w:hAnsi="Arial Narrow" w:cs="Arial"/>
                <w:sz w:val="14"/>
                <w:szCs w:val="14"/>
                <w:lang w:val="en-GB"/>
              </w:rPr>
              <w:t>Contracted forensic audit</w:t>
            </w:r>
          </w:p>
        </w:tc>
        <w:tc>
          <w:tcPr>
            <w:tcW w:w="374"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1</w:t>
            </w:r>
          </w:p>
        </w:tc>
        <w:tc>
          <w:tcPr>
            <w:tcW w:w="447"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both"/>
              <w:rPr>
                <w:rFonts w:ascii="Arial Narrow" w:hAnsi="Arial Narrow" w:cs="Arial"/>
                <w:sz w:val="14"/>
                <w:szCs w:val="14"/>
                <w:lang w:val="en-GB"/>
              </w:rPr>
            </w:pPr>
            <w:r w:rsidRPr="009817E9">
              <w:rPr>
                <w:rFonts w:ascii="Arial Narrow" w:hAnsi="Arial Narrow" w:cs="Arial"/>
                <w:sz w:val="14"/>
                <w:szCs w:val="14"/>
                <w:lang w:val="en-GB"/>
              </w:rPr>
              <w:t>I year</w:t>
            </w:r>
          </w:p>
        </w:tc>
        <w:tc>
          <w:tcPr>
            <w:tcW w:w="2693" w:type="pct"/>
            <w:tcBorders>
              <w:top w:val="single" w:sz="4" w:space="0" w:color="auto"/>
              <w:left w:val="single" w:sz="4" w:space="0" w:color="auto"/>
              <w:bottom w:val="single" w:sz="4" w:space="0" w:color="auto"/>
              <w:right w:val="single" w:sz="4" w:space="0" w:color="auto"/>
            </w:tcBorders>
            <w:shd w:val="clear" w:color="auto" w:fill="auto"/>
          </w:tcPr>
          <w:p w:rsidR="009817E9" w:rsidRPr="009817E9" w:rsidRDefault="009817E9" w:rsidP="009817E9">
            <w:pPr>
              <w:jc w:val="both"/>
              <w:rPr>
                <w:rFonts w:ascii="Arial Narrow" w:hAnsi="Arial Narrow" w:cs="Arial"/>
                <w:sz w:val="14"/>
                <w:szCs w:val="14"/>
                <w:u w:val="single"/>
                <w:lang w:val="en-GB"/>
              </w:rPr>
            </w:pPr>
            <w:r w:rsidRPr="009817E9">
              <w:rPr>
                <w:rFonts w:ascii="Arial Narrow" w:hAnsi="Arial Narrow" w:cs="Arial"/>
                <w:sz w:val="14"/>
                <w:szCs w:val="14"/>
                <w:lang w:val="en-GB"/>
              </w:rPr>
              <w:t>Retention amount will be paid after close up report is received on forensic audit performed.</w:t>
            </w:r>
          </w:p>
        </w:tc>
        <w:tc>
          <w:tcPr>
            <w:tcW w:w="368"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1 710</w:t>
            </w:r>
          </w:p>
        </w:tc>
        <w:tc>
          <w:tcPr>
            <w:tcW w:w="448"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1 710</w:t>
            </w:r>
          </w:p>
        </w:tc>
      </w:tr>
      <w:tr w:rsidR="009817E9" w:rsidRPr="009817E9" w:rsidTr="00532584">
        <w:trPr>
          <w:trHeight w:val="270"/>
        </w:trPr>
        <w:tc>
          <w:tcPr>
            <w:tcW w:w="669" w:type="pct"/>
            <w:tcBorders>
              <w:top w:val="single" w:sz="4" w:space="0" w:color="auto"/>
              <w:left w:val="single" w:sz="4" w:space="0" w:color="auto"/>
              <w:bottom w:val="single" w:sz="4" w:space="0" w:color="auto"/>
              <w:right w:val="single" w:sz="4" w:space="0" w:color="auto"/>
            </w:tcBorders>
            <w:shd w:val="clear" w:color="auto" w:fill="auto"/>
            <w:vAlign w:val="bottom"/>
          </w:tcPr>
          <w:p w:rsidR="009817E9" w:rsidRPr="009817E9" w:rsidRDefault="009817E9" w:rsidP="009817E9">
            <w:pPr>
              <w:rPr>
                <w:rFonts w:ascii="Arial Narrow" w:hAnsi="Arial Narrow" w:cs="Arial"/>
                <w:sz w:val="14"/>
                <w:szCs w:val="14"/>
                <w:lang w:val="en-GB"/>
              </w:rPr>
            </w:pPr>
            <w:r w:rsidRPr="009817E9">
              <w:rPr>
                <w:rFonts w:ascii="Arial Narrow" w:hAnsi="Arial Narrow" w:cs="Arial"/>
                <w:sz w:val="14"/>
                <w:szCs w:val="14"/>
                <w:lang w:val="en-GB"/>
              </w:rPr>
              <w:t>Contracted project management</w:t>
            </w:r>
          </w:p>
        </w:tc>
        <w:tc>
          <w:tcPr>
            <w:tcW w:w="374"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1</w:t>
            </w:r>
          </w:p>
        </w:tc>
        <w:tc>
          <w:tcPr>
            <w:tcW w:w="447"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both"/>
              <w:rPr>
                <w:rFonts w:ascii="Arial Narrow" w:hAnsi="Arial Narrow" w:cs="Arial"/>
                <w:sz w:val="14"/>
                <w:szCs w:val="14"/>
                <w:lang w:val="en-GB"/>
              </w:rPr>
            </w:pPr>
            <w:r w:rsidRPr="009817E9">
              <w:rPr>
                <w:rFonts w:ascii="Arial Narrow" w:hAnsi="Arial Narrow" w:cs="Arial"/>
                <w:sz w:val="14"/>
                <w:szCs w:val="14"/>
                <w:lang w:val="en-GB"/>
              </w:rPr>
              <w:t>30 days after receipt of invoice</w:t>
            </w:r>
          </w:p>
        </w:tc>
        <w:tc>
          <w:tcPr>
            <w:tcW w:w="2693" w:type="pct"/>
            <w:tcBorders>
              <w:top w:val="single" w:sz="4" w:space="0" w:color="auto"/>
              <w:left w:val="single" w:sz="4" w:space="0" w:color="auto"/>
              <w:bottom w:val="single" w:sz="4" w:space="0" w:color="auto"/>
              <w:right w:val="single" w:sz="4" w:space="0" w:color="auto"/>
            </w:tcBorders>
            <w:shd w:val="clear" w:color="auto" w:fill="auto"/>
          </w:tcPr>
          <w:p w:rsidR="009817E9" w:rsidRPr="009817E9" w:rsidRDefault="009817E9" w:rsidP="009817E9">
            <w:pPr>
              <w:jc w:val="both"/>
              <w:rPr>
                <w:rFonts w:ascii="Arial Narrow" w:hAnsi="Arial Narrow" w:cs="Arial"/>
                <w:sz w:val="14"/>
                <w:szCs w:val="14"/>
                <w:lang w:val="en-GB"/>
              </w:rPr>
            </w:pPr>
            <w:r w:rsidRPr="009817E9">
              <w:rPr>
                <w:rFonts w:ascii="Arial Narrow" w:hAnsi="Arial Narrow" w:cs="Arial"/>
                <w:sz w:val="14"/>
                <w:szCs w:val="14"/>
                <w:lang w:val="en-GB"/>
              </w:rPr>
              <w:t>Balance for project will be paid after final review and sign off the close up report.</w:t>
            </w:r>
          </w:p>
        </w:tc>
        <w:tc>
          <w:tcPr>
            <w:tcW w:w="368"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sz w:val="14"/>
                <w:szCs w:val="14"/>
                <w:lang w:val="en-GB"/>
              </w:rPr>
            </w:pPr>
            <w:r w:rsidRPr="009817E9">
              <w:rPr>
                <w:rFonts w:ascii="Arial Narrow" w:hAnsi="Arial Narrow" w:cs="Arial"/>
                <w:sz w:val="14"/>
                <w:szCs w:val="14"/>
                <w:lang w:val="en-GB"/>
              </w:rPr>
              <w:t>477</w:t>
            </w:r>
          </w:p>
        </w:tc>
        <w:tc>
          <w:tcPr>
            <w:tcW w:w="448"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sz w:val="14"/>
                <w:szCs w:val="14"/>
                <w:lang w:val="en-GB"/>
              </w:rPr>
            </w:pPr>
            <w:r w:rsidRPr="009817E9">
              <w:rPr>
                <w:rFonts w:ascii="Arial Narrow" w:hAnsi="Arial Narrow"/>
                <w:sz w:val="14"/>
                <w:szCs w:val="14"/>
                <w:lang w:val="en-GB"/>
              </w:rPr>
              <w:t>477</w:t>
            </w:r>
          </w:p>
        </w:tc>
      </w:tr>
      <w:tr w:rsidR="009817E9" w:rsidRPr="009817E9" w:rsidTr="00532584">
        <w:trPr>
          <w:trHeight w:val="270"/>
        </w:trPr>
        <w:tc>
          <w:tcPr>
            <w:tcW w:w="669" w:type="pct"/>
            <w:tcBorders>
              <w:top w:val="single" w:sz="4" w:space="0" w:color="auto"/>
              <w:left w:val="single" w:sz="4" w:space="0" w:color="auto"/>
              <w:bottom w:val="single" w:sz="4" w:space="0" w:color="auto"/>
              <w:right w:val="single" w:sz="4" w:space="0" w:color="auto"/>
            </w:tcBorders>
            <w:shd w:val="clear" w:color="auto" w:fill="auto"/>
            <w:vAlign w:val="bottom"/>
          </w:tcPr>
          <w:p w:rsidR="009817E9" w:rsidRPr="009817E9" w:rsidRDefault="009817E9" w:rsidP="009817E9">
            <w:pPr>
              <w:rPr>
                <w:rFonts w:ascii="Arial Narrow" w:hAnsi="Arial Narrow" w:cs="Arial"/>
                <w:color w:val="000000"/>
                <w:sz w:val="14"/>
                <w:szCs w:val="14"/>
                <w:lang w:val="en-GB"/>
              </w:rPr>
            </w:pPr>
            <w:r w:rsidRPr="009817E9">
              <w:rPr>
                <w:rFonts w:ascii="Arial Narrow" w:hAnsi="Arial Narrow" w:cs="Arial"/>
                <w:color w:val="000000"/>
                <w:sz w:val="14"/>
                <w:szCs w:val="14"/>
                <w:lang w:val="en-GB"/>
              </w:rPr>
              <w:t>Open Orders</w:t>
            </w:r>
          </w:p>
        </w:tc>
        <w:tc>
          <w:tcPr>
            <w:tcW w:w="374"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0.5</w:t>
            </w:r>
          </w:p>
        </w:tc>
        <w:tc>
          <w:tcPr>
            <w:tcW w:w="447"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both"/>
              <w:rPr>
                <w:rFonts w:ascii="Arial Narrow" w:hAnsi="Arial Narrow" w:cs="Arial"/>
                <w:sz w:val="14"/>
                <w:szCs w:val="14"/>
                <w:lang w:val="en-GB"/>
              </w:rPr>
            </w:pPr>
            <w:r w:rsidRPr="009817E9">
              <w:rPr>
                <w:rFonts w:ascii="Arial Narrow" w:hAnsi="Arial Narrow" w:cs="Arial"/>
                <w:sz w:val="14"/>
                <w:szCs w:val="14"/>
                <w:lang w:val="en-GB"/>
              </w:rPr>
              <w:t>30 days after receipt of invoice</w:t>
            </w:r>
          </w:p>
        </w:tc>
        <w:tc>
          <w:tcPr>
            <w:tcW w:w="2693" w:type="pct"/>
            <w:tcBorders>
              <w:top w:val="single" w:sz="4" w:space="0" w:color="auto"/>
              <w:left w:val="single" w:sz="4" w:space="0" w:color="auto"/>
              <w:bottom w:val="single" w:sz="4" w:space="0" w:color="auto"/>
              <w:right w:val="single" w:sz="4" w:space="0" w:color="auto"/>
            </w:tcBorders>
            <w:shd w:val="clear" w:color="auto" w:fill="auto"/>
          </w:tcPr>
          <w:p w:rsidR="009817E9" w:rsidRPr="009817E9" w:rsidRDefault="009817E9" w:rsidP="009817E9">
            <w:pPr>
              <w:jc w:val="both"/>
              <w:rPr>
                <w:rFonts w:ascii="Arial Narrow" w:hAnsi="Arial Narrow" w:cs="Arial"/>
                <w:sz w:val="14"/>
                <w:szCs w:val="14"/>
                <w:lang w:val="en-GB"/>
              </w:rPr>
            </w:pPr>
            <w:r w:rsidRPr="009817E9">
              <w:rPr>
                <w:rFonts w:ascii="Arial Narrow" w:hAnsi="Arial Narrow" w:cs="Arial"/>
                <w:sz w:val="14"/>
                <w:szCs w:val="14"/>
                <w:lang w:val="en-GB"/>
              </w:rPr>
              <w:t>Valuations for land acquisition projects not yet concluded.</w:t>
            </w:r>
          </w:p>
        </w:tc>
        <w:tc>
          <w:tcPr>
            <w:tcW w:w="368"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2 828</w:t>
            </w:r>
          </w:p>
        </w:tc>
        <w:tc>
          <w:tcPr>
            <w:tcW w:w="448" w:type="pct"/>
            <w:tcBorders>
              <w:top w:val="single" w:sz="4" w:space="0" w:color="auto"/>
              <w:left w:val="single" w:sz="4" w:space="0" w:color="auto"/>
              <w:bottom w:val="single" w:sz="4" w:space="0" w:color="auto"/>
              <w:right w:val="single" w:sz="4" w:space="0" w:color="auto"/>
            </w:tcBorders>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2 828</w:t>
            </w:r>
          </w:p>
        </w:tc>
      </w:tr>
      <w:tr w:rsidR="009817E9" w:rsidRPr="009817E9" w:rsidTr="00532584">
        <w:trPr>
          <w:trHeight w:val="136"/>
        </w:trPr>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9817E9" w:rsidRPr="009817E9" w:rsidRDefault="009817E9" w:rsidP="009817E9">
            <w:pPr>
              <w:jc w:val="both"/>
              <w:rPr>
                <w:rFonts w:ascii="Arial Narrow" w:hAnsi="Arial Narrow" w:cs="Arial"/>
                <w:b/>
                <w:sz w:val="14"/>
                <w:szCs w:val="14"/>
                <w:lang w:val="en-GB"/>
              </w:rPr>
            </w:pPr>
            <w:r w:rsidRPr="009817E9">
              <w:rPr>
                <w:rFonts w:ascii="Arial Narrow" w:hAnsi="Arial Narrow" w:cs="Arial"/>
                <w:b/>
                <w:sz w:val="14"/>
                <w:szCs w:val="14"/>
                <w:lang w:val="en-GB"/>
              </w:rPr>
              <w:t>Total</w:t>
            </w:r>
          </w:p>
        </w:tc>
        <w:tc>
          <w:tcPr>
            <w:tcW w:w="374" w:type="pct"/>
            <w:tcBorders>
              <w:top w:val="single" w:sz="4" w:space="0" w:color="auto"/>
              <w:left w:val="single" w:sz="4" w:space="0" w:color="auto"/>
              <w:bottom w:val="single" w:sz="4" w:space="0" w:color="auto"/>
              <w:right w:val="single" w:sz="4" w:space="0" w:color="auto"/>
            </w:tcBorders>
            <w:shd w:val="clear" w:color="auto" w:fill="D9D9D9"/>
          </w:tcPr>
          <w:p w:rsidR="009817E9" w:rsidRPr="009817E9" w:rsidRDefault="009817E9" w:rsidP="009817E9">
            <w:pPr>
              <w:jc w:val="right"/>
              <w:rPr>
                <w:rFonts w:ascii="Arial Narrow" w:hAnsi="Arial Narrow" w:cs="Arial"/>
                <w:b/>
                <w:sz w:val="14"/>
                <w:szCs w:val="14"/>
                <w:lang w:val="en-GB"/>
              </w:rPr>
            </w:pPr>
          </w:p>
        </w:tc>
        <w:tc>
          <w:tcPr>
            <w:tcW w:w="447" w:type="pct"/>
            <w:tcBorders>
              <w:top w:val="single" w:sz="4" w:space="0" w:color="auto"/>
              <w:left w:val="single" w:sz="4" w:space="0" w:color="auto"/>
              <w:bottom w:val="single" w:sz="4" w:space="0" w:color="auto"/>
              <w:right w:val="single" w:sz="4" w:space="0" w:color="auto"/>
            </w:tcBorders>
            <w:shd w:val="clear" w:color="auto" w:fill="D9D9D9"/>
          </w:tcPr>
          <w:p w:rsidR="009817E9" w:rsidRPr="009817E9" w:rsidRDefault="009817E9" w:rsidP="009817E9">
            <w:pPr>
              <w:jc w:val="right"/>
              <w:rPr>
                <w:rFonts w:ascii="Arial Narrow" w:hAnsi="Arial Narrow" w:cs="Arial"/>
                <w:b/>
                <w:sz w:val="14"/>
                <w:szCs w:val="14"/>
                <w:lang w:val="en-GB"/>
              </w:rPr>
            </w:pPr>
          </w:p>
        </w:tc>
        <w:tc>
          <w:tcPr>
            <w:tcW w:w="2693" w:type="pct"/>
            <w:tcBorders>
              <w:top w:val="single" w:sz="4" w:space="0" w:color="auto"/>
              <w:left w:val="single" w:sz="4" w:space="0" w:color="auto"/>
              <w:bottom w:val="single" w:sz="4" w:space="0" w:color="auto"/>
              <w:right w:val="single" w:sz="4" w:space="0" w:color="auto"/>
            </w:tcBorders>
            <w:shd w:val="clear" w:color="auto" w:fill="D9D9D9"/>
          </w:tcPr>
          <w:p w:rsidR="009817E9" w:rsidRPr="009817E9" w:rsidRDefault="009817E9" w:rsidP="009817E9">
            <w:pPr>
              <w:jc w:val="right"/>
              <w:rPr>
                <w:rFonts w:ascii="Arial Narrow" w:hAnsi="Arial Narrow" w:cs="Arial"/>
                <w:b/>
                <w:sz w:val="14"/>
                <w:szCs w:val="14"/>
                <w:lang w:val="en-GB"/>
              </w:rPr>
            </w:pPr>
          </w:p>
        </w:tc>
        <w:tc>
          <w:tcPr>
            <w:tcW w:w="368" w:type="pct"/>
            <w:tcBorders>
              <w:top w:val="single" w:sz="4" w:space="0" w:color="auto"/>
              <w:left w:val="single" w:sz="4" w:space="0" w:color="auto"/>
              <w:bottom w:val="single" w:sz="4" w:space="0" w:color="auto"/>
              <w:right w:val="single" w:sz="4" w:space="0" w:color="auto"/>
            </w:tcBorders>
            <w:shd w:val="clear" w:color="auto" w:fill="D9D9D9"/>
          </w:tcPr>
          <w:p w:rsidR="009817E9" w:rsidRPr="009817E9" w:rsidRDefault="009817E9" w:rsidP="009817E9">
            <w:pPr>
              <w:jc w:val="center"/>
              <w:rPr>
                <w:rFonts w:ascii="Arial Narrow" w:hAnsi="Arial Narrow" w:cs="Arial"/>
                <w:b/>
                <w:sz w:val="14"/>
                <w:szCs w:val="14"/>
                <w:lang w:val="en-GB"/>
              </w:rPr>
            </w:pPr>
            <w:r w:rsidRPr="009817E9">
              <w:rPr>
                <w:rFonts w:ascii="Arial Narrow" w:hAnsi="Arial Narrow" w:cs="Arial"/>
                <w:sz w:val="14"/>
                <w:szCs w:val="14"/>
                <w:lang w:val="en-GB"/>
              </w:rPr>
              <w:t>1 019 135</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9817E9" w:rsidRPr="009817E9" w:rsidRDefault="009817E9" w:rsidP="009817E9">
            <w:pPr>
              <w:jc w:val="center"/>
              <w:rPr>
                <w:rFonts w:ascii="Arial Narrow" w:hAnsi="Arial Narrow" w:cs="Arial"/>
                <w:sz w:val="14"/>
                <w:szCs w:val="14"/>
                <w:lang w:val="en-GB"/>
              </w:rPr>
            </w:pPr>
            <w:r w:rsidRPr="009817E9">
              <w:rPr>
                <w:rFonts w:ascii="Arial Narrow" w:hAnsi="Arial Narrow" w:cs="Arial"/>
                <w:sz w:val="14"/>
                <w:szCs w:val="14"/>
                <w:lang w:val="en-GB"/>
              </w:rPr>
              <w:t>1 019 135</w:t>
            </w:r>
          </w:p>
        </w:tc>
      </w:tr>
    </w:tbl>
    <w:tbl>
      <w:tblPr>
        <w:tblpPr w:leftFromText="180" w:rightFromText="180" w:vertAnchor="text" w:horzAnchor="margin" w:tblpY="66"/>
        <w:tblW w:w="5291" w:type="pct"/>
        <w:tblLook w:val="04A0"/>
      </w:tblPr>
      <w:tblGrid>
        <w:gridCol w:w="1423"/>
        <w:gridCol w:w="666"/>
        <w:gridCol w:w="875"/>
        <w:gridCol w:w="5518"/>
        <w:gridCol w:w="788"/>
        <w:gridCol w:w="910"/>
      </w:tblGrid>
      <w:tr w:rsidR="0094404D" w:rsidRPr="0094404D" w:rsidTr="0094404D">
        <w:trPr>
          <w:trHeight w:val="277"/>
        </w:trPr>
        <w:tc>
          <w:tcPr>
            <w:tcW w:w="69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4404D" w:rsidRPr="0094404D" w:rsidRDefault="0094404D" w:rsidP="0094404D">
            <w:pPr>
              <w:rPr>
                <w:rFonts w:ascii="Arial Narrow" w:hAnsi="Arial Narrow" w:cs="Arial"/>
                <w:color w:val="000000"/>
                <w:sz w:val="14"/>
                <w:szCs w:val="14"/>
                <w:lang w:val="en-GB"/>
              </w:rPr>
            </w:pPr>
            <w:r w:rsidRPr="0094404D">
              <w:rPr>
                <w:rFonts w:ascii="Arial Narrow" w:hAnsi="Arial Narrow" w:cs="Arial"/>
                <w:color w:val="000000"/>
                <w:sz w:val="14"/>
                <w:szCs w:val="14"/>
                <w:lang w:val="en-GB"/>
              </w:rPr>
              <w:lastRenderedPageBreak/>
              <w:t>COVID Disaster Fund</w:t>
            </w:r>
          </w:p>
        </w:tc>
        <w:tc>
          <w:tcPr>
            <w:tcW w:w="327" w:type="pct"/>
            <w:tcBorders>
              <w:top w:val="single" w:sz="4" w:space="0" w:color="auto"/>
              <w:left w:val="nil"/>
              <w:bottom w:val="single" w:sz="4" w:space="0" w:color="auto"/>
              <w:right w:val="single" w:sz="4" w:space="0" w:color="auto"/>
            </w:tcBorders>
            <w:shd w:val="clear" w:color="000000" w:fill="FFFFFF"/>
            <w:vAlign w:val="bottom"/>
            <w:hideMark/>
          </w:tcPr>
          <w:p w:rsidR="0094404D" w:rsidRPr="0094404D" w:rsidRDefault="0094404D" w:rsidP="0094404D">
            <w:pPr>
              <w:jc w:val="center"/>
              <w:rPr>
                <w:rFonts w:ascii="Arial Narrow" w:hAnsi="Arial Narrow" w:cs="Arial"/>
                <w:color w:val="000000"/>
                <w:sz w:val="14"/>
                <w:szCs w:val="14"/>
                <w:lang w:val="en-GB"/>
              </w:rPr>
            </w:pPr>
            <w:r w:rsidRPr="0094404D">
              <w:rPr>
                <w:rFonts w:ascii="Arial Narrow" w:hAnsi="Arial Narrow" w:cs="Arial"/>
                <w:color w:val="000000"/>
                <w:sz w:val="14"/>
                <w:szCs w:val="14"/>
                <w:lang w:val="en-GB"/>
              </w:rPr>
              <w:t>0.5</w:t>
            </w:r>
          </w:p>
        </w:tc>
        <w:tc>
          <w:tcPr>
            <w:tcW w:w="430" w:type="pct"/>
            <w:tcBorders>
              <w:top w:val="single" w:sz="4" w:space="0" w:color="auto"/>
              <w:left w:val="nil"/>
              <w:bottom w:val="single" w:sz="4" w:space="0" w:color="auto"/>
              <w:right w:val="single" w:sz="4" w:space="0" w:color="auto"/>
            </w:tcBorders>
            <w:shd w:val="clear" w:color="000000" w:fill="FFFFFF"/>
          </w:tcPr>
          <w:p w:rsidR="0094404D" w:rsidRPr="0094404D" w:rsidRDefault="0094404D" w:rsidP="0094404D">
            <w:pPr>
              <w:rPr>
                <w:rFonts w:ascii="Arial Narrow" w:hAnsi="Arial Narrow" w:cs="Arial"/>
                <w:color w:val="000000"/>
                <w:sz w:val="14"/>
                <w:szCs w:val="14"/>
                <w:lang w:val="en-GB"/>
              </w:rPr>
            </w:pPr>
            <w:r w:rsidRPr="0094404D">
              <w:rPr>
                <w:rFonts w:ascii="Arial Narrow" w:hAnsi="Arial Narrow" w:cs="Arial"/>
                <w:sz w:val="14"/>
                <w:szCs w:val="14"/>
                <w:lang w:val="en-GB"/>
              </w:rPr>
              <w:t>30 days after receipt of invoice</w:t>
            </w:r>
          </w:p>
        </w:tc>
        <w:tc>
          <w:tcPr>
            <w:tcW w:w="2710" w:type="pct"/>
            <w:tcBorders>
              <w:top w:val="single" w:sz="4" w:space="0" w:color="auto"/>
              <w:left w:val="single" w:sz="4" w:space="0" w:color="auto"/>
              <w:bottom w:val="single" w:sz="4" w:space="0" w:color="auto"/>
              <w:right w:val="single" w:sz="4" w:space="0" w:color="auto"/>
            </w:tcBorders>
            <w:shd w:val="clear" w:color="000000" w:fill="FFFFFF"/>
            <w:hideMark/>
          </w:tcPr>
          <w:p w:rsidR="0094404D" w:rsidRPr="0094404D" w:rsidRDefault="0094404D" w:rsidP="0094404D">
            <w:pPr>
              <w:rPr>
                <w:rFonts w:ascii="Arial Narrow" w:hAnsi="Arial Narrow" w:cs="Arial"/>
                <w:color w:val="000000"/>
                <w:sz w:val="14"/>
                <w:szCs w:val="14"/>
                <w:lang w:val="en-GB"/>
              </w:rPr>
            </w:pPr>
            <w:r w:rsidRPr="0094404D">
              <w:rPr>
                <w:rFonts w:ascii="Arial Narrow" w:hAnsi="Arial Narrow" w:cs="Arial"/>
                <w:color w:val="000000"/>
                <w:sz w:val="14"/>
                <w:szCs w:val="14"/>
                <w:lang w:val="en-GB"/>
              </w:rPr>
              <w:t>Current financial year, funds received from department during 2019/20.</w:t>
            </w:r>
          </w:p>
        </w:tc>
        <w:tc>
          <w:tcPr>
            <w:tcW w:w="387" w:type="pct"/>
            <w:tcBorders>
              <w:top w:val="single" w:sz="4" w:space="0" w:color="auto"/>
              <w:left w:val="nil"/>
              <w:bottom w:val="single" w:sz="4" w:space="0" w:color="auto"/>
              <w:right w:val="single" w:sz="4" w:space="0" w:color="auto"/>
            </w:tcBorders>
            <w:shd w:val="clear" w:color="auto" w:fill="auto"/>
            <w:vAlign w:val="bottom"/>
            <w:hideMark/>
          </w:tcPr>
          <w:p w:rsidR="0094404D" w:rsidRPr="0094404D" w:rsidRDefault="0094404D" w:rsidP="0094404D">
            <w:pPr>
              <w:jc w:val="center"/>
              <w:rPr>
                <w:rFonts w:ascii="Arial Narrow" w:hAnsi="Arial Narrow" w:cs="Arial"/>
                <w:color w:val="000000"/>
                <w:sz w:val="14"/>
                <w:szCs w:val="14"/>
                <w:lang w:val="en-GB"/>
              </w:rPr>
            </w:pPr>
            <w:r w:rsidRPr="0094404D">
              <w:rPr>
                <w:rFonts w:ascii="Arial Narrow" w:hAnsi="Arial Narrow" w:cs="Arial"/>
                <w:color w:val="000000"/>
                <w:sz w:val="14"/>
                <w:szCs w:val="14"/>
                <w:lang w:val="en-GB"/>
              </w:rPr>
              <w:t xml:space="preserve">513 844 </w:t>
            </w:r>
          </w:p>
        </w:tc>
        <w:tc>
          <w:tcPr>
            <w:tcW w:w="448" w:type="pct"/>
            <w:tcBorders>
              <w:top w:val="single" w:sz="4" w:space="0" w:color="auto"/>
              <w:left w:val="nil"/>
              <w:bottom w:val="single" w:sz="4" w:space="0" w:color="auto"/>
              <w:right w:val="single" w:sz="4" w:space="0" w:color="auto"/>
            </w:tcBorders>
            <w:shd w:val="clear" w:color="auto" w:fill="auto"/>
            <w:vAlign w:val="bottom"/>
            <w:hideMark/>
          </w:tcPr>
          <w:p w:rsidR="0094404D" w:rsidRPr="0094404D" w:rsidRDefault="0094404D" w:rsidP="0094404D">
            <w:pPr>
              <w:jc w:val="center"/>
              <w:rPr>
                <w:rFonts w:ascii="Arial Narrow" w:hAnsi="Arial Narrow" w:cs="Arial"/>
                <w:color w:val="000000"/>
                <w:sz w:val="14"/>
                <w:szCs w:val="14"/>
                <w:lang w:val="en-GB"/>
              </w:rPr>
            </w:pPr>
            <w:r w:rsidRPr="0094404D">
              <w:rPr>
                <w:rFonts w:ascii="Arial Narrow" w:hAnsi="Arial Narrow" w:cs="Arial"/>
                <w:color w:val="000000"/>
                <w:sz w:val="14"/>
                <w:szCs w:val="14"/>
                <w:lang w:val="en-GB"/>
              </w:rPr>
              <w:t xml:space="preserve">   513 844 </w:t>
            </w:r>
          </w:p>
        </w:tc>
      </w:tr>
      <w:tr w:rsidR="0094404D" w:rsidRPr="0094404D" w:rsidTr="0094404D">
        <w:trPr>
          <w:trHeight w:val="277"/>
        </w:trPr>
        <w:tc>
          <w:tcPr>
            <w:tcW w:w="69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4404D" w:rsidRPr="0094404D" w:rsidRDefault="0094404D" w:rsidP="0094404D">
            <w:pPr>
              <w:rPr>
                <w:rFonts w:ascii="Arial Narrow" w:hAnsi="Arial Narrow" w:cs="Arial"/>
                <w:b/>
                <w:color w:val="000000"/>
                <w:sz w:val="14"/>
                <w:szCs w:val="14"/>
                <w:lang w:val="en-GB"/>
              </w:rPr>
            </w:pPr>
            <w:r w:rsidRPr="0094404D">
              <w:rPr>
                <w:rFonts w:ascii="Arial Narrow" w:hAnsi="Arial Narrow" w:cs="Arial"/>
                <w:b/>
                <w:color w:val="000000"/>
                <w:sz w:val="14"/>
                <w:szCs w:val="14"/>
                <w:lang w:val="en-GB"/>
              </w:rPr>
              <w:t>Grand Total</w:t>
            </w:r>
          </w:p>
        </w:tc>
        <w:tc>
          <w:tcPr>
            <w:tcW w:w="327" w:type="pct"/>
            <w:tcBorders>
              <w:top w:val="single" w:sz="4" w:space="0" w:color="auto"/>
              <w:left w:val="nil"/>
              <w:bottom w:val="single" w:sz="4" w:space="0" w:color="auto"/>
              <w:right w:val="single" w:sz="4" w:space="0" w:color="auto"/>
            </w:tcBorders>
            <w:shd w:val="clear" w:color="000000" w:fill="FFFFFF"/>
            <w:vAlign w:val="bottom"/>
          </w:tcPr>
          <w:p w:rsidR="0094404D" w:rsidRPr="0094404D" w:rsidRDefault="0094404D" w:rsidP="0094404D">
            <w:pPr>
              <w:jc w:val="center"/>
              <w:rPr>
                <w:rFonts w:ascii="Arial Narrow" w:hAnsi="Arial Narrow" w:cs="Arial"/>
                <w:b/>
                <w:color w:val="000000"/>
                <w:sz w:val="14"/>
                <w:szCs w:val="14"/>
                <w:lang w:val="en-GB"/>
              </w:rPr>
            </w:pPr>
          </w:p>
        </w:tc>
        <w:tc>
          <w:tcPr>
            <w:tcW w:w="430" w:type="pct"/>
            <w:tcBorders>
              <w:top w:val="single" w:sz="4" w:space="0" w:color="auto"/>
              <w:left w:val="nil"/>
              <w:bottom w:val="single" w:sz="4" w:space="0" w:color="auto"/>
              <w:right w:val="single" w:sz="4" w:space="0" w:color="auto"/>
            </w:tcBorders>
            <w:shd w:val="clear" w:color="000000" w:fill="FFFFFF"/>
          </w:tcPr>
          <w:p w:rsidR="0094404D" w:rsidRPr="0094404D" w:rsidRDefault="0094404D" w:rsidP="0094404D">
            <w:pPr>
              <w:rPr>
                <w:rFonts w:ascii="Arial Narrow" w:hAnsi="Arial Narrow" w:cs="Arial"/>
                <w:b/>
                <w:color w:val="000000"/>
                <w:sz w:val="14"/>
                <w:szCs w:val="14"/>
                <w:lang w:val="en-GB"/>
              </w:rPr>
            </w:pPr>
          </w:p>
        </w:tc>
        <w:tc>
          <w:tcPr>
            <w:tcW w:w="2710" w:type="pct"/>
            <w:tcBorders>
              <w:top w:val="single" w:sz="4" w:space="0" w:color="auto"/>
              <w:left w:val="single" w:sz="4" w:space="0" w:color="auto"/>
              <w:bottom w:val="single" w:sz="4" w:space="0" w:color="auto"/>
              <w:right w:val="single" w:sz="4" w:space="0" w:color="auto"/>
            </w:tcBorders>
            <w:shd w:val="clear" w:color="000000" w:fill="FFFFFF"/>
          </w:tcPr>
          <w:p w:rsidR="0094404D" w:rsidRPr="0094404D" w:rsidRDefault="0094404D" w:rsidP="0094404D">
            <w:pPr>
              <w:rPr>
                <w:rFonts w:ascii="Arial Narrow" w:hAnsi="Arial Narrow" w:cs="Arial"/>
                <w:b/>
                <w:color w:val="000000"/>
                <w:sz w:val="14"/>
                <w:szCs w:val="14"/>
                <w:lang w:val="en-GB"/>
              </w:rPr>
            </w:pPr>
          </w:p>
        </w:tc>
        <w:tc>
          <w:tcPr>
            <w:tcW w:w="387" w:type="pct"/>
            <w:tcBorders>
              <w:top w:val="single" w:sz="4" w:space="0" w:color="auto"/>
              <w:left w:val="nil"/>
              <w:bottom w:val="single" w:sz="4" w:space="0" w:color="auto"/>
              <w:right w:val="single" w:sz="4" w:space="0" w:color="auto"/>
            </w:tcBorders>
            <w:shd w:val="clear" w:color="auto" w:fill="auto"/>
            <w:vAlign w:val="bottom"/>
          </w:tcPr>
          <w:p w:rsidR="0094404D" w:rsidRPr="0094404D" w:rsidRDefault="0094404D" w:rsidP="0094404D">
            <w:pPr>
              <w:jc w:val="center"/>
              <w:rPr>
                <w:rFonts w:ascii="Arial Narrow" w:hAnsi="Arial Narrow" w:cs="Arial"/>
                <w:b/>
                <w:color w:val="000000"/>
                <w:sz w:val="14"/>
                <w:szCs w:val="14"/>
                <w:lang w:val="en-GB"/>
              </w:rPr>
            </w:pPr>
            <w:r w:rsidRPr="0094404D">
              <w:rPr>
                <w:rFonts w:ascii="Arial Narrow" w:hAnsi="Arial Narrow" w:cs="Arial"/>
                <w:b/>
                <w:color w:val="000000"/>
                <w:sz w:val="14"/>
                <w:szCs w:val="14"/>
                <w:lang w:val="en-GB"/>
              </w:rPr>
              <w:t>1 532 979</w:t>
            </w:r>
          </w:p>
        </w:tc>
        <w:tc>
          <w:tcPr>
            <w:tcW w:w="448" w:type="pct"/>
            <w:tcBorders>
              <w:top w:val="single" w:sz="4" w:space="0" w:color="auto"/>
              <w:left w:val="nil"/>
              <w:bottom w:val="single" w:sz="4" w:space="0" w:color="auto"/>
              <w:right w:val="single" w:sz="4" w:space="0" w:color="auto"/>
            </w:tcBorders>
            <w:shd w:val="clear" w:color="auto" w:fill="auto"/>
            <w:vAlign w:val="bottom"/>
          </w:tcPr>
          <w:p w:rsidR="0094404D" w:rsidRPr="0094404D" w:rsidRDefault="0094404D" w:rsidP="0094404D">
            <w:pPr>
              <w:jc w:val="center"/>
              <w:rPr>
                <w:rFonts w:ascii="Arial Narrow" w:hAnsi="Arial Narrow" w:cs="Arial"/>
                <w:b/>
                <w:color w:val="000000"/>
                <w:sz w:val="14"/>
                <w:szCs w:val="14"/>
                <w:lang w:val="en-GB"/>
              </w:rPr>
            </w:pPr>
            <w:r w:rsidRPr="0094404D">
              <w:rPr>
                <w:rFonts w:ascii="Arial Narrow" w:hAnsi="Arial Narrow" w:cs="Arial"/>
                <w:b/>
                <w:color w:val="000000"/>
                <w:sz w:val="14"/>
                <w:szCs w:val="14"/>
                <w:lang w:val="en-GB"/>
              </w:rPr>
              <w:t>1 532 979</w:t>
            </w:r>
          </w:p>
        </w:tc>
      </w:tr>
    </w:tbl>
    <w:p w:rsidR="009817E9" w:rsidRPr="007E23CF" w:rsidRDefault="009817E9" w:rsidP="009817E9">
      <w:pPr>
        <w:pStyle w:val="ListParagraph"/>
        <w:spacing w:before="100" w:beforeAutospacing="1" w:after="100" w:afterAutospacing="1" w:line="360" w:lineRule="auto"/>
        <w:jc w:val="both"/>
        <w:outlineLvl w:val="0"/>
        <w:rPr>
          <w:rFonts w:ascii="Arial" w:hAnsi="Arial" w:cs="Arial"/>
          <w:color w:val="FF0000"/>
          <w:sz w:val="22"/>
          <w:szCs w:val="22"/>
        </w:rPr>
      </w:pPr>
    </w:p>
    <w:p w:rsidR="00C401F8" w:rsidRPr="00553EDC" w:rsidRDefault="00C401F8" w:rsidP="00DD1EBD">
      <w:pPr>
        <w:rPr>
          <w:rFonts w:ascii="Arial" w:hAnsi="Arial" w:cs="Arial"/>
          <w:b/>
          <w:sz w:val="22"/>
          <w:szCs w:val="22"/>
        </w:rPr>
      </w:pPr>
      <w:bookmarkStart w:id="5" w:name="_GoBack"/>
      <w:bookmarkEnd w:id="5"/>
    </w:p>
    <w:sectPr w:rsidR="00C401F8" w:rsidRPr="00553EDC"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053" w:rsidRDefault="00021053" w:rsidP="00380E88">
      <w:r>
        <w:separator/>
      </w:r>
    </w:p>
  </w:endnote>
  <w:endnote w:type="continuationSeparator" w:id="0">
    <w:p w:rsidR="00021053" w:rsidRDefault="00021053"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053" w:rsidRDefault="00021053" w:rsidP="00380E88">
      <w:r>
        <w:separator/>
      </w:r>
    </w:p>
  </w:footnote>
  <w:footnote w:type="continuationSeparator" w:id="0">
    <w:p w:rsidR="00021053" w:rsidRDefault="00021053"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470"/>
    <w:multiLevelType w:val="hybridMultilevel"/>
    <w:tmpl w:val="9C62CCF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146D9B"/>
    <w:multiLevelType w:val="hybridMultilevel"/>
    <w:tmpl w:val="495E08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45F7799"/>
    <w:multiLevelType w:val="hybridMultilevel"/>
    <w:tmpl w:val="D312EED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8512BDD"/>
    <w:multiLevelType w:val="hybridMultilevel"/>
    <w:tmpl w:val="879ABF7C"/>
    <w:lvl w:ilvl="0" w:tplc="BA4C8FE4">
      <w:start w:val="1"/>
      <w:numFmt w:val="decimal"/>
      <w:lvlText w:val="(%1)"/>
      <w:lvlJc w:val="left"/>
      <w:pPr>
        <w:ind w:left="720" w:hanging="6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6">
    <w:nsid w:val="45202971"/>
    <w:multiLevelType w:val="hybridMultilevel"/>
    <w:tmpl w:val="05FA9F20"/>
    <w:lvl w:ilvl="0" w:tplc="4D24CA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BE85A99"/>
    <w:multiLevelType w:val="hybridMultilevel"/>
    <w:tmpl w:val="EBA84BBE"/>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4DEF1B9E"/>
    <w:multiLevelType w:val="hybridMultilevel"/>
    <w:tmpl w:val="618CBDB4"/>
    <w:lvl w:ilvl="0" w:tplc="1FA6835E">
      <w:start w:val="1"/>
      <w:numFmt w:val="bullet"/>
      <w:lvlText w:val=""/>
      <w:lvlJc w:val="left"/>
      <w:pPr>
        <w:ind w:left="720" w:hanging="360"/>
      </w:pPr>
      <w:rPr>
        <w:rFonts w:ascii="Wingdings" w:hAnsi="Wingdings"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643"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366168F"/>
    <w:multiLevelType w:val="hybridMultilevel"/>
    <w:tmpl w:val="9E5A7CE8"/>
    <w:lvl w:ilvl="0" w:tplc="8192336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7">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7BC61ED1"/>
    <w:multiLevelType w:val="hybridMultilevel"/>
    <w:tmpl w:val="C9DED60A"/>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4"/>
  </w:num>
  <w:num w:numId="2">
    <w:abstractNumId w:val="15"/>
  </w:num>
  <w:num w:numId="3">
    <w:abstractNumId w:val="11"/>
  </w:num>
  <w:num w:numId="4">
    <w:abstractNumId w:val="7"/>
  </w:num>
  <w:num w:numId="5">
    <w:abstractNumId w:val="17"/>
  </w:num>
  <w:num w:numId="6">
    <w:abstractNumId w:val="5"/>
  </w:num>
  <w:num w:numId="7">
    <w:abstractNumId w:val="5"/>
  </w:num>
  <w:num w:numId="8">
    <w:abstractNumId w:val="19"/>
  </w:num>
  <w:num w:numId="9">
    <w:abstractNumId w:val="4"/>
  </w:num>
  <w:num w:numId="10">
    <w:abstractNumId w:val="10"/>
  </w:num>
  <w:num w:numId="11">
    <w:abstractNumId w:val="16"/>
  </w:num>
  <w:num w:numId="12">
    <w:abstractNumId w:val="12"/>
  </w:num>
  <w:num w:numId="13">
    <w:abstractNumId w:val="3"/>
  </w:num>
  <w:num w:numId="14">
    <w:abstractNumId w:val="6"/>
  </w:num>
  <w:num w:numId="15">
    <w:abstractNumId w:val="13"/>
  </w:num>
  <w:num w:numId="16">
    <w:abstractNumId w:val="8"/>
  </w:num>
  <w:num w:numId="17">
    <w:abstractNumId w:val="9"/>
  </w:num>
  <w:num w:numId="18">
    <w:abstractNumId w:val="2"/>
  </w:num>
  <w:num w:numId="19">
    <w:abstractNumId w:val="1"/>
  </w:num>
  <w:num w:numId="20">
    <w:abstractNumId w:val="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2A82"/>
    <w:rsid w:val="000147EE"/>
    <w:rsid w:val="000154C5"/>
    <w:rsid w:val="00016A41"/>
    <w:rsid w:val="00020C04"/>
    <w:rsid w:val="00021053"/>
    <w:rsid w:val="000235AD"/>
    <w:rsid w:val="00023BC3"/>
    <w:rsid w:val="00025170"/>
    <w:rsid w:val="00026160"/>
    <w:rsid w:val="0002634B"/>
    <w:rsid w:val="000319D5"/>
    <w:rsid w:val="0003349C"/>
    <w:rsid w:val="00041437"/>
    <w:rsid w:val="00042E4A"/>
    <w:rsid w:val="00053303"/>
    <w:rsid w:val="0005383F"/>
    <w:rsid w:val="00060E09"/>
    <w:rsid w:val="00063E28"/>
    <w:rsid w:val="0007743C"/>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0AF6"/>
    <w:rsid w:val="000F37A4"/>
    <w:rsid w:val="000F3B14"/>
    <w:rsid w:val="000F5178"/>
    <w:rsid w:val="00100CC2"/>
    <w:rsid w:val="00110946"/>
    <w:rsid w:val="00122C88"/>
    <w:rsid w:val="00123B87"/>
    <w:rsid w:val="00130348"/>
    <w:rsid w:val="00132CAF"/>
    <w:rsid w:val="00132CF0"/>
    <w:rsid w:val="001433AE"/>
    <w:rsid w:val="0014441E"/>
    <w:rsid w:val="00147193"/>
    <w:rsid w:val="0015280F"/>
    <w:rsid w:val="001553DF"/>
    <w:rsid w:val="0015727B"/>
    <w:rsid w:val="00170407"/>
    <w:rsid w:val="00183EB5"/>
    <w:rsid w:val="00197576"/>
    <w:rsid w:val="001B0917"/>
    <w:rsid w:val="001B1E0F"/>
    <w:rsid w:val="001B7F2A"/>
    <w:rsid w:val="001C1E62"/>
    <w:rsid w:val="001C5FDE"/>
    <w:rsid w:val="001D24BA"/>
    <w:rsid w:val="001D267B"/>
    <w:rsid w:val="001D4937"/>
    <w:rsid w:val="001E1132"/>
    <w:rsid w:val="001E3FB5"/>
    <w:rsid w:val="001E58AC"/>
    <w:rsid w:val="001E6902"/>
    <w:rsid w:val="001F4B50"/>
    <w:rsid w:val="001F6D0E"/>
    <w:rsid w:val="001F7560"/>
    <w:rsid w:val="002065BA"/>
    <w:rsid w:val="00207912"/>
    <w:rsid w:val="00223863"/>
    <w:rsid w:val="0022502D"/>
    <w:rsid w:val="00230BF6"/>
    <w:rsid w:val="002314BC"/>
    <w:rsid w:val="00233374"/>
    <w:rsid w:val="00251791"/>
    <w:rsid w:val="00260251"/>
    <w:rsid w:val="00262F05"/>
    <w:rsid w:val="0026563C"/>
    <w:rsid w:val="0027436F"/>
    <w:rsid w:val="002855CE"/>
    <w:rsid w:val="00285EA1"/>
    <w:rsid w:val="0028635F"/>
    <w:rsid w:val="002867DD"/>
    <w:rsid w:val="002927CD"/>
    <w:rsid w:val="00293E24"/>
    <w:rsid w:val="002A4157"/>
    <w:rsid w:val="002B3B25"/>
    <w:rsid w:val="002B7345"/>
    <w:rsid w:val="002D104B"/>
    <w:rsid w:val="002D10B3"/>
    <w:rsid w:val="002D2A4C"/>
    <w:rsid w:val="002D499A"/>
    <w:rsid w:val="002E4AA0"/>
    <w:rsid w:val="002F2DE9"/>
    <w:rsid w:val="002F6E86"/>
    <w:rsid w:val="003005D2"/>
    <w:rsid w:val="00303F4E"/>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336"/>
    <w:rsid w:val="003B0A2D"/>
    <w:rsid w:val="003D0E83"/>
    <w:rsid w:val="003D5A20"/>
    <w:rsid w:val="003D6E21"/>
    <w:rsid w:val="003E03B4"/>
    <w:rsid w:val="003E2711"/>
    <w:rsid w:val="003E6A8B"/>
    <w:rsid w:val="003F1329"/>
    <w:rsid w:val="003F6A56"/>
    <w:rsid w:val="0040569F"/>
    <w:rsid w:val="00413ABE"/>
    <w:rsid w:val="00413C95"/>
    <w:rsid w:val="0042131F"/>
    <w:rsid w:val="00422EC6"/>
    <w:rsid w:val="004260E9"/>
    <w:rsid w:val="0042645C"/>
    <w:rsid w:val="00426C51"/>
    <w:rsid w:val="00427ECA"/>
    <w:rsid w:val="0043065E"/>
    <w:rsid w:val="00435EA2"/>
    <w:rsid w:val="00453CF1"/>
    <w:rsid w:val="00463692"/>
    <w:rsid w:val="0046713E"/>
    <w:rsid w:val="004709BD"/>
    <w:rsid w:val="00472D86"/>
    <w:rsid w:val="00473446"/>
    <w:rsid w:val="00480D1F"/>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C39D2"/>
    <w:rsid w:val="005D0154"/>
    <w:rsid w:val="005E21D9"/>
    <w:rsid w:val="005E32E0"/>
    <w:rsid w:val="005E415D"/>
    <w:rsid w:val="005F05C1"/>
    <w:rsid w:val="005F11A2"/>
    <w:rsid w:val="005F6B76"/>
    <w:rsid w:val="00613FC6"/>
    <w:rsid w:val="006239F1"/>
    <w:rsid w:val="00624D20"/>
    <w:rsid w:val="00625836"/>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61B0"/>
    <w:rsid w:val="006C2D5C"/>
    <w:rsid w:val="006D1766"/>
    <w:rsid w:val="006D1B36"/>
    <w:rsid w:val="006D2C61"/>
    <w:rsid w:val="006D2F61"/>
    <w:rsid w:val="006D39E9"/>
    <w:rsid w:val="007118EA"/>
    <w:rsid w:val="00712545"/>
    <w:rsid w:val="00712E95"/>
    <w:rsid w:val="00726A9C"/>
    <w:rsid w:val="00732A53"/>
    <w:rsid w:val="007359BF"/>
    <w:rsid w:val="00737375"/>
    <w:rsid w:val="00743F26"/>
    <w:rsid w:val="00751942"/>
    <w:rsid w:val="00751A1E"/>
    <w:rsid w:val="007540E0"/>
    <w:rsid w:val="007544A8"/>
    <w:rsid w:val="0076668B"/>
    <w:rsid w:val="007749D9"/>
    <w:rsid w:val="00780F57"/>
    <w:rsid w:val="00783E1A"/>
    <w:rsid w:val="00784F72"/>
    <w:rsid w:val="0079022D"/>
    <w:rsid w:val="007914E0"/>
    <w:rsid w:val="0079284D"/>
    <w:rsid w:val="007A32AF"/>
    <w:rsid w:val="007A78C0"/>
    <w:rsid w:val="007B1BA1"/>
    <w:rsid w:val="007C3B62"/>
    <w:rsid w:val="007C44DF"/>
    <w:rsid w:val="007C4690"/>
    <w:rsid w:val="007C51AA"/>
    <w:rsid w:val="007C5A36"/>
    <w:rsid w:val="007D25DF"/>
    <w:rsid w:val="007D4060"/>
    <w:rsid w:val="007D673C"/>
    <w:rsid w:val="007E23CF"/>
    <w:rsid w:val="007E56A2"/>
    <w:rsid w:val="007F18AA"/>
    <w:rsid w:val="007F439B"/>
    <w:rsid w:val="007F5C89"/>
    <w:rsid w:val="00800B54"/>
    <w:rsid w:val="00803AC4"/>
    <w:rsid w:val="00807B52"/>
    <w:rsid w:val="00811367"/>
    <w:rsid w:val="00811C40"/>
    <w:rsid w:val="0081304D"/>
    <w:rsid w:val="00813FF0"/>
    <w:rsid w:val="00814CE4"/>
    <w:rsid w:val="008223D4"/>
    <w:rsid w:val="008270A1"/>
    <w:rsid w:val="008321A4"/>
    <w:rsid w:val="0084121D"/>
    <w:rsid w:val="00852DC3"/>
    <w:rsid w:val="008600E0"/>
    <w:rsid w:val="008631A7"/>
    <w:rsid w:val="00866056"/>
    <w:rsid w:val="0086781D"/>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C0D4C"/>
    <w:rsid w:val="008C2559"/>
    <w:rsid w:val="008C2974"/>
    <w:rsid w:val="008D3E86"/>
    <w:rsid w:val="008E01C3"/>
    <w:rsid w:val="008E3D62"/>
    <w:rsid w:val="008E4142"/>
    <w:rsid w:val="008F2375"/>
    <w:rsid w:val="008F324E"/>
    <w:rsid w:val="008F7690"/>
    <w:rsid w:val="00905110"/>
    <w:rsid w:val="00910B58"/>
    <w:rsid w:val="00911717"/>
    <w:rsid w:val="009163A5"/>
    <w:rsid w:val="00917C44"/>
    <w:rsid w:val="009203A2"/>
    <w:rsid w:val="0093163C"/>
    <w:rsid w:val="00933C7B"/>
    <w:rsid w:val="0093680D"/>
    <w:rsid w:val="0094404D"/>
    <w:rsid w:val="009508F2"/>
    <w:rsid w:val="00950F95"/>
    <w:rsid w:val="00953363"/>
    <w:rsid w:val="0096007E"/>
    <w:rsid w:val="00960B82"/>
    <w:rsid w:val="00965E2A"/>
    <w:rsid w:val="00972601"/>
    <w:rsid w:val="00973CB5"/>
    <w:rsid w:val="00976E83"/>
    <w:rsid w:val="0097786E"/>
    <w:rsid w:val="00977E9D"/>
    <w:rsid w:val="009817E9"/>
    <w:rsid w:val="00986C1B"/>
    <w:rsid w:val="00987BC9"/>
    <w:rsid w:val="0099170A"/>
    <w:rsid w:val="009A18A7"/>
    <w:rsid w:val="009C45D6"/>
    <w:rsid w:val="009C72B2"/>
    <w:rsid w:val="009E1AB2"/>
    <w:rsid w:val="009E24E9"/>
    <w:rsid w:val="009F2415"/>
    <w:rsid w:val="009F480A"/>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952EA"/>
    <w:rsid w:val="00A96A79"/>
    <w:rsid w:val="00AA4ED9"/>
    <w:rsid w:val="00AB5748"/>
    <w:rsid w:val="00AB5B28"/>
    <w:rsid w:val="00AD00CE"/>
    <w:rsid w:val="00AD1B6E"/>
    <w:rsid w:val="00AD284E"/>
    <w:rsid w:val="00AD5C9B"/>
    <w:rsid w:val="00AE07DE"/>
    <w:rsid w:val="00B03AF4"/>
    <w:rsid w:val="00B03DD6"/>
    <w:rsid w:val="00B1562B"/>
    <w:rsid w:val="00B1593D"/>
    <w:rsid w:val="00B20E37"/>
    <w:rsid w:val="00B31AAE"/>
    <w:rsid w:val="00B35A12"/>
    <w:rsid w:val="00B35E0C"/>
    <w:rsid w:val="00B447E6"/>
    <w:rsid w:val="00B57527"/>
    <w:rsid w:val="00B62882"/>
    <w:rsid w:val="00B65F8F"/>
    <w:rsid w:val="00B70C7B"/>
    <w:rsid w:val="00B716A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C0A3B"/>
    <w:rsid w:val="00BC3150"/>
    <w:rsid w:val="00BC450A"/>
    <w:rsid w:val="00BC4BEA"/>
    <w:rsid w:val="00BC5A3F"/>
    <w:rsid w:val="00BD31C6"/>
    <w:rsid w:val="00BE533B"/>
    <w:rsid w:val="00BE62C8"/>
    <w:rsid w:val="00C06302"/>
    <w:rsid w:val="00C11AD3"/>
    <w:rsid w:val="00C223DB"/>
    <w:rsid w:val="00C22A1F"/>
    <w:rsid w:val="00C25C7E"/>
    <w:rsid w:val="00C26CCD"/>
    <w:rsid w:val="00C312EA"/>
    <w:rsid w:val="00C32942"/>
    <w:rsid w:val="00C33A0A"/>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B7871"/>
    <w:rsid w:val="00CC0640"/>
    <w:rsid w:val="00CC2F3E"/>
    <w:rsid w:val="00CC392D"/>
    <w:rsid w:val="00CC7673"/>
    <w:rsid w:val="00D01E04"/>
    <w:rsid w:val="00D05765"/>
    <w:rsid w:val="00D1433D"/>
    <w:rsid w:val="00D17D13"/>
    <w:rsid w:val="00D20E78"/>
    <w:rsid w:val="00D20F25"/>
    <w:rsid w:val="00D2724B"/>
    <w:rsid w:val="00D332C0"/>
    <w:rsid w:val="00D3397E"/>
    <w:rsid w:val="00D3403D"/>
    <w:rsid w:val="00D34050"/>
    <w:rsid w:val="00D363B6"/>
    <w:rsid w:val="00D37422"/>
    <w:rsid w:val="00D46E69"/>
    <w:rsid w:val="00D61422"/>
    <w:rsid w:val="00D65933"/>
    <w:rsid w:val="00D74F80"/>
    <w:rsid w:val="00D761DC"/>
    <w:rsid w:val="00DB2463"/>
    <w:rsid w:val="00DC5DD9"/>
    <w:rsid w:val="00DC769E"/>
    <w:rsid w:val="00DC76EF"/>
    <w:rsid w:val="00DD0F3E"/>
    <w:rsid w:val="00DD1EBD"/>
    <w:rsid w:val="00DD2A0D"/>
    <w:rsid w:val="00DD5296"/>
    <w:rsid w:val="00DD687C"/>
    <w:rsid w:val="00DE122E"/>
    <w:rsid w:val="00DE3CBB"/>
    <w:rsid w:val="00DE76CB"/>
    <w:rsid w:val="00DF0D26"/>
    <w:rsid w:val="00DF4200"/>
    <w:rsid w:val="00DF746E"/>
    <w:rsid w:val="00DF7D10"/>
    <w:rsid w:val="00E01FF6"/>
    <w:rsid w:val="00E0626A"/>
    <w:rsid w:val="00E103FB"/>
    <w:rsid w:val="00E10F6B"/>
    <w:rsid w:val="00E150D2"/>
    <w:rsid w:val="00E1520C"/>
    <w:rsid w:val="00E35140"/>
    <w:rsid w:val="00E359AC"/>
    <w:rsid w:val="00E37A36"/>
    <w:rsid w:val="00E42AEE"/>
    <w:rsid w:val="00E43A5D"/>
    <w:rsid w:val="00E533D0"/>
    <w:rsid w:val="00E55071"/>
    <w:rsid w:val="00E60EE1"/>
    <w:rsid w:val="00E72F99"/>
    <w:rsid w:val="00E77DF6"/>
    <w:rsid w:val="00E8352B"/>
    <w:rsid w:val="00E938DE"/>
    <w:rsid w:val="00E950AD"/>
    <w:rsid w:val="00EA468F"/>
    <w:rsid w:val="00EA6A49"/>
    <w:rsid w:val="00EA792E"/>
    <w:rsid w:val="00EB04E2"/>
    <w:rsid w:val="00EC21DD"/>
    <w:rsid w:val="00EC347E"/>
    <w:rsid w:val="00EC4BF6"/>
    <w:rsid w:val="00ED1050"/>
    <w:rsid w:val="00ED166D"/>
    <w:rsid w:val="00ED3A3C"/>
    <w:rsid w:val="00EE2E7B"/>
    <w:rsid w:val="00EE7DD6"/>
    <w:rsid w:val="00EF5BB4"/>
    <w:rsid w:val="00F03C60"/>
    <w:rsid w:val="00F04D43"/>
    <w:rsid w:val="00F05CB1"/>
    <w:rsid w:val="00F06A25"/>
    <w:rsid w:val="00F1421B"/>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B0A2F"/>
    <w:rsid w:val="00FB0ABC"/>
    <w:rsid w:val="00FB5217"/>
    <w:rsid w:val="00FC2064"/>
    <w:rsid w:val="00FC2209"/>
    <w:rsid w:val="00FC224A"/>
    <w:rsid w:val="00FC2A11"/>
    <w:rsid w:val="00FC4E03"/>
    <w:rsid w:val="00FD2E66"/>
    <w:rsid w:val="00FD4700"/>
    <w:rsid w:val="00FD595E"/>
    <w:rsid w:val="00FE4A54"/>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A"/>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paragraph" w:customStyle="1" w:styleId="Default">
    <w:name w:val="Default"/>
    <w:rsid w:val="0062583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91400689">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8063862">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9A0E-8736-4904-931F-041D4A0D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2021-03-17T06:35:00Z</cp:lastPrinted>
  <dcterms:created xsi:type="dcterms:W3CDTF">2021-04-09T14:21:00Z</dcterms:created>
  <dcterms:modified xsi:type="dcterms:W3CDTF">2021-04-09T14:21:00Z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